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B6EF3" w14:textId="77777777" w:rsidR="00CA2FDD" w:rsidRPr="00CA2FDD" w:rsidRDefault="00CA2FDD" w:rsidP="00CA2FDD">
      <w:pPr>
        <w:rPr>
          <w:b/>
          <w:bCs/>
          <w:lang w:val="en-GB"/>
        </w:rPr>
      </w:pPr>
      <w:r w:rsidRPr="00CA2FDD">
        <w:rPr>
          <w:b/>
          <w:bCs/>
          <w:lang w:val="en-GB"/>
        </w:rPr>
        <w:t>World Bank: This is how COVID-19 has affected women's employment</w:t>
      </w:r>
    </w:p>
    <w:p w14:paraId="56CCB755" w14:textId="77777777" w:rsidR="00C331D2" w:rsidRPr="00C331D2" w:rsidRDefault="00C331D2" w:rsidP="00C331D2">
      <w:pPr>
        <w:rPr>
          <w:lang w:val="en-GB"/>
        </w:rPr>
      </w:pPr>
      <w:hyperlink r:id="rId5" w:history="1">
        <w:r w:rsidRPr="00C331D2">
          <w:rPr>
            <w:rStyle w:val="Hipervnculo"/>
            <w:lang w:val="en-GB"/>
          </w:rPr>
          <w:t>https://www.weforum.org/agenda/2021/08/how-world-bank-s-gender-innovation-lab-is-helping-to-close-the-employment-gap-for-women</w:t>
        </w:r>
      </w:hyperlink>
    </w:p>
    <w:p w14:paraId="003C473C" w14:textId="5CFC3AFC" w:rsidR="00CA2FDD" w:rsidRPr="00C331D2" w:rsidRDefault="00CA2FDD" w:rsidP="00CA2FDD">
      <w:pPr>
        <w:rPr>
          <w:lang w:val="en-GB"/>
        </w:rPr>
      </w:pPr>
    </w:p>
    <w:p w14:paraId="23856BF1" w14:textId="77777777" w:rsidR="00CA2FDD" w:rsidRPr="00CA2FDD" w:rsidRDefault="00CA2FDD" w:rsidP="00CA2FDD">
      <w:pPr>
        <w:rPr>
          <w:lang w:val="en-GB"/>
        </w:rPr>
      </w:pPr>
      <w:r w:rsidRPr="00CA2FDD">
        <w:rPr>
          <w:lang w:val="en-GB"/>
        </w:rPr>
        <w:t>The World Bank’s Regional Gender Innovation Labs (GILs) were in a strong position to provide evidence to support women's employment</w:t>
      </w:r>
    </w:p>
    <w:p w14:paraId="74A6B00E" w14:textId="77777777" w:rsidR="00CA2FDD" w:rsidRPr="00CA2FDD" w:rsidRDefault="00CA2FDD" w:rsidP="00CA2FDD">
      <w:pPr>
        <w:rPr>
          <w:lang w:val="en-GB"/>
        </w:rPr>
      </w:pPr>
      <w:r w:rsidRPr="00CA2FDD">
        <w:rPr>
          <w:lang w:val="en-GB"/>
        </w:rPr>
        <w:t xml:space="preserve">This article was originally published on </w:t>
      </w:r>
      <w:proofErr w:type="spellStart"/>
      <w:r w:rsidRPr="00CA2FDD">
        <w:rPr>
          <w:lang w:val="en-GB"/>
        </w:rPr>
        <w:t>the</w:t>
      </w:r>
      <w:hyperlink r:id="rId6" w:tgtFrame="_blank" w:history="1">
        <w:r w:rsidRPr="00CA2FDD">
          <w:rPr>
            <w:rStyle w:val="Hipervnculo"/>
            <w:lang w:val="en-GB"/>
          </w:rPr>
          <w:t>World</w:t>
        </w:r>
        <w:proofErr w:type="spellEnd"/>
        <w:r w:rsidRPr="00CA2FDD">
          <w:rPr>
            <w:rStyle w:val="Hipervnculo"/>
            <w:lang w:val="en-GB"/>
          </w:rPr>
          <w:t xml:space="preserve"> Bank</w:t>
        </w:r>
      </w:hyperlink>
      <w:r w:rsidRPr="00CA2FDD">
        <w:rPr>
          <w:lang w:val="en-GB"/>
        </w:rPr>
        <w:t>'s website</w:t>
      </w:r>
    </w:p>
    <w:p w14:paraId="39BCF3EF" w14:textId="77777777" w:rsidR="00CA2FDD" w:rsidRPr="00CA2FDD" w:rsidRDefault="00CA2FDD" w:rsidP="00CA2FDD">
      <w:r w:rsidRPr="00CA2FDD">
        <w:t xml:space="preserve">10 </w:t>
      </w:r>
      <w:proofErr w:type="spellStart"/>
      <w:r w:rsidRPr="00CA2FDD">
        <w:t>Aug</w:t>
      </w:r>
      <w:proofErr w:type="spellEnd"/>
      <w:r w:rsidRPr="00CA2FDD">
        <w:t xml:space="preserve"> 2021</w:t>
      </w:r>
    </w:p>
    <w:p w14:paraId="183B5F99" w14:textId="568C760F" w:rsidR="00CA2FDD" w:rsidRPr="00CA2FDD" w:rsidRDefault="00CA2FDD" w:rsidP="00CA2FDD">
      <w:r w:rsidRPr="00CA2FDD">
        <w:rPr>
          <w:noProof/>
        </w:rPr>
        <w:drawing>
          <wp:inline distT="0" distB="0" distL="0" distR="0" wp14:anchorId="3610E34C" wp14:editId="0A3CB8DC">
            <wp:extent cx="5400040" cy="4501515"/>
            <wp:effectExtent l="0" t="0" r="0" b="0"/>
            <wp:docPr id="3" name="Imagen 3" descr="Gráfico, Diagrama, Esquemático, Gráfico de proyección solar&#10;&#10;Descripción generada automáticament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áfico, Diagrama, Esquemático, Gráfico de proyección solar&#10;&#10;Descripción generada automáticament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4501515"/>
                    </a:xfrm>
                    <a:prstGeom prst="rect">
                      <a:avLst/>
                    </a:prstGeom>
                    <a:noFill/>
                    <a:ln>
                      <a:noFill/>
                    </a:ln>
                  </pic:spPr>
                </pic:pic>
              </a:graphicData>
            </a:graphic>
          </wp:inline>
        </w:drawing>
      </w:r>
    </w:p>
    <w:p w14:paraId="38CF24E2" w14:textId="033D3DEF" w:rsidR="00CA2FDD" w:rsidRPr="00CA2FDD" w:rsidRDefault="00E96D61" w:rsidP="00CA2FDD">
      <w:pPr>
        <w:rPr>
          <w:lang w:val="en-GB"/>
        </w:rPr>
      </w:pPr>
      <w:hyperlink r:id="rId9" w:history="1">
        <w:r w:rsidR="00CA2FDD" w:rsidRPr="00CA2FDD">
          <w:rPr>
            <w:rStyle w:val="Hipervnculo"/>
            <w:b/>
            <w:bCs/>
            <w:lang w:val="en-GB"/>
          </w:rPr>
          <w:t xml:space="preserve">Explore the latest strategic trends, </w:t>
        </w:r>
        <w:proofErr w:type="gramStart"/>
        <w:r w:rsidR="00CA2FDD" w:rsidRPr="00CA2FDD">
          <w:rPr>
            <w:rStyle w:val="Hipervnculo"/>
            <w:b/>
            <w:bCs/>
            <w:lang w:val="en-GB"/>
          </w:rPr>
          <w:t>research</w:t>
        </w:r>
        <w:proofErr w:type="gramEnd"/>
        <w:r w:rsidR="00CA2FDD" w:rsidRPr="00CA2FDD">
          <w:rPr>
            <w:rStyle w:val="Hipervnculo"/>
            <w:b/>
            <w:bCs/>
            <w:lang w:val="en-GB"/>
          </w:rPr>
          <w:t xml:space="preserve"> and analysis</w:t>
        </w:r>
        <w:r w:rsidR="00CA2FDD" w:rsidRPr="00CA2FDD">
          <w:rPr>
            <w:rStyle w:val="Hipervnculo"/>
            <w:noProof/>
          </w:rPr>
          <mc:AlternateContent>
            <mc:Choice Requires="wps">
              <w:drawing>
                <wp:inline distT="0" distB="0" distL="0" distR="0" wp14:anchorId="40ECB965" wp14:editId="1807EDDF">
                  <wp:extent cx="304800" cy="304800"/>
                  <wp:effectExtent l="0" t="0" r="0" b="0"/>
                  <wp:docPr id="2" name="Rectá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65A77D" id="Rectángulo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2N0vZPABAADGAwAADgAAAAAAAAAAAAAAAAAuAgAAZHJzL2Uyb0RvYy54&#10;bWxQSwECLQAUAAYACAAAACEATKDpLNgAAAADAQAADwAAAAAAAAAAAAAAAABKBAAAZHJzL2Rvd25y&#10;ZXYueG1sUEsFBgAAAAAEAAQA8wAAAE8FAAAAAA==&#10;" filled="f" stroked="f">
                  <o:lock v:ext="edit" aspectratio="t"/>
                  <w10:anchorlock/>
                </v:rect>
              </w:pict>
            </mc:Fallback>
          </mc:AlternateContent>
        </w:r>
      </w:hyperlink>
    </w:p>
    <w:p w14:paraId="7DC6C3B2" w14:textId="77777777" w:rsidR="00CA2FDD" w:rsidRPr="00CA2FDD" w:rsidRDefault="00CA2FDD" w:rsidP="00CA2FDD">
      <w:pPr>
        <w:numPr>
          <w:ilvl w:val="0"/>
          <w:numId w:val="2"/>
        </w:numPr>
        <w:rPr>
          <w:lang w:val="en-GB"/>
        </w:rPr>
      </w:pPr>
      <w:r w:rsidRPr="00CA2FDD">
        <w:rPr>
          <w:lang w:val="en-GB"/>
        </w:rPr>
        <w:t>From the outset, experts have predicted the impact of COVID-19 on socially excluded groups such as women.</w:t>
      </w:r>
    </w:p>
    <w:p w14:paraId="4D4E7C73" w14:textId="77777777" w:rsidR="00CA2FDD" w:rsidRPr="00CA2FDD" w:rsidRDefault="00CA2FDD" w:rsidP="00CA2FDD">
      <w:pPr>
        <w:numPr>
          <w:ilvl w:val="0"/>
          <w:numId w:val="2"/>
        </w:numPr>
        <w:rPr>
          <w:lang w:val="en-GB"/>
        </w:rPr>
      </w:pPr>
      <w:r w:rsidRPr="00CA2FDD">
        <w:rPr>
          <w:lang w:val="en-GB"/>
        </w:rPr>
        <w:t>The World Bank’s Regional Gender Innovation Labs have conducted research on how to help governments and companies narrow these gender gaps.</w:t>
      </w:r>
    </w:p>
    <w:p w14:paraId="57091A1F" w14:textId="77777777" w:rsidR="00CA2FDD" w:rsidRPr="00CA2FDD" w:rsidRDefault="00CA2FDD" w:rsidP="00CA2FDD">
      <w:pPr>
        <w:numPr>
          <w:ilvl w:val="0"/>
          <w:numId w:val="2"/>
        </w:numPr>
        <w:rPr>
          <w:lang w:val="en-GB"/>
        </w:rPr>
      </w:pPr>
      <w:r w:rsidRPr="00CA2FDD">
        <w:rPr>
          <w:lang w:val="en-GB"/>
        </w:rPr>
        <w:t>They found women in Latin America and Africa have been disproportionately impacted.</w:t>
      </w:r>
    </w:p>
    <w:p w14:paraId="133C0902" w14:textId="77777777" w:rsidR="00CA2FDD" w:rsidRPr="00CA2FDD" w:rsidRDefault="00CA2FDD" w:rsidP="00CA2FDD">
      <w:pPr>
        <w:numPr>
          <w:ilvl w:val="0"/>
          <w:numId w:val="2"/>
        </w:numPr>
        <w:rPr>
          <w:lang w:val="en-GB"/>
        </w:rPr>
      </w:pPr>
      <w:r w:rsidRPr="00CA2FDD">
        <w:rPr>
          <w:lang w:val="en-GB"/>
        </w:rPr>
        <w:t>Here are their findings and recommendations on how to bridge the gender equality gap and improve employment rates for women.</w:t>
      </w:r>
    </w:p>
    <w:p w14:paraId="01323ADE" w14:textId="77777777" w:rsidR="00CA2FDD" w:rsidRPr="00CA2FDD" w:rsidRDefault="00CA2FDD" w:rsidP="00CA2FDD">
      <w:pPr>
        <w:rPr>
          <w:lang w:val="en-GB"/>
        </w:rPr>
      </w:pPr>
      <w:r w:rsidRPr="00CA2FDD">
        <w:rPr>
          <w:lang w:val="en-GB"/>
        </w:rPr>
        <w:lastRenderedPageBreak/>
        <w:t>At the outbreak of the COVID-19 pandemic, experts were quick to warn us about the disproportionate impact the crisis would have on socially excluded groups, such as women. The urgent need to respond to the health crisis was undeniable, but at the same time,</w:t>
      </w:r>
      <w:hyperlink r:id="rId10" w:tgtFrame="_blank" w:history="1">
        <w:r w:rsidRPr="00CA2FDD">
          <w:rPr>
            <w:rStyle w:val="Hipervnculo"/>
            <w:lang w:val="en-GB"/>
          </w:rPr>
          <w:t> understanding the differentiated effects of the pandemic on excluded groups would be key to enable the design of inclusive and resilient recovery efforts </w:t>
        </w:r>
      </w:hyperlink>
      <w:r w:rsidRPr="00CA2FDD">
        <w:rPr>
          <w:lang w:val="en-GB"/>
        </w:rPr>
        <w:t>. Yet, social distancing measures created new challenges for those seeking to gather evidence on such impacts. We needed innovative approaches to collect data and we needed them fast.</w:t>
      </w:r>
    </w:p>
    <w:p w14:paraId="7F08FF68" w14:textId="77777777" w:rsidR="00CA2FDD" w:rsidRPr="00CA2FDD" w:rsidRDefault="00CA2FDD" w:rsidP="00CA2FDD">
      <w:pPr>
        <w:rPr>
          <w:lang w:val="en-GB"/>
        </w:rPr>
      </w:pPr>
      <w:r w:rsidRPr="00CA2FDD">
        <w:rPr>
          <w:lang w:val="en-GB"/>
        </w:rPr>
        <w:t>The World Bank’s Regional Gender Innovation Labs (GILs) were well placed to respond to this urgent need for evidence. By 2020, the GILS had established themselves as cutting-edge producers of evidence on what works to narrow gender gaps. With the support of the </w:t>
      </w:r>
      <w:hyperlink r:id="rId11" w:tgtFrame="_blank" w:history="1">
        <w:r w:rsidRPr="00CA2FDD">
          <w:rPr>
            <w:rStyle w:val="Hipervnculo"/>
            <w:lang w:val="en-GB"/>
          </w:rPr>
          <w:t>Umbrella Facility for Gender Equality (UFGE)</w:t>
        </w:r>
      </w:hyperlink>
      <w:r w:rsidRPr="00CA2FDD">
        <w:rPr>
          <w:lang w:val="en-GB"/>
        </w:rPr>
        <w:t>, GILs had leveraged this knowledge to help governments and companies across regions close gaps between women and men in a number of key areas, including access to better jobs.</w:t>
      </w:r>
    </w:p>
    <w:p w14:paraId="173B31CB" w14:textId="77777777" w:rsidR="00CA2FDD" w:rsidRPr="00CA2FDD" w:rsidRDefault="00CA2FDD" w:rsidP="00CA2FDD">
      <w:pPr>
        <w:rPr>
          <w:lang w:val="en-GB"/>
        </w:rPr>
      </w:pPr>
      <w:r w:rsidRPr="00CA2FDD">
        <w:rPr>
          <w:lang w:val="en-GB"/>
        </w:rPr>
        <w:t>At the outset of the pandemic, GILs were quick to seize on existing country engagements and strong local partnerships to gather evidence on the socio-economic impacts of the crisis on women, incorporating high-frequency telephone surveys, online surveys, and other new data collection methods in their ongoing engagements. They used this evidence to produce contextualized policy recommendations. Below are some of their key findings:</w:t>
      </w:r>
    </w:p>
    <w:p w14:paraId="2BFF0470" w14:textId="77777777" w:rsidR="00CA2FDD" w:rsidRPr="00CA2FDD" w:rsidRDefault="00CA2FDD" w:rsidP="00CA2FDD">
      <w:pPr>
        <w:rPr>
          <w:b/>
          <w:bCs/>
          <w:lang w:val="en-GB"/>
        </w:rPr>
      </w:pPr>
      <w:r w:rsidRPr="00CA2FDD">
        <w:rPr>
          <w:b/>
          <w:bCs/>
          <w:lang w:val="en-GB"/>
        </w:rPr>
        <w:t>Women have been more likely to lose their jobs</w:t>
      </w:r>
    </w:p>
    <w:p w14:paraId="715A157A" w14:textId="77777777" w:rsidR="00CA2FDD" w:rsidRPr="00CA2FDD" w:rsidRDefault="00CA2FDD" w:rsidP="00CA2FDD">
      <w:pPr>
        <w:rPr>
          <w:lang w:val="en-GB"/>
        </w:rPr>
      </w:pPr>
      <w:r w:rsidRPr="00CA2FDD">
        <w:rPr>
          <w:lang w:val="en-GB"/>
        </w:rPr>
        <w:t>The </w:t>
      </w:r>
      <w:hyperlink r:id="rId12" w:tgtFrame="_blank" w:history="1">
        <w:r w:rsidRPr="00CA2FDD">
          <w:rPr>
            <w:rStyle w:val="Hipervnculo"/>
            <w:lang w:val="en-GB"/>
          </w:rPr>
          <w:t>Gender Innovation Lab for Latin America and the Caribbean (LACGIL)</w:t>
        </w:r>
      </w:hyperlink>
      <w:r w:rsidRPr="00CA2FDD">
        <w:rPr>
          <w:lang w:val="en-GB"/>
        </w:rPr>
        <w:t> </w:t>
      </w:r>
      <w:proofErr w:type="spellStart"/>
      <w:r w:rsidRPr="00CA2FDD">
        <w:rPr>
          <w:lang w:val="en-GB"/>
        </w:rPr>
        <w:t>analyzed</w:t>
      </w:r>
      <w:proofErr w:type="spellEnd"/>
      <w:r w:rsidRPr="00CA2FDD">
        <w:rPr>
          <w:lang w:val="en-GB"/>
        </w:rPr>
        <w:t xml:space="preserve"> three sets of </w:t>
      </w:r>
      <w:hyperlink r:id="rId13" w:tgtFrame="_blank" w:history="1">
        <w:r w:rsidRPr="00CA2FDD">
          <w:rPr>
            <w:rStyle w:val="Hipervnculo"/>
            <w:lang w:val="en-GB"/>
          </w:rPr>
          <w:t>High-frequency phone surveys</w:t>
        </w:r>
      </w:hyperlink>
      <w:r w:rsidRPr="00CA2FDD">
        <w:rPr>
          <w:lang w:val="en-GB"/>
        </w:rPr>
        <w:t> to study the economic impacts of COVID-19 on women from </w:t>
      </w:r>
      <w:hyperlink r:id="rId14" w:tgtFrame="_blank" w:history="1">
        <w:r w:rsidRPr="00CA2FDD">
          <w:rPr>
            <w:rStyle w:val="Hipervnculo"/>
            <w:lang w:val="en-GB"/>
          </w:rPr>
          <w:t>13 Latin-American countries</w:t>
        </w:r>
      </w:hyperlink>
      <w:r w:rsidRPr="00CA2FDD">
        <w:rPr>
          <w:lang w:val="en-GB"/>
        </w:rPr>
        <w:t>. Their findings revealed that women in LAC were disproportionately burdened by job loss during the pandemic. </w:t>
      </w:r>
      <w:hyperlink r:id="rId15" w:tgtFrame="_blank" w:history="1">
        <w:r w:rsidRPr="00CA2FDD">
          <w:rPr>
            <w:rStyle w:val="Hipervnculo"/>
            <w:lang w:val="en-GB"/>
          </w:rPr>
          <w:t>Surveys conducted in May 2020 showed that female workers were 44% more likely than male workers to have stopped working and 62% more likely to have lost their jobs. </w:t>
        </w:r>
      </w:hyperlink>
      <w:r w:rsidRPr="00CA2FDD">
        <w:rPr>
          <w:lang w:val="en-GB"/>
        </w:rPr>
        <w:t>As the months passed, differences in work stoppage rates between women and men decreased by only two percentage points, going from 17 percentage points in May 2020 to 15 percentage points in August 2020. Further permanent job loss remained almost stagnant and by August 2020, almost 1 out of 5 women participating in the survey remained unemployed.</w:t>
      </w:r>
    </w:p>
    <w:p w14:paraId="27F6CC87" w14:textId="77777777" w:rsidR="00CA2FDD" w:rsidRPr="00CA2FDD" w:rsidRDefault="00CA2FDD" w:rsidP="00CA2FDD">
      <w:pPr>
        <w:rPr>
          <w:b/>
          <w:bCs/>
          <w:lang w:val="en-GB"/>
        </w:rPr>
      </w:pPr>
      <w:r w:rsidRPr="00CA2FDD">
        <w:rPr>
          <w:b/>
          <w:bCs/>
          <w:lang w:val="en-GB"/>
        </w:rPr>
        <w:t>Figure: female workers are more likely than male workers to face temporary and permanent job losses in Latin America</w:t>
      </w:r>
    </w:p>
    <w:p w14:paraId="42111D67" w14:textId="234853B5" w:rsidR="00CA2FDD" w:rsidRPr="00CA2FDD" w:rsidRDefault="00CA2FDD" w:rsidP="00CA2FDD">
      <w:r w:rsidRPr="00CA2FDD">
        <w:rPr>
          <w:noProof/>
        </w:rPr>
        <w:lastRenderedPageBreak/>
        <w:drawing>
          <wp:inline distT="0" distB="0" distL="0" distR="0" wp14:anchorId="549128EA" wp14:editId="79BB58BD">
            <wp:extent cx="5400040" cy="3584575"/>
            <wp:effectExtent l="0" t="0" r="0" b="0"/>
            <wp:docPr id="1" name="Imagen 1" descr="female workers are more likely than male workers to face temporary and permanent job losses in Latin Americ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emale workers are more likely than male workers to face temporary and permanent job losses in Latin America">
                      <a:hlinkClick r:id="rId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3584575"/>
                    </a:xfrm>
                    <a:prstGeom prst="rect">
                      <a:avLst/>
                    </a:prstGeom>
                    <a:noFill/>
                    <a:ln>
                      <a:noFill/>
                    </a:ln>
                  </pic:spPr>
                </pic:pic>
              </a:graphicData>
            </a:graphic>
          </wp:inline>
        </w:drawing>
      </w:r>
    </w:p>
    <w:p w14:paraId="25A1C166" w14:textId="77777777" w:rsidR="00CA2FDD" w:rsidRPr="00CA2FDD" w:rsidRDefault="00CA2FDD" w:rsidP="00CA2FDD">
      <w:pPr>
        <w:rPr>
          <w:lang w:val="en-GB"/>
        </w:rPr>
      </w:pPr>
      <w:r w:rsidRPr="00CA2FDD">
        <w:rPr>
          <w:lang w:val="en-GB"/>
        </w:rPr>
        <w:t>Women in Latin America have been disproportionately burdened by job loss during the pandemic.</w:t>
      </w:r>
    </w:p>
    <w:p w14:paraId="49853CBF" w14:textId="77777777" w:rsidR="00CA2FDD" w:rsidRPr="00CA2FDD" w:rsidRDefault="00CA2FDD" w:rsidP="00CA2FDD">
      <w:pPr>
        <w:rPr>
          <w:lang w:val="en-GB"/>
        </w:rPr>
      </w:pPr>
      <w:r w:rsidRPr="00CA2FDD">
        <w:rPr>
          <w:lang w:val="en-GB"/>
        </w:rPr>
        <w:t>Image: World Bank</w:t>
      </w:r>
    </w:p>
    <w:p w14:paraId="17784B4C" w14:textId="77777777" w:rsidR="00CA2FDD" w:rsidRPr="00CA2FDD" w:rsidRDefault="00CA2FDD" w:rsidP="00CA2FDD">
      <w:pPr>
        <w:rPr>
          <w:b/>
          <w:bCs/>
          <w:lang w:val="en-GB"/>
        </w:rPr>
      </w:pPr>
      <w:r w:rsidRPr="00CA2FDD">
        <w:rPr>
          <w:b/>
          <w:bCs/>
          <w:lang w:val="en-GB"/>
        </w:rPr>
        <w:t>Sectors that employ a higher share of women have been more affected</w:t>
      </w:r>
    </w:p>
    <w:p w14:paraId="7CED6943" w14:textId="77777777" w:rsidR="00CA2FDD" w:rsidRPr="00CA2FDD" w:rsidRDefault="00CA2FDD" w:rsidP="00CA2FDD">
      <w:pPr>
        <w:rPr>
          <w:lang w:val="en-GB"/>
        </w:rPr>
      </w:pPr>
      <w:r w:rsidRPr="00CA2FDD">
        <w:rPr>
          <w:lang w:val="en-GB"/>
        </w:rPr>
        <w:t>In Pakistan, </w:t>
      </w:r>
      <w:hyperlink r:id="rId17" w:tgtFrame="_blank" w:history="1">
        <w:r w:rsidRPr="00CA2FDD">
          <w:rPr>
            <w:rStyle w:val="Hipervnculo"/>
            <w:lang w:val="en-GB"/>
          </w:rPr>
          <w:t>South Asia Gender Innovation Lab (SAR GIL)</w:t>
        </w:r>
      </w:hyperlink>
      <w:r w:rsidRPr="00CA2FDD">
        <w:rPr>
          <w:lang w:val="en-GB"/>
        </w:rPr>
        <w:t> collected </w:t>
      </w:r>
      <w:hyperlink r:id="rId18" w:tgtFrame="_blank" w:history="1">
        <w:r w:rsidRPr="00CA2FDD">
          <w:rPr>
            <w:rStyle w:val="Hipervnculo"/>
            <w:lang w:val="en-GB"/>
          </w:rPr>
          <w:t>data </w:t>
        </w:r>
      </w:hyperlink>
      <w:r w:rsidRPr="00CA2FDD">
        <w:rPr>
          <w:lang w:val="en-GB"/>
        </w:rPr>
        <w:t xml:space="preserve">from the Rozee.pk online job portal, the largest job portal in the country. The data showed that while there was a significant overall fall in job postings, the decrease was particularly marked in female dominated sectors. By April 2020, job postings in manufacturing, education, </w:t>
      </w:r>
      <w:proofErr w:type="gramStart"/>
      <w:r w:rsidRPr="00CA2FDD">
        <w:rPr>
          <w:lang w:val="en-GB"/>
        </w:rPr>
        <w:t>health</w:t>
      </w:r>
      <w:proofErr w:type="gramEnd"/>
      <w:r w:rsidRPr="00CA2FDD">
        <w:rPr>
          <w:lang w:val="en-GB"/>
        </w:rPr>
        <w:t xml:space="preserve"> and professional services dropped to 24% of the previous year’s level. Meanwhile, traditionally male dominated industries were more resilient. For instance, job postings in the ICT sector dropped to a more modest 38% of its previous level. Similarly, high-frequency phone surveys conducted by LAC GIL showed that 56% of job losses in the region concentrated in four of the five sectors that employ the highest share of women: trade, personal services, education, and hotels and restaurants. Prior to the crisis, 60% of employees in these sectors were women.</w:t>
      </w:r>
    </w:p>
    <w:p w14:paraId="3AEC3A8F" w14:textId="77777777" w:rsidR="00CA2FDD" w:rsidRPr="00CA2FDD" w:rsidRDefault="00CA2FDD" w:rsidP="00CA2FDD">
      <w:pPr>
        <w:rPr>
          <w:b/>
          <w:bCs/>
          <w:lang w:val="en-GB"/>
        </w:rPr>
      </w:pPr>
      <w:r w:rsidRPr="00CA2FDD">
        <w:rPr>
          <w:b/>
          <w:bCs/>
          <w:lang w:val="en-GB"/>
        </w:rPr>
        <w:t>Female-owned businesses have been hit the hardest</w:t>
      </w:r>
    </w:p>
    <w:p w14:paraId="138F464F" w14:textId="77777777" w:rsidR="00CA2FDD" w:rsidRPr="00CA2FDD" w:rsidRDefault="00CA2FDD" w:rsidP="00CA2FDD">
      <w:pPr>
        <w:rPr>
          <w:lang w:val="en-GB"/>
        </w:rPr>
      </w:pPr>
      <w:r w:rsidRPr="00CA2FDD">
        <w:rPr>
          <w:lang w:val="en-GB"/>
        </w:rPr>
        <w:t>The </w:t>
      </w:r>
      <w:hyperlink r:id="rId19" w:tgtFrame="_blank" w:history="1">
        <w:r w:rsidRPr="00CA2FDD">
          <w:rPr>
            <w:rStyle w:val="Hipervnculo"/>
            <w:lang w:val="en-GB"/>
          </w:rPr>
          <w:t>Africa Gender Innovation lab (AFR GIL)</w:t>
        </w:r>
      </w:hyperlink>
      <w:r w:rsidRPr="00CA2FDD">
        <w:rPr>
          <w:lang w:val="en-GB"/>
        </w:rPr>
        <w:t xml:space="preserve"> partnered with Facebook and OECD to conduct a global survey among approximately 25,000 businesses with established Facebook Business Pages in over 50 countries. The survey revealed differences in the rate of closures between female and </w:t>
      </w:r>
      <w:proofErr w:type="gramStart"/>
      <w:r w:rsidRPr="00CA2FDD">
        <w:rPr>
          <w:lang w:val="en-GB"/>
        </w:rPr>
        <w:t>male-owned</w:t>
      </w:r>
      <w:proofErr w:type="gramEnd"/>
      <w:r w:rsidRPr="00CA2FDD">
        <w:rPr>
          <w:lang w:val="en-GB"/>
        </w:rPr>
        <w:t xml:space="preserve"> MSMEs in countries like Nigeria, Ghana, Kenya and South Africa. For example, in Nigeria, the </w:t>
      </w:r>
      <w:hyperlink r:id="rId20" w:tgtFrame="_blank" w:history="1">
        <w:r w:rsidRPr="00CA2FDD">
          <w:rPr>
            <w:rStyle w:val="Hipervnculo"/>
            <w:lang w:val="en-GB"/>
          </w:rPr>
          <w:t>survey</w:t>
        </w:r>
      </w:hyperlink>
      <w:r w:rsidRPr="00CA2FDD">
        <w:rPr>
          <w:lang w:val="en-GB"/>
        </w:rPr>
        <w:t> found that by June 2020, 44% of surveyed female-owned and 33% of male-owned businesses had closed due to the COVID-19 pandemic, equivalent to a 11 percentage point gender gap in business closures. In Ethiopia, the GIL conducted a real-time </w:t>
      </w:r>
      <w:hyperlink r:id="rId21" w:tgtFrame="_blank" w:history="1">
        <w:r w:rsidRPr="00CA2FDD">
          <w:rPr>
            <w:rStyle w:val="Hipervnculo"/>
            <w:lang w:val="en-GB"/>
          </w:rPr>
          <w:t>survey</w:t>
        </w:r>
      </w:hyperlink>
      <w:r w:rsidRPr="00CA2FDD">
        <w:rPr>
          <w:lang w:val="en-GB"/>
        </w:rPr>
        <w:t> which revealed that participating female-owned business experienced a reduction of about 50% in sales and profits.</w:t>
      </w:r>
    </w:p>
    <w:p w14:paraId="7A890DAD" w14:textId="77777777" w:rsidR="00CA2FDD" w:rsidRPr="00CA2FDD" w:rsidRDefault="00CA2FDD" w:rsidP="00CA2FDD">
      <w:pPr>
        <w:rPr>
          <w:b/>
          <w:bCs/>
          <w:lang w:val="en-GB"/>
        </w:rPr>
      </w:pPr>
      <w:r w:rsidRPr="00CA2FDD">
        <w:rPr>
          <w:b/>
          <w:bCs/>
          <w:lang w:val="en-GB"/>
        </w:rPr>
        <w:t>Employment aspirations among adolescent girls and boys have diminished</w:t>
      </w:r>
    </w:p>
    <w:p w14:paraId="76DEA2E6" w14:textId="77777777" w:rsidR="00CA2FDD" w:rsidRPr="00CA2FDD" w:rsidRDefault="00CA2FDD" w:rsidP="00CA2FDD">
      <w:pPr>
        <w:rPr>
          <w:lang w:val="en-GB"/>
        </w:rPr>
      </w:pPr>
      <w:r w:rsidRPr="00CA2FDD">
        <w:rPr>
          <w:lang w:val="en-GB"/>
        </w:rPr>
        <w:br/>
        <w:t>In Bangladesh, a </w:t>
      </w:r>
      <w:hyperlink r:id="rId22" w:tgtFrame="_blank" w:history="1">
        <w:r w:rsidRPr="00CA2FDD">
          <w:rPr>
            <w:rStyle w:val="Hipervnculo"/>
            <w:lang w:val="en-GB"/>
          </w:rPr>
          <w:t>survey conducted by SAR GIL with GAGE</w:t>
        </w:r>
      </w:hyperlink>
      <w:r w:rsidRPr="00CA2FDD">
        <w:rPr>
          <w:lang w:val="en-GB"/>
        </w:rPr>
        <w:t> found that </w:t>
      </w:r>
      <w:hyperlink r:id="rId23" w:tgtFrame="_blank" w:history="1">
        <w:r w:rsidRPr="00CA2FDD">
          <w:rPr>
            <w:rStyle w:val="Hipervnculo"/>
            <w:lang w:val="en-GB"/>
          </w:rPr>
          <w:t>job loss, reductions in household income and decreased investment in education have affected the well-being and job aspirations of adolescents </w:t>
        </w:r>
      </w:hyperlink>
      <w:r w:rsidRPr="00CA2FDD">
        <w:rPr>
          <w:lang w:val="en-GB"/>
        </w:rPr>
        <w:t>. Computer-assisted telephone interviews conducted with over 2,000 adolescents between May and June 2020 revealed that more than half (53%) disagreed with the statement that “nothing would interfere with their job aspirations”. Impacts on job aspirations varied according to household vulnerability status and sex. For example, 34% of adolescent girls believed financial constraints would interfere with their job aspirations, compared to 28% of adolescent boys. Differences in job aspirations in turn influence adolescent decisions to seek out employment and can contribute to widening differences in employment outcomes between young women and men after the pandemic.</w:t>
      </w:r>
    </w:p>
    <w:p w14:paraId="561C57E6" w14:textId="77777777" w:rsidR="00CA2FDD" w:rsidRPr="00CA2FDD" w:rsidRDefault="00CA2FDD" w:rsidP="00CA2FDD">
      <w:pPr>
        <w:rPr>
          <w:b/>
          <w:bCs/>
          <w:lang w:val="en-GB"/>
        </w:rPr>
      </w:pPr>
      <w:r w:rsidRPr="00CA2FDD">
        <w:rPr>
          <w:b/>
          <w:bCs/>
          <w:lang w:val="en-GB"/>
        </w:rPr>
        <w:t>Going forward</w:t>
      </w:r>
    </w:p>
    <w:p w14:paraId="1865069F" w14:textId="77777777" w:rsidR="00CA2FDD" w:rsidRPr="00CA2FDD" w:rsidRDefault="00CA2FDD" w:rsidP="00CA2FDD">
      <w:pPr>
        <w:rPr>
          <w:lang w:val="en-GB"/>
        </w:rPr>
      </w:pPr>
      <w:r w:rsidRPr="00CA2FDD">
        <w:rPr>
          <w:lang w:val="en-GB"/>
        </w:rPr>
        <w:br/>
        <w:t>Based on these findings, GILs have developed policy recommendations adapted to regional and country-level recovery efforts. In Pakistan, SAR GIL </w:t>
      </w:r>
      <w:hyperlink r:id="rId24" w:tgtFrame="_blank" w:history="1">
        <w:r w:rsidRPr="00CA2FDD">
          <w:rPr>
            <w:rStyle w:val="Hipervnculo"/>
            <w:lang w:val="en-GB"/>
          </w:rPr>
          <w:t>recommends</w:t>
        </w:r>
      </w:hyperlink>
      <w:r w:rsidRPr="00CA2FDD">
        <w:rPr>
          <w:lang w:val="en-GB"/>
        </w:rPr>
        <w:t> social safety nets and support services targeted at women who were previously employed in sectors that suffered the largest declines in employment. AFR GIL </w:t>
      </w:r>
      <w:hyperlink r:id="rId25" w:tgtFrame="_blank" w:history="1">
        <w:r w:rsidRPr="00CA2FDD">
          <w:rPr>
            <w:rStyle w:val="Hipervnculo"/>
            <w:lang w:val="en-GB"/>
          </w:rPr>
          <w:t>recommends</w:t>
        </w:r>
      </w:hyperlink>
      <w:r w:rsidRPr="00CA2FDD">
        <w:rPr>
          <w:lang w:val="en-GB"/>
        </w:rPr>
        <w:t> measures to help buffer female-owned businesses against the effects of COVID-19, such as enabling women’s access to lines of credit.</w:t>
      </w:r>
    </w:p>
    <w:p w14:paraId="76BBC319" w14:textId="77777777" w:rsidR="00CA2FDD" w:rsidRPr="00CA2FDD" w:rsidRDefault="00CA2FDD" w:rsidP="00CA2FDD">
      <w:pPr>
        <w:rPr>
          <w:b/>
          <w:bCs/>
          <w:lang w:val="en-GB"/>
        </w:rPr>
      </w:pPr>
      <w:r w:rsidRPr="00CA2FDD">
        <w:rPr>
          <w:b/>
          <w:bCs/>
          <w:lang w:val="en-GB"/>
        </w:rPr>
        <w:t>What's the World Economic Forum doing about the gender gap?</w:t>
      </w:r>
    </w:p>
    <w:p w14:paraId="6CDF432C" w14:textId="77777777" w:rsidR="00CA2FDD" w:rsidRPr="00CA2FDD" w:rsidRDefault="00CA2FDD" w:rsidP="00CA2FDD">
      <w:pPr>
        <w:rPr>
          <w:lang w:val="en-GB"/>
        </w:rPr>
      </w:pPr>
      <w:r w:rsidRPr="00CA2FDD">
        <w:rPr>
          <w:lang w:val="en-GB"/>
        </w:rPr>
        <w:t>Evidence and recommendations from early policy briefs have already influenced the design of several World Bank projects. For example, data on the impact of the crisis on female-owned businesses in Ethiopia </w:t>
      </w:r>
      <w:hyperlink r:id="rId26" w:tgtFrame="_blank" w:history="1">
        <w:r w:rsidRPr="00CA2FDD">
          <w:rPr>
            <w:rStyle w:val="Hipervnculo"/>
            <w:lang w:val="en-GB"/>
          </w:rPr>
          <w:t>influenced</w:t>
        </w:r>
      </w:hyperlink>
      <w:r w:rsidRPr="00CA2FDD">
        <w:rPr>
          <w:lang w:val="en-GB"/>
        </w:rPr>
        <w:t> the design of the </w:t>
      </w:r>
      <w:hyperlink r:id="rId27" w:tgtFrame="_blank" w:history="1">
        <w:r w:rsidRPr="00CA2FDD">
          <w:rPr>
            <w:rStyle w:val="Hipervnculo"/>
            <w:lang w:val="en-GB"/>
          </w:rPr>
          <w:t>Women Entrepreneurship Development Project (WEDP II)</w:t>
        </w:r>
      </w:hyperlink>
      <w:r w:rsidRPr="00CA2FDD">
        <w:rPr>
          <w:lang w:val="en-GB"/>
        </w:rPr>
        <w:t>, which will provide a rescue package to women entrepreneurs and support new revenue-based credit products.</w:t>
      </w:r>
    </w:p>
    <w:p w14:paraId="4C20DDA7" w14:textId="77777777" w:rsidR="00CA2FDD" w:rsidRPr="00CA2FDD" w:rsidRDefault="00CA2FDD" w:rsidP="00CA2FDD">
      <w:pPr>
        <w:rPr>
          <w:lang w:val="en-GB"/>
        </w:rPr>
      </w:pPr>
      <w:r w:rsidRPr="00CA2FDD">
        <w:rPr>
          <w:lang w:val="en-GB"/>
        </w:rPr>
        <w:t>We expect that more recent evidence produced by LAC, </w:t>
      </w:r>
      <w:hyperlink r:id="rId28" w:tgtFrame="_blank" w:history="1">
        <w:r w:rsidRPr="00CA2FDD">
          <w:rPr>
            <w:rStyle w:val="Hipervnculo"/>
            <w:lang w:val="en-GB"/>
          </w:rPr>
          <w:t>EAP</w:t>
        </w:r>
      </w:hyperlink>
      <w:r w:rsidRPr="00CA2FDD">
        <w:rPr>
          <w:lang w:val="en-GB"/>
        </w:rPr>
        <w:t>, SAR AND </w:t>
      </w:r>
      <w:hyperlink r:id="rId29" w:tgtFrame="_blank" w:history="1">
        <w:r w:rsidRPr="00CA2FDD">
          <w:rPr>
            <w:rStyle w:val="Hipervnculo"/>
            <w:lang w:val="en-GB"/>
          </w:rPr>
          <w:t>Middle East and North Africa</w:t>
        </w:r>
      </w:hyperlink>
      <w:r w:rsidRPr="00CA2FDD">
        <w:rPr>
          <w:lang w:val="en-GB"/>
        </w:rPr>
        <w:t> </w:t>
      </w:r>
      <w:hyperlink r:id="rId30" w:tgtFrame="_blank" w:history="1">
        <w:r w:rsidRPr="00CA2FDD">
          <w:rPr>
            <w:rStyle w:val="Hipervnculo"/>
            <w:lang w:val="en-GB"/>
          </w:rPr>
          <w:t>(MNA)</w:t>
        </w:r>
      </w:hyperlink>
      <w:r w:rsidRPr="00CA2FDD">
        <w:rPr>
          <w:lang w:val="en-GB"/>
        </w:rPr>
        <w:t> GILs will continue to inform the design of World Bank operations to address the pandemic’s impacts on women’s employment.</w:t>
      </w:r>
    </w:p>
    <w:p w14:paraId="0C35EF3C" w14:textId="79834CBD" w:rsidR="00CA2FDD" w:rsidRDefault="00CA2FDD">
      <w:pPr>
        <w:rPr>
          <w:lang w:val="en-GB"/>
        </w:rPr>
      </w:pPr>
    </w:p>
    <w:p w14:paraId="3D23EAE4" w14:textId="77777777" w:rsidR="00CA2FDD" w:rsidRPr="00CA2FDD" w:rsidRDefault="00CA2FDD">
      <w:pPr>
        <w:rPr>
          <w:lang w:val="en-GB"/>
        </w:rPr>
      </w:pPr>
    </w:p>
    <w:sectPr w:rsidR="00CA2FDD" w:rsidRPr="00CA2F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76F92"/>
    <w:multiLevelType w:val="multilevel"/>
    <w:tmpl w:val="FAD6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6F3ADA"/>
    <w:multiLevelType w:val="multilevel"/>
    <w:tmpl w:val="E80E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AE7102"/>
    <w:multiLevelType w:val="multilevel"/>
    <w:tmpl w:val="5AD65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DD"/>
    <w:rsid w:val="00C331D2"/>
    <w:rsid w:val="00CA2FD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0414"/>
  <w15:chartTrackingRefBased/>
  <w15:docId w15:val="{5EA08C5E-0A23-4D53-9AE1-B6E1C583C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A2FDD"/>
    <w:rPr>
      <w:color w:val="0563C1" w:themeColor="hyperlink"/>
      <w:u w:val="single"/>
    </w:rPr>
  </w:style>
  <w:style w:type="character" w:styleId="Mencinsinresolver">
    <w:name w:val="Unresolved Mention"/>
    <w:basedOn w:val="Fuentedeprrafopredeter"/>
    <w:uiPriority w:val="99"/>
    <w:semiHidden/>
    <w:unhideWhenUsed/>
    <w:rsid w:val="00CA2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076242">
      <w:bodyDiv w:val="1"/>
      <w:marLeft w:val="0"/>
      <w:marRight w:val="0"/>
      <w:marTop w:val="0"/>
      <w:marBottom w:val="0"/>
      <w:divBdr>
        <w:top w:val="none" w:sz="0" w:space="0" w:color="auto"/>
        <w:left w:val="none" w:sz="0" w:space="0" w:color="auto"/>
        <w:bottom w:val="none" w:sz="0" w:space="0" w:color="auto"/>
        <w:right w:val="none" w:sz="0" w:space="0" w:color="auto"/>
      </w:divBdr>
      <w:divsChild>
        <w:div w:id="1502113461">
          <w:marLeft w:val="0"/>
          <w:marRight w:val="0"/>
          <w:marTop w:val="0"/>
          <w:marBottom w:val="0"/>
          <w:divBdr>
            <w:top w:val="none" w:sz="0" w:space="0" w:color="auto"/>
            <w:left w:val="none" w:sz="0" w:space="0" w:color="auto"/>
            <w:bottom w:val="none" w:sz="0" w:space="0" w:color="auto"/>
            <w:right w:val="none" w:sz="0" w:space="0" w:color="auto"/>
          </w:divBdr>
          <w:divsChild>
            <w:div w:id="513226144">
              <w:marLeft w:val="0"/>
              <w:marRight w:val="0"/>
              <w:marTop w:val="0"/>
              <w:marBottom w:val="0"/>
              <w:divBdr>
                <w:top w:val="none" w:sz="0" w:space="0" w:color="auto"/>
                <w:left w:val="none" w:sz="0" w:space="0" w:color="auto"/>
                <w:bottom w:val="none" w:sz="0" w:space="0" w:color="auto"/>
                <w:right w:val="none" w:sz="0" w:space="0" w:color="auto"/>
              </w:divBdr>
              <w:divsChild>
                <w:div w:id="1839147565">
                  <w:marLeft w:val="0"/>
                  <w:marRight w:val="0"/>
                  <w:marTop w:val="0"/>
                  <w:marBottom w:val="0"/>
                  <w:divBdr>
                    <w:top w:val="none" w:sz="0" w:space="0" w:color="auto"/>
                    <w:left w:val="none" w:sz="0" w:space="0" w:color="auto"/>
                    <w:bottom w:val="none" w:sz="0" w:space="0" w:color="auto"/>
                    <w:right w:val="none" w:sz="0" w:space="0" w:color="auto"/>
                  </w:divBdr>
                  <w:divsChild>
                    <w:div w:id="300308265">
                      <w:marLeft w:val="0"/>
                      <w:marRight w:val="0"/>
                      <w:marTop w:val="0"/>
                      <w:marBottom w:val="0"/>
                      <w:divBdr>
                        <w:top w:val="none" w:sz="0" w:space="0" w:color="auto"/>
                        <w:left w:val="none" w:sz="0" w:space="0" w:color="auto"/>
                        <w:bottom w:val="none" w:sz="0" w:space="0" w:color="auto"/>
                        <w:right w:val="none" w:sz="0" w:space="0" w:color="auto"/>
                      </w:divBdr>
                      <w:divsChild>
                        <w:div w:id="2085443570">
                          <w:marLeft w:val="0"/>
                          <w:marRight w:val="0"/>
                          <w:marTop w:val="0"/>
                          <w:marBottom w:val="0"/>
                          <w:divBdr>
                            <w:top w:val="none" w:sz="0" w:space="0" w:color="auto"/>
                            <w:left w:val="none" w:sz="0" w:space="0" w:color="auto"/>
                            <w:bottom w:val="none" w:sz="0" w:space="0" w:color="auto"/>
                            <w:right w:val="none" w:sz="0" w:space="0" w:color="auto"/>
                          </w:divBdr>
                        </w:div>
                        <w:div w:id="2048338145">
                          <w:marLeft w:val="0"/>
                          <w:marRight w:val="0"/>
                          <w:marTop w:val="108"/>
                          <w:marBottom w:val="0"/>
                          <w:divBdr>
                            <w:top w:val="none" w:sz="0" w:space="0" w:color="auto"/>
                            <w:left w:val="none" w:sz="0" w:space="0" w:color="auto"/>
                            <w:bottom w:val="none" w:sz="0" w:space="0" w:color="auto"/>
                            <w:right w:val="none" w:sz="0" w:space="0" w:color="auto"/>
                          </w:divBdr>
                        </w:div>
                        <w:div w:id="1571690585">
                          <w:marLeft w:val="0"/>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 w:id="1432773754">
          <w:marLeft w:val="0"/>
          <w:marRight w:val="0"/>
          <w:marTop w:val="0"/>
          <w:marBottom w:val="0"/>
          <w:divBdr>
            <w:top w:val="none" w:sz="0" w:space="0" w:color="auto"/>
            <w:left w:val="none" w:sz="0" w:space="0" w:color="auto"/>
            <w:bottom w:val="none" w:sz="0" w:space="0" w:color="auto"/>
            <w:right w:val="none" w:sz="0" w:space="0" w:color="auto"/>
          </w:divBdr>
          <w:divsChild>
            <w:div w:id="23334204">
              <w:marLeft w:val="0"/>
              <w:marRight w:val="0"/>
              <w:marTop w:val="0"/>
              <w:marBottom w:val="0"/>
              <w:divBdr>
                <w:top w:val="none" w:sz="0" w:space="0" w:color="auto"/>
                <w:left w:val="none" w:sz="0" w:space="0" w:color="auto"/>
                <w:bottom w:val="none" w:sz="0" w:space="0" w:color="auto"/>
                <w:right w:val="none" w:sz="0" w:space="0" w:color="auto"/>
              </w:divBdr>
              <w:divsChild>
                <w:div w:id="2134671332">
                  <w:marLeft w:val="0"/>
                  <w:marRight w:val="0"/>
                  <w:marTop w:val="0"/>
                  <w:marBottom w:val="600"/>
                  <w:divBdr>
                    <w:top w:val="none" w:sz="0" w:space="0" w:color="auto"/>
                    <w:left w:val="none" w:sz="0" w:space="0" w:color="auto"/>
                    <w:bottom w:val="none" w:sz="0" w:space="0" w:color="auto"/>
                    <w:right w:val="none" w:sz="0" w:space="0" w:color="auto"/>
                  </w:divBdr>
                  <w:divsChild>
                    <w:div w:id="765341686">
                      <w:marLeft w:val="0"/>
                      <w:marRight w:val="0"/>
                      <w:marTop w:val="0"/>
                      <w:marBottom w:val="0"/>
                      <w:divBdr>
                        <w:top w:val="none" w:sz="0" w:space="0" w:color="auto"/>
                        <w:left w:val="none" w:sz="0" w:space="0" w:color="auto"/>
                        <w:bottom w:val="none" w:sz="0" w:space="0" w:color="auto"/>
                        <w:right w:val="none" w:sz="0" w:space="0" w:color="auto"/>
                      </w:divBdr>
                    </w:div>
                    <w:div w:id="431241393">
                      <w:marLeft w:val="0"/>
                      <w:marRight w:val="0"/>
                      <w:marTop w:val="214"/>
                      <w:marBottom w:val="214"/>
                      <w:divBdr>
                        <w:top w:val="none" w:sz="0" w:space="0" w:color="auto"/>
                        <w:left w:val="none" w:sz="0" w:space="0" w:color="auto"/>
                        <w:bottom w:val="none" w:sz="0" w:space="0" w:color="auto"/>
                        <w:right w:val="none" w:sz="0" w:space="0" w:color="auto"/>
                      </w:divBdr>
                    </w:div>
                    <w:div w:id="1836411487">
                      <w:marLeft w:val="0"/>
                      <w:marRight w:val="0"/>
                      <w:marTop w:val="0"/>
                      <w:marBottom w:val="0"/>
                      <w:divBdr>
                        <w:top w:val="none" w:sz="0" w:space="0" w:color="auto"/>
                        <w:left w:val="none" w:sz="0" w:space="0" w:color="auto"/>
                        <w:bottom w:val="none" w:sz="0" w:space="0" w:color="auto"/>
                        <w:right w:val="none" w:sz="0" w:space="0" w:color="auto"/>
                      </w:divBdr>
                    </w:div>
                    <w:div w:id="1199702188">
                      <w:marLeft w:val="0"/>
                      <w:marRight w:val="0"/>
                      <w:marTop w:val="0"/>
                      <w:marBottom w:val="0"/>
                      <w:divBdr>
                        <w:top w:val="single" w:sz="6" w:space="9" w:color="D5E0E8"/>
                        <w:left w:val="none" w:sz="0" w:space="0" w:color="auto"/>
                        <w:bottom w:val="none" w:sz="0" w:space="0" w:color="auto"/>
                        <w:right w:val="none" w:sz="0" w:space="0" w:color="auto"/>
                      </w:divBdr>
                      <w:divsChild>
                        <w:div w:id="1765343934">
                          <w:marLeft w:val="0"/>
                          <w:marRight w:val="0"/>
                          <w:marTop w:val="0"/>
                          <w:marBottom w:val="0"/>
                          <w:divBdr>
                            <w:top w:val="none" w:sz="0" w:space="0" w:color="auto"/>
                            <w:left w:val="none" w:sz="0" w:space="0" w:color="auto"/>
                            <w:bottom w:val="none" w:sz="0" w:space="0" w:color="auto"/>
                            <w:right w:val="none" w:sz="0" w:space="0" w:color="auto"/>
                          </w:divBdr>
                        </w:div>
                      </w:divsChild>
                    </w:div>
                    <w:div w:id="1225066150">
                      <w:marLeft w:val="0"/>
                      <w:marRight w:val="0"/>
                      <w:marTop w:val="0"/>
                      <w:marBottom w:val="0"/>
                      <w:divBdr>
                        <w:top w:val="none" w:sz="0" w:space="0" w:color="auto"/>
                        <w:left w:val="none" w:sz="0" w:space="0" w:color="auto"/>
                        <w:bottom w:val="none" w:sz="0" w:space="0" w:color="auto"/>
                        <w:right w:val="none" w:sz="0" w:space="0" w:color="auto"/>
                      </w:divBdr>
                      <w:divsChild>
                        <w:div w:id="1694334687">
                          <w:marLeft w:val="0"/>
                          <w:marRight w:val="0"/>
                          <w:marTop w:val="0"/>
                          <w:marBottom w:val="0"/>
                          <w:divBdr>
                            <w:top w:val="single" w:sz="18" w:space="2" w:color="auto"/>
                            <w:left w:val="none" w:sz="0" w:space="0" w:color="auto"/>
                            <w:bottom w:val="single" w:sz="6" w:space="5" w:color="D5E0E8"/>
                            <w:right w:val="none" w:sz="0" w:space="0" w:color="auto"/>
                          </w:divBdr>
                          <w:divsChild>
                            <w:div w:id="1377971019">
                              <w:marLeft w:val="0"/>
                              <w:marRight w:val="0"/>
                              <w:marTop w:val="0"/>
                              <w:marBottom w:val="0"/>
                              <w:divBdr>
                                <w:top w:val="none" w:sz="0" w:space="0" w:color="auto"/>
                                <w:left w:val="none" w:sz="0" w:space="0" w:color="auto"/>
                                <w:bottom w:val="none" w:sz="0" w:space="0" w:color="auto"/>
                                <w:right w:val="none" w:sz="0" w:space="0" w:color="auto"/>
                              </w:divBdr>
                            </w:div>
                          </w:divsChild>
                        </w:div>
                        <w:div w:id="1692608200">
                          <w:marLeft w:val="0"/>
                          <w:marRight w:val="0"/>
                          <w:marTop w:val="0"/>
                          <w:marBottom w:val="0"/>
                          <w:divBdr>
                            <w:top w:val="none" w:sz="0" w:space="0" w:color="auto"/>
                            <w:left w:val="none" w:sz="0" w:space="0" w:color="auto"/>
                            <w:bottom w:val="single" w:sz="6" w:space="0" w:color="D5E0E8"/>
                            <w:right w:val="none" w:sz="0" w:space="0" w:color="auto"/>
                          </w:divBdr>
                        </w:div>
                      </w:divsChild>
                    </w:div>
                    <w:div w:id="1575355255">
                      <w:marLeft w:val="0"/>
                      <w:marRight w:val="0"/>
                      <w:marTop w:val="0"/>
                      <w:marBottom w:val="0"/>
                      <w:divBdr>
                        <w:top w:val="none" w:sz="0" w:space="0" w:color="auto"/>
                        <w:left w:val="none" w:sz="0" w:space="0" w:color="auto"/>
                        <w:bottom w:val="none" w:sz="0" w:space="0" w:color="auto"/>
                        <w:right w:val="none" w:sz="0" w:space="0" w:color="auto"/>
                      </w:divBdr>
                      <w:divsChild>
                        <w:div w:id="1669284052">
                          <w:marLeft w:val="0"/>
                          <w:marRight w:val="0"/>
                          <w:marTop w:val="0"/>
                          <w:marBottom w:val="0"/>
                          <w:divBdr>
                            <w:top w:val="single" w:sz="18" w:space="2" w:color="auto"/>
                            <w:left w:val="none" w:sz="0" w:space="0" w:color="auto"/>
                            <w:bottom w:val="single" w:sz="6" w:space="5" w:color="D5E0E8"/>
                            <w:right w:val="none" w:sz="0" w:space="0" w:color="auto"/>
                          </w:divBdr>
                          <w:divsChild>
                            <w:div w:id="715353031">
                              <w:marLeft w:val="0"/>
                              <w:marRight w:val="0"/>
                              <w:marTop w:val="0"/>
                              <w:marBottom w:val="0"/>
                              <w:divBdr>
                                <w:top w:val="none" w:sz="0" w:space="0" w:color="auto"/>
                                <w:left w:val="none" w:sz="0" w:space="0" w:color="auto"/>
                                <w:bottom w:val="none" w:sz="0" w:space="0" w:color="auto"/>
                                <w:right w:val="none" w:sz="0" w:space="0" w:color="auto"/>
                              </w:divBdr>
                            </w:div>
                          </w:divsChild>
                        </w:div>
                        <w:div w:id="715011163">
                          <w:marLeft w:val="0"/>
                          <w:marRight w:val="0"/>
                          <w:marTop w:val="0"/>
                          <w:marBottom w:val="0"/>
                          <w:divBdr>
                            <w:top w:val="none" w:sz="0" w:space="0" w:color="auto"/>
                            <w:left w:val="none" w:sz="0" w:space="0" w:color="auto"/>
                            <w:bottom w:val="none" w:sz="0" w:space="0" w:color="auto"/>
                            <w:right w:val="none" w:sz="0" w:space="0" w:color="auto"/>
                          </w:divBdr>
                        </w:div>
                        <w:div w:id="533077193">
                          <w:marLeft w:val="0"/>
                          <w:marRight w:val="0"/>
                          <w:marTop w:val="0"/>
                          <w:marBottom w:val="0"/>
                          <w:divBdr>
                            <w:top w:val="none" w:sz="0" w:space="0" w:color="auto"/>
                            <w:left w:val="none" w:sz="0" w:space="0" w:color="auto"/>
                            <w:bottom w:val="single" w:sz="6" w:space="0" w:color="D5E0E8"/>
                            <w:right w:val="none" w:sz="0" w:space="0" w:color="auto"/>
                          </w:divBdr>
                        </w:div>
                      </w:divsChild>
                    </w:div>
                    <w:div w:id="1790010515">
                      <w:marLeft w:val="0"/>
                      <w:marRight w:val="0"/>
                      <w:marTop w:val="0"/>
                      <w:marBottom w:val="0"/>
                      <w:divBdr>
                        <w:top w:val="none" w:sz="0" w:space="0" w:color="auto"/>
                        <w:left w:val="none" w:sz="0" w:space="0" w:color="auto"/>
                        <w:bottom w:val="none" w:sz="0" w:space="0" w:color="auto"/>
                        <w:right w:val="none" w:sz="0" w:space="0" w:color="auto"/>
                      </w:divBdr>
                      <w:divsChild>
                        <w:div w:id="342779959">
                          <w:marLeft w:val="0"/>
                          <w:marRight w:val="0"/>
                          <w:marTop w:val="0"/>
                          <w:marBottom w:val="0"/>
                          <w:divBdr>
                            <w:top w:val="single" w:sz="18" w:space="2" w:color="auto"/>
                            <w:left w:val="none" w:sz="0" w:space="0" w:color="auto"/>
                            <w:bottom w:val="single" w:sz="6" w:space="5" w:color="D5E0E8"/>
                            <w:right w:val="none" w:sz="0" w:space="0" w:color="auto"/>
                          </w:divBdr>
                          <w:divsChild>
                            <w:div w:id="1771973736">
                              <w:marLeft w:val="0"/>
                              <w:marRight w:val="0"/>
                              <w:marTop w:val="0"/>
                              <w:marBottom w:val="0"/>
                              <w:divBdr>
                                <w:top w:val="none" w:sz="0" w:space="0" w:color="auto"/>
                                <w:left w:val="none" w:sz="0" w:space="0" w:color="auto"/>
                                <w:bottom w:val="none" w:sz="0" w:space="0" w:color="auto"/>
                                <w:right w:val="none" w:sz="0" w:space="0" w:color="auto"/>
                              </w:divBdr>
                            </w:div>
                          </w:divsChild>
                        </w:div>
                        <w:div w:id="835077057">
                          <w:marLeft w:val="0"/>
                          <w:marRight w:val="0"/>
                          <w:marTop w:val="0"/>
                          <w:marBottom w:val="0"/>
                          <w:divBdr>
                            <w:top w:val="none" w:sz="0" w:space="0" w:color="auto"/>
                            <w:left w:val="none" w:sz="0" w:space="0" w:color="auto"/>
                            <w:bottom w:val="none" w:sz="0" w:space="0" w:color="auto"/>
                            <w:right w:val="none" w:sz="0" w:space="0" w:color="auto"/>
                          </w:divBdr>
                        </w:div>
                        <w:div w:id="1401249077">
                          <w:marLeft w:val="0"/>
                          <w:marRight w:val="0"/>
                          <w:marTop w:val="0"/>
                          <w:marBottom w:val="0"/>
                          <w:divBdr>
                            <w:top w:val="none" w:sz="0" w:space="0" w:color="auto"/>
                            <w:left w:val="none" w:sz="0" w:space="0" w:color="auto"/>
                            <w:bottom w:val="single" w:sz="6" w:space="0" w:color="D5E0E8"/>
                            <w:right w:val="none" w:sz="0" w:space="0" w:color="auto"/>
                          </w:divBdr>
                        </w:div>
                      </w:divsChild>
                    </w:div>
                  </w:divsChild>
                </w:div>
              </w:divsChild>
            </w:div>
            <w:div w:id="1884437357">
              <w:marLeft w:val="0"/>
              <w:marRight w:val="0"/>
              <w:marTop w:val="0"/>
              <w:marBottom w:val="0"/>
              <w:divBdr>
                <w:top w:val="none" w:sz="0" w:space="0" w:color="auto"/>
                <w:left w:val="none" w:sz="0" w:space="0" w:color="auto"/>
                <w:bottom w:val="none" w:sz="0" w:space="0" w:color="auto"/>
                <w:right w:val="none" w:sz="0" w:space="0" w:color="auto"/>
              </w:divBdr>
              <w:divsChild>
                <w:div w:id="1291857329">
                  <w:marLeft w:val="0"/>
                  <w:marRight w:val="0"/>
                  <w:marTop w:val="0"/>
                  <w:marBottom w:val="498"/>
                  <w:divBdr>
                    <w:top w:val="none" w:sz="0" w:space="0" w:color="auto"/>
                    <w:left w:val="none" w:sz="0" w:space="0" w:color="auto"/>
                    <w:bottom w:val="none" w:sz="0" w:space="0" w:color="auto"/>
                    <w:right w:val="none" w:sz="0" w:space="0" w:color="auto"/>
                  </w:divBdr>
                  <w:divsChild>
                    <w:div w:id="192890763">
                      <w:marLeft w:val="0"/>
                      <w:marRight w:val="0"/>
                      <w:marTop w:val="0"/>
                      <w:marBottom w:val="0"/>
                      <w:divBdr>
                        <w:top w:val="none" w:sz="0" w:space="0" w:color="auto"/>
                        <w:left w:val="none" w:sz="0" w:space="0" w:color="auto"/>
                        <w:bottom w:val="none" w:sz="0" w:space="0" w:color="auto"/>
                        <w:right w:val="none" w:sz="0" w:space="0" w:color="auto"/>
                      </w:divBdr>
                    </w:div>
                    <w:div w:id="902830870">
                      <w:marLeft w:val="0"/>
                      <w:marRight w:val="0"/>
                      <w:marTop w:val="0"/>
                      <w:marBottom w:val="0"/>
                      <w:divBdr>
                        <w:top w:val="none" w:sz="0" w:space="0" w:color="auto"/>
                        <w:left w:val="none" w:sz="0" w:space="0" w:color="auto"/>
                        <w:bottom w:val="none" w:sz="0" w:space="0" w:color="auto"/>
                        <w:right w:val="none" w:sz="0" w:space="0" w:color="auto"/>
                      </w:divBdr>
                    </w:div>
                    <w:div w:id="998734583">
                      <w:marLeft w:val="0"/>
                      <w:marRight w:val="0"/>
                      <w:marTop w:val="0"/>
                      <w:marBottom w:val="0"/>
                      <w:divBdr>
                        <w:top w:val="none" w:sz="0" w:space="0" w:color="auto"/>
                        <w:left w:val="none" w:sz="0" w:space="0" w:color="auto"/>
                        <w:bottom w:val="none" w:sz="0" w:space="0" w:color="auto"/>
                        <w:right w:val="none" w:sz="0" w:space="0" w:color="auto"/>
                      </w:divBdr>
                    </w:div>
                    <w:div w:id="1983340288">
                      <w:marLeft w:val="0"/>
                      <w:marRight w:val="0"/>
                      <w:marTop w:val="0"/>
                      <w:marBottom w:val="0"/>
                      <w:divBdr>
                        <w:top w:val="none" w:sz="0" w:space="0" w:color="auto"/>
                        <w:left w:val="none" w:sz="0" w:space="0" w:color="auto"/>
                        <w:bottom w:val="none" w:sz="0" w:space="0" w:color="auto"/>
                        <w:right w:val="none" w:sz="0" w:space="0" w:color="auto"/>
                      </w:divBdr>
                    </w:div>
                    <w:div w:id="1623489064">
                      <w:marLeft w:val="0"/>
                      <w:marRight w:val="0"/>
                      <w:marTop w:val="240"/>
                      <w:marBottom w:val="0"/>
                      <w:divBdr>
                        <w:top w:val="none" w:sz="0" w:space="0" w:color="auto"/>
                        <w:left w:val="none" w:sz="0" w:space="0" w:color="auto"/>
                        <w:bottom w:val="none" w:sz="0" w:space="0" w:color="auto"/>
                        <w:right w:val="none" w:sz="0" w:space="0" w:color="auto"/>
                      </w:divBdr>
                    </w:div>
                    <w:div w:id="1800420355">
                      <w:marLeft w:val="0"/>
                      <w:marRight w:val="0"/>
                      <w:marTop w:val="0"/>
                      <w:marBottom w:val="0"/>
                      <w:divBdr>
                        <w:top w:val="none" w:sz="0" w:space="0" w:color="auto"/>
                        <w:left w:val="none" w:sz="0" w:space="0" w:color="auto"/>
                        <w:bottom w:val="none" w:sz="0" w:space="0" w:color="auto"/>
                        <w:right w:val="none" w:sz="0" w:space="0" w:color="auto"/>
                      </w:divBdr>
                    </w:div>
                    <w:div w:id="2145929734">
                      <w:marLeft w:val="0"/>
                      <w:marRight w:val="0"/>
                      <w:marTop w:val="0"/>
                      <w:marBottom w:val="0"/>
                      <w:divBdr>
                        <w:top w:val="none" w:sz="0" w:space="0" w:color="auto"/>
                        <w:left w:val="none" w:sz="0" w:space="0" w:color="auto"/>
                        <w:bottom w:val="none" w:sz="0" w:space="0" w:color="auto"/>
                        <w:right w:val="none" w:sz="0" w:space="0" w:color="auto"/>
                      </w:divBdr>
                      <w:divsChild>
                        <w:div w:id="1581137493">
                          <w:marLeft w:val="0"/>
                          <w:marRight w:val="0"/>
                          <w:marTop w:val="240"/>
                          <w:marBottom w:val="0"/>
                          <w:divBdr>
                            <w:top w:val="none" w:sz="0" w:space="0" w:color="auto"/>
                            <w:left w:val="none" w:sz="0" w:space="0" w:color="auto"/>
                            <w:bottom w:val="none" w:sz="0" w:space="0" w:color="auto"/>
                            <w:right w:val="none" w:sz="0" w:space="0" w:color="auto"/>
                          </w:divBdr>
                        </w:div>
                        <w:div w:id="1276058439">
                          <w:marLeft w:val="0"/>
                          <w:marRight w:val="0"/>
                          <w:marTop w:val="108"/>
                          <w:marBottom w:val="0"/>
                          <w:divBdr>
                            <w:top w:val="none" w:sz="0" w:space="0" w:color="auto"/>
                            <w:left w:val="none" w:sz="0" w:space="0" w:color="auto"/>
                            <w:bottom w:val="none" w:sz="0" w:space="0" w:color="auto"/>
                            <w:right w:val="none" w:sz="0" w:space="0" w:color="auto"/>
                          </w:divBdr>
                        </w:div>
                      </w:divsChild>
                    </w:div>
                    <w:div w:id="1496609890">
                      <w:marLeft w:val="0"/>
                      <w:marRight w:val="0"/>
                      <w:marTop w:val="0"/>
                      <w:marBottom w:val="0"/>
                      <w:divBdr>
                        <w:top w:val="none" w:sz="0" w:space="0" w:color="auto"/>
                        <w:left w:val="none" w:sz="0" w:space="0" w:color="auto"/>
                        <w:bottom w:val="none" w:sz="0" w:space="0" w:color="auto"/>
                        <w:right w:val="none" w:sz="0" w:space="0" w:color="auto"/>
                      </w:divBdr>
                    </w:div>
                    <w:div w:id="1958371318">
                      <w:marLeft w:val="0"/>
                      <w:marRight w:val="0"/>
                      <w:marTop w:val="0"/>
                      <w:marBottom w:val="0"/>
                      <w:divBdr>
                        <w:top w:val="none" w:sz="0" w:space="0" w:color="auto"/>
                        <w:left w:val="none" w:sz="0" w:space="0" w:color="auto"/>
                        <w:bottom w:val="none" w:sz="0" w:space="0" w:color="auto"/>
                        <w:right w:val="none" w:sz="0" w:space="0" w:color="auto"/>
                      </w:divBdr>
                    </w:div>
                    <w:div w:id="2071033842">
                      <w:marLeft w:val="0"/>
                      <w:marRight w:val="0"/>
                      <w:marTop w:val="0"/>
                      <w:marBottom w:val="0"/>
                      <w:divBdr>
                        <w:top w:val="none" w:sz="0" w:space="0" w:color="auto"/>
                        <w:left w:val="none" w:sz="0" w:space="0" w:color="auto"/>
                        <w:bottom w:val="none" w:sz="0" w:space="0" w:color="auto"/>
                        <w:right w:val="none" w:sz="0" w:space="0" w:color="auto"/>
                      </w:divBdr>
                    </w:div>
                    <w:div w:id="872881888">
                      <w:marLeft w:val="0"/>
                      <w:marRight w:val="0"/>
                      <w:marTop w:val="0"/>
                      <w:marBottom w:val="0"/>
                      <w:divBdr>
                        <w:top w:val="none" w:sz="0" w:space="0" w:color="auto"/>
                        <w:left w:val="none" w:sz="0" w:space="0" w:color="auto"/>
                        <w:bottom w:val="none" w:sz="0" w:space="0" w:color="auto"/>
                        <w:right w:val="none" w:sz="0" w:space="0" w:color="auto"/>
                      </w:divBdr>
                    </w:div>
                    <w:div w:id="1953517265">
                      <w:marLeft w:val="0"/>
                      <w:marRight w:val="0"/>
                      <w:marTop w:val="240"/>
                      <w:marBottom w:val="480"/>
                      <w:divBdr>
                        <w:top w:val="none" w:sz="0" w:space="0" w:color="auto"/>
                        <w:left w:val="none" w:sz="0" w:space="0" w:color="auto"/>
                        <w:bottom w:val="none" w:sz="0" w:space="0" w:color="auto"/>
                        <w:right w:val="none" w:sz="0" w:space="0" w:color="auto"/>
                      </w:divBdr>
                      <w:divsChild>
                        <w:div w:id="319886631">
                          <w:marLeft w:val="0"/>
                          <w:marRight w:val="0"/>
                          <w:marTop w:val="0"/>
                          <w:marBottom w:val="0"/>
                          <w:divBdr>
                            <w:top w:val="none" w:sz="0" w:space="0" w:color="auto"/>
                            <w:left w:val="none" w:sz="0" w:space="0" w:color="auto"/>
                            <w:bottom w:val="single" w:sz="24" w:space="0" w:color="D3DDE5"/>
                            <w:right w:val="none" w:sz="0" w:space="0" w:color="auto"/>
                          </w:divBdr>
                          <w:divsChild>
                            <w:div w:id="247931048">
                              <w:marLeft w:val="0"/>
                              <w:marRight w:val="0"/>
                              <w:marTop w:val="0"/>
                              <w:marBottom w:val="0"/>
                              <w:divBdr>
                                <w:top w:val="none" w:sz="0" w:space="0" w:color="auto"/>
                                <w:left w:val="none" w:sz="0" w:space="0" w:color="auto"/>
                                <w:bottom w:val="none" w:sz="0" w:space="0" w:color="auto"/>
                                <w:right w:val="none" w:sz="0" w:space="0" w:color="auto"/>
                              </w:divBdr>
                            </w:div>
                            <w:div w:id="1208106961">
                              <w:marLeft w:val="0"/>
                              <w:marRight w:val="0"/>
                              <w:marTop w:val="0"/>
                              <w:marBottom w:val="0"/>
                              <w:divBdr>
                                <w:top w:val="none" w:sz="0" w:space="0" w:color="auto"/>
                                <w:left w:val="none" w:sz="0" w:space="0" w:color="auto"/>
                                <w:bottom w:val="none" w:sz="0" w:space="0" w:color="auto"/>
                                <w:right w:val="none" w:sz="0" w:space="0" w:color="auto"/>
                              </w:divBdr>
                              <w:divsChild>
                                <w:div w:id="1423600436">
                                  <w:marLeft w:val="0"/>
                                  <w:marRight w:val="0"/>
                                  <w:marTop w:val="0"/>
                                  <w:marBottom w:val="0"/>
                                  <w:divBdr>
                                    <w:top w:val="none" w:sz="0" w:space="0" w:color="auto"/>
                                    <w:left w:val="none" w:sz="0" w:space="0" w:color="auto"/>
                                    <w:bottom w:val="none" w:sz="0" w:space="0" w:color="auto"/>
                                    <w:right w:val="none" w:sz="0" w:space="0" w:color="auto"/>
                                  </w:divBdr>
                                </w:div>
                              </w:divsChild>
                            </w:div>
                            <w:div w:id="14516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17211">
                      <w:marLeft w:val="0"/>
                      <w:marRight w:val="0"/>
                      <w:marTop w:val="0"/>
                      <w:marBottom w:val="0"/>
                      <w:divBdr>
                        <w:top w:val="none" w:sz="0" w:space="0" w:color="auto"/>
                        <w:left w:val="none" w:sz="0" w:space="0" w:color="auto"/>
                        <w:bottom w:val="none" w:sz="0" w:space="0" w:color="auto"/>
                        <w:right w:val="none" w:sz="0" w:space="0" w:color="auto"/>
                      </w:divBdr>
                    </w:div>
                    <w:div w:id="93297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penknowledge.worldbank.org/bitstream/handle/10986/35191/The-Gendered-Impacts-of-COVID-19-on-Labor-Markets-in-Latin-America-and-the-Caribbean.pdf?sequence=4&amp;isAllowed=y" TargetMode="External"/><Relationship Id="rId18" Type="http://schemas.openxmlformats.org/officeDocument/2006/relationships/hyperlink" Target="https://openknowledge.worldbank.org/bitstream/handle/10986/35381/Impacts-of-COVID-19-on-Labor-Markets-and-Household-Well-Being-in-Pakistan-Evidence-From-an-Online-Job-Platform.pdf?sequence=1&amp;isAllowed=y" TargetMode="External"/><Relationship Id="rId26" Type="http://schemas.openxmlformats.org/officeDocument/2006/relationships/hyperlink" Target="https://documents.worldbank.org/en/publication/documents-reports/documentdetail/621181614661876448/africa-gender-innovation-lab-influence" TargetMode="External"/><Relationship Id="rId3" Type="http://schemas.openxmlformats.org/officeDocument/2006/relationships/settings" Target="settings.xml"/><Relationship Id="rId21" Type="http://schemas.openxmlformats.org/officeDocument/2006/relationships/hyperlink" Target="https://openknowledge.worldbank.org/bitstream/handle/10986/33612/Supporting-Women-Throughout-the-Coronavirus-Covid-19-Emergency-Response-and-Economic-Recovery.pdf?sequence=8&amp;isAllowed=y" TargetMode="External"/><Relationship Id="rId7" Type="http://schemas.openxmlformats.org/officeDocument/2006/relationships/hyperlink" Target="https://intelligence.weforum.org/topics/a1G0X000006O6EHUA0?tab=publications" TargetMode="External"/><Relationship Id="rId12" Type="http://schemas.openxmlformats.org/officeDocument/2006/relationships/hyperlink" Target="https://www.worldbank.org/en/programs/latin-america-and-the-caribbean-gender-innovation-lab" TargetMode="External"/><Relationship Id="rId17" Type="http://schemas.openxmlformats.org/officeDocument/2006/relationships/hyperlink" Target="https://www.worldbank.org/en/programs/world-bank-south-asia-region-gender-innovation-lab" TargetMode="External"/><Relationship Id="rId25" Type="http://schemas.openxmlformats.org/officeDocument/2006/relationships/hyperlink" Target="https://openknowledge.worldbank.org/bitstream/handle/10986/33612/Supporting-Women-Throughout-the-Coronavirus-Covid-19-Emergency-Response-and-Economic-Recovery.pdf?sequence=8&amp;isAllowed=y"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openknowledge.worldbank.org/bitstream/handle/10986/34016/COVID-19-Pandemic-Through-a-Gender-Lens.pdf?sequence=4&amp;isAllowed=y" TargetMode="External"/><Relationship Id="rId29" Type="http://schemas.openxmlformats.org/officeDocument/2006/relationships/hyperlink" Target="https://www.worldbank.org/en/programs/mena-gender-innovation-lab" TargetMode="External"/><Relationship Id="rId1" Type="http://schemas.openxmlformats.org/officeDocument/2006/relationships/numbering" Target="numbering.xml"/><Relationship Id="rId6" Type="http://schemas.openxmlformats.org/officeDocument/2006/relationships/hyperlink" Target="https://blogs.worldbank.org/jobs/how-covid-19-affecting-womens-employment-evidence-world-banks-gender-innovation-labs" TargetMode="External"/><Relationship Id="rId11" Type="http://schemas.openxmlformats.org/officeDocument/2006/relationships/hyperlink" Target="https://www.worldbank.org/en/programs/umbrellafacilityforgenderequality/results" TargetMode="External"/><Relationship Id="rId24" Type="http://schemas.openxmlformats.org/officeDocument/2006/relationships/hyperlink" Target="https://openknowledge.worldbank.org/bitstream/handle/10986/35381/Impacts-of-COVID-19-on-Labor-Markets-and-Household-Well-Being-in-Pakistan-Evidence-From-an-Online-Job-Platform.pdf?sequence=1&amp;isAllowed=y" TargetMode="External"/><Relationship Id="rId32" Type="http://schemas.openxmlformats.org/officeDocument/2006/relationships/theme" Target="theme/theme1.xml"/><Relationship Id="rId5" Type="http://schemas.openxmlformats.org/officeDocument/2006/relationships/hyperlink" Target="https://www.weforum.org/agenda/2021/08/how-world-bank-s-gender-innovation-lab-is-helping-to-close-the-employment-gap-for-women" TargetMode="External"/><Relationship Id="rId15" Type="http://schemas.openxmlformats.org/officeDocument/2006/relationships/hyperlink" Target="https://twitter.com/intent/tweet?text=Surveys+conducted+in+May+2020+showed+that+female+workers+were+44%25+more+likely+than+male+workers+to+have+stopped+working+and+62%25+more+likely+to+have+lost+their+jobs.&amp;url=https://blogs.worldbank.org/jobs/how-covid-19-affecting-womens-employment-evidence-world-banks-gender-innovation-labs/?cid=SHR_BlogSiteTweetable_EN_EXT&amp;via=worldbank" TargetMode="External"/><Relationship Id="rId23" Type="http://schemas.openxmlformats.org/officeDocument/2006/relationships/hyperlink" Target="https://twitter.com/intent/tweet?text=job+loss%2C+reductions+in+household+income+and+decreased+investment+in+education+have+affected+the+well-being+and+job+aspirations+of+adolescents&amp;url=https://blogs.worldbank.org/jobs/how-covid-19-affecting-womens-employment-evidence-world-banks-gender-innovation-labs/?cid=SHR_BlogSiteTweetable_EN_EXT&amp;via=worldbank" TargetMode="External"/><Relationship Id="rId28" Type="http://schemas.openxmlformats.org/officeDocument/2006/relationships/hyperlink" Target="https://www.worldbank.org/en/programs/east-asia-and-pacific-gender-innovation-lab" TargetMode="External"/><Relationship Id="rId10" Type="http://schemas.openxmlformats.org/officeDocument/2006/relationships/hyperlink" Target="https://twitter.com/intent/tweet?text=+understanding+the+differentiated+effects+of+the+pandemic+on+excluded+groups+would+be+key+to+enable+the+design+of+inclusive+and+resilient+recovery+efforts&amp;url=https://blogs.worldbank.org/jobs/how-covid-19-affecting-womens-employment-evidence-world-banks-gender-innovation-labs/?cid=SHR_BlogSiteTweetable_EN_EXT&amp;via=worldbank" TargetMode="External"/><Relationship Id="rId19" Type="http://schemas.openxmlformats.org/officeDocument/2006/relationships/hyperlink" Target="https://www.worldbank.org/en/programs/africa-gender-innovation-lab"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lligence.weforum.org/topics/a1G0X000006O6EHUA0?tab=publications" TargetMode="External"/><Relationship Id="rId14" Type="http://schemas.openxmlformats.org/officeDocument/2006/relationships/hyperlink" Target="https://www.worldbank.org/en/results/2021/05/05/the-gendered-impacts-of-covid-19-on-labor-markets-in-latin-america-and-the-caribbean" TargetMode="External"/><Relationship Id="rId22" Type="http://schemas.openxmlformats.org/officeDocument/2006/relationships/hyperlink" Target="http://documents1.worldbank.org/curated/en/976951605244702116/pdf/Adolescence-in-the-Time-of-COVID-19-Evidence-from-Bangladesh.pdf" TargetMode="External"/><Relationship Id="rId27" Type="http://schemas.openxmlformats.org/officeDocument/2006/relationships/hyperlink" Target="https://projects.worldbank.org/en/projects-operations/project-detail/P122764" TargetMode="External"/><Relationship Id="rId30" Type="http://schemas.openxmlformats.org/officeDocument/2006/relationships/hyperlink" Target="https://www.worldbank.org/en/programs/mena-gender-innovation-la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1779</Words>
  <Characters>9790</Characters>
  <Application>Microsoft Office Word</Application>
  <DocSecurity>0</DocSecurity>
  <Lines>81</Lines>
  <Paragraphs>23</Paragraphs>
  <ScaleCrop>false</ScaleCrop>
  <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Bustamante</dc:creator>
  <cp:keywords/>
  <dc:description/>
  <cp:lastModifiedBy>Sandra Bustamante</cp:lastModifiedBy>
  <cp:revision>2</cp:revision>
  <dcterms:created xsi:type="dcterms:W3CDTF">2021-11-09T08:30:00Z</dcterms:created>
  <dcterms:modified xsi:type="dcterms:W3CDTF">2021-11-09T08:30:00Z</dcterms:modified>
</cp:coreProperties>
</file>