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C5" w:rsidRPr="00E31F85" w:rsidRDefault="00E31F85">
      <w:pPr>
        <w:rPr>
          <w:b/>
          <w:bCs/>
        </w:rPr>
      </w:pPr>
      <w:r w:rsidRPr="00E31F85">
        <w:rPr>
          <w:b/>
          <w:bCs/>
        </w:rPr>
        <w:t>REHIR</w:t>
      </w:r>
      <w:r w:rsidR="00174AA9">
        <w:rPr>
          <w:b/>
          <w:bCs/>
        </w:rPr>
        <w:t>ING EMPLOYEES WHO HAVE RESIGNED</w:t>
      </w:r>
    </w:p>
    <w:p w:rsidR="00E31F85" w:rsidRDefault="00E31F85"/>
    <w:p w:rsidR="00E31F85" w:rsidRPr="00E31F85" w:rsidRDefault="00E31F85" w:rsidP="00E3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F85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The 'boomerang' employees returning after quitting</w:t>
      </w:r>
      <w:r w:rsidRPr="00E31F85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E31F85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https://www.bbc.com/worklife/article/20220809-the-boomerang-employees-returning-after-quitting</w:t>
        </w:r>
      </w:hyperlink>
    </w:p>
    <w:tbl>
      <w:tblPr>
        <w:tblW w:w="727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997"/>
      </w:tblGrid>
      <w:tr w:rsidR="00E31F85" w:rsidRPr="00E31F85" w:rsidTr="00E31F85">
        <w:trPr>
          <w:tblCellSpacing w:w="15" w:type="dxa"/>
        </w:trPr>
        <w:tc>
          <w:tcPr>
            <w:tcW w:w="0" w:type="auto"/>
            <w:hideMark/>
          </w:tcPr>
          <w:p w:rsidR="00E31F85" w:rsidRPr="00E31F85" w:rsidRDefault="00E31F85" w:rsidP="00E31F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8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02963A9" wp14:editId="33ADA086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389204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hideMark/>
          </w:tcPr>
          <w:p w:rsidR="00E31F85" w:rsidRPr="00E31F85" w:rsidRDefault="00475D45" w:rsidP="00E31F85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="00E31F85" w:rsidRPr="00E31F85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The 'boomerang' employees returning after quitting - BBC </w:t>
              </w:r>
              <w:proofErr w:type="spellStart"/>
              <w:r w:rsidR="00E31F85" w:rsidRPr="00E31F85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Worklife</w:t>
              </w:r>
              <w:proofErr w:type="spellEnd"/>
            </w:hyperlink>
          </w:p>
          <w:p w:rsidR="00E31F85" w:rsidRPr="00E31F85" w:rsidRDefault="00E31F85" w:rsidP="00E31F85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E31F85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From a recruitment perspective, hiring former employees in more senior roles can make financial or logistical sense. Keller’s 2021 research of more than 2,000 returning employees at a US ...</w:t>
            </w:r>
          </w:p>
          <w:p w:rsidR="00E31F85" w:rsidRPr="00E31F85" w:rsidRDefault="00E31F85" w:rsidP="00E31F8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E31F85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:rsidR="00E31F85" w:rsidRPr="00E31F85" w:rsidRDefault="00E31F85" w:rsidP="00E3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F85">
        <w:rPr>
          <w:rFonts w:ascii="Segoe UI" w:eastAsia="Times New Roman" w:hAnsi="Segoe UI" w:cs="Segoe UI"/>
          <w:color w:val="201F1E"/>
          <w:sz w:val="23"/>
          <w:szCs w:val="23"/>
        </w:rPr>
        <w:br/>
      </w:r>
    </w:p>
    <w:p w:rsidR="00E31F85" w:rsidRDefault="00E31F85"/>
    <w:sectPr w:rsidR="00E3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85"/>
    <w:rsid w:val="00174AA9"/>
    <w:rsid w:val="00475D45"/>
    <w:rsid w:val="00716AE8"/>
    <w:rsid w:val="00850875"/>
    <w:rsid w:val="008D13C5"/>
    <w:rsid w:val="00E3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C650E-D27A-4065-AFF2-0695E42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2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755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2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59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220809-the-boomerang-employees-returning-after-quittin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worklife/article/20220809-the-boomerang-employees-returning-after-quit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2022-11-23T08:42:00Z</dcterms:created>
  <dcterms:modified xsi:type="dcterms:W3CDTF">2022-11-23T08:42:00Z</dcterms:modified>
</cp:coreProperties>
</file>