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0896B0" w14:textId="68598ED1" w:rsidR="002971D4" w:rsidRDefault="00BB3E43">
      <w:pPr>
        <w:rPr>
          <w:rFonts w:cstheme="minorHAnsi"/>
          <w:b/>
          <w:bCs/>
          <w:sz w:val="20"/>
          <w:szCs w:val="20"/>
          <w:lang w:val="en-US"/>
        </w:rPr>
      </w:pPr>
      <w:r w:rsidRPr="00DC2ADB">
        <w:rPr>
          <w:rFonts w:cstheme="minorHAnsi"/>
          <w:noProof/>
          <w:lang w:eastAsia="en-GB"/>
        </w:rPr>
        <mc:AlternateContent>
          <mc:Choice Requires="wps">
            <w:drawing>
              <wp:anchor distT="45720" distB="45720" distL="114300" distR="114300" simplePos="0" relativeHeight="251673600" behindDoc="0" locked="0" layoutInCell="1" allowOverlap="1" wp14:anchorId="63822E55" wp14:editId="6305EE03">
                <wp:simplePos x="0" y="0"/>
                <wp:positionH relativeFrom="column">
                  <wp:posOffset>-405130</wp:posOffset>
                </wp:positionH>
                <wp:positionV relativeFrom="paragraph">
                  <wp:posOffset>2517775</wp:posOffset>
                </wp:positionV>
                <wp:extent cx="6713220" cy="5156200"/>
                <wp:effectExtent l="0" t="0" r="0" b="635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3220" cy="5156200"/>
                        </a:xfrm>
                        <a:prstGeom prst="rect">
                          <a:avLst/>
                        </a:prstGeom>
                        <a:noFill/>
                        <a:ln w="9525">
                          <a:noFill/>
                          <a:miter lim="800000"/>
                          <a:headEnd/>
                          <a:tailEnd/>
                        </a:ln>
                      </wps:spPr>
                      <wps:txbx>
                        <w:txbxContent>
                          <w:p w14:paraId="60D4840A" w14:textId="77777777" w:rsidR="00AC1A29" w:rsidRPr="00E03337" w:rsidRDefault="00AC1A29" w:rsidP="00E03337">
                            <w:pPr>
                              <w:spacing w:after="160" w:line="259" w:lineRule="auto"/>
                              <w:rPr>
                                <w:rFonts w:ascii="Tahoma" w:hAnsi="Tahoma" w:cs="Tahoma"/>
                                <w:color w:val="1F3864" w:themeColor="accent1" w:themeShade="80"/>
                                <w:sz w:val="32"/>
                                <w:szCs w:val="20"/>
                                <w:lang w:val="en-US"/>
                              </w:rPr>
                            </w:pPr>
                            <w:r w:rsidRPr="00E03337">
                              <w:rPr>
                                <w:rFonts w:ascii="Tahoma" w:hAnsi="Tahoma" w:cs="Tahoma"/>
                                <w:b/>
                                <w:bCs/>
                                <w:color w:val="1F3864" w:themeColor="accent1" w:themeShade="80"/>
                                <w:sz w:val="32"/>
                                <w:szCs w:val="20"/>
                                <w:lang w:val="en-US"/>
                              </w:rPr>
                              <w:t>TECHNICAL ASSISTANCE FOR PROMOTING DECENT FUTURE OF</w:t>
                            </w:r>
                          </w:p>
                          <w:p w14:paraId="7BB50BC7" w14:textId="3E7EA95E" w:rsidR="00AC1A29" w:rsidRPr="00BB3E43" w:rsidRDefault="00AC1A29" w:rsidP="00E03337">
                            <w:pPr>
                              <w:spacing w:after="160" w:line="259" w:lineRule="auto"/>
                              <w:rPr>
                                <w:rFonts w:ascii="Tahoma" w:hAnsi="Tahoma" w:cs="Tahoma"/>
                                <w:b/>
                                <w:bCs/>
                                <w:color w:val="1F3864" w:themeColor="accent1" w:themeShade="80"/>
                                <w:sz w:val="32"/>
                                <w:szCs w:val="32"/>
                                <w:lang w:val="en-US"/>
                              </w:rPr>
                            </w:pPr>
                            <w:r w:rsidRPr="00E03337">
                              <w:rPr>
                                <w:rFonts w:ascii="Tahoma" w:hAnsi="Tahoma" w:cs="Tahoma"/>
                                <w:b/>
                                <w:bCs/>
                                <w:color w:val="1F3864" w:themeColor="accent1" w:themeShade="80"/>
                                <w:sz w:val="32"/>
                                <w:szCs w:val="20"/>
                                <w:lang w:val="en-US"/>
                              </w:rPr>
                              <w:t>WORK APPROACH WITH A FOCUS ON GENDER EQUALITY</w:t>
                            </w:r>
                            <w:r w:rsidRPr="00E03337">
                              <w:rPr>
                                <w:rFonts w:ascii="Tahoma" w:hAnsi="Tahoma" w:cs="Tahoma"/>
                                <w:b/>
                                <w:bCs/>
                                <w:color w:val="1F3864" w:themeColor="accent1" w:themeShade="80"/>
                                <w:sz w:val="20"/>
                                <w:szCs w:val="20"/>
                                <w:lang w:val="en-US"/>
                              </w:rPr>
                              <w:br/>
                            </w:r>
                            <w:r w:rsidRPr="00E03337">
                              <w:rPr>
                                <w:rFonts w:ascii="Tahoma" w:hAnsi="Tahoma" w:cs="Tahoma"/>
                                <w:b/>
                                <w:bCs/>
                                <w:color w:val="1F3864" w:themeColor="accent1" w:themeShade="80"/>
                                <w:sz w:val="20"/>
                                <w:szCs w:val="20"/>
                                <w:lang w:val="en-US"/>
                              </w:rPr>
                              <w:br/>
                            </w:r>
                            <w:r w:rsidR="00BB3E43" w:rsidRPr="00BB3E43">
                              <w:rPr>
                                <w:rFonts w:ascii="Tahoma" w:hAnsi="Tahoma" w:cs="Tahoma"/>
                                <w:b/>
                                <w:bCs/>
                                <w:color w:val="1F3864" w:themeColor="accent1" w:themeShade="80"/>
                                <w:sz w:val="32"/>
                                <w:szCs w:val="32"/>
                                <w:lang w:val="en-US"/>
                              </w:rPr>
                              <w:t>(EUROPEAID/140341/IH/SER/TR)</w:t>
                            </w:r>
                          </w:p>
                          <w:p w14:paraId="6B91C61B" w14:textId="1B65E559" w:rsidR="00AC1A29" w:rsidRPr="00BB3E43" w:rsidRDefault="00BB3E43" w:rsidP="00E03337">
                            <w:pPr>
                              <w:spacing w:after="160" w:line="259" w:lineRule="auto"/>
                              <w:rPr>
                                <w:rFonts w:ascii="Tahoma" w:hAnsi="Tahoma" w:cs="Tahoma"/>
                                <w:color w:val="1F3864" w:themeColor="accent1" w:themeShade="80"/>
                                <w:sz w:val="32"/>
                                <w:szCs w:val="32"/>
                                <w:lang w:val="en-US"/>
                              </w:rPr>
                            </w:pPr>
                            <w:r w:rsidRPr="00BB3E43">
                              <w:rPr>
                                <w:rFonts w:ascii="Tahoma" w:hAnsi="Tahoma" w:cs="Tahoma"/>
                                <w:b/>
                                <w:bCs/>
                                <w:color w:val="1F3864" w:themeColor="accent1" w:themeShade="80"/>
                                <w:sz w:val="32"/>
                                <w:szCs w:val="32"/>
                                <w:lang w:val="en-US"/>
                              </w:rPr>
                              <w:t>TÜRKIYE</w:t>
                            </w:r>
                          </w:p>
                          <w:p w14:paraId="5269DA8A" w14:textId="7D6FA027" w:rsidR="00AC1A29" w:rsidRPr="00E03337" w:rsidRDefault="00AC1A29" w:rsidP="00E03337">
                            <w:pPr>
                              <w:spacing w:after="160" w:line="259" w:lineRule="auto"/>
                              <w:rPr>
                                <w:rFonts w:ascii="Tahoma" w:hAnsi="Tahoma" w:cs="Tahoma"/>
                                <w:color w:val="1F3864" w:themeColor="accent1" w:themeShade="80"/>
                                <w:sz w:val="20"/>
                                <w:szCs w:val="20"/>
                                <w:lang w:val="en-US"/>
                              </w:rPr>
                            </w:pPr>
                          </w:p>
                          <w:p w14:paraId="3E5FF17A" w14:textId="77777777" w:rsidR="00AC1A29" w:rsidRPr="00E03337" w:rsidRDefault="00AC1A29" w:rsidP="00E03337">
                            <w:pPr>
                              <w:spacing w:after="160" w:line="259" w:lineRule="auto"/>
                              <w:rPr>
                                <w:rFonts w:ascii="Tahoma" w:hAnsi="Tahoma" w:cs="Tahoma"/>
                                <w:color w:val="1F3864" w:themeColor="accent1" w:themeShade="80"/>
                                <w:sz w:val="20"/>
                                <w:szCs w:val="20"/>
                                <w:lang w:val="en-US"/>
                              </w:rPr>
                            </w:pPr>
                          </w:p>
                          <w:p w14:paraId="18B38078" w14:textId="77777777" w:rsidR="00306EAD" w:rsidRPr="00BB3E43" w:rsidRDefault="00306EAD" w:rsidP="00E03337">
                            <w:pPr>
                              <w:spacing w:after="160" w:line="259" w:lineRule="auto"/>
                              <w:rPr>
                                <w:rFonts w:ascii="Tahoma" w:hAnsi="Tahoma" w:cs="Tahoma"/>
                                <w:b/>
                                <w:bCs/>
                                <w:color w:val="1F3864" w:themeColor="accent1" w:themeShade="80"/>
                                <w:sz w:val="28"/>
                                <w:szCs w:val="28"/>
                                <w:lang w:val="en-US"/>
                              </w:rPr>
                            </w:pPr>
                            <w:r w:rsidRPr="00BB3E43">
                              <w:rPr>
                                <w:rFonts w:ascii="Tahoma" w:hAnsi="Tahoma" w:cs="Tahoma"/>
                                <w:b/>
                                <w:bCs/>
                                <w:color w:val="1F3864" w:themeColor="accent1" w:themeShade="80"/>
                                <w:sz w:val="28"/>
                                <w:szCs w:val="28"/>
                                <w:lang w:val="en-US"/>
                              </w:rPr>
                              <w:t>CATEGORY 3: SCIENTIFIC AND TECHNICAL STUDIES</w:t>
                            </w:r>
                          </w:p>
                          <w:p w14:paraId="39544CE4" w14:textId="77777777" w:rsidR="00306EAD" w:rsidRPr="00BB3E43" w:rsidRDefault="00306EAD" w:rsidP="00E03337">
                            <w:pPr>
                              <w:spacing w:after="160" w:line="259" w:lineRule="auto"/>
                              <w:rPr>
                                <w:rFonts w:ascii="Tahoma" w:hAnsi="Tahoma" w:cs="Tahoma"/>
                                <w:b/>
                                <w:bCs/>
                                <w:color w:val="1F3864" w:themeColor="accent1" w:themeShade="80"/>
                                <w:sz w:val="28"/>
                                <w:szCs w:val="28"/>
                                <w:lang w:val="en-US"/>
                              </w:rPr>
                            </w:pPr>
                            <w:r w:rsidRPr="00BB3E43">
                              <w:rPr>
                                <w:rFonts w:ascii="Tahoma" w:hAnsi="Tahoma" w:cs="Tahoma"/>
                                <w:b/>
                                <w:bCs/>
                                <w:color w:val="1F3864" w:themeColor="accent1" w:themeShade="80"/>
                                <w:sz w:val="28"/>
                                <w:szCs w:val="28"/>
                                <w:lang w:val="en-US"/>
                              </w:rPr>
                              <w:t>INTERVENTION 8: SECTOR STUDIES</w:t>
                            </w:r>
                          </w:p>
                          <w:p w14:paraId="7216A3BD" w14:textId="77777777" w:rsidR="00306EAD" w:rsidRPr="00E03337" w:rsidRDefault="00306EAD" w:rsidP="00E03337">
                            <w:pPr>
                              <w:spacing w:after="160" w:line="259" w:lineRule="auto"/>
                              <w:rPr>
                                <w:rFonts w:ascii="Tahoma" w:hAnsi="Tahoma" w:cs="Tahoma"/>
                                <w:b/>
                                <w:bCs/>
                                <w:color w:val="1F3864" w:themeColor="accent1" w:themeShade="80"/>
                                <w:sz w:val="32"/>
                                <w:szCs w:val="20"/>
                                <w:lang w:val="en-US"/>
                              </w:rPr>
                            </w:pPr>
                          </w:p>
                          <w:p w14:paraId="1F618FDF" w14:textId="68262B23" w:rsidR="00306EAD" w:rsidRPr="00BB3E43" w:rsidRDefault="00636610" w:rsidP="00E03337">
                            <w:pPr>
                              <w:spacing w:after="160" w:line="259" w:lineRule="auto"/>
                              <w:rPr>
                                <w:rFonts w:ascii="Tahoma" w:hAnsi="Tahoma" w:cs="Tahoma"/>
                                <w:b/>
                                <w:bCs/>
                                <w:color w:val="1F3864" w:themeColor="accent1" w:themeShade="80"/>
                                <w:sz w:val="32"/>
                                <w:szCs w:val="32"/>
                                <w:lang w:val="en-US"/>
                              </w:rPr>
                            </w:pPr>
                            <w:r w:rsidRPr="00BB3E43">
                              <w:rPr>
                                <w:rFonts w:ascii="Tahoma" w:hAnsi="Tahoma" w:cs="Tahoma"/>
                                <w:b/>
                                <w:bCs/>
                                <w:color w:val="1F3864" w:themeColor="accent1" w:themeShade="80"/>
                                <w:sz w:val="32"/>
                                <w:szCs w:val="32"/>
                                <w:lang w:val="en-US"/>
                              </w:rPr>
                              <w:t xml:space="preserve">PART </w:t>
                            </w:r>
                            <w:r w:rsidR="00306EAD" w:rsidRPr="00BB3E43">
                              <w:rPr>
                                <w:rFonts w:ascii="Tahoma" w:hAnsi="Tahoma" w:cs="Tahoma"/>
                                <w:b/>
                                <w:bCs/>
                                <w:color w:val="1F3864" w:themeColor="accent1" w:themeShade="80"/>
                                <w:sz w:val="32"/>
                                <w:szCs w:val="32"/>
                                <w:lang w:val="en-US"/>
                              </w:rPr>
                              <w:t>3</w:t>
                            </w:r>
                            <w:r w:rsidRPr="00BB3E43">
                              <w:rPr>
                                <w:rFonts w:ascii="Tahoma" w:hAnsi="Tahoma" w:cs="Tahoma"/>
                                <w:b/>
                                <w:bCs/>
                                <w:color w:val="1F3864" w:themeColor="accent1" w:themeShade="80"/>
                                <w:sz w:val="32"/>
                                <w:szCs w:val="32"/>
                                <w:lang w:val="en-US"/>
                              </w:rPr>
                              <w:t xml:space="preserve"> (OF 5) OF </w:t>
                            </w:r>
                            <w:r w:rsidR="00306EAD" w:rsidRPr="00BB3E43">
                              <w:rPr>
                                <w:rFonts w:ascii="Tahoma" w:hAnsi="Tahoma" w:cs="Tahoma"/>
                                <w:b/>
                                <w:bCs/>
                                <w:color w:val="1F3864" w:themeColor="accent1" w:themeShade="80"/>
                                <w:sz w:val="32"/>
                                <w:szCs w:val="32"/>
                                <w:lang w:val="en-US"/>
                              </w:rPr>
                              <w:t>DESK RESEARCH REPORT</w:t>
                            </w:r>
                          </w:p>
                          <w:p w14:paraId="31F00B7C" w14:textId="77777777" w:rsidR="00AD41F3" w:rsidRPr="00BB3E43" w:rsidRDefault="00AD41F3" w:rsidP="00E03337">
                            <w:pPr>
                              <w:spacing w:after="160" w:line="259" w:lineRule="auto"/>
                              <w:rPr>
                                <w:rFonts w:ascii="Tahoma" w:hAnsi="Tahoma" w:cs="Tahoma"/>
                                <w:b/>
                                <w:bCs/>
                                <w:color w:val="1F3864" w:themeColor="accent1" w:themeShade="80"/>
                                <w:sz w:val="32"/>
                                <w:szCs w:val="32"/>
                                <w:lang w:val="en-US"/>
                              </w:rPr>
                            </w:pPr>
                          </w:p>
                          <w:p w14:paraId="771D4A62" w14:textId="16C8D715" w:rsidR="00AC1A29" w:rsidRPr="00BB3E43" w:rsidRDefault="00AC1A29" w:rsidP="00E03337">
                            <w:pPr>
                              <w:spacing w:after="160" w:line="259" w:lineRule="auto"/>
                              <w:rPr>
                                <w:rFonts w:ascii="Tahoma" w:hAnsi="Tahoma" w:cs="Tahoma"/>
                                <w:b/>
                                <w:bCs/>
                                <w:color w:val="1F3864" w:themeColor="accent1" w:themeShade="80"/>
                                <w:sz w:val="32"/>
                                <w:szCs w:val="32"/>
                                <w:lang w:val="en-US"/>
                              </w:rPr>
                            </w:pPr>
                            <w:r w:rsidRPr="00BB3E43">
                              <w:rPr>
                                <w:rFonts w:ascii="Tahoma" w:hAnsi="Tahoma" w:cs="Tahoma"/>
                                <w:b/>
                                <w:bCs/>
                                <w:color w:val="1F3864" w:themeColor="accent1" w:themeShade="80"/>
                                <w:sz w:val="32"/>
                                <w:szCs w:val="32"/>
                                <w:lang w:val="en-US"/>
                              </w:rPr>
                              <w:t xml:space="preserve">ENERGY </w:t>
                            </w:r>
                            <w:r w:rsidR="003B2C11" w:rsidRPr="00BB3E43">
                              <w:rPr>
                                <w:rFonts w:ascii="Tahoma" w:hAnsi="Tahoma" w:cs="Tahoma"/>
                                <w:b/>
                                <w:bCs/>
                                <w:color w:val="1F3864" w:themeColor="accent1" w:themeShade="80"/>
                                <w:sz w:val="32"/>
                                <w:szCs w:val="32"/>
                                <w:lang w:val="en-US"/>
                              </w:rPr>
                              <w:t>SECTOR</w:t>
                            </w:r>
                            <w:bookmarkStart w:id="0" w:name="_GoBack"/>
                            <w:bookmarkEnd w:id="0"/>
                          </w:p>
                          <w:p w14:paraId="39BB9973" w14:textId="77777777" w:rsidR="00AC1A29" w:rsidRPr="00B74F3F" w:rsidRDefault="00AC1A29" w:rsidP="004573C7">
                            <w:pPr>
                              <w:jc w:val="center"/>
                              <w:rPr>
                                <w:b/>
                                <w:color w:val="FFFFFF" w:themeColor="background1"/>
                                <w:sz w:val="32"/>
                                <w:szCs w:val="3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3822E55" id="_x0000_t202" coordsize="21600,21600" o:spt="202" path="m,l,21600r21600,l21600,xe">
                <v:stroke joinstyle="miter"/>
                <v:path gradientshapeok="t" o:connecttype="rect"/>
              </v:shapetype>
              <v:shape id="Text Box 2" o:spid="_x0000_s1026" type="#_x0000_t202" style="position:absolute;margin-left:-31.9pt;margin-top:198.25pt;width:528.6pt;height:406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" filled="f" stroked="f">
                <v:textbox>
                  <w:txbxContent>
                    <w:p w14:paraId="60D4840A" w14:textId="77777777" w:rsidR="00AC1A29" w:rsidRPr="00E03337" w:rsidRDefault="00AC1A29" w:rsidP="00E03337">
                      <w:pPr>
                        <w:spacing w:after="160" w:line="259" w:lineRule="auto"/>
                        <w:rPr>
                          <w:rFonts w:ascii="Tahoma" w:hAnsi="Tahoma" w:cs="Tahoma"/>
                          <w:color w:val="1F3864" w:themeColor="accent1" w:themeShade="80"/>
                          <w:sz w:val="32"/>
                          <w:szCs w:val="20"/>
                          <w:lang w:val="en-US"/>
                        </w:rPr>
                      </w:pPr>
                      <w:r w:rsidRPr="00E03337">
                        <w:rPr>
                          <w:rFonts w:ascii="Tahoma" w:hAnsi="Tahoma" w:cs="Tahoma"/>
                          <w:b/>
                          <w:bCs/>
                          <w:color w:val="1F3864" w:themeColor="accent1" w:themeShade="80"/>
                          <w:sz w:val="32"/>
                          <w:szCs w:val="20"/>
                          <w:lang w:val="en-US"/>
                        </w:rPr>
                        <w:t>TECHNICAL ASSISTANCE FOR PROMOTING DECENT FUTURE OF</w:t>
                      </w:r>
                    </w:p>
                    <w:p w14:paraId="7BB50BC7" w14:textId="3E7EA95E" w:rsidR="00AC1A29" w:rsidRPr="00BB3E43" w:rsidRDefault="00AC1A29" w:rsidP="00E03337">
                      <w:pPr>
                        <w:spacing w:after="160" w:line="259" w:lineRule="auto"/>
                        <w:rPr>
                          <w:rFonts w:ascii="Tahoma" w:hAnsi="Tahoma" w:cs="Tahoma"/>
                          <w:b/>
                          <w:bCs/>
                          <w:color w:val="1F3864" w:themeColor="accent1" w:themeShade="80"/>
                          <w:sz w:val="32"/>
                          <w:szCs w:val="32"/>
                          <w:lang w:val="en-US"/>
                        </w:rPr>
                      </w:pPr>
                      <w:r w:rsidRPr="00E03337">
                        <w:rPr>
                          <w:rFonts w:ascii="Tahoma" w:hAnsi="Tahoma" w:cs="Tahoma"/>
                          <w:b/>
                          <w:bCs/>
                          <w:color w:val="1F3864" w:themeColor="accent1" w:themeShade="80"/>
                          <w:sz w:val="32"/>
                          <w:szCs w:val="20"/>
                          <w:lang w:val="en-US"/>
                        </w:rPr>
                        <w:t>WORK APPROACH WITH A FOCUS ON GENDER EQUALITY</w:t>
                      </w:r>
                      <w:r w:rsidRPr="00E03337">
                        <w:rPr>
                          <w:rFonts w:ascii="Tahoma" w:hAnsi="Tahoma" w:cs="Tahoma"/>
                          <w:b/>
                          <w:bCs/>
                          <w:color w:val="1F3864" w:themeColor="accent1" w:themeShade="80"/>
                          <w:sz w:val="20"/>
                          <w:szCs w:val="20"/>
                          <w:lang w:val="en-US"/>
                        </w:rPr>
                        <w:br/>
                      </w:r>
                      <w:r w:rsidRPr="00E03337">
                        <w:rPr>
                          <w:rFonts w:ascii="Tahoma" w:hAnsi="Tahoma" w:cs="Tahoma"/>
                          <w:b/>
                          <w:bCs/>
                          <w:color w:val="1F3864" w:themeColor="accent1" w:themeShade="80"/>
                          <w:sz w:val="20"/>
                          <w:szCs w:val="20"/>
                          <w:lang w:val="en-US"/>
                        </w:rPr>
                        <w:br/>
                      </w:r>
                      <w:r w:rsidR="00BB3E43" w:rsidRPr="00BB3E43">
                        <w:rPr>
                          <w:rFonts w:ascii="Tahoma" w:hAnsi="Tahoma" w:cs="Tahoma"/>
                          <w:b/>
                          <w:bCs/>
                          <w:color w:val="1F3864" w:themeColor="accent1" w:themeShade="80"/>
                          <w:sz w:val="32"/>
                          <w:szCs w:val="32"/>
                          <w:lang w:val="en-US"/>
                        </w:rPr>
                        <w:t>(EUROPEAID/140341/IH/SER/TR)</w:t>
                      </w:r>
                    </w:p>
                    <w:p w14:paraId="6B91C61B" w14:textId="1B65E559" w:rsidR="00AC1A29" w:rsidRPr="00BB3E43" w:rsidRDefault="00BB3E43" w:rsidP="00E03337">
                      <w:pPr>
                        <w:spacing w:after="160" w:line="259" w:lineRule="auto"/>
                        <w:rPr>
                          <w:rFonts w:ascii="Tahoma" w:hAnsi="Tahoma" w:cs="Tahoma"/>
                          <w:color w:val="1F3864" w:themeColor="accent1" w:themeShade="80"/>
                          <w:sz w:val="32"/>
                          <w:szCs w:val="32"/>
                          <w:lang w:val="en-US"/>
                        </w:rPr>
                      </w:pPr>
                      <w:r w:rsidRPr="00BB3E43">
                        <w:rPr>
                          <w:rFonts w:ascii="Tahoma" w:hAnsi="Tahoma" w:cs="Tahoma"/>
                          <w:b/>
                          <w:bCs/>
                          <w:color w:val="1F3864" w:themeColor="accent1" w:themeShade="80"/>
                          <w:sz w:val="32"/>
                          <w:szCs w:val="32"/>
                          <w:lang w:val="en-US"/>
                        </w:rPr>
                        <w:t>TÜRKIYE</w:t>
                      </w:r>
                    </w:p>
                    <w:p w14:paraId="5269DA8A" w14:textId="7D6FA027" w:rsidR="00AC1A29" w:rsidRPr="00E03337" w:rsidRDefault="00AC1A29" w:rsidP="00E03337">
                      <w:pPr>
                        <w:spacing w:after="160" w:line="259" w:lineRule="auto"/>
                        <w:rPr>
                          <w:rFonts w:ascii="Tahoma" w:hAnsi="Tahoma" w:cs="Tahoma"/>
                          <w:color w:val="1F3864" w:themeColor="accent1" w:themeShade="80"/>
                          <w:sz w:val="20"/>
                          <w:szCs w:val="20"/>
                          <w:lang w:val="en-US"/>
                        </w:rPr>
                      </w:pPr>
                    </w:p>
                    <w:p w14:paraId="3E5FF17A" w14:textId="77777777" w:rsidR="00AC1A29" w:rsidRPr="00E03337" w:rsidRDefault="00AC1A29" w:rsidP="00E03337">
                      <w:pPr>
                        <w:spacing w:after="160" w:line="259" w:lineRule="auto"/>
                        <w:rPr>
                          <w:rFonts w:ascii="Tahoma" w:hAnsi="Tahoma" w:cs="Tahoma"/>
                          <w:color w:val="1F3864" w:themeColor="accent1" w:themeShade="80"/>
                          <w:sz w:val="20"/>
                          <w:szCs w:val="20"/>
                          <w:lang w:val="en-US"/>
                        </w:rPr>
                      </w:pPr>
                    </w:p>
                    <w:p w14:paraId="18B38078" w14:textId="77777777" w:rsidR="00306EAD" w:rsidRPr="00BB3E43" w:rsidRDefault="00306EAD" w:rsidP="00E03337">
                      <w:pPr>
                        <w:spacing w:after="160" w:line="259" w:lineRule="auto"/>
                        <w:rPr>
                          <w:rFonts w:ascii="Tahoma" w:hAnsi="Tahoma" w:cs="Tahoma"/>
                          <w:b/>
                          <w:bCs/>
                          <w:color w:val="1F3864" w:themeColor="accent1" w:themeShade="80"/>
                          <w:sz w:val="28"/>
                          <w:szCs w:val="28"/>
                          <w:lang w:val="en-US"/>
                        </w:rPr>
                      </w:pPr>
                      <w:r w:rsidRPr="00BB3E43">
                        <w:rPr>
                          <w:rFonts w:ascii="Tahoma" w:hAnsi="Tahoma" w:cs="Tahoma"/>
                          <w:b/>
                          <w:bCs/>
                          <w:color w:val="1F3864" w:themeColor="accent1" w:themeShade="80"/>
                          <w:sz w:val="28"/>
                          <w:szCs w:val="28"/>
                          <w:lang w:val="en-US"/>
                        </w:rPr>
                        <w:t>CATEGORY 3: SCIENTIFIC AND TECHNICAL STUDIES</w:t>
                      </w:r>
                    </w:p>
                    <w:p w14:paraId="39544CE4" w14:textId="77777777" w:rsidR="00306EAD" w:rsidRPr="00BB3E43" w:rsidRDefault="00306EAD" w:rsidP="00E03337">
                      <w:pPr>
                        <w:spacing w:after="160" w:line="259" w:lineRule="auto"/>
                        <w:rPr>
                          <w:rFonts w:ascii="Tahoma" w:hAnsi="Tahoma" w:cs="Tahoma"/>
                          <w:b/>
                          <w:bCs/>
                          <w:color w:val="1F3864" w:themeColor="accent1" w:themeShade="80"/>
                          <w:sz w:val="28"/>
                          <w:szCs w:val="28"/>
                          <w:lang w:val="en-US"/>
                        </w:rPr>
                      </w:pPr>
                      <w:r w:rsidRPr="00BB3E43">
                        <w:rPr>
                          <w:rFonts w:ascii="Tahoma" w:hAnsi="Tahoma" w:cs="Tahoma"/>
                          <w:b/>
                          <w:bCs/>
                          <w:color w:val="1F3864" w:themeColor="accent1" w:themeShade="80"/>
                          <w:sz w:val="28"/>
                          <w:szCs w:val="28"/>
                          <w:lang w:val="en-US"/>
                        </w:rPr>
                        <w:t>INTERVENTION 8: SECTOR STUDIES</w:t>
                      </w:r>
                    </w:p>
                    <w:p w14:paraId="7216A3BD" w14:textId="77777777" w:rsidR="00306EAD" w:rsidRPr="00E03337" w:rsidRDefault="00306EAD" w:rsidP="00E03337">
                      <w:pPr>
                        <w:spacing w:after="160" w:line="259" w:lineRule="auto"/>
                        <w:rPr>
                          <w:rFonts w:ascii="Tahoma" w:hAnsi="Tahoma" w:cs="Tahoma"/>
                          <w:b/>
                          <w:bCs/>
                          <w:color w:val="1F3864" w:themeColor="accent1" w:themeShade="80"/>
                          <w:sz w:val="32"/>
                          <w:szCs w:val="20"/>
                          <w:lang w:val="en-US"/>
                        </w:rPr>
                      </w:pPr>
                    </w:p>
                    <w:p w14:paraId="1F618FDF" w14:textId="68262B23" w:rsidR="00306EAD" w:rsidRPr="00BB3E43" w:rsidRDefault="00636610" w:rsidP="00E03337">
                      <w:pPr>
                        <w:spacing w:after="160" w:line="259" w:lineRule="auto"/>
                        <w:rPr>
                          <w:rFonts w:ascii="Tahoma" w:hAnsi="Tahoma" w:cs="Tahoma"/>
                          <w:b/>
                          <w:bCs/>
                          <w:color w:val="1F3864" w:themeColor="accent1" w:themeShade="80"/>
                          <w:sz w:val="32"/>
                          <w:szCs w:val="32"/>
                          <w:lang w:val="en-US"/>
                        </w:rPr>
                      </w:pPr>
                      <w:r w:rsidRPr="00BB3E43">
                        <w:rPr>
                          <w:rFonts w:ascii="Tahoma" w:hAnsi="Tahoma" w:cs="Tahoma"/>
                          <w:b/>
                          <w:bCs/>
                          <w:color w:val="1F3864" w:themeColor="accent1" w:themeShade="80"/>
                          <w:sz w:val="32"/>
                          <w:szCs w:val="32"/>
                          <w:lang w:val="en-US"/>
                        </w:rPr>
                        <w:t xml:space="preserve">PART </w:t>
                      </w:r>
                      <w:r w:rsidR="00306EAD" w:rsidRPr="00BB3E43">
                        <w:rPr>
                          <w:rFonts w:ascii="Tahoma" w:hAnsi="Tahoma" w:cs="Tahoma"/>
                          <w:b/>
                          <w:bCs/>
                          <w:color w:val="1F3864" w:themeColor="accent1" w:themeShade="80"/>
                          <w:sz w:val="32"/>
                          <w:szCs w:val="32"/>
                          <w:lang w:val="en-US"/>
                        </w:rPr>
                        <w:t>3</w:t>
                      </w:r>
                      <w:r w:rsidRPr="00BB3E43">
                        <w:rPr>
                          <w:rFonts w:ascii="Tahoma" w:hAnsi="Tahoma" w:cs="Tahoma"/>
                          <w:b/>
                          <w:bCs/>
                          <w:color w:val="1F3864" w:themeColor="accent1" w:themeShade="80"/>
                          <w:sz w:val="32"/>
                          <w:szCs w:val="32"/>
                          <w:lang w:val="en-US"/>
                        </w:rPr>
                        <w:t xml:space="preserve"> (OF 5) OF </w:t>
                      </w:r>
                      <w:r w:rsidR="00306EAD" w:rsidRPr="00BB3E43">
                        <w:rPr>
                          <w:rFonts w:ascii="Tahoma" w:hAnsi="Tahoma" w:cs="Tahoma"/>
                          <w:b/>
                          <w:bCs/>
                          <w:color w:val="1F3864" w:themeColor="accent1" w:themeShade="80"/>
                          <w:sz w:val="32"/>
                          <w:szCs w:val="32"/>
                          <w:lang w:val="en-US"/>
                        </w:rPr>
                        <w:t>DESK RESEARCH REPORT</w:t>
                      </w:r>
                    </w:p>
                    <w:p w14:paraId="31F00B7C" w14:textId="77777777" w:rsidR="00AD41F3" w:rsidRPr="00BB3E43" w:rsidRDefault="00AD41F3" w:rsidP="00E03337">
                      <w:pPr>
                        <w:spacing w:after="160" w:line="259" w:lineRule="auto"/>
                        <w:rPr>
                          <w:rFonts w:ascii="Tahoma" w:hAnsi="Tahoma" w:cs="Tahoma"/>
                          <w:b/>
                          <w:bCs/>
                          <w:color w:val="1F3864" w:themeColor="accent1" w:themeShade="80"/>
                          <w:sz w:val="32"/>
                          <w:szCs w:val="32"/>
                          <w:lang w:val="en-US"/>
                        </w:rPr>
                      </w:pPr>
                    </w:p>
                    <w:p w14:paraId="771D4A62" w14:textId="16C8D715" w:rsidR="00AC1A29" w:rsidRPr="00BB3E43" w:rsidRDefault="00AC1A29" w:rsidP="00E03337">
                      <w:pPr>
                        <w:spacing w:after="160" w:line="259" w:lineRule="auto"/>
                        <w:rPr>
                          <w:rFonts w:ascii="Tahoma" w:hAnsi="Tahoma" w:cs="Tahoma"/>
                          <w:b/>
                          <w:bCs/>
                          <w:color w:val="1F3864" w:themeColor="accent1" w:themeShade="80"/>
                          <w:sz w:val="32"/>
                          <w:szCs w:val="32"/>
                          <w:lang w:val="en-US"/>
                        </w:rPr>
                      </w:pPr>
                      <w:r w:rsidRPr="00BB3E43">
                        <w:rPr>
                          <w:rFonts w:ascii="Tahoma" w:hAnsi="Tahoma" w:cs="Tahoma"/>
                          <w:b/>
                          <w:bCs/>
                          <w:color w:val="1F3864" w:themeColor="accent1" w:themeShade="80"/>
                          <w:sz w:val="32"/>
                          <w:szCs w:val="32"/>
                          <w:lang w:val="en-US"/>
                        </w:rPr>
                        <w:t xml:space="preserve">ENERGY </w:t>
                      </w:r>
                      <w:r w:rsidR="003B2C11" w:rsidRPr="00BB3E43">
                        <w:rPr>
                          <w:rFonts w:ascii="Tahoma" w:hAnsi="Tahoma" w:cs="Tahoma"/>
                          <w:b/>
                          <w:bCs/>
                          <w:color w:val="1F3864" w:themeColor="accent1" w:themeShade="80"/>
                          <w:sz w:val="32"/>
                          <w:szCs w:val="32"/>
                          <w:lang w:val="en-US"/>
                        </w:rPr>
                        <w:t>SECTOR</w:t>
                      </w:r>
                      <w:bookmarkStart w:id="1" w:name="_GoBack"/>
                      <w:bookmarkEnd w:id="1"/>
                    </w:p>
                    <w:p w14:paraId="39BB9973" w14:textId="77777777" w:rsidR="00AC1A29" w:rsidRPr="00B74F3F" w:rsidRDefault="00AC1A29" w:rsidP="004573C7">
                      <w:pPr>
                        <w:jc w:val="center"/>
                        <w:rPr>
                          <w:b/>
                          <w:color w:val="FFFFFF" w:themeColor="background1"/>
                          <w:sz w:val="32"/>
                          <w:szCs w:val="32"/>
                        </w:rPr>
                      </w:pPr>
                    </w:p>
                  </w:txbxContent>
                </v:textbox>
                <w10:wrap type="square"/>
              </v:shape>
            </w:pict>
          </mc:Fallback>
        </mc:AlternateContent>
      </w:r>
      <w:r w:rsidR="00E03337" w:rsidRPr="00541471">
        <w:rPr>
          <w:rFonts w:cstheme="minorHAnsi"/>
          <w:noProof/>
          <w:sz w:val="22"/>
          <w:szCs w:val="22"/>
          <w:lang w:eastAsia="en-GB"/>
        </w:rPr>
        <w:drawing>
          <wp:anchor distT="0" distB="0" distL="114300" distR="114300" simplePos="0" relativeHeight="251705344" behindDoc="1" locked="0" layoutInCell="1" allowOverlap="1" wp14:anchorId="22DF17CF" wp14:editId="6E2EE705">
            <wp:simplePos x="0" y="0"/>
            <wp:positionH relativeFrom="page">
              <wp:align>left</wp:align>
            </wp:positionH>
            <wp:positionV relativeFrom="margin">
              <wp:posOffset>-174624</wp:posOffset>
            </wp:positionV>
            <wp:extent cx="7561580" cy="8820150"/>
            <wp:effectExtent l="0" t="0" r="1270" b="0"/>
            <wp:wrapNone/>
            <wp:docPr id="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7561580" cy="8820150"/>
                    </a:xfrm>
                    <a:prstGeom prst="rect">
                      <a:avLst/>
                    </a:prstGeom>
                  </pic:spPr>
                </pic:pic>
              </a:graphicData>
            </a:graphic>
            <wp14:sizeRelH relativeFrom="page">
              <wp14:pctWidth>0</wp14:pctWidth>
            </wp14:sizeRelH>
            <wp14:sizeRelV relativeFrom="page">
              <wp14:pctHeight>0</wp14:pctHeight>
            </wp14:sizeRelV>
          </wp:anchor>
        </w:drawing>
      </w:r>
      <w:r w:rsidR="004573C7" w:rsidRPr="00DC2ADB">
        <w:rPr>
          <w:rFonts w:cstheme="minorHAnsi"/>
          <w:lang w:val="tr-TR"/>
        </w:rPr>
        <w:br w:type="page"/>
      </w:r>
      <w:r w:rsidR="00E03337" w:rsidRPr="00541471">
        <w:rPr>
          <w:rFonts w:cstheme="minorHAnsi"/>
          <w:b/>
          <w:bCs/>
          <w:noProof/>
          <w:sz w:val="22"/>
          <w:szCs w:val="22"/>
          <w:lang w:eastAsia="en-GB"/>
        </w:rPr>
        <w:lastRenderedPageBreak/>
        <w:drawing>
          <wp:anchor distT="0" distB="0" distL="114300" distR="114300" simplePos="0" relativeHeight="251707392" behindDoc="1" locked="0" layoutInCell="1" allowOverlap="1" wp14:anchorId="0F9EC92B" wp14:editId="26AA72C2">
            <wp:simplePos x="0" y="0"/>
            <wp:positionH relativeFrom="page">
              <wp:align>left</wp:align>
            </wp:positionH>
            <wp:positionV relativeFrom="page">
              <wp:align>bottom</wp:align>
            </wp:positionV>
            <wp:extent cx="7560000" cy="10699362"/>
            <wp:effectExtent l="0" t="0" r="3175" b="6985"/>
            <wp:wrapNone/>
            <wp:docPr id="5"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9362"/>
                    </a:xfrm>
                    <a:prstGeom prst="rect">
                      <a:avLst/>
                    </a:prstGeom>
                  </pic:spPr>
                </pic:pic>
              </a:graphicData>
            </a:graphic>
            <wp14:sizeRelH relativeFrom="page">
              <wp14:pctWidth>0</wp14:pctWidth>
            </wp14:sizeRelH>
            <wp14:sizeRelV relativeFrom="page">
              <wp14:pctHeight>0</wp14:pctHeight>
            </wp14:sizeRelV>
          </wp:anchor>
        </w:drawing>
      </w:r>
      <w:r w:rsidR="002971D4">
        <w:rPr>
          <w:rFonts w:cstheme="minorHAnsi"/>
          <w:b/>
          <w:bCs/>
          <w:sz w:val="20"/>
          <w:szCs w:val="20"/>
          <w:lang w:val="en-US"/>
        </w:rPr>
        <w:br w:type="page"/>
      </w:r>
    </w:p>
    <w:p w14:paraId="5DED9D4C" w14:textId="77777777" w:rsidR="00026EA0" w:rsidRPr="00DC2ADB" w:rsidRDefault="00026EA0" w:rsidP="00026EA0">
      <w:pPr>
        <w:jc w:val="center"/>
        <w:rPr>
          <w:rFonts w:cstheme="minorHAnsi"/>
          <w:b/>
          <w:bCs/>
          <w:sz w:val="20"/>
          <w:szCs w:val="20"/>
          <w:lang w:val="en-US"/>
        </w:rPr>
      </w:pPr>
    </w:p>
    <w:p w14:paraId="068488AB" w14:textId="77777777" w:rsidR="00026EA0" w:rsidRPr="00DC2ADB" w:rsidRDefault="00026EA0" w:rsidP="00026EA0">
      <w:pPr>
        <w:jc w:val="center"/>
        <w:rPr>
          <w:rFonts w:cstheme="minorHAnsi"/>
          <w:b/>
          <w:bCs/>
          <w:sz w:val="20"/>
          <w:szCs w:val="20"/>
          <w:lang w:val="en-US"/>
        </w:rPr>
      </w:pPr>
    </w:p>
    <w:p w14:paraId="171ACB48" w14:textId="77777777" w:rsidR="00026EA0" w:rsidRPr="00DC2ADB" w:rsidRDefault="00026EA0" w:rsidP="00026EA0">
      <w:pPr>
        <w:jc w:val="center"/>
        <w:rPr>
          <w:rFonts w:cstheme="minorHAnsi"/>
          <w:b/>
          <w:bCs/>
          <w:sz w:val="20"/>
          <w:szCs w:val="20"/>
          <w:lang w:val="en-US"/>
        </w:rPr>
      </w:pPr>
    </w:p>
    <w:p w14:paraId="531DA240" w14:textId="77777777" w:rsidR="00026EA0" w:rsidRPr="00DC2ADB" w:rsidRDefault="00026EA0" w:rsidP="00026EA0">
      <w:pPr>
        <w:jc w:val="center"/>
        <w:rPr>
          <w:rFonts w:cstheme="minorHAnsi"/>
          <w:b/>
          <w:bCs/>
          <w:sz w:val="20"/>
          <w:szCs w:val="20"/>
          <w:lang w:val="en-US"/>
        </w:rPr>
      </w:pPr>
    </w:p>
    <w:p w14:paraId="4ADDE05E" w14:textId="77777777" w:rsidR="00026EA0" w:rsidRPr="00DC2ADB" w:rsidRDefault="00026EA0" w:rsidP="00026EA0">
      <w:pPr>
        <w:jc w:val="center"/>
        <w:rPr>
          <w:rFonts w:cstheme="minorHAnsi"/>
          <w:b/>
          <w:bCs/>
          <w:sz w:val="20"/>
          <w:szCs w:val="20"/>
          <w:lang w:val="en-US"/>
        </w:rPr>
      </w:pPr>
    </w:p>
    <w:p w14:paraId="2B2FA164" w14:textId="77777777" w:rsidR="00026EA0" w:rsidRPr="00DC2ADB" w:rsidRDefault="00026EA0" w:rsidP="00026EA0">
      <w:pPr>
        <w:jc w:val="center"/>
        <w:rPr>
          <w:rFonts w:cstheme="minorHAnsi"/>
          <w:b/>
          <w:bCs/>
          <w:sz w:val="20"/>
          <w:szCs w:val="20"/>
          <w:lang w:val="en-US"/>
        </w:rPr>
      </w:pPr>
    </w:p>
    <w:p w14:paraId="47646839" w14:textId="77777777" w:rsidR="00026EA0" w:rsidRPr="00DC2ADB" w:rsidRDefault="00026EA0" w:rsidP="00026EA0">
      <w:pPr>
        <w:jc w:val="center"/>
        <w:rPr>
          <w:rFonts w:cstheme="minorHAnsi"/>
          <w:b/>
          <w:bCs/>
          <w:sz w:val="20"/>
          <w:szCs w:val="20"/>
          <w:lang w:val="en-US"/>
        </w:rPr>
      </w:pPr>
    </w:p>
    <w:p w14:paraId="66E976AF" w14:textId="77777777" w:rsidR="00026EA0" w:rsidRPr="00DC2ADB" w:rsidRDefault="00026EA0" w:rsidP="00026EA0">
      <w:pPr>
        <w:jc w:val="center"/>
        <w:rPr>
          <w:rFonts w:cstheme="minorHAnsi"/>
          <w:b/>
          <w:bCs/>
          <w:sz w:val="20"/>
          <w:szCs w:val="20"/>
          <w:lang w:val="en-US"/>
        </w:rPr>
      </w:pPr>
    </w:p>
    <w:p w14:paraId="797DB650" w14:textId="77777777" w:rsidR="00026EA0" w:rsidRPr="00DC2ADB" w:rsidRDefault="00026EA0" w:rsidP="00026EA0">
      <w:pPr>
        <w:jc w:val="center"/>
        <w:rPr>
          <w:rFonts w:cstheme="minorHAnsi"/>
          <w:b/>
          <w:bCs/>
          <w:sz w:val="20"/>
          <w:szCs w:val="20"/>
          <w:lang w:val="en-US"/>
        </w:rPr>
      </w:pPr>
    </w:p>
    <w:p w14:paraId="259713C8" w14:textId="77777777" w:rsidR="00026EA0" w:rsidRPr="00DC2ADB" w:rsidRDefault="00026EA0" w:rsidP="00026EA0">
      <w:pPr>
        <w:jc w:val="center"/>
        <w:rPr>
          <w:rFonts w:cstheme="minorHAnsi"/>
          <w:b/>
          <w:bCs/>
          <w:sz w:val="20"/>
          <w:szCs w:val="20"/>
          <w:lang w:val="en-US"/>
        </w:rPr>
      </w:pPr>
    </w:p>
    <w:p w14:paraId="7996FBBE" w14:textId="66C819EA" w:rsidR="00026EA0" w:rsidRPr="00DC2ADB" w:rsidRDefault="00026EA0" w:rsidP="00026EA0">
      <w:pPr>
        <w:jc w:val="center"/>
        <w:rPr>
          <w:rFonts w:cstheme="minorHAnsi"/>
          <w:b/>
          <w:bCs/>
          <w:sz w:val="20"/>
          <w:szCs w:val="20"/>
          <w:lang w:val="en-US"/>
        </w:rPr>
      </w:pPr>
      <w:r w:rsidRPr="00DC2ADB">
        <w:rPr>
          <w:rFonts w:cstheme="minorHAnsi"/>
          <w:b/>
          <w:bCs/>
          <w:sz w:val="20"/>
          <w:szCs w:val="20"/>
          <w:lang w:val="en-US"/>
        </w:rPr>
        <w:t>TECHNICAL ASSISTANCE FOR PROMOTING DECENT FUTURE OF</w:t>
      </w:r>
    </w:p>
    <w:p w14:paraId="56A5B76B" w14:textId="01BFB229" w:rsidR="00026EA0" w:rsidRPr="00DC2ADB" w:rsidRDefault="00026EA0" w:rsidP="00F001DF">
      <w:pPr>
        <w:spacing w:after="160" w:line="276" w:lineRule="auto"/>
        <w:jc w:val="center"/>
        <w:rPr>
          <w:rFonts w:cstheme="minorHAnsi"/>
          <w:b/>
          <w:bCs/>
          <w:sz w:val="20"/>
          <w:szCs w:val="20"/>
          <w:lang w:val="en-US"/>
        </w:rPr>
      </w:pPr>
      <w:r w:rsidRPr="00DC2ADB">
        <w:rPr>
          <w:rFonts w:cstheme="minorHAnsi"/>
          <w:b/>
          <w:bCs/>
          <w:sz w:val="20"/>
          <w:szCs w:val="20"/>
          <w:lang w:val="en-US"/>
        </w:rPr>
        <w:t>WORK APPROACH WITH A FOCUS ON GENDER EQUALITY</w:t>
      </w:r>
      <w:r w:rsidRPr="00DC2ADB">
        <w:rPr>
          <w:rFonts w:cstheme="minorHAnsi"/>
          <w:b/>
          <w:bCs/>
          <w:sz w:val="20"/>
          <w:szCs w:val="20"/>
          <w:lang w:val="en-US"/>
        </w:rPr>
        <w:br/>
      </w:r>
      <w:r w:rsidRPr="00DC2ADB">
        <w:rPr>
          <w:rFonts w:cstheme="minorHAnsi"/>
          <w:b/>
          <w:bCs/>
          <w:sz w:val="20"/>
          <w:szCs w:val="20"/>
          <w:lang w:val="en-US"/>
        </w:rPr>
        <w:br/>
        <w:t>(EuropeAid/140341/IH/SER/TR)</w:t>
      </w:r>
    </w:p>
    <w:p w14:paraId="2E7A5FE2" w14:textId="09EDF7FA" w:rsidR="00026EA0" w:rsidRPr="00DC2ADB" w:rsidRDefault="007745AE" w:rsidP="00026EA0">
      <w:pPr>
        <w:spacing w:after="160" w:line="276" w:lineRule="auto"/>
        <w:jc w:val="center"/>
        <w:rPr>
          <w:rFonts w:cstheme="minorHAnsi"/>
          <w:sz w:val="20"/>
          <w:szCs w:val="20"/>
          <w:lang w:val="en-US"/>
        </w:rPr>
      </w:pPr>
      <w:r>
        <w:rPr>
          <w:rFonts w:cstheme="minorHAnsi"/>
          <w:b/>
          <w:bCs/>
          <w:sz w:val="20"/>
          <w:szCs w:val="20"/>
          <w:lang w:val="en-US"/>
        </w:rPr>
        <w:t>TÜRKIYE</w:t>
      </w:r>
    </w:p>
    <w:p w14:paraId="27BD3D0A" w14:textId="589A3F6D" w:rsidR="00026EA0" w:rsidRDefault="00026EA0" w:rsidP="00026EA0">
      <w:pPr>
        <w:spacing w:after="160" w:line="276" w:lineRule="auto"/>
        <w:jc w:val="center"/>
        <w:rPr>
          <w:rFonts w:cstheme="minorHAnsi"/>
          <w:sz w:val="20"/>
          <w:szCs w:val="20"/>
          <w:lang w:val="en-US"/>
        </w:rPr>
      </w:pPr>
    </w:p>
    <w:p w14:paraId="3080174F" w14:textId="77777777" w:rsidR="00F001DF" w:rsidRPr="00DC2ADB" w:rsidRDefault="00F001DF" w:rsidP="00026EA0">
      <w:pPr>
        <w:spacing w:after="160" w:line="276" w:lineRule="auto"/>
        <w:jc w:val="center"/>
        <w:rPr>
          <w:rFonts w:cstheme="minorHAnsi"/>
          <w:sz w:val="20"/>
          <w:szCs w:val="20"/>
          <w:lang w:val="en-US"/>
        </w:rPr>
      </w:pPr>
    </w:p>
    <w:p w14:paraId="21DB7D9B" w14:textId="3BF2AE5F" w:rsidR="00026EA0" w:rsidRPr="00DC2ADB" w:rsidRDefault="00F001DF" w:rsidP="00026EA0">
      <w:pPr>
        <w:spacing w:after="160" w:line="276" w:lineRule="auto"/>
        <w:jc w:val="center"/>
        <w:rPr>
          <w:rFonts w:cstheme="minorHAnsi"/>
          <w:b/>
          <w:bCs/>
          <w:sz w:val="20"/>
          <w:szCs w:val="20"/>
          <w:lang w:val="en-US"/>
        </w:rPr>
      </w:pPr>
      <w:r>
        <w:rPr>
          <w:rFonts w:cstheme="minorHAnsi"/>
          <w:b/>
          <w:bCs/>
          <w:sz w:val="20"/>
          <w:szCs w:val="20"/>
          <w:lang w:val="en-US"/>
        </w:rPr>
        <w:t xml:space="preserve">QUANTITATIVE DESK RESEARCH </w:t>
      </w:r>
      <w:r w:rsidR="00026EA0" w:rsidRPr="00DC2ADB">
        <w:rPr>
          <w:rFonts w:cstheme="minorHAnsi"/>
          <w:b/>
          <w:bCs/>
          <w:sz w:val="20"/>
          <w:szCs w:val="20"/>
          <w:lang w:val="en-US"/>
        </w:rPr>
        <w:t>REPORT</w:t>
      </w:r>
    </w:p>
    <w:p w14:paraId="7C6E5608" w14:textId="77777777" w:rsidR="00026EA0" w:rsidRPr="00DC2ADB" w:rsidRDefault="00026EA0" w:rsidP="00026EA0">
      <w:pPr>
        <w:spacing w:after="160" w:line="276" w:lineRule="auto"/>
        <w:jc w:val="center"/>
        <w:rPr>
          <w:rFonts w:cstheme="minorHAnsi"/>
          <w:sz w:val="20"/>
          <w:szCs w:val="20"/>
          <w:lang w:val="en-US"/>
        </w:rPr>
      </w:pPr>
    </w:p>
    <w:p w14:paraId="2FE76FFC" w14:textId="29216118" w:rsidR="00026EA0" w:rsidRPr="00DC2ADB" w:rsidRDefault="00F001DF" w:rsidP="00026EA0">
      <w:pPr>
        <w:spacing w:after="160" w:line="276" w:lineRule="auto"/>
        <w:jc w:val="center"/>
        <w:rPr>
          <w:rFonts w:cstheme="minorHAnsi"/>
          <w:b/>
          <w:bCs/>
          <w:sz w:val="20"/>
          <w:szCs w:val="20"/>
          <w:lang w:val="en-US"/>
        </w:rPr>
      </w:pPr>
      <w:r>
        <w:rPr>
          <w:rFonts w:cstheme="minorHAnsi"/>
          <w:b/>
          <w:bCs/>
          <w:sz w:val="20"/>
          <w:szCs w:val="20"/>
          <w:lang w:val="en-US"/>
        </w:rPr>
        <w:t>E</w:t>
      </w:r>
      <w:r w:rsidR="00AC1A29">
        <w:rPr>
          <w:rFonts w:cstheme="minorHAnsi"/>
          <w:b/>
          <w:bCs/>
          <w:sz w:val="20"/>
          <w:szCs w:val="20"/>
          <w:lang w:val="en-US"/>
        </w:rPr>
        <w:t>NERGY</w:t>
      </w:r>
      <w:r>
        <w:rPr>
          <w:rFonts w:cstheme="minorHAnsi"/>
          <w:b/>
          <w:bCs/>
          <w:sz w:val="20"/>
          <w:szCs w:val="20"/>
          <w:lang w:val="en-US"/>
        </w:rPr>
        <w:t xml:space="preserve"> SECTOR</w:t>
      </w:r>
    </w:p>
    <w:p w14:paraId="7D0ADC68" w14:textId="191F4FB6" w:rsidR="00026EA0" w:rsidRPr="00DC2ADB" w:rsidRDefault="00026EA0">
      <w:pPr>
        <w:rPr>
          <w:rFonts w:cstheme="minorHAnsi"/>
        </w:rPr>
      </w:pPr>
    </w:p>
    <w:p w14:paraId="6141C877" w14:textId="33B464C8" w:rsidR="00026EA0" w:rsidRPr="00DC2ADB" w:rsidRDefault="00026EA0">
      <w:pPr>
        <w:rPr>
          <w:rFonts w:cstheme="minorHAnsi"/>
        </w:rPr>
      </w:pPr>
    </w:p>
    <w:p w14:paraId="2A8B278C" w14:textId="5705BCE1" w:rsidR="008F6744" w:rsidRDefault="008F6744">
      <w:pPr>
        <w:rPr>
          <w:rFonts w:cstheme="minorHAnsi"/>
        </w:rPr>
      </w:pPr>
      <w:r>
        <w:rPr>
          <w:rFonts w:cstheme="minorHAnsi"/>
        </w:rPr>
        <w:br w:type="page"/>
      </w:r>
    </w:p>
    <w:p w14:paraId="122BD530" w14:textId="77777777" w:rsidR="00026EA0" w:rsidRPr="00DC2ADB" w:rsidRDefault="00026EA0">
      <w:pPr>
        <w:rPr>
          <w:rFonts w:cstheme="minorHAnsi"/>
        </w:rPr>
      </w:pPr>
    </w:p>
    <w:p w14:paraId="341C540F" w14:textId="77777777" w:rsidR="00026EA0" w:rsidRPr="00DC2ADB" w:rsidRDefault="00026EA0">
      <w:pPr>
        <w:rPr>
          <w:rFonts w:cstheme="minorHAnsi"/>
        </w:rPr>
      </w:pPr>
    </w:p>
    <w:p w14:paraId="32618BC0" w14:textId="77777777" w:rsidR="00026EA0" w:rsidRPr="00DC2ADB" w:rsidRDefault="00026EA0">
      <w:pPr>
        <w:rPr>
          <w:rFonts w:cstheme="minorHAnsi"/>
        </w:rPr>
      </w:pPr>
    </w:p>
    <w:p w14:paraId="18FC4621" w14:textId="77777777" w:rsidR="002971D4" w:rsidRDefault="00026EA0" w:rsidP="00DB6A3C">
      <w:pPr>
        <w:pStyle w:val="TOCHeading"/>
        <w:rPr>
          <w:rFonts w:cstheme="minorHAnsi"/>
        </w:rPr>
      </w:pPr>
      <w:r w:rsidRPr="00DC2ADB">
        <w:rPr>
          <w:rFonts w:cstheme="minorHAnsi"/>
        </w:rPr>
        <w:br w:type="page"/>
      </w:r>
    </w:p>
    <w:sdt>
      <w:sdtPr>
        <w:rPr>
          <w:rFonts w:asciiTheme="minorHAnsi" w:eastAsiaTheme="minorHAnsi" w:hAnsiTheme="minorHAnsi" w:cstheme="minorBidi"/>
          <w:color w:val="auto"/>
          <w:sz w:val="24"/>
          <w:szCs w:val="24"/>
          <w:lang w:val="en-GB"/>
        </w:rPr>
        <w:id w:val="-1150980547"/>
        <w:docPartObj>
          <w:docPartGallery w:val="Table of Contents"/>
          <w:docPartUnique/>
        </w:docPartObj>
      </w:sdtPr>
      <w:sdtEndPr>
        <w:rPr>
          <w:b/>
          <w:bCs/>
          <w:noProof/>
        </w:rPr>
      </w:sdtEndPr>
      <w:sdtContent>
        <w:p w14:paraId="69F6D0C2" w14:textId="4455A8A0" w:rsidR="007A52E6" w:rsidRDefault="007A52E6">
          <w:pPr>
            <w:pStyle w:val="TOCHeading"/>
          </w:pPr>
          <w:r>
            <w:t>Table of Contents</w:t>
          </w:r>
        </w:p>
        <w:p w14:paraId="17F44028" w14:textId="6B818DDD" w:rsidR="007A52E6" w:rsidRDefault="007A52E6">
          <w:pPr>
            <w:pStyle w:val="TOC1"/>
            <w:tabs>
              <w:tab w:val="right" w:leader="dot" w:pos="9054"/>
            </w:tabs>
            <w:rPr>
              <w:rFonts w:eastAsiaTheme="minorEastAsia" w:cstheme="minorBidi"/>
              <w:b w:val="0"/>
              <w:bCs w:val="0"/>
              <w:noProof/>
              <w:sz w:val="22"/>
              <w:szCs w:val="22"/>
              <w:lang w:eastAsia="en-GB"/>
            </w:rPr>
          </w:pPr>
          <w:r>
            <w:fldChar w:fldCharType="begin"/>
          </w:r>
          <w:r>
            <w:instrText xml:space="preserve"> TOC \o "1-3" \h \z \u </w:instrText>
          </w:r>
          <w:r>
            <w:fldChar w:fldCharType="separate"/>
          </w:r>
          <w:hyperlink w:anchor="_Toc118121241" w:history="1">
            <w:r w:rsidRPr="00CB5449">
              <w:rPr>
                <w:rStyle w:val="Hyperlink"/>
                <w:noProof/>
              </w:rPr>
              <w:t>LIST OF ABBREVIATIONS</w:t>
            </w:r>
            <w:r>
              <w:rPr>
                <w:noProof/>
                <w:webHidden/>
              </w:rPr>
              <w:tab/>
            </w:r>
            <w:r>
              <w:rPr>
                <w:noProof/>
                <w:webHidden/>
              </w:rPr>
              <w:fldChar w:fldCharType="begin"/>
            </w:r>
            <w:r>
              <w:rPr>
                <w:noProof/>
                <w:webHidden/>
              </w:rPr>
              <w:instrText xml:space="preserve"> PAGEREF _Toc118121241 \h </w:instrText>
            </w:r>
            <w:r>
              <w:rPr>
                <w:noProof/>
                <w:webHidden/>
              </w:rPr>
            </w:r>
            <w:r>
              <w:rPr>
                <w:noProof/>
                <w:webHidden/>
              </w:rPr>
              <w:fldChar w:fldCharType="separate"/>
            </w:r>
            <w:r>
              <w:rPr>
                <w:noProof/>
                <w:webHidden/>
              </w:rPr>
              <w:t>5</w:t>
            </w:r>
            <w:r>
              <w:rPr>
                <w:noProof/>
                <w:webHidden/>
              </w:rPr>
              <w:fldChar w:fldCharType="end"/>
            </w:r>
          </w:hyperlink>
        </w:p>
        <w:p w14:paraId="104DEC9E" w14:textId="026CC2E8" w:rsidR="007A52E6" w:rsidRDefault="00736CB4">
          <w:pPr>
            <w:pStyle w:val="TOC1"/>
            <w:tabs>
              <w:tab w:val="right" w:leader="dot" w:pos="9054"/>
            </w:tabs>
            <w:rPr>
              <w:rFonts w:eastAsiaTheme="minorEastAsia" w:cstheme="minorBidi"/>
              <w:b w:val="0"/>
              <w:bCs w:val="0"/>
              <w:noProof/>
              <w:sz w:val="22"/>
              <w:szCs w:val="22"/>
              <w:lang w:eastAsia="en-GB"/>
            </w:rPr>
          </w:pPr>
          <w:hyperlink w:anchor="_Toc118121242" w:history="1">
            <w:r w:rsidR="007A52E6" w:rsidRPr="00CB5449">
              <w:rPr>
                <w:rStyle w:val="Hyperlink"/>
                <w:noProof/>
              </w:rPr>
              <w:t>1. EXECUTIVE SUMMARY</w:t>
            </w:r>
            <w:r w:rsidR="007A52E6">
              <w:rPr>
                <w:noProof/>
                <w:webHidden/>
              </w:rPr>
              <w:tab/>
            </w:r>
            <w:r w:rsidR="007A52E6">
              <w:rPr>
                <w:noProof/>
                <w:webHidden/>
              </w:rPr>
              <w:fldChar w:fldCharType="begin"/>
            </w:r>
            <w:r w:rsidR="007A52E6">
              <w:rPr>
                <w:noProof/>
                <w:webHidden/>
              </w:rPr>
              <w:instrText xml:space="preserve"> PAGEREF _Toc118121242 \h </w:instrText>
            </w:r>
            <w:r w:rsidR="007A52E6">
              <w:rPr>
                <w:noProof/>
                <w:webHidden/>
              </w:rPr>
            </w:r>
            <w:r w:rsidR="007A52E6">
              <w:rPr>
                <w:noProof/>
                <w:webHidden/>
              </w:rPr>
              <w:fldChar w:fldCharType="separate"/>
            </w:r>
            <w:r w:rsidR="007A52E6">
              <w:rPr>
                <w:noProof/>
                <w:webHidden/>
              </w:rPr>
              <w:t>6</w:t>
            </w:r>
            <w:r w:rsidR="007A52E6">
              <w:rPr>
                <w:noProof/>
                <w:webHidden/>
              </w:rPr>
              <w:fldChar w:fldCharType="end"/>
            </w:r>
          </w:hyperlink>
        </w:p>
        <w:p w14:paraId="187B11B6" w14:textId="6F4C78BF" w:rsidR="007A52E6" w:rsidRDefault="00736CB4">
          <w:pPr>
            <w:pStyle w:val="TOC1"/>
            <w:tabs>
              <w:tab w:val="right" w:leader="dot" w:pos="9054"/>
            </w:tabs>
            <w:rPr>
              <w:rFonts w:eastAsiaTheme="minorEastAsia" w:cstheme="minorBidi"/>
              <w:b w:val="0"/>
              <w:bCs w:val="0"/>
              <w:noProof/>
              <w:sz w:val="22"/>
              <w:szCs w:val="22"/>
              <w:lang w:eastAsia="en-GB"/>
            </w:rPr>
          </w:pPr>
          <w:hyperlink w:anchor="_Toc118121243" w:history="1">
            <w:r w:rsidR="007A52E6" w:rsidRPr="00CB5449">
              <w:rPr>
                <w:rStyle w:val="Hyperlink"/>
                <w:noProof/>
              </w:rPr>
              <w:t>2. INTRODUCTION</w:t>
            </w:r>
            <w:r w:rsidR="007A52E6">
              <w:rPr>
                <w:noProof/>
                <w:webHidden/>
              </w:rPr>
              <w:tab/>
            </w:r>
            <w:r w:rsidR="007A52E6">
              <w:rPr>
                <w:noProof/>
                <w:webHidden/>
              </w:rPr>
              <w:fldChar w:fldCharType="begin"/>
            </w:r>
            <w:r w:rsidR="007A52E6">
              <w:rPr>
                <w:noProof/>
                <w:webHidden/>
              </w:rPr>
              <w:instrText xml:space="preserve"> PAGEREF _Toc118121243 \h </w:instrText>
            </w:r>
            <w:r w:rsidR="007A52E6">
              <w:rPr>
                <w:noProof/>
                <w:webHidden/>
              </w:rPr>
            </w:r>
            <w:r w:rsidR="007A52E6">
              <w:rPr>
                <w:noProof/>
                <w:webHidden/>
              </w:rPr>
              <w:fldChar w:fldCharType="separate"/>
            </w:r>
            <w:r w:rsidR="007A52E6">
              <w:rPr>
                <w:noProof/>
                <w:webHidden/>
              </w:rPr>
              <w:t>8</w:t>
            </w:r>
            <w:r w:rsidR="007A52E6">
              <w:rPr>
                <w:noProof/>
                <w:webHidden/>
              </w:rPr>
              <w:fldChar w:fldCharType="end"/>
            </w:r>
          </w:hyperlink>
        </w:p>
        <w:p w14:paraId="44634251" w14:textId="5A6F6435" w:rsidR="007A52E6" w:rsidRDefault="00736CB4">
          <w:pPr>
            <w:pStyle w:val="TOC1"/>
            <w:tabs>
              <w:tab w:val="right" w:leader="dot" w:pos="9054"/>
            </w:tabs>
            <w:rPr>
              <w:rFonts w:eastAsiaTheme="minorEastAsia" w:cstheme="minorBidi"/>
              <w:b w:val="0"/>
              <w:bCs w:val="0"/>
              <w:noProof/>
              <w:sz w:val="22"/>
              <w:szCs w:val="22"/>
              <w:lang w:eastAsia="en-GB"/>
            </w:rPr>
          </w:pPr>
          <w:hyperlink w:anchor="_Toc118121244" w:history="1">
            <w:r w:rsidR="007A52E6" w:rsidRPr="00CB5449">
              <w:rPr>
                <w:rStyle w:val="Hyperlink"/>
                <w:noProof/>
              </w:rPr>
              <w:t>3. ECONOMIC DATA</w:t>
            </w:r>
            <w:r w:rsidR="007A52E6">
              <w:rPr>
                <w:noProof/>
                <w:webHidden/>
              </w:rPr>
              <w:tab/>
            </w:r>
            <w:r w:rsidR="007A52E6">
              <w:rPr>
                <w:noProof/>
                <w:webHidden/>
              </w:rPr>
              <w:fldChar w:fldCharType="begin"/>
            </w:r>
            <w:r w:rsidR="007A52E6">
              <w:rPr>
                <w:noProof/>
                <w:webHidden/>
              </w:rPr>
              <w:instrText xml:space="preserve"> PAGEREF _Toc118121244 \h </w:instrText>
            </w:r>
            <w:r w:rsidR="007A52E6">
              <w:rPr>
                <w:noProof/>
                <w:webHidden/>
              </w:rPr>
            </w:r>
            <w:r w:rsidR="007A52E6">
              <w:rPr>
                <w:noProof/>
                <w:webHidden/>
              </w:rPr>
              <w:fldChar w:fldCharType="separate"/>
            </w:r>
            <w:r w:rsidR="007A52E6">
              <w:rPr>
                <w:noProof/>
                <w:webHidden/>
              </w:rPr>
              <w:t>11</w:t>
            </w:r>
            <w:r w:rsidR="007A52E6">
              <w:rPr>
                <w:noProof/>
                <w:webHidden/>
              </w:rPr>
              <w:fldChar w:fldCharType="end"/>
            </w:r>
          </w:hyperlink>
        </w:p>
        <w:p w14:paraId="2EF3F70B" w14:textId="32F43167" w:rsidR="007A52E6" w:rsidRDefault="00736CB4">
          <w:pPr>
            <w:pStyle w:val="TOC1"/>
            <w:tabs>
              <w:tab w:val="right" w:leader="dot" w:pos="9054"/>
            </w:tabs>
            <w:rPr>
              <w:rFonts w:eastAsiaTheme="minorEastAsia" w:cstheme="minorBidi"/>
              <w:b w:val="0"/>
              <w:bCs w:val="0"/>
              <w:noProof/>
              <w:sz w:val="22"/>
              <w:szCs w:val="22"/>
              <w:lang w:eastAsia="en-GB"/>
            </w:rPr>
          </w:pPr>
          <w:hyperlink w:anchor="_Toc118121245" w:history="1">
            <w:r w:rsidR="007A52E6" w:rsidRPr="00CB5449">
              <w:rPr>
                <w:rStyle w:val="Hyperlink"/>
                <w:noProof/>
              </w:rPr>
              <w:t>4. EMPLOYMENT</w:t>
            </w:r>
            <w:r w:rsidR="007A52E6">
              <w:rPr>
                <w:noProof/>
                <w:webHidden/>
              </w:rPr>
              <w:tab/>
            </w:r>
            <w:r w:rsidR="007A52E6">
              <w:rPr>
                <w:noProof/>
                <w:webHidden/>
              </w:rPr>
              <w:fldChar w:fldCharType="begin"/>
            </w:r>
            <w:r w:rsidR="007A52E6">
              <w:rPr>
                <w:noProof/>
                <w:webHidden/>
              </w:rPr>
              <w:instrText xml:space="preserve"> PAGEREF _Toc118121245 \h </w:instrText>
            </w:r>
            <w:r w:rsidR="007A52E6">
              <w:rPr>
                <w:noProof/>
                <w:webHidden/>
              </w:rPr>
            </w:r>
            <w:r w:rsidR="007A52E6">
              <w:rPr>
                <w:noProof/>
                <w:webHidden/>
              </w:rPr>
              <w:fldChar w:fldCharType="separate"/>
            </w:r>
            <w:r w:rsidR="007A52E6">
              <w:rPr>
                <w:noProof/>
                <w:webHidden/>
              </w:rPr>
              <w:t>24</w:t>
            </w:r>
            <w:r w:rsidR="007A52E6">
              <w:rPr>
                <w:noProof/>
                <w:webHidden/>
              </w:rPr>
              <w:fldChar w:fldCharType="end"/>
            </w:r>
          </w:hyperlink>
        </w:p>
        <w:p w14:paraId="60591DC3" w14:textId="6AC51D0C" w:rsidR="007A52E6" w:rsidRDefault="00736CB4">
          <w:pPr>
            <w:pStyle w:val="TOC1"/>
            <w:tabs>
              <w:tab w:val="right" w:leader="dot" w:pos="9054"/>
            </w:tabs>
            <w:rPr>
              <w:rFonts w:eastAsiaTheme="minorEastAsia" w:cstheme="minorBidi"/>
              <w:b w:val="0"/>
              <w:bCs w:val="0"/>
              <w:noProof/>
              <w:sz w:val="22"/>
              <w:szCs w:val="22"/>
              <w:lang w:eastAsia="en-GB"/>
            </w:rPr>
          </w:pPr>
          <w:hyperlink w:anchor="_Toc118121246" w:history="1">
            <w:r w:rsidR="007A52E6" w:rsidRPr="00CB5449">
              <w:rPr>
                <w:rStyle w:val="Hyperlink"/>
                <w:rFonts w:eastAsia="Calibri"/>
                <w:noProof/>
              </w:rPr>
              <w:t>5. EDUCATION RELATED TO EMPLOYMENT IN THE SECTOR</w:t>
            </w:r>
            <w:r w:rsidR="007A52E6">
              <w:rPr>
                <w:noProof/>
                <w:webHidden/>
              </w:rPr>
              <w:tab/>
            </w:r>
            <w:r w:rsidR="007A52E6">
              <w:rPr>
                <w:noProof/>
                <w:webHidden/>
              </w:rPr>
              <w:fldChar w:fldCharType="begin"/>
            </w:r>
            <w:r w:rsidR="007A52E6">
              <w:rPr>
                <w:noProof/>
                <w:webHidden/>
              </w:rPr>
              <w:instrText xml:space="preserve"> PAGEREF _Toc118121246 \h </w:instrText>
            </w:r>
            <w:r w:rsidR="007A52E6">
              <w:rPr>
                <w:noProof/>
                <w:webHidden/>
              </w:rPr>
            </w:r>
            <w:r w:rsidR="007A52E6">
              <w:rPr>
                <w:noProof/>
                <w:webHidden/>
              </w:rPr>
              <w:fldChar w:fldCharType="separate"/>
            </w:r>
            <w:r w:rsidR="007A52E6">
              <w:rPr>
                <w:noProof/>
                <w:webHidden/>
              </w:rPr>
              <w:t>26</w:t>
            </w:r>
            <w:r w:rsidR="007A52E6">
              <w:rPr>
                <w:noProof/>
                <w:webHidden/>
              </w:rPr>
              <w:fldChar w:fldCharType="end"/>
            </w:r>
          </w:hyperlink>
        </w:p>
        <w:p w14:paraId="55D7A797" w14:textId="27031FB0" w:rsidR="007A52E6" w:rsidRDefault="00736CB4">
          <w:pPr>
            <w:pStyle w:val="TOC1"/>
            <w:tabs>
              <w:tab w:val="right" w:leader="dot" w:pos="9054"/>
            </w:tabs>
            <w:rPr>
              <w:rFonts w:eastAsiaTheme="minorEastAsia" w:cstheme="minorBidi"/>
              <w:b w:val="0"/>
              <w:bCs w:val="0"/>
              <w:noProof/>
              <w:sz w:val="22"/>
              <w:szCs w:val="22"/>
              <w:lang w:eastAsia="en-GB"/>
            </w:rPr>
          </w:pPr>
          <w:hyperlink w:anchor="_Toc118121247" w:history="1">
            <w:r w:rsidR="007A52E6" w:rsidRPr="00CB5449">
              <w:rPr>
                <w:rStyle w:val="Hyperlink"/>
                <w:rFonts w:eastAsia="Calibri"/>
                <w:noProof/>
              </w:rPr>
              <w:t>6. ANALYSIS OF THE MARKET</w:t>
            </w:r>
            <w:r w:rsidR="007A52E6">
              <w:rPr>
                <w:noProof/>
                <w:webHidden/>
              </w:rPr>
              <w:tab/>
            </w:r>
            <w:r w:rsidR="007A52E6">
              <w:rPr>
                <w:noProof/>
                <w:webHidden/>
              </w:rPr>
              <w:fldChar w:fldCharType="begin"/>
            </w:r>
            <w:r w:rsidR="007A52E6">
              <w:rPr>
                <w:noProof/>
                <w:webHidden/>
              </w:rPr>
              <w:instrText xml:space="preserve"> PAGEREF _Toc118121247 \h </w:instrText>
            </w:r>
            <w:r w:rsidR="007A52E6">
              <w:rPr>
                <w:noProof/>
                <w:webHidden/>
              </w:rPr>
            </w:r>
            <w:r w:rsidR="007A52E6">
              <w:rPr>
                <w:noProof/>
                <w:webHidden/>
              </w:rPr>
              <w:fldChar w:fldCharType="separate"/>
            </w:r>
            <w:r w:rsidR="007A52E6">
              <w:rPr>
                <w:noProof/>
                <w:webHidden/>
              </w:rPr>
              <w:t>27</w:t>
            </w:r>
            <w:r w:rsidR="007A52E6">
              <w:rPr>
                <w:noProof/>
                <w:webHidden/>
              </w:rPr>
              <w:fldChar w:fldCharType="end"/>
            </w:r>
          </w:hyperlink>
        </w:p>
        <w:p w14:paraId="4D453F52" w14:textId="78A31CC5" w:rsidR="007A52E6" w:rsidRDefault="00736CB4">
          <w:pPr>
            <w:pStyle w:val="TOC1"/>
            <w:tabs>
              <w:tab w:val="right" w:leader="dot" w:pos="9054"/>
            </w:tabs>
            <w:rPr>
              <w:rFonts w:eastAsiaTheme="minorEastAsia" w:cstheme="minorBidi"/>
              <w:b w:val="0"/>
              <w:bCs w:val="0"/>
              <w:noProof/>
              <w:sz w:val="22"/>
              <w:szCs w:val="22"/>
              <w:lang w:eastAsia="en-GB"/>
            </w:rPr>
          </w:pPr>
          <w:hyperlink w:anchor="_Toc118121248" w:history="1">
            <w:r w:rsidR="007A52E6" w:rsidRPr="00CB5449">
              <w:rPr>
                <w:rStyle w:val="Hyperlink"/>
                <w:noProof/>
                <w:lang w:val="en-US"/>
              </w:rPr>
              <w:t>7. ENERGY SECTOR FACTSHEET</w:t>
            </w:r>
            <w:r w:rsidR="007A52E6">
              <w:rPr>
                <w:noProof/>
                <w:webHidden/>
              </w:rPr>
              <w:tab/>
            </w:r>
            <w:r w:rsidR="007A52E6">
              <w:rPr>
                <w:noProof/>
                <w:webHidden/>
              </w:rPr>
              <w:fldChar w:fldCharType="begin"/>
            </w:r>
            <w:r w:rsidR="007A52E6">
              <w:rPr>
                <w:noProof/>
                <w:webHidden/>
              </w:rPr>
              <w:instrText xml:space="preserve"> PAGEREF _Toc118121248 \h </w:instrText>
            </w:r>
            <w:r w:rsidR="007A52E6">
              <w:rPr>
                <w:noProof/>
                <w:webHidden/>
              </w:rPr>
            </w:r>
            <w:r w:rsidR="007A52E6">
              <w:rPr>
                <w:noProof/>
                <w:webHidden/>
              </w:rPr>
              <w:fldChar w:fldCharType="separate"/>
            </w:r>
            <w:r w:rsidR="007A52E6">
              <w:rPr>
                <w:noProof/>
                <w:webHidden/>
              </w:rPr>
              <w:t>29</w:t>
            </w:r>
            <w:r w:rsidR="007A52E6">
              <w:rPr>
                <w:noProof/>
                <w:webHidden/>
              </w:rPr>
              <w:fldChar w:fldCharType="end"/>
            </w:r>
          </w:hyperlink>
        </w:p>
        <w:p w14:paraId="749B031B" w14:textId="3528C3E4" w:rsidR="007A52E6" w:rsidRDefault="00736CB4">
          <w:pPr>
            <w:pStyle w:val="TOC1"/>
            <w:tabs>
              <w:tab w:val="right" w:leader="dot" w:pos="9054"/>
            </w:tabs>
            <w:rPr>
              <w:rFonts w:eastAsiaTheme="minorEastAsia" w:cstheme="minorBidi"/>
              <w:b w:val="0"/>
              <w:bCs w:val="0"/>
              <w:noProof/>
              <w:sz w:val="22"/>
              <w:szCs w:val="22"/>
              <w:lang w:eastAsia="en-GB"/>
            </w:rPr>
          </w:pPr>
          <w:hyperlink w:anchor="_Toc118121249" w:history="1">
            <w:r w:rsidR="007A52E6" w:rsidRPr="00CB5449">
              <w:rPr>
                <w:rStyle w:val="Hyperlink"/>
                <w:noProof/>
              </w:rPr>
              <w:t>8. BIBLIOGRAPHY</w:t>
            </w:r>
            <w:r w:rsidR="007A52E6">
              <w:rPr>
                <w:noProof/>
                <w:webHidden/>
              </w:rPr>
              <w:tab/>
            </w:r>
            <w:r w:rsidR="007A52E6">
              <w:rPr>
                <w:noProof/>
                <w:webHidden/>
              </w:rPr>
              <w:fldChar w:fldCharType="begin"/>
            </w:r>
            <w:r w:rsidR="007A52E6">
              <w:rPr>
                <w:noProof/>
                <w:webHidden/>
              </w:rPr>
              <w:instrText xml:space="preserve"> PAGEREF _Toc118121249 \h </w:instrText>
            </w:r>
            <w:r w:rsidR="007A52E6">
              <w:rPr>
                <w:noProof/>
                <w:webHidden/>
              </w:rPr>
            </w:r>
            <w:r w:rsidR="007A52E6">
              <w:rPr>
                <w:noProof/>
                <w:webHidden/>
              </w:rPr>
              <w:fldChar w:fldCharType="separate"/>
            </w:r>
            <w:r w:rsidR="007A52E6">
              <w:rPr>
                <w:noProof/>
                <w:webHidden/>
              </w:rPr>
              <w:t>31</w:t>
            </w:r>
            <w:r w:rsidR="007A52E6">
              <w:rPr>
                <w:noProof/>
                <w:webHidden/>
              </w:rPr>
              <w:fldChar w:fldCharType="end"/>
            </w:r>
          </w:hyperlink>
        </w:p>
        <w:p w14:paraId="3CB396C4" w14:textId="77EFC496" w:rsidR="007A52E6" w:rsidRDefault="007A52E6">
          <w:r>
            <w:rPr>
              <w:b/>
              <w:bCs/>
              <w:noProof/>
            </w:rPr>
            <w:fldChar w:fldCharType="end"/>
          </w:r>
        </w:p>
      </w:sdtContent>
    </w:sdt>
    <w:p w14:paraId="64ACAECE" w14:textId="15BD18C9" w:rsidR="008F6744" w:rsidRDefault="004573C7">
      <w:pPr>
        <w:rPr>
          <w:rFonts w:cstheme="minorHAnsi"/>
          <w:sz w:val="20"/>
          <w:szCs w:val="20"/>
          <w:lang w:val="en-US"/>
        </w:rPr>
      </w:pPr>
      <w:r w:rsidRPr="002971D4">
        <w:rPr>
          <w:rFonts w:cstheme="minorHAnsi"/>
          <w:sz w:val="20"/>
          <w:szCs w:val="20"/>
          <w:lang w:val="en-US"/>
        </w:rPr>
        <w:br w:type="page"/>
      </w:r>
      <w:r w:rsidR="008F6744">
        <w:rPr>
          <w:rFonts w:cstheme="minorHAnsi"/>
          <w:sz w:val="20"/>
          <w:szCs w:val="20"/>
          <w:lang w:val="en-US"/>
        </w:rPr>
        <w:lastRenderedPageBreak/>
        <w:br w:type="page"/>
      </w:r>
    </w:p>
    <w:p w14:paraId="126C8734" w14:textId="77777777" w:rsidR="002971D4" w:rsidRPr="002971D4" w:rsidRDefault="002971D4" w:rsidP="004573C7">
      <w:pPr>
        <w:rPr>
          <w:rFonts w:cstheme="minorHAnsi"/>
          <w:sz w:val="20"/>
          <w:szCs w:val="20"/>
          <w:lang w:val="en-US"/>
        </w:rPr>
        <w:sectPr w:rsidR="002971D4" w:rsidRPr="002971D4" w:rsidSect="008F6744">
          <w:headerReference w:type="default" r:id="rId12"/>
          <w:footerReference w:type="even" r:id="rId13"/>
          <w:footerReference w:type="default" r:id="rId14"/>
          <w:pgSz w:w="11900" w:h="16840"/>
          <w:pgMar w:top="1985" w:right="1418" w:bottom="1418" w:left="1418" w:header="709" w:footer="709" w:gutter="0"/>
          <w:cols w:space="708"/>
          <w:docGrid w:linePitch="360"/>
        </w:sectPr>
      </w:pPr>
    </w:p>
    <w:p w14:paraId="7026FDEC" w14:textId="127D0131" w:rsidR="004573C7" w:rsidRPr="001C1D9B" w:rsidRDefault="004573C7" w:rsidP="001C1D9B">
      <w:pPr>
        <w:pStyle w:val="Heading1"/>
      </w:pPr>
      <w:bookmarkStart w:id="2" w:name="_Toc65160896"/>
      <w:bookmarkStart w:id="3" w:name="_Toc118121241"/>
      <w:r w:rsidRPr="001C1D9B">
        <w:lastRenderedPageBreak/>
        <w:t>LIST OF ABBREVIATIONS</w:t>
      </w:r>
      <w:bookmarkEnd w:id="2"/>
      <w:bookmarkEnd w:id="3"/>
    </w:p>
    <w:p w14:paraId="22E82FA3" w14:textId="77777777" w:rsidR="004573C7" w:rsidRPr="00DC2ADB" w:rsidRDefault="004573C7" w:rsidP="004573C7">
      <w:pPr>
        <w:spacing w:after="160" w:line="276" w:lineRule="auto"/>
        <w:rPr>
          <w:rFonts w:cstheme="minorHAnsi"/>
          <w:sz w:val="20"/>
          <w:szCs w:val="20"/>
          <w:lang w:val="en-US"/>
        </w:rPr>
      </w:pPr>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6874"/>
      </w:tblGrid>
      <w:tr w:rsidR="00DC2ADB" w:rsidRPr="00DC2ADB" w14:paraId="323CAF3A" w14:textId="77777777" w:rsidTr="002E6C35">
        <w:trPr>
          <w:trHeight w:val="138"/>
        </w:trPr>
        <w:tc>
          <w:tcPr>
            <w:tcW w:w="2198" w:type="dxa"/>
            <w:shd w:val="clear" w:color="auto" w:fill="4F81BD"/>
          </w:tcPr>
          <w:p w14:paraId="40783F14" w14:textId="77777777" w:rsidR="004573C7" w:rsidRPr="00DC2ADB" w:rsidRDefault="004573C7" w:rsidP="004573C7">
            <w:pPr>
              <w:autoSpaceDE w:val="0"/>
              <w:autoSpaceDN w:val="0"/>
              <w:adjustRightInd w:val="0"/>
              <w:spacing w:line="276" w:lineRule="auto"/>
              <w:jc w:val="both"/>
              <w:rPr>
                <w:rFonts w:eastAsia="Times New Roman" w:cstheme="minorHAnsi"/>
                <w:sz w:val="20"/>
                <w:szCs w:val="20"/>
                <w:lang w:eastAsia="el-GR"/>
              </w:rPr>
            </w:pPr>
            <w:r w:rsidRPr="00DC2ADB">
              <w:rPr>
                <w:rFonts w:eastAsia="Times New Roman" w:cstheme="minorHAnsi"/>
                <w:b/>
                <w:bCs/>
                <w:sz w:val="20"/>
                <w:szCs w:val="20"/>
                <w:lang w:eastAsia="el-GR"/>
              </w:rPr>
              <w:t xml:space="preserve">Abbreviation </w:t>
            </w:r>
          </w:p>
        </w:tc>
        <w:tc>
          <w:tcPr>
            <w:tcW w:w="6874" w:type="dxa"/>
            <w:shd w:val="clear" w:color="auto" w:fill="4F81BD"/>
          </w:tcPr>
          <w:p w14:paraId="6018CB50" w14:textId="77777777" w:rsidR="004573C7" w:rsidRPr="00DC2ADB" w:rsidRDefault="004573C7" w:rsidP="004573C7">
            <w:pPr>
              <w:autoSpaceDE w:val="0"/>
              <w:autoSpaceDN w:val="0"/>
              <w:adjustRightInd w:val="0"/>
              <w:spacing w:line="276" w:lineRule="auto"/>
              <w:jc w:val="both"/>
              <w:rPr>
                <w:rFonts w:eastAsia="Times New Roman" w:cstheme="minorHAnsi"/>
                <w:sz w:val="20"/>
                <w:szCs w:val="20"/>
                <w:lang w:eastAsia="el-GR"/>
              </w:rPr>
            </w:pPr>
            <w:r w:rsidRPr="00DC2ADB">
              <w:rPr>
                <w:rFonts w:eastAsia="Times New Roman" w:cstheme="minorHAnsi"/>
                <w:b/>
                <w:bCs/>
                <w:sz w:val="20"/>
                <w:szCs w:val="20"/>
                <w:lang w:eastAsia="el-GR"/>
              </w:rPr>
              <w:t xml:space="preserve">Meaning </w:t>
            </w:r>
          </w:p>
        </w:tc>
      </w:tr>
      <w:tr w:rsidR="00DC2ADB" w:rsidRPr="00DC2ADB" w14:paraId="629F85A5" w14:textId="77777777" w:rsidTr="002E6C35">
        <w:trPr>
          <w:trHeight w:val="138"/>
        </w:trPr>
        <w:tc>
          <w:tcPr>
            <w:tcW w:w="2198" w:type="dxa"/>
            <w:shd w:val="clear" w:color="auto" w:fill="D9E2F3" w:themeFill="accent1" w:themeFillTint="33"/>
          </w:tcPr>
          <w:p w14:paraId="5D1B24E0" w14:textId="3DD6D182" w:rsidR="004573C7" w:rsidRPr="007F6DD8" w:rsidRDefault="00451890" w:rsidP="004573C7">
            <w:pPr>
              <w:autoSpaceDE w:val="0"/>
              <w:autoSpaceDN w:val="0"/>
              <w:adjustRightInd w:val="0"/>
              <w:spacing w:before="40" w:after="40" w:line="276" w:lineRule="auto"/>
              <w:jc w:val="both"/>
              <w:rPr>
                <w:rFonts w:eastAsia="Times New Roman" w:cstheme="minorHAnsi"/>
                <w:b/>
                <w:bCs/>
                <w:sz w:val="20"/>
                <w:szCs w:val="20"/>
                <w:lang w:eastAsia="el-GR"/>
              </w:rPr>
            </w:pPr>
            <w:r w:rsidRPr="00451890">
              <w:rPr>
                <w:rFonts w:eastAsia="Times New Roman" w:cstheme="minorHAnsi"/>
                <w:b/>
                <w:bCs/>
                <w:sz w:val="20"/>
                <w:szCs w:val="20"/>
                <w:lang w:eastAsia="el-GR"/>
              </w:rPr>
              <w:t>BASEAK</w:t>
            </w:r>
          </w:p>
        </w:tc>
        <w:tc>
          <w:tcPr>
            <w:tcW w:w="6874" w:type="dxa"/>
          </w:tcPr>
          <w:p w14:paraId="75629949" w14:textId="30468762" w:rsidR="004573C7" w:rsidRPr="007F6DD8" w:rsidRDefault="00451890" w:rsidP="007F6DD8">
            <w:pPr>
              <w:autoSpaceDE w:val="0"/>
              <w:autoSpaceDN w:val="0"/>
              <w:adjustRightInd w:val="0"/>
              <w:spacing w:before="40" w:after="40" w:line="276" w:lineRule="auto"/>
              <w:jc w:val="both"/>
              <w:rPr>
                <w:rFonts w:eastAsia="Times New Roman" w:cstheme="minorHAnsi"/>
                <w:sz w:val="20"/>
                <w:szCs w:val="20"/>
                <w:lang w:eastAsia="el-GR"/>
              </w:rPr>
            </w:pPr>
            <w:proofErr w:type="spellStart"/>
            <w:r w:rsidRPr="00451890">
              <w:rPr>
                <w:rFonts w:eastAsia="Times New Roman" w:cstheme="minorHAnsi"/>
                <w:sz w:val="20"/>
                <w:szCs w:val="20"/>
                <w:lang w:eastAsia="el-GR"/>
              </w:rPr>
              <w:t>Balcıoğlu</w:t>
            </w:r>
            <w:proofErr w:type="spellEnd"/>
            <w:r w:rsidRPr="00451890">
              <w:rPr>
                <w:rFonts w:eastAsia="Times New Roman" w:cstheme="minorHAnsi"/>
                <w:sz w:val="20"/>
                <w:szCs w:val="20"/>
                <w:lang w:eastAsia="el-GR"/>
              </w:rPr>
              <w:t xml:space="preserve"> </w:t>
            </w:r>
            <w:proofErr w:type="spellStart"/>
            <w:r w:rsidRPr="00451890">
              <w:rPr>
                <w:rFonts w:eastAsia="Times New Roman" w:cstheme="minorHAnsi"/>
                <w:sz w:val="20"/>
                <w:szCs w:val="20"/>
                <w:lang w:eastAsia="el-GR"/>
              </w:rPr>
              <w:t>Selçuk</w:t>
            </w:r>
            <w:proofErr w:type="spellEnd"/>
            <w:r w:rsidRPr="00451890">
              <w:rPr>
                <w:rFonts w:eastAsia="Times New Roman" w:cstheme="minorHAnsi"/>
                <w:sz w:val="20"/>
                <w:szCs w:val="20"/>
                <w:lang w:eastAsia="el-GR"/>
              </w:rPr>
              <w:t xml:space="preserve"> </w:t>
            </w:r>
            <w:proofErr w:type="spellStart"/>
            <w:r w:rsidRPr="00451890">
              <w:rPr>
                <w:rFonts w:eastAsia="Times New Roman" w:cstheme="minorHAnsi"/>
                <w:sz w:val="20"/>
                <w:szCs w:val="20"/>
                <w:lang w:eastAsia="el-GR"/>
              </w:rPr>
              <w:t>Ardıyok</w:t>
            </w:r>
            <w:proofErr w:type="spellEnd"/>
            <w:r w:rsidRPr="00451890">
              <w:rPr>
                <w:rFonts w:eastAsia="Times New Roman" w:cstheme="minorHAnsi"/>
                <w:sz w:val="20"/>
                <w:szCs w:val="20"/>
                <w:lang w:eastAsia="el-GR"/>
              </w:rPr>
              <w:t xml:space="preserve"> </w:t>
            </w:r>
            <w:proofErr w:type="spellStart"/>
            <w:r w:rsidRPr="00451890">
              <w:rPr>
                <w:rFonts w:eastAsia="Times New Roman" w:cstheme="minorHAnsi"/>
                <w:sz w:val="20"/>
                <w:szCs w:val="20"/>
                <w:lang w:eastAsia="el-GR"/>
              </w:rPr>
              <w:t>Keki</w:t>
            </w:r>
            <w:proofErr w:type="spellEnd"/>
            <w:r w:rsidRPr="00451890">
              <w:rPr>
                <w:rFonts w:eastAsia="Times New Roman" w:cstheme="minorHAnsi"/>
                <w:sz w:val="20"/>
                <w:szCs w:val="20"/>
                <w:lang w:eastAsia="el-GR"/>
              </w:rPr>
              <w:t xml:space="preserve">  </w:t>
            </w:r>
          </w:p>
        </w:tc>
      </w:tr>
      <w:tr w:rsidR="00DC2ADB" w:rsidRPr="00DC2ADB" w14:paraId="207EE3CB" w14:textId="77777777" w:rsidTr="002E6C35">
        <w:trPr>
          <w:trHeight w:val="138"/>
        </w:trPr>
        <w:tc>
          <w:tcPr>
            <w:tcW w:w="2198" w:type="dxa"/>
            <w:shd w:val="clear" w:color="auto" w:fill="D9E2F3" w:themeFill="accent1" w:themeFillTint="33"/>
          </w:tcPr>
          <w:p w14:paraId="1CD6FC29" w14:textId="2BCD8236"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BTC</w:t>
            </w:r>
          </w:p>
        </w:tc>
        <w:tc>
          <w:tcPr>
            <w:tcW w:w="6874" w:type="dxa"/>
          </w:tcPr>
          <w:p w14:paraId="7E9475FA" w14:textId="16718471" w:rsidR="004573C7" w:rsidRPr="007F6DD8" w:rsidRDefault="007F6DD8" w:rsidP="004573C7">
            <w:pPr>
              <w:autoSpaceDE w:val="0"/>
              <w:autoSpaceDN w:val="0"/>
              <w:adjustRightInd w:val="0"/>
              <w:spacing w:before="40" w:after="40" w:line="276" w:lineRule="auto"/>
              <w:jc w:val="both"/>
              <w:rPr>
                <w:rFonts w:eastAsia="Times New Roman" w:cstheme="minorHAnsi"/>
                <w:sz w:val="20"/>
                <w:szCs w:val="20"/>
                <w:lang w:eastAsia="el-GR"/>
              </w:rPr>
            </w:pPr>
            <w:r w:rsidRPr="00451890">
              <w:rPr>
                <w:rFonts w:eastAsia="Times New Roman" w:cstheme="minorHAnsi"/>
                <w:sz w:val="20"/>
                <w:szCs w:val="20"/>
                <w:lang w:eastAsia="el-GR"/>
              </w:rPr>
              <w:t>Baku-Tbilisi-Ceyhan Crude Oil Pipeline</w:t>
            </w:r>
          </w:p>
        </w:tc>
      </w:tr>
      <w:tr w:rsidR="00DC2ADB" w:rsidRPr="00DC2ADB" w14:paraId="532896DC" w14:textId="77777777" w:rsidTr="002E6C35">
        <w:trPr>
          <w:trHeight w:val="138"/>
        </w:trPr>
        <w:tc>
          <w:tcPr>
            <w:tcW w:w="2198" w:type="dxa"/>
            <w:shd w:val="clear" w:color="auto" w:fill="D9E2F3" w:themeFill="accent1" w:themeFillTint="33"/>
          </w:tcPr>
          <w:p w14:paraId="3EF5B2D8" w14:textId="6AEB5D7F"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BTE</w:t>
            </w:r>
          </w:p>
        </w:tc>
        <w:tc>
          <w:tcPr>
            <w:tcW w:w="6874" w:type="dxa"/>
          </w:tcPr>
          <w:p w14:paraId="72DAE8F9" w14:textId="768BE9F6" w:rsidR="004573C7" w:rsidRPr="007F6DD8" w:rsidRDefault="007F6DD8" w:rsidP="007F6DD8">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 xml:space="preserve">Baku-Tbilisi-Erzurum Natural Gas Pipeline </w:t>
            </w:r>
          </w:p>
        </w:tc>
      </w:tr>
      <w:tr w:rsidR="00DC2ADB" w:rsidRPr="00DC2ADB" w14:paraId="0BA623EE" w14:textId="77777777" w:rsidTr="002E6C35">
        <w:trPr>
          <w:trHeight w:val="138"/>
        </w:trPr>
        <w:tc>
          <w:tcPr>
            <w:tcW w:w="2198" w:type="dxa"/>
            <w:shd w:val="clear" w:color="auto" w:fill="D9E2F3" w:themeFill="accent1" w:themeFillTint="33"/>
          </w:tcPr>
          <w:p w14:paraId="5730603E" w14:textId="1D0B7965"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EIA</w:t>
            </w:r>
          </w:p>
        </w:tc>
        <w:tc>
          <w:tcPr>
            <w:tcW w:w="6874" w:type="dxa"/>
          </w:tcPr>
          <w:p w14:paraId="75E9210F" w14:textId="6EC9982B" w:rsidR="004573C7" w:rsidRPr="007F6DD8" w:rsidRDefault="007F6DD8" w:rsidP="007F6DD8">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 xml:space="preserve">Environmental Impact Assessment </w:t>
            </w:r>
          </w:p>
        </w:tc>
      </w:tr>
      <w:tr w:rsidR="00DC2ADB" w:rsidRPr="00DC2ADB" w14:paraId="6F5AE9D6" w14:textId="77777777" w:rsidTr="002E6C35">
        <w:trPr>
          <w:trHeight w:val="138"/>
        </w:trPr>
        <w:tc>
          <w:tcPr>
            <w:tcW w:w="2198" w:type="dxa"/>
            <w:shd w:val="clear" w:color="auto" w:fill="D9E2F3" w:themeFill="accent1" w:themeFillTint="33"/>
          </w:tcPr>
          <w:p w14:paraId="7FBD0F17" w14:textId="413F8DA3" w:rsidR="004573C7" w:rsidRPr="007F6DD8" w:rsidRDefault="007F6DD8" w:rsidP="007F6DD8">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FIT</w:t>
            </w:r>
          </w:p>
        </w:tc>
        <w:tc>
          <w:tcPr>
            <w:tcW w:w="6874" w:type="dxa"/>
          </w:tcPr>
          <w:p w14:paraId="12F8D6F3" w14:textId="64FD32FA" w:rsidR="004573C7" w:rsidRPr="007F6DD8" w:rsidRDefault="00755C8F" w:rsidP="00755C8F">
            <w:pPr>
              <w:autoSpaceDE w:val="0"/>
              <w:autoSpaceDN w:val="0"/>
              <w:adjustRightInd w:val="0"/>
              <w:spacing w:before="40" w:after="40" w:line="276" w:lineRule="auto"/>
              <w:jc w:val="both"/>
              <w:rPr>
                <w:rFonts w:eastAsia="Times New Roman" w:cstheme="minorHAnsi"/>
                <w:sz w:val="20"/>
                <w:szCs w:val="20"/>
                <w:lang w:eastAsia="el-GR"/>
              </w:rPr>
            </w:pPr>
            <w:proofErr w:type="spellStart"/>
            <w:r w:rsidRPr="00755C8F">
              <w:rPr>
                <w:rFonts w:eastAsia="Times New Roman" w:cstheme="minorHAnsi"/>
                <w:sz w:val="20"/>
                <w:szCs w:val="20"/>
                <w:lang w:val="es-AR" w:eastAsia="el-GR"/>
              </w:rPr>
              <w:t>Feed</w:t>
            </w:r>
            <w:proofErr w:type="spellEnd"/>
            <w:r w:rsidRPr="00755C8F">
              <w:rPr>
                <w:rFonts w:eastAsia="Times New Roman" w:cstheme="minorHAnsi"/>
                <w:sz w:val="20"/>
                <w:szCs w:val="20"/>
                <w:lang w:val="es-AR" w:eastAsia="el-GR"/>
              </w:rPr>
              <w:t xml:space="preserve">-in </w:t>
            </w:r>
            <w:proofErr w:type="spellStart"/>
            <w:r w:rsidRPr="00755C8F">
              <w:rPr>
                <w:rFonts w:eastAsia="Times New Roman" w:cstheme="minorHAnsi"/>
                <w:sz w:val="20"/>
                <w:szCs w:val="20"/>
                <w:lang w:val="es-AR" w:eastAsia="el-GR"/>
              </w:rPr>
              <w:t>tariff</w:t>
            </w:r>
            <w:proofErr w:type="spellEnd"/>
          </w:p>
        </w:tc>
      </w:tr>
      <w:tr w:rsidR="00DC2ADB" w:rsidRPr="00DC2ADB" w14:paraId="16C5F43C" w14:textId="77777777" w:rsidTr="002E6C35">
        <w:trPr>
          <w:trHeight w:val="138"/>
        </w:trPr>
        <w:tc>
          <w:tcPr>
            <w:tcW w:w="2198" w:type="dxa"/>
            <w:shd w:val="clear" w:color="auto" w:fill="D9E2F3" w:themeFill="accent1" w:themeFillTint="33"/>
          </w:tcPr>
          <w:p w14:paraId="0DC9B47A" w14:textId="18BE159C"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FTE</w:t>
            </w:r>
          </w:p>
        </w:tc>
        <w:tc>
          <w:tcPr>
            <w:tcW w:w="6874" w:type="dxa"/>
          </w:tcPr>
          <w:p w14:paraId="0E1D5802" w14:textId="3B30CB94" w:rsidR="004573C7" w:rsidRPr="007F6DD8" w:rsidRDefault="00755C8F" w:rsidP="00755C8F">
            <w:pPr>
              <w:autoSpaceDE w:val="0"/>
              <w:autoSpaceDN w:val="0"/>
              <w:adjustRightInd w:val="0"/>
              <w:spacing w:before="40" w:after="40" w:line="276" w:lineRule="auto"/>
              <w:jc w:val="both"/>
              <w:rPr>
                <w:rFonts w:eastAsia="Times New Roman" w:cstheme="minorHAnsi"/>
                <w:sz w:val="20"/>
                <w:szCs w:val="20"/>
                <w:lang w:eastAsia="el-GR"/>
              </w:rPr>
            </w:pPr>
            <w:r w:rsidRPr="00755C8F">
              <w:rPr>
                <w:rFonts w:eastAsia="Times New Roman" w:cstheme="minorHAnsi"/>
                <w:sz w:val="20"/>
                <w:szCs w:val="20"/>
                <w:lang w:val="es-AR" w:eastAsia="el-GR"/>
              </w:rPr>
              <w:t xml:space="preserve">Full-Time </w:t>
            </w:r>
            <w:proofErr w:type="spellStart"/>
            <w:r w:rsidRPr="00755C8F">
              <w:rPr>
                <w:rFonts w:eastAsia="Times New Roman" w:cstheme="minorHAnsi"/>
                <w:sz w:val="20"/>
                <w:szCs w:val="20"/>
                <w:lang w:val="es-AR" w:eastAsia="el-GR"/>
              </w:rPr>
              <w:t>Equivalent</w:t>
            </w:r>
            <w:proofErr w:type="spellEnd"/>
            <w:r w:rsidRPr="00755C8F">
              <w:rPr>
                <w:rFonts w:eastAsia="Times New Roman" w:cstheme="minorHAnsi"/>
                <w:sz w:val="20"/>
                <w:szCs w:val="20"/>
                <w:lang w:val="es-AR" w:eastAsia="el-GR"/>
              </w:rPr>
              <w:t> </w:t>
            </w:r>
          </w:p>
        </w:tc>
      </w:tr>
      <w:tr w:rsidR="00DC2ADB" w:rsidRPr="00DC2ADB" w14:paraId="460319DE" w14:textId="77777777" w:rsidTr="002E6C35">
        <w:trPr>
          <w:trHeight w:val="138"/>
        </w:trPr>
        <w:tc>
          <w:tcPr>
            <w:tcW w:w="2198" w:type="dxa"/>
            <w:shd w:val="clear" w:color="auto" w:fill="D9E2F3" w:themeFill="accent1" w:themeFillTint="33"/>
          </w:tcPr>
          <w:p w14:paraId="43375B6B" w14:textId="13B153BF" w:rsidR="004573C7" w:rsidRPr="007F6DD8" w:rsidRDefault="007F6DD8" w:rsidP="007F6DD8">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 xml:space="preserve">GJ </w:t>
            </w:r>
          </w:p>
        </w:tc>
        <w:tc>
          <w:tcPr>
            <w:tcW w:w="6874" w:type="dxa"/>
          </w:tcPr>
          <w:p w14:paraId="3DBAE57F" w14:textId="1F06AE3E" w:rsidR="004573C7" w:rsidRPr="007F6DD8" w:rsidRDefault="007F6DD8" w:rsidP="007F6DD8">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Giga Joules</w:t>
            </w:r>
          </w:p>
        </w:tc>
      </w:tr>
      <w:tr w:rsidR="00DC2ADB" w:rsidRPr="00DC2ADB" w14:paraId="268ABD24" w14:textId="77777777" w:rsidTr="002E6C35">
        <w:trPr>
          <w:trHeight w:val="138"/>
        </w:trPr>
        <w:tc>
          <w:tcPr>
            <w:tcW w:w="2198" w:type="dxa"/>
            <w:shd w:val="clear" w:color="auto" w:fill="D9E2F3" w:themeFill="accent1" w:themeFillTint="33"/>
          </w:tcPr>
          <w:p w14:paraId="00044699" w14:textId="50E0DC6D" w:rsidR="004573C7" w:rsidRPr="007F6DD8" w:rsidRDefault="007F6DD8" w:rsidP="007F6DD8">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 xml:space="preserve">GWEC </w:t>
            </w:r>
          </w:p>
        </w:tc>
        <w:tc>
          <w:tcPr>
            <w:tcW w:w="6874" w:type="dxa"/>
          </w:tcPr>
          <w:p w14:paraId="3F15131B" w14:textId="3AEE218A" w:rsidR="004573C7" w:rsidRPr="007F6DD8" w:rsidRDefault="007F6DD8" w:rsidP="007F6DD8">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Global Wind Energy Council</w:t>
            </w:r>
          </w:p>
        </w:tc>
      </w:tr>
      <w:tr w:rsidR="00DC2ADB" w:rsidRPr="00DC2ADB" w14:paraId="01C496A5" w14:textId="77777777" w:rsidTr="002E6C35">
        <w:trPr>
          <w:trHeight w:val="138"/>
        </w:trPr>
        <w:tc>
          <w:tcPr>
            <w:tcW w:w="2198" w:type="dxa"/>
            <w:shd w:val="clear" w:color="auto" w:fill="D9E2F3" w:themeFill="accent1" w:themeFillTint="33"/>
          </w:tcPr>
          <w:p w14:paraId="3386D69C" w14:textId="3FB3FE72"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GWNET</w:t>
            </w:r>
          </w:p>
        </w:tc>
        <w:tc>
          <w:tcPr>
            <w:tcW w:w="6874" w:type="dxa"/>
          </w:tcPr>
          <w:p w14:paraId="56E3F1EB" w14:textId="73D82881" w:rsidR="004573C7" w:rsidRPr="007F6DD8" w:rsidRDefault="007F6DD8" w:rsidP="004573C7">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Global Women's Network for the Energy Transition</w:t>
            </w:r>
          </w:p>
        </w:tc>
      </w:tr>
      <w:tr w:rsidR="00DC2ADB" w:rsidRPr="00DC2ADB" w14:paraId="1C04F541" w14:textId="77777777" w:rsidTr="002E6C35">
        <w:trPr>
          <w:trHeight w:val="138"/>
        </w:trPr>
        <w:tc>
          <w:tcPr>
            <w:tcW w:w="2198" w:type="dxa"/>
            <w:shd w:val="clear" w:color="auto" w:fill="D9E2F3" w:themeFill="accent1" w:themeFillTint="33"/>
          </w:tcPr>
          <w:p w14:paraId="6DD3FC59" w14:textId="730555B3" w:rsidR="004573C7" w:rsidRPr="007F6DD8" w:rsidRDefault="007F6DD8" w:rsidP="007F6DD8">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ICT</w:t>
            </w:r>
          </w:p>
        </w:tc>
        <w:tc>
          <w:tcPr>
            <w:tcW w:w="6874" w:type="dxa"/>
          </w:tcPr>
          <w:p w14:paraId="7884DC51" w14:textId="5BD47189" w:rsidR="004573C7" w:rsidRPr="007F6DD8" w:rsidRDefault="00755C8F" w:rsidP="004573C7">
            <w:pPr>
              <w:autoSpaceDE w:val="0"/>
              <w:autoSpaceDN w:val="0"/>
              <w:adjustRightInd w:val="0"/>
              <w:spacing w:before="40" w:after="40" w:line="276" w:lineRule="auto"/>
              <w:jc w:val="both"/>
              <w:rPr>
                <w:rFonts w:eastAsia="Times New Roman" w:cstheme="minorHAnsi"/>
                <w:sz w:val="20"/>
                <w:szCs w:val="20"/>
                <w:lang w:eastAsia="el-GR"/>
              </w:rPr>
            </w:pPr>
            <w:r>
              <w:rPr>
                <w:rFonts w:eastAsia="Times New Roman" w:cstheme="minorHAnsi"/>
                <w:sz w:val="20"/>
                <w:szCs w:val="20"/>
                <w:lang w:eastAsia="el-GR"/>
              </w:rPr>
              <w:t>I</w:t>
            </w:r>
            <w:r w:rsidRPr="00755C8F">
              <w:rPr>
                <w:rFonts w:eastAsia="Times New Roman" w:cstheme="minorHAnsi"/>
                <w:sz w:val="20"/>
                <w:szCs w:val="20"/>
                <w:lang w:eastAsia="el-GR"/>
              </w:rPr>
              <w:t>nformation and Communications Technology</w:t>
            </w:r>
          </w:p>
        </w:tc>
      </w:tr>
      <w:tr w:rsidR="00DC2ADB" w:rsidRPr="00DC2ADB" w14:paraId="29877443" w14:textId="77777777" w:rsidTr="002E6C35">
        <w:trPr>
          <w:trHeight w:val="138"/>
        </w:trPr>
        <w:tc>
          <w:tcPr>
            <w:tcW w:w="2198" w:type="dxa"/>
            <w:shd w:val="clear" w:color="auto" w:fill="D9E2F3" w:themeFill="accent1" w:themeFillTint="33"/>
          </w:tcPr>
          <w:p w14:paraId="054192C3" w14:textId="6A2F0784" w:rsidR="004573C7" w:rsidRPr="007F6DD8" w:rsidRDefault="007F6DD8" w:rsidP="007F6DD8">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 xml:space="preserve">IRENA </w:t>
            </w:r>
          </w:p>
        </w:tc>
        <w:tc>
          <w:tcPr>
            <w:tcW w:w="6874" w:type="dxa"/>
          </w:tcPr>
          <w:p w14:paraId="3FA7F5A4" w14:textId="62E6CA68" w:rsidR="004573C7" w:rsidRPr="007F6DD8" w:rsidRDefault="007F6DD8" w:rsidP="004573C7">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Institute of Renewable Energy Agency</w:t>
            </w:r>
          </w:p>
        </w:tc>
      </w:tr>
      <w:tr w:rsidR="00DC2ADB" w:rsidRPr="00DC2ADB" w14:paraId="7B876B81" w14:textId="77777777" w:rsidTr="002E6C35">
        <w:trPr>
          <w:trHeight w:val="138"/>
        </w:trPr>
        <w:tc>
          <w:tcPr>
            <w:tcW w:w="2198" w:type="dxa"/>
            <w:shd w:val="clear" w:color="auto" w:fill="D9E2F3" w:themeFill="accent1" w:themeFillTint="33"/>
          </w:tcPr>
          <w:p w14:paraId="4C840674" w14:textId="1EEB4BE1" w:rsidR="004573C7" w:rsidRPr="007F6DD8" w:rsidRDefault="007F6DD8" w:rsidP="007F6DD8">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 xml:space="preserve">ITG </w:t>
            </w:r>
          </w:p>
        </w:tc>
        <w:tc>
          <w:tcPr>
            <w:tcW w:w="6874" w:type="dxa"/>
          </w:tcPr>
          <w:p w14:paraId="7FF8815B" w14:textId="195BFC0B" w:rsidR="004573C7" w:rsidRPr="007F6DD8" w:rsidRDefault="007745AE" w:rsidP="007F6DD8">
            <w:pPr>
              <w:autoSpaceDE w:val="0"/>
              <w:autoSpaceDN w:val="0"/>
              <w:adjustRightInd w:val="0"/>
              <w:spacing w:before="40" w:after="40" w:line="276" w:lineRule="auto"/>
              <w:jc w:val="both"/>
              <w:rPr>
                <w:rFonts w:eastAsia="Times New Roman" w:cstheme="minorHAnsi"/>
                <w:sz w:val="20"/>
                <w:szCs w:val="20"/>
                <w:lang w:eastAsia="el-GR"/>
              </w:rPr>
            </w:pPr>
            <w:r>
              <w:rPr>
                <w:rFonts w:eastAsia="Times New Roman" w:cstheme="minorHAnsi"/>
                <w:sz w:val="20"/>
                <w:szCs w:val="20"/>
                <w:lang w:eastAsia="el-GR"/>
              </w:rPr>
              <w:t>Türkiye</w:t>
            </w:r>
            <w:r w:rsidR="007F6DD8" w:rsidRPr="007F6DD8">
              <w:rPr>
                <w:rFonts w:eastAsia="Times New Roman" w:cstheme="minorHAnsi"/>
                <w:sz w:val="20"/>
                <w:szCs w:val="20"/>
                <w:lang w:eastAsia="el-GR"/>
              </w:rPr>
              <w:t xml:space="preserve">-Greece Interconnector </w:t>
            </w:r>
          </w:p>
        </w:tc>
      </w:tr>
      <w:tr w:rsidR="009E2FCD" w:rsidRPr="00DC2ADB" w14:paraId="0707AA79" w14:textId="77777777" w:rsidTr="002E6C35">
        <w:trPr>
          <w:trHeight w:val="138"/>
        </w:trPr>
        <w:tc>
          <w:tcPr>
            <w:tcW w:w="2198" w:type="dxa"/>
            <w:shd w:val="clear" w:color="auto" w:fill="D9E2F3" w:themeFill="accent1" w:themeFillTint="33"/>
          </w:tcPr>
          <w:p w14:paraId="3B2807DD" w14:textId="5424E21C" w:rsidR="009E2FCD" w:rsidRPr="007F6DD8" w:rsidRDefault="009E2FCD" w:rsidP="004573C7">
            <w:pPr>
              <w:autoSpaceDE w:val="0"/>
              <w:autoSpaceDN w:val="0"/>
              <w:adjustRightInd w:val="0"/>
              <w:spacing w:before="40" w:after="40" w:line="276" w:lineRule="auto"/>
              <w:jc w:val="both"/>
              <w:rPr>
                <w:rFonts w:cstheme="minorHAnsi"/>
                <w:b/>
                <w:bCs/>
                <w:sz w:val="20"/>
                <w:szCs w:val="20"/>
              </w:rPr>
            </w:pPr>
            <w:r>
              <w:rPr>
                <w:rFonts w:cstheme="minorHAnsi"/>
                <w:b/>
                <w:bCs/>
                <w:sz w:val="20"/>
                <w:szCs w:val="20"/>
              </w:rPr>
              <w:t>MoLSS</w:t>
            </w:r>
          </w:p>
        </w:tc>
        <w:tc>
          <w:tcPr>
            <w:tcW w:w="6874" w:type="dxa"/>
          </w:tcPr>
          <w:p w14:paraId="09C288D3" w14:textId="17C1AA9C" w:rsidR="009E2FCD" w:rsidRPr="007F6DD8" w:rsidRDefault="009E2FCD" w:rsidP="007F6DD8">
            <w:pPr>
              <w:autoSpaceDE w:val="0"/>
              <w:autoSpaceDN w:val="0"/>
              <w:adjustRightInd w:val="0"/>
              <w:spacing w:before="40" w:after="40" w:line="276" w:lineRule="auto"/>
              <w:jc w:val="both"/>
              <w:rPr>
                <w:rFonts w:cstheme="minorHAnsi"/>
                <w:sz w:val="20"/>
                <w:szCs w:val="20"/>
              </w:rPr>
            </w:pPr>
            <w:r>
              <w:rPr>
                <w:rFonts w:cstheme="minorHAnsi"/>
                <w:sz w:val="20"/>
                <w:szCs w:val="20"/>
              </w:rPr>
              <w:t>Turkish Ministry of Labour and Social Security</w:t>
            </w:r>
          </w:p>
        </w:tc>
      </w:tr>
      <w:tr w:rsidR="00DC2ADB" w:rsidRPr="00DC2ADB" w14:paraId="263B46E9" w14:textId="77777777" w:rsidTr="002E6C35">
        <w:trPr>
          <w:trHeight w:val="138"/>
        </w:trPr>
        <w:tc>
          <w:tcPr>
            <w:tcW w:w="2198" w:type="dxa"/>
            <w:shd w:val="clear" w:color="auto" w:fill="D9E2F3" w:themeFill="accent1" w:themeFillTint="33"/>
          </w:tcPr>
          <w:p w14:paraId="425BE317" w14:textId="7E72B62E" w:rsidR="00ED1B62" w:rsidRPr="007F6DD8" w:rsidRDefault="007F6DD8" w:rsidP="004573C7">
            <w:pPr>
              <w:autoSpaceDE w:val="0"/>
              <w:autoSpaceDN w:val="0"/>
              <w:adjustRightInd w:val="0"/>
              <w:spacing w:before="40" w:after="40" w:line="276" w:lineRule="auto"/>
              <w:jc w:val="both"/>
              <w:rPr>
                <w:rFonts w:cstheme="minorHAnsi"/>
                <w:b/>
                <w:bCs/>
                <w:sz w:val="20"/>
                <w:szCs w:val="20"/>
              </w:rPr>
            </w:pPr>
            <w:r w:rsidRPr="007F6DD8">
              <w:rPr>
                <w:rFonts w:cstheme="minorHAnsi"/>
                <w:b/>
                <w:bCs/>
                <w:sz w:val="20"/>
                <w:szCs w:val="20"/>
              </w:rPr>
              <w:t>MCDM</w:t>
            </w:r>
          </w:p>
        </w:tc>
        <w:tc>
          <w:tcPr>
            <w:tcW w:w="6874" w:type="dxa"/>
          </w:tcPr>
          <w:p w14:paraId="5A23B09C" w14:textId="5CB281DB" w:rsidR="00ED1B62" w:rsidRPr="007F6DD8" w:rsidRDefault="007F6DD8" w:rsidP="007F6DD8">
            <w:pPr>
              <w:autoSpaceDE w:val="0"/>
              <w:autoSpaceDN w:val="0"/>
              <w:adjustRightInd w:val="0"/>
              <w:spacing w:before="40" w:after="40" w:line="276" w:lineRule="auto"/>
              <w:jc w:val="both"/>
              <w:rPr>
                <w:rFonts w:cstheme="minorHAnsi"/>
                <w:sz w:val="20"/>
                <w:szCs w:val="20"/>
              </w:rPr>
            </w:pPr>
            <w:r w:rsidRPr="007F6DD8">
              <w:rPr>
                <w:rFonts w:cstheme="minorHAnsi"/>
                <w:sz w:val="20"/>
                <w:szCs w:val="20"/>
              </w:rPr>
              <w:t xml:space="preserve">Multi Criteria Decision Making </w:t>
            </w:r>
          </w:p>
        </w:tc>
      </w:tr>
      <w:tr w:rsidR="00DC2ADB" w:rsidRPr="00DC2ADB" w14:paraId="423D0065" w14:textId="77777777" w:rsidTr="002E6C35">
        <w:trPr>
          <w:trHeight w:val="138"/>
        </w:trPr>
        <w:tc>
          <w:tcPr>
            <w:tcW w:w="2198" w:type="dxa"/>
            <w:shd w:val="clear" w:color="auto" w:fill="D9E2F3" w:themeFill="accent1" w:themeFillTint="33"/>
          </w:tcPr>
          <w:p w14:paraId="15341FFD" w14:textId="5B73375E" w:rsidR="004573C7" w:rsidRPr="007F6DD8" w:rsidRDefault="007F6DD8" w:rsidP="007F6DD8">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MW</w:t>
            </w:r>
            <w:r w:rsidR="00755C8F">
              <w:rPr>
                <w:rFonts w:eastAsia="Times New Roman" w:cstheme="minorHAnsi"/>
                <w:b/>
                <w:bCs/>
                <w:sz w:val="20"/>
                <w:szCs w:val="20"/>
                <w:lang w:eastAsia="el-GR"/>
              </w:rPr>
              <w:t>h</w:t>
            </w:r>
          </w:p>
        </w:tc>
        <w:tc>
          <w:tcPr>
            <w:tcW w:w="6874" w:type="dxa"/>
          </w:tcPr>
          <w:p w14:paraId="0BBBE496" w14:textId="17F4A6C2" w:rsidR="004573C7" w:rsidRPr="007F6DD8" w:rsidRDefault="00755C8F" w:rsidP="004573C7">
            <w:pPr>
              <w:autoSpaceDE w:val="0"/>
              <w:autoSpaceDN w:val="0"/>
              <w:adjustRightInd w:val="0"/>
              <w:spacing w:before="40" w:after="40" w:line="276" w:lineRule="auto"/>
              <w:jc w:val="both"/>
              <w:rPr>
                <w:rFonts w:eastAsia="Times New Roman" w:cstheme="minorHAnsi"/>
                <w:sz w:val="20"/>
                <w:szCs w:val="20"/>
                <w:lang w:eastAsia="el-GR"/>
              </w:rPr>
            </w:pPr>
            <w:r w:rsidRPr="00755C8F">
              <w:rPr>
                <w:rFonts w:eastAsia="Times New Roman" w:cstheme="minorHAnsi"/>
                <w:sz w:val="20"/>
                <w:szCs w:val="20"/>
                <w:lang w:eastAsia="el-GR"/>
              </w:rPr>
              <w:t>megawatt-hour</w:t>
            </w:r>
          </w:p>
        </w:tc>
      </w:tr>
      <w:tr w:rsidR="00DC2ADB" w:rsidRPr="00DC2ADB" w14:paraId="450D7130" w14:textId="77777777" w:rsidTr="002E6C35">
        <w:trPr>
          <w:trHeight w:val="138"/>
        </w:trPr>
        <w:tc>
          <w:tcPr>
            <w:tcW w:w="2198" w:type="dxa"/>
            <w:shd w:val="clear" w:color="auto" w:fill="D9E2F3" w:themeFill="accent1" w:themeFillTint="33"/>
          </w:tcPr>
          <w:p w14:paraId="3944FB7B" w14:textId="12D29EB8" w:rsidR="004573C7" w:rsidRPr="007F6DD8" w:rsidRDefault="007F6DD8" w:rsidP="007F6DD8">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OECD</w:t>
            </w:r>
          </w:p>
        </w:tc>
        <w:tc>
          <w:tcPr>
            <w:tcW w:w="6874" w:type="dxa"/>
          </w:tcPr>
          <w:p w14:paraId="267080E4" w14:textId="72E3B69F" w:rsidR="004573C7" w:rsidRPr="007F6DD8" w:rsidRDefault="00232F6B" w:rsidP="004573C7">
            <w:pPr>
              <w:autoSpaceDE w:val="0"/>
              <w:autoSpaceDN w:val="0"/>
              <w:adjustRightInd w:val="0"/>
              <w:spacing w:before="40" w:after="40" w:line="276" w:lineRule="auto"/>
              <w:jc w:val="both"/>
              <w:rPr>
                <w:rFonts w:eastAsia="Times New Roman" w:cstheme="minorHAnsi"/>
                <w:sz w:val="20"/>
                <w:szCs w:val="20"/>
                <w:lang w:eastAsia="el-GR"/>
              </w:rPr>
            </w:pPr>
            <w:r>
              <w:rPr>
                <w:rFonts w:eastAsia="Times New Roman" w:cstheme="minorHAnsi"/>
                <w:sz w:val="20"/>
                <w:szCs w:val="20"/>
                <w:lang w:eastAsia="el-GR"/>
              </w:rPr>
              <w:t>Organisation of Economic Cooperation and Development</w:t>
            </w:r>
          </w:p>
        </w:tc>
      </w:tr>
      <w:tr w:rsidR="00DC2ADB" w:rsidRPr="00DC2ADB" w14:paraId="4285F639" w14:textId="77777777" w:rsidTr="002E6C35">
        <w:trPr>
          <w:trHeight w:val="138"/>
        </w:trPr>
        <w:tc>
          <w:tcPr>
            <w:tcW w:w="2198" w:type="dxa"/>
            <w:shd w:val="clear" w:color="auto" w:fill="D9E2F3" w:themeFill="accent1" w:themeFillTint="33"/>
          </w:tcPr>
          <w:p w14:paraId="2FBC076B" w14:textId="141F6013" w:rsidR="004573C7" w:rsidRPr="007F6DD8" w:rsidRDefault="007F6DD8" w:rsidP="007F6DD8">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 xml:space="preserve">PV </w:t>
            </w:r>
          </w:p>
        </w:tc>
        <w:tc>
          <w:tcPr>
            <w:tcW w:w="6874" w:type="dxa"/>
          </w:tcPr>
          <w:p w14:paraId="5B756A90" w14:textId="51AF5EF9" w:rsidR="004573C7" w:rsidRPr="007F6DD8" w:rsidRDefault="007F6DD8" w:rsidP="004573C7">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(solar) photovoltaic</w:t>
            </w:r>
          </w:p>
        </w:tc>
      </w:tr>
      <w:tr w:rsidR="00DC2ADB" w:rsidRPr="00DC2ADB" w14:paraId="15B3C4CA" w14:textId="77777777" w:rsidTr="002E6C35">
        <w:trPr>
          <w:trHeight w:val="138"/>
        </w:trPr>
        <w:tc>
          <w:tcPr>
            <w:tcW w:w="2198" w:type="dxa"/>
            <w:shd w:val="clear" w:color="auto" w:fill="D9E2F3" w:themeFill="accent1" w:themeFillTint="33"/>
          </w:tcPr>
          <w:p w14:paraId="2843AF5E" w14:textId="6770CE04"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RES</w:t>
            </w:r>
          </w:p>
        </w:tc>
        <w:tc>
          <w:tcPr>
            <w:tcW w:w="6874" w:type="dxa"/>
          </w:tcPr>
          <w:p w14:paraId="47AB67A3" w14:textId="0145CCB5" w:rsidR="004573C7" w:rsidRPr="007F6DD8" w:rsidRDefault="00755C8F" w:rsidP="00755C8F">
            <w:pPr>
              <w:autoSpaceDE w:val="0"/>
              <w:autoSpaceDN w:val="0"/>
              <w:adjustRightInd w:val="0"/>
              <w:spacing w:before="40" w:after="40" w:line="276" w:lineRule="auto"/>
              <w:jc w:val="both"/>
              <w:rPr>
                <w:rFonts w:eastAsia="Times New Roman" w:cstheme="minorHAnsi"/>
                <w:sz w:val="20"/>
                <w:szCs w:val="20"/>
                <w:lang w:eastAsia="el-GR"/>
              </w:rPr>
            </w:pPr>
            <w:proofErr w:type="spellStart"/>
            <w:r w:rsidRPr="00755C8F">
              <w:rPr>
                <w:rFonts w:eastAsia="Times New Roman" w:cstheme="minorHAnsi"/>
                <w:sz w:val="20"/>
                <w:szCs w:val="20"/>
                <w:lang w:val="es-AR" w:eastAsia="el-GR"/>
              </w:rPr>
              <w:t>Renewable</w:t>
            </w:r>
            <w:proofErr w:type="spellEnd"/>
            <w:r w:rsidRPr="00755C8F">
              <w:rPr>
                <w:rFonts w:eastAsia="Times New Roman" w:cstheme="minorHAnsi"/>
                <w:sz w:val="20"/>
                <w:szCs w:val="20"/>
                <w:lang w:val="es-AR" w:eastAsia="el-GR"/>
              </w:rPr>
              <w:t xml:space="preserve"> Energy </w:t>
            </w:r>
            <w:proofErr w:type="spellStart"/>
            <w:r w:rsidRPr="00755C8F">
              <w:rPr>
                <w:rFonts w:eastAsia="Times New Roman" w:cstheme="minorHAnsi"/>
                <w:sz w:val="20"/>
                <w:szCs w:val="20"/>
                <w:lang w:val="es-AR" w:eastAsia="el-GR"/>
              </w:rPr>
              <w:t>Systems</w:t>
            </w:r>
            <w:proofErr w:type="spellEnd"/>
          </w:p>
        </w:tc>
      </w:tr>
      <w:tr w:rsidR="00DC2ADB" w:rsidRPr="00DC2ADB" w14:paraId="47DAF891" w14:textId="77777777" w:rsidTr="002E6C35">
        <w:trPr>
          <w:trHeight w:val="138"/>
        </w:trPr>
        <w:tc>
          <w:tcPr>
            <w:tcW w:w="2198" w:type="dxa"/>
            <w:shd w:val="clear" w:color="auto" w:fill="D9E2F3" w:themeFill="accent1" w:themeFillTint="33"/>
          </w:tcPr>
          <w:p w14:paraId="2C91346E" w14:textId="50A19D67"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SCP</w:t>
            </w:r>
          </w:p>
        </w:tc>
        <w:tc>
          <w:tcPr>
            <w:tcW w:w="6874" w:type="dxa"/>
          </w:tcPr>
          <w:p w14:paraId="59951888" w14:textId="249CBB68" w:rsidR="004573C7" w:rsidRPr="007F6DD8" w:rsidRDefault="007F6DD8" w:rsidP="007F6DD8">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 xml:space="preserve">South Caucasus Pipeline </w:t>
            </w:r>
          </w:p>
        </w:tc>
      </w:tr>
      <w:tr w:rsidR="00DC2ADB" w:rsidRPr="00DC2ADB" w14:paraId="2694723B" w14:textId="77777777" w:rsidTr="002E6C35">
        <w:trPr>
          <w:trHeight w:val="138"/>
        </w:trPr>
        <w:tc>
          <w:tcPr>
            <w:tcW w:w="2198" w:type="dxa"/>
            <w:shd w:val="clear" w:color="auto" w:fill="D9E2F3" w:themeFill="accent1" w:themeFillTint="33"/>
          </w:tcPr>
          <w:p w14:paraId="367EA061" w14:textId="39CE12D0"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SGC</w:t>
            </w:r>
          </w:p>
        </w:tc>
        <w:tc>
          <w:tcPr>
            <w:tcW w:w="6874" w:type="dxa"/>
          </w:tcPr>
          <w:p w14:paraId="32DB6A94" w14:textId="6CC11634" w:rsidR="004573C7" w:rsidRPr="007F6DD8" w:rsidRDefault="007F6DD8" w:rsidP="004573C7">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Southern Gas Corridor</w:t>
            </w:r>
          </w:p>
        </w:tc>
      </w:tr>
      <w:tr w:rsidR="00DC2ADB" w:rsidRPr="00DC2ADB" w14:paraId="4C54445D" w14:textId="77777777" w:rsidTr="002E6C35">
        <w:trPr>
          <w:trHeight w:val="138"/>
        </w:trPr>
        <w:tc>
          <w:tcPr>
            <w:tcW w:w="2198" w:type="dxa"/>
            <w:shd w:val="clear" w:color="auto" w:fill="D9E2F3" w:themeFill="accent1" w:themeFillTint="33"/>
          </w:tcPr>
          <w:p w14:paraId="27EEF955" w14:textId="74A156E1"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STEM</w:t>
            </w:r>
          </w:p>
        </w:tc>
        <w:tc>
          <w:tcPr>
            <w:tcW w:w="6874" w:type="dxa"/>
          </w:tcPr>
          <w:p w14:paraId="15DFF8B0" w14:textId="2006419B" w:rsidR="004573C7" w:rsidRPr="007F6DD8" w:rsidRDefault="007F6DD8" w:rsidP="007F6DD8">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STEM</w:t>
            </w:r>
          </w:p>
        </w:tc>
      </w:tr>
      <w:tr w:rsidR="00DC2ADB" w:rsidRPr="00DC2ADB" w14:paraId="205F3832" w14:textId="77777777" w:rsidTr="002E6C35">
        <w:trPr>
          <w:trHeight w:val="138"/>
        </w:trPr>
        <w:tc>
          <w:tcPr>
            <w:tcW w:w="2198" w:type="dxa"/>
            <w:shd w:val="clear" w:color="auto" w:fill="D9E2F3" w:themeFill="accent1" w:themeFillTint="33"/>
          </w:tcPr>
          <w:p w14:paraId="57CF881D" w14:textId="732B426A"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TANAP</w:t>
            </w:r>
          </w:p>
        </w:tc>
        <w:tc>
          <w:tcPr>
            <w:tcW w:w="6874" w:type="dxa"/>
          </w:tcPr>
          <w:p w14:paraId="4FA5A2B1" w14:textId="6A13FC9D" w:rsidR="004573C7" w:rsidRPr="007F6DD8" w:rsidRDefault="007F6DD8" w:rsidP="004573C7">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Trans-Anatolian Natural Gas Pipeline</w:t>
            </w:r>
          </w:p>
        </w:tc>
      </w:tr>
      <w:tr w:rsidR="00DC2ADB" w:rsidRPr="00DC2ADB" w14:paraId="2361591C" w14:textId="77777777" w:rsidTr="002E6C35">
        <w:trPr>
          <w:trHeight w:val="138"/>
        </w:trPr>
        <w:tc>
          <w:tcPr>
            <w:tcW w:w="2198" w:type="dxa"/>
            <w:shd w:val="clear" w:color="auto" w:fill="D9E2F3" w:themeFill="accent1" w:themeFillTint="33"/>
          </w:tcPr>
          <w:p w14:paraId="7FFB8C1C" w14:textId="086480B5"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TAP</w:t>
            </w:r>
          </w:p>
        </w:tc>
        <w:tc>
          <w:tcPr>
            <w:tcW w:w="6874" w:type="dxa"/>
          </w:tcPr>
          <w:p w14:paraId="703B05FB" w14:textId="29850B39" w:rsidR="004573C7" w:rsidRPr="007F6DD8" w:rsidRDefault="007F6DD8" w:rsidP="004573C7">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Trans-Adriatic-Pipeline</w:t>
            </w:r>
          </w:p>
        </w:tc>
      </w:tr>
      <w:tr w:rsidR="009E2FCD" w:rsidRPr="00DC2ADB" w14:paraId="06DFBAC0" w14:textId="77777777" w:rsidTr="002E6C35">
        <w:trPr>
          <w:trHeight w:val="138"/>
        </w:trPr>
        <w:tc>
          <w:tcPr>
            <w:tcW w:w="2198" w:type="dxa"/>
            <w:shd w:val="clear" w:color="auto" w:fill="D9E2F3" w:themeFill="accent1" w:themeFillTint="33"/>
          </w:tcPr>
          <w:p w14:paraId="1F53B7BE" w14:textId="5488660F" w:rsidR="009E2FCD" w:rsidRPr="007F6DD8" w:rsidRDefault="009E2FCD" w:rsidP="004573C7">
            <w:pPr>
              <w:autoSpaceDE w:val="0"/>
              <w:autoSpaceDN w:val="0"/>
              <w:adjustRightInd w:val="0"/>
              <w:spacing w:before="40" w:after="40" w:line="276" w:lineRule="auto"/>
              <w:jc w:val="both"/>
              <w:rPr>
                <w:rFonts w:eastAsia="Times New Roman" w:cstheme="minorHAnsi"/>
                <w:b/>
                <w:bCs/>
                <w:sz w:val="20"/>
                <w:szCs w:val="20"/>
                <w:lang w:eastAsia="el-GR"/>
              </w:rPr>
            </w:pPr>
            <w:r>
              <w:rPr>
                <w:rFonts w:eastAsia="Times New Roman" w:cstheme="minorHAnsi"/>
                <w:b/>
                <w:bCs/>
                <w:sz w:val="20"/>
                <w:szCs w:val="20"/>
                <w:lang w:eastAsia="el-GR"/>
              </w:rPr>
              <w:t>TAT</w:t>
            </w:r>
          </w:p>
        </w:tc>
        <w:tc>
          <w:tcPr>
            <w:tcW w:w="6874" w:type="dxa"/>
          </w:tcPr>
          <w:p w14:paraId="69BCB103" w14:textId="06EE3FC1" w:rsidR="009E2FCD" w:rsidRPr="007F6DD8" w:rsidRDefault="009E2FCD" w:rsidP="004573C7">
            <w:pPr>
              <w:autoSpaceDE w:val="0"/>
              <w:autoSpaceDN w:val="0"/>
              <w:adjustRightInd w:val="0"/>
              <w:spacing w:before="40" w:after="40" w:line="276" w:lineRule="auto"/>
              <w:jc w:val="both"/>
              <w:rPr>
                <w:rFonts w:eastAsia="Times New Roman" w:cstheme="minorHAnsi"/>
                <w:sz w:val="20"/>
                <w:szCs w:val="20"/>
                <w:lang w:eastAsia="el-GR"/>
              </w:rPr>
            </w:pPr>
            <w:r>
              <w:rPr>
                <w:rFonts w:eastAsia="Times New Roman" w:cstheme="minorHAnsi"/>
                <w:sz w:val="20"/>
                <w:szCs w:val="20"/>
                <w:lang w:eastAsia="el-GR"/>
              </w:rPr>
              <w:t>Technical Assistance Team</w:t>
            </w:r>
          </w:p>
        </w:tc>
      </w:tr>
      <w:tr w:rsidR="00DC2ADB" w:rsidRPr="00DC2ADB" w14:paraId="4690931A" w14:textId="77777777" w:rsidTr="002E6C35">
        <w:trPr>
          <w:trHeight w:val="138"/>
        </w:trPr>
        <w:tc>
          <w:tcPr>
            <w:tcW w:w="2198" w:type="dxa"/>
            <w:shd w:val="clear" w:color="auto" w:fill="D9E2F3" w:themeFill="accent1" w:themeFillTint="33"/>
          </w:tcPr>
          <w:p w14:paraId="2506A5EF" w14:textId="5B3344EE"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 xml:space="preserve">TÜİK </w:t>
            </w:r>
          </w:p>
        </w:tc>
        <w:tc>
          <w:tcPr>
            <w:tcW w:w="6874" w:type="dxa"/>
          </w:tcPr>
          <w:p w14:paraId="0B18841A" w14:textId="13137EA3" w:rsidR="004573C7" w:rsidRPr="007F6DD8" w:rsidRDefault="007F6DD8" w:rsidP="004573C7">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Turkish Statistical Institute (TURKSTAT)</w:t>
            </w:r>
          </w:p>
        </w:tc>
      </w:tr>
      <w:tr w:rsidR="00DC2ADB" w:rsidRPr="00DC2ADB" w14:paraId="2BB5A4E0" w14:textId="77777777" w:rsidTr="002E6C35">
        <w:trPr>
          <w:trHeight w:val="138"/>
        </w:trPr>
        <w:tc>
          <w:tcPr>
            <w:tcW w:w="2198" w:type="dxa"/>
            <w:shd w:val="clear" w:color="auto" w:fill="D9E2F3" w:themeFill="accent1" w:themeFillTint="33"/>
          </w:tcPr>
          <w:p w14:paraId="336830BD" w14:textId="645C3139" w:rsidR="004573C7" w:rsidRPr="007F6DD8" w:rsidRDefault="007F6DD8" w:rsidP="007F6DD8">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TVET</w:t>
            </w:r>
          </w:p>
        </w:tc>
        <w:tc>
          <w:tcPr>
            <w:tcW w:w="6874" w:type="dxa"/>
          </w:tcPr>
          <w:p w14:paraId="3F228E30" w14:textId="0AD2E511" w:rsidR="004573C7" w:rsidRPr="007F6DD8" w:rsidRDefault="00232F6B" w:rsidP="004573C7">
            <w:pPr>
              <w:autoSpaceDE w:val="0"/>
              <w:autoSpaceDN w:val="0"/>
              <w:adjustRightInd w:val="0"/>
              <w:spacing w:before="40" w:after="40" w:line="276" w:lineRule="auto"/>
              <w:jc w:val="both"/>
              <w:rPr>
                <w:rFonts w:eastAsia="Times New Roman" w:cstheme="minorHAnsi"/>
                <w:sz w:val="20"/>
                <w:szCs w:val="20"/>
                <w:lang w:eastAsia="el-GR"/>
              </w:rPr>
            </w:pPr>
            <w:r w:rsidRPr="00232F6B">
              <w:rPr>
                <w:rFonts w:eastAsia="Times New Roman" w:cstheme="minorHAnsi"/>
                <w:sz w:val="20"/>
                <w:szCs w:val="20"/>
                <w:lang w:eastAsia="el-GR"/>
              </w:rPr>
              <w:t>Technical Vocational Education and Training</w:t>
            </w:r>
          </w:p>
        </w:tc>
      </w:tr>
      <w:tr w:rsidR="00DC2ADB" w:rsidRPr="00DC2ADB" w14:paraId="768CE3CB" w14:textId="77777777" w:rsidTr="002E6C35">
        <w:trPr>
          <w:trHeight w:val="138"/>
        </w:trPr>
        <w:tc>
          <w:tcPr>
            <w:tcW w:w="2198" w:type="dxa"/>
            <w:shd w:val="clear" w:color="auto" w:fill="D9E2F3" w:themeFill="accent1" w:themeFillTint="33"/>
          </w:tcPr>
          <w:p w14:paraId="7282EC41" w14:textId="0A620427" w:rsidR="004573C7" w:rsidRPr="007F6DD8" w:rsidRDefault="007F6DD8" w:rsidP="007F6DD8">
            <w:pPr>
              <w:autoSpaceDE w:val="0"/>
              <w:autoSpaceDN w:val="0"/>
              <w:adjustRightInd w:val="0"/>
              <w:spacing w:before="40" w:after="40" w:line="276" w:lineRule="auto"/>
              <w:jc w:val="both"/>
              <w:rPr>
                <w:rFonts w:eastAsia="Times New Roman" w:cstheme="minorHAnsi"/>
                <w:b/>
                <w:bCs/>
                <w:sz w:val="20"/>
                <w:szCs w:val="20"/>
                <w:lang w:eastAsia="el-GR"/>
              </w:rPr>
            </w:pPr>
            <w:proofErr w:type="spellStart"/>
            <w:r w:rsidRPr="007F6DD8">
              <w:rPr>
                <w:rFonts w:eastAsia="Times New Roman" w:cstheme="minorHAnsi"/>
                <w:b/>
                <w:bCs/>
                <w:sz w:val="20"/>
                <w:szCs w:val="20"/>
                <w:lang w:eastAsia="el-GR"/>
              </w:rPr>
              <w:t>TWh</w:t>
            </w:r>
            <w:proofErr w:type="spellEnd"/>
          </w:p>
        </w:tc>
        <w:tc>
          <w:tcPr>
            <w:tcW w:w="6874" w:type="dxa"/>
          </w:tcPr>
          <w:p w14:paraId="23AE7360" w14:textId="4BD4A748" w:rsidR="004573C7" w:rsidRPr="007F6DD8" w:rsidRDefault="00755C8F" w:rsidP="004573C7">
            <w:pPr>
              <w:autoSpaceDE w:val="0"/>
              <w:autoSpaceDN w:val="0"/>
              <w:adjustRightInd w:val="0"/>
              <w:spacing w:before="40" w:after="40" w:line="276" w:lineRule="auto"/>
              <w:jc w:val="both"/>
              <w:rPr>
                <w:rFonts w:eastAsia="Times New Roman" w:cstheme="minorHAnsi"/>
                <w:sz w:val="20"/>
                <w:szCs w:val="20"/>
                <w:lang w:eastAsia="el-GR"/>
              </w:rPr>
            </w:pPr>
            <w:proofErr w:type="spellStart"/>
            <w:r w:rsidRPr="00755C8F">
              <w:rPr>
                <w:rFonts w:eastAsia="Times New Roman" w:cstheme="minorHAnsi"/>
                <w:sz w:val="20"/>
                <w:szCs w:val="20"/>
                <w:lang w:eastAsia="el-GR"/>
              </w:rPr>
              <w:t>TeraWatt</w:t>
            </w:r>
            <w:proofErr w:type="spellEnd"/>
            <w:r w:rsidRPr="00755C8F">
              <w:rPr>
                <w:rFonts w:eastAsia="Times New Roman" w:cstheme="minorHAnsi"/>
                <w:sz w:val="20"/>
                <w:szCs w:val="20"/>
                <w:lang w:eastAsia="el-GR"/>
              </w:rPr>
              <w:t xml:space="preserve"> Hour(s)</w:t>
            </w:r>
          </w:p>
        </w:tc>
      </w:tr>
      <w:tr w:rsidR="00DC2ADB" w:rsidRPr="00DC2ADB" w14:paraId="78ACCFCB" w14:textId="77777777" w:rsidTr="002E6C35">
        <w:trPr>
          <w:trHeight w:val="138"/>
        </w:trPr>
        <w:tc>
          <w:tcPr>
            <w:tcW w:w="2198" w:type="dxa"/>
            <w:shd w:val="clear" w:color="auto" w:fill="D9E2F3" w:themeFill="accent1" w:themeFillTint="33"/>
          </w:tcPr>
          <w:p w14:paraId="160BCC3F" w14:textId="4AECC8AB" w:rsidR="004573C7" w:rsidRPr="007F6DD8" w:rsidRDefault="007F6DD8" w:rsidP="004573C7">
            <w:pPr>
              <w:autoSpaceDE w:val="0"/>
              <w:autoSpaceDN w:val="0"/>
              <w:adjustRightInd w:val="0"/>
              <w:spacing w:before="40" w:after="40" w:line="276" w:lineRule="auto"/>
              <w:jc w:val="both"/>
              <w:rPr>
                <w:rFonts w:eastAsia="Times New Roman" w:cstheme="minorHAnsi"/>
                <w:b/>
                <w:bCs/>
                <w:sz w:val="20"/>
                <w:szCs w:val="20"/>
                <w:lang w:eastAsia="el-GR"/>
              </w:rPr>
            </w:pPr>
            <w:r w:rsidRPr="007F6DD8">
              <w:rPr>
                <w:rFonts w:eastAsia="Times New Roman" w:cstheme="minorHAnsi"/>
                <w:b/>
                <w:bCs/>
                <w:sz w:val="20"/>
                <w:szCs w:val="20"/>
                <w:lang w:eastAsia="el-GR"/>
              </w:rPr>
              <w:t>YEKA</w:t>
            </w:r>
          </w:p>
        </w:tc>
        <w:tc>
          <w:tcPr>
            <w:tcW w:w="6874" w:type="dxa"/>
          </w:tcPr>
          <w:p w14:paraId="5DA75D22" w14:textId="7C0F0EFB" w:rsidR="004573C7" w:rsidRPr="007F6DD8" w:rsidRDefault="007F6DD8" w:rsidP="004573C7">
            <w:pPr>
              <w:autoSpaceDE w:val="0"/>
              <w:autoSpaceDN w:val="0"/>
              <w:adjustRightInd w:val="0"/>
              <w:spacing w:before="40" w:after="40" w:line="276" w:lineRule="auto"/>
              <w:jc w:val="both"/>
              <w:rPr>
                <w:rFonts w:eastAsia="Times New Roman" w:cstheme="minorHAnsi"/>
                <w:sz w:val="20"/>
                <w:szCs w:val="20"/>
                <w:lang w:eastAsia="el-GR"/>
              </w:rPr>
            </w:pPr>
            <w:r w:rsidRPr="007F6DD8">
              <w:rPr>
                <w:rFonts w:eastAsia="Times New Roman" w:cstheme="minorHAnsi"/>
                <w:sz w:val="20"/>
                <w:szCs w:val="20"/>
                <w:lang w:eastAsia="el-GR"/>
              </w:rPr>
              <w:t>Turkish acronym for Renewable Energy designated areas</w:t>
            </w:r>
          </w:p>
        </w:tc>
      </w:tr>
    </w:tbl>
    <w:p w14:paraId="69D95204" w14:textId="77777777" w:rsidR="00AC1A29" w:rsidRDefault="00AC1A29" w:rsidP="00AC1A29">
      <w:pPr>
        <w:jc w:val="center"/>
        <w:rPr>
          <w:rFonts w:cstheme="minorHAnsi"/>
        </w:rPr>
      </w:pPr>
      <w:bookmarkStart w:id="4" w:name="_Toc65160897"/>
    </w:p>
    <w:p w14:paraId="2DA7A4D6" w14:textId="77777777" w:rsidR="00AC1A29" w:rsidRDefault="00AC1A29" w:rsidP="00AC1A29">
      <w:pPr>
        <w:jc w:val="center"/>
        <w:rPr>
          <w:rFonts w:cstheme="minorHAnsi"/>
        </w:rPr>
      </w:pPr>
    </w:p>
    <w:p w14:paraId="1B7DC629" w14:textId="5B92F592" w:rsidR="007F6DD8" w:rsidRDefault="007F6DD8">
      <w:pPr>
        <w:rPr>
          <w:rFonts w:cstheme="minorHAnsi"/>
        </w:rPr>
      </w:pPr>
      <w:r>
        <w:rPr>
          <w:rFonts w:cstheme="minorHAnsi"/>
        </w:rPr>
        <w:br w:type="page"/>
      </w:r>
    </w:p>
    <w:p w14:paraId="1E6C3688" w14:textId="22DD6A84" w:rsidR="00AC1A29" w:rsidRPr="002971D4" w:rsidRDefault="002971D4" w:rsidP="001C1D9B">
      <w:pPr>
        <w:pStyle w:val="Heading1"/>
      </w:pPr>
      <w:bookmarkStart w:id="5" w:name="_Toc118121242"/>
      <w:bookmarkEnd w:id="4"/>
      <w:r w:rsidRPr="002971D4">
        <w:lastRenderedPageBreak/>
        <w:t xml:space="preserve">1. </w:t>
      </w:r>
      <w:r w:rsidR="001365AE" w:rsidRPr="002971D4">
        <w:t>EXECUTIVE SUMMARY</w:t>
      </w:r>
      <w:bookmarkEnd w:id="5"/>
    </w:p>
    <w:p w14:paraId="3751AD02" w14:textId="5366F5E6" w:rsidR="00C7375E" w:rsidRDefault="00C7375E" w:rsidP="00AC1A29">
      <w:pPr>
        <w:spacing w:after="160" w:line="259" w:lineRule="auto"/>
        <w:jc w:val="both"/>
        <w:rPr>
          <w:rFonts w:ascii="Calibri" w:eastAsia="Calibri" w:hAnsi="Calibri" w:cs="Times New Roman"/>
          <w:sz w:val="20"/>
          <w:szCs w:val="20"/>
        </w:rPr>
      </w:pPr>
      <w:bookmarkStart w:id="6" w:name="_Hlk70260774"/>
    </w:p>
    <w:p w14:paraId="2FF46008" w14:textId="01DA2869" w:rsidR="00C7375E" w:rsidRDefault="00E2183E" w:rsidP="00E2183E">
      <w:pPr>
        <w:jc w:val="both"/>
        <w:rPr>
          <w:rFonts w:ascii="Calibri" w:hAnsi="Calibri" w:cs="Calibri"/>
          <w:color w:val="201F1E"/>
          <w:shd w:val="clear" w:color="auto" w:fill="FFFFFF"/>
        </w:rPr>
      </w:pPr>
      <w:r w:rsidRPr="004839C3">
        <w:rPr>
          <w:rFonts w:cstheme="minorHAnsi"/>
          <w:sz w:val="20"/>
          <w:szCs w:val="20"/>
        </w:rPr>
        <w:t>This Report is one part of a five-part Desk Research Report undertaken by the Technical Assistance Team (TAT) for the EU-funded project ‘</w:t>
      </w:r>
      <w:r w:rsidRPr="004839C3">
        <w:rPr>
          <w:rFonts w:cstheme="minorHAnsi"/>
          <w:sz w:val="20"/>
          <w:szCs w:val="20"/>
          <w:lang w:val="en-US"/>
        </w:rPr>
        <w:t xml:space="preserve">Technical Assistance for Promoting Decent Future of Work Approach with a Focus on Gender Equality’. TAT was commissioned by the Turkish Ministry of Labour and Social Security (MoLSS) to examine 7 sectors in </w:t>
      </w:r>
      <w:r w:rsidRPr="004839C3">
        <w:rPr>
          <w:rFonts w:cstheme="minorHAnsi"/>
          <w:sz w:val="20"/>
          <w:szCs w:val="20"/>
        </w:rPr>
        <w:t xml:space="preserve">Türkiye from which MoLSS could select 5 for further examination. This Report focuses on one of the selected sectors. The overall purpose of the exercise was to understand the current situation within each of these sectors and to gain insights into the views of relevant sectoral stakeholders with regard to their vision for how the sectors would develop in the future, and to understand the way in which current skill sets may need to adapt to match the changing nature of work over the coming decade and more.  Additionally, TAT would go on to explore other policy/legislative-related issues which were currently working in favour of the sectors or which were creating problems which may need to be addressed. The eventual aim was to provide guidance to Turkish policy-makers about what changes would be necessary to enable the sectors to flourish in the context of a fast-changing working environment. Each part of the five-part Desk Research Report is intended to be comprehensible as a standalone document, but the Desk </w:t>
      </w:r>
      <w:r>
        <w:rPr>
          <w:rFonts w:cstheme="minorHAnsi"/>
          <w:sz w:val="20"/>
          <w:szCs w:val="20"/>
        </w:rPr>
        <w:t>R</w:t>
      </w:r>
      <w:r w:rsidRPr="004839C3">
        <w:rPr>
          <w:rFonts w:cstheme="minorHAnsi"/>
          <w:sz w:val="20"/>
          <w:szCs w:val="20"/>
        </w:rPr>
        <w:t xml:space="preserve">esearch </w:t>
      </w:r>
      <w:r>
        <w:rPr>
          <w:rFonts w:cstheme="minorHAnsi"/>
          <w:sz w:val="20"/>
          <w:szCs w:val="20"/>
        </w:rPr>
        <w:t>R</w:t>
      </w:r>
      <w:r w:rsidRPr="004839C3">
        <w:rPr>
          <w:rFonts w:cstheme="minorHAnsi"/>
          <w:sz w:val="20"/>
          <w:szCs w:val="20"/>
        </w:rPr>
        <w:t>eport itself forms only a part of the exercise as a whole.</w:t>
      </w:r>
    </w:p>
    <w:p w14:paraId="294D008A" w14:textId="77777777" w:rsidR="00E2183E" w:rsidRPr="00E2183E" w:rsidRDefault="00E2183E" w:rsidP="00E2183E">
      <w:pPr>
        <w:jc w:val="both"/>
        <w:rPr>
          <w:rFonts w:ascii="Calibri" w:hAnsi="Calibri" w:cs="Calibri"/>
          <w:color w:val="201F1E"/>
          <w:shd w:val="clear" w:color="auto" w:fill="FFFFFF"/>
        </w:rPr>
      </w:pPr>
    </w:p>
    <w:p w14:paraId="3874B1AF" w14:textId="144C8699" w:rsidR="00AC1A29" w:rsidRPr="00006330" w:rsidRDefault="007745AE" w:rsidP="00AC1A29">
      <w:pPr>
        <w:spacing w:after="160" w:line="259" w:lineRule="auto"/>
        <w:jc w:val="both"/>
        <w:rPr>
          <w:rFonts w:ascii="Calibri" w:eastAsia="Calibri" w:hAnsi="Calibri" w:cs="Times New Roman"/>
          <w:sz w:val="20"/>
          <w:szCs w:val="20"/>
        </w:rPr>
      </w:pPr>
      <w:r>
        <w:rPr>
          <w:rFonts w:ascii="Calibri" w:eastAsia="Calibri" w:hAnsi="Calibri" w:cs="Times New Roman"/>
          <w:sz w:val="20"/>
          <w:szCs w:val="20"/>
        </w:rPr>
        <w:t>Türkiye</w:t>
      </w:r>
      <w:r w:rsidR="00AC1A29" w:rsidRPr="00006330">
        <w:rPr>
          <w:rFonts w:ascii="Calibri" w:eastAsia="Calibri" w:hAnsi="Calibri" w:cs="Times New Roman"/>
          <w:sz w:val="20"/>
          <w:szCs w:val="20"/>
        </w:rPr>
        <w:t xml:space="preserve"> has the highest rate of growing energy demand among OECD countries over the last 15 years. Located near around seventy percent of the world’s proven oil and gas reserves, </w:t>
      </w:r>
      <w:r>
        <w:rPr>
          <w:rFonts w:ascii="Calibri" w:eastAsia="Calibri" w:hAnsi="Calibri" w:cs="Times New Roman"/>
          <w:sz w:val="20"/>
          <w:szCs w:val="20"/>
        </w:rPr>
        <w:t>Türkiye</w:t>
      </w:r>
      <w:r w:rsidR="00AC1A29" w:rsidRPr="00006330">
        <w:rPr>
          <w:rFonts w:ascii="Calibri" w:eastAsia="Calibri" w:hAnsi="Calibri" w:cs="Times New Roman"/>
          <w:sz w:val="20"/>
          <w:szCs w:val="20"/>
        </w:rPr>
        <w:t xml:space="preserve"> is one the biggest natural gas and electricity markets in its region. The country produces its own lignite (brown coal) but imports three-quarters of its energy, including half the coal and almost all the oil and gas it requires. </w:t>
      </w:r>
      <w:proofErr w:type="spellStart"/>
      <w:r>
        <w:rPr>
          <w:rFonts w:ascii="Calibri" w:eastAsia="Calibri" w:hAnsi="Calibri" w:cs="Times New Roman"/>
          <w:sz w:val="20"/>
          <w:szCs w:val="20"/>
        </w:rPr>
        <w:t>Türkiye</w:t>
      </w:r>
      <w:r w:rsidR="00AC1A29" w:rsidRPr="00006330">
        <w:rPr>
          <w:rFonts w:ascii="Calibri" w:eastAsia="Calibri" w:hAnsi="Calibri" w:cs="Times New Roman"/>
          <w:sz w:val="20"/>
          <w:szCs w:val="20"/>
        </w:rPr>
        <w:t>'s</w:t>
      </w:r>
      <w:proofErr w:type="spellEnd"/>
      <w:r w:rsidR="00AC1A29" w:rsidRPr="00006330">
        <w:rPr>
          <w:rFonts w:ascii="Calibri" w:eastAsia="Calibri" w:hAnsi="Calibri" w:cs="Times New Roman"/>
          <w:sz w:val="20"/>
          <w:szCs w:val="20"/>
        </w:rPr>
        <w:t xml:space="preserve"> electricity is generated mainly from coal, gas, and hydro, with a small but growing amount from wind, solar and geothermal.</w:t>
      </w:r>
    </w:p>
    <w:p w14:paraId="6FD15BD7" w14:textId="29D884E6" w:rsidR="00AC1A29" w:rsidRPr="00006330" w:rsidRDefault="00AC1A29" w:rsidP="00AC1A29">
      <w:pPr>
        <w:spacing w:after="160" w:line="259" w:lineRule="auto"/>
        <w:jc w:val="both"/>
        <w:rPr>
          <w:rFonts w:ascii="Calibri" w:eastAsia="Calibri" w:hAnsi="Calibri" w:cs="Times New Roman"/>
          <w:sz w:val="20"/>
          <w:szCs w:val="20"/>
        </w:rPr>
      </w:pPr>
      <w:r w:rsidRPr="00006330">
        <w:rPr>
          <w:rFonts w:ascii="Calibri" w:eastAsia="Calibri" w:hAnsi="Calibri" w:cs="Times New Roman"/>
          <w:sz w:val="20"/>
          <w:szCs w:val="20"/>
        </w:rPr>
        <w:t xml:space="preserve">The country meets a quarter of its energy demand from national resources. In 2019, the country was almost 40% fossil fuel energy dependent on Russia; it imports 99% of its natural gas and 93% of the petroleum it uses. In the 2010s, fossil fuel imports were probably the largest structural vulnerability of the country's economy: they cost $41 billion in 2019 representing about a fifth of </w:t>
      </w:r>
      <w:proofErr w:type="spellStart"/>
      <w:r w:rsidR="007745AE">
        <w:rPr>
          <w:rFonts w:ascii="Calibri" w:eastAsia="Calibri" w:hAnsi="Calibri" w:cs="Times New Roman"/>
          <w:sz w:val="20"/>
          <w:szCs w:val="20"/>
        </w:rPr>
        <w:t>Türkiye</w:t>
      </w:r>
      <w:r w:rsidRPr="00006330">
        <w:rPr>
          <w:rFonts w:ascii="Calibri" w:eastAsia="Calibri" w:hAnsi="Calibri" w:cs="Times New Roman"/>
          <w:sz w:val="20"/>
          <w:szCs w:val="20"/>
        </w:rPr>
        <w:t>'s</w:t>
      </w:r>
      <w:proofErr w:type="spellEnd"/>
      <w:r w:rsidRPr="00006330">
        <w:rPr>
          <w:rFonts w:ascii="Calibri" w:eastAsia="Calibri" w:hAnsi="Calibri" w:cs="Times New Roman"/>
          <w:sz w:val="20"/>
          <w:szCs w:val="20"/>
        </w:rPr>
        <w:t xml:space="preserve"> total import bill. </w:t>
      </w:r>
    </w:p>
    <w:p w14:paraId="4DBD3C11" w14:textId="2FA99DAE" w:rsidR="00AC1A29" w:rsidRPr="00006330" w:rsidRDefault="00AC1A29" w:rsidP="00AC1A29">
      <w:pPr>
        <w:spacing w:after="160" w:line="259" w:lineRule="auto"/>
        <w:jc w:val="both"/>
        <w:rPr>
          <w:rFonts w:ascii="Calibri" w:eastAsia="Calibri" w:hAnsi="Calibri" w:cs="Times New Roman"/>
          <w:sz w:val="20"/>
          <w:szCs w:val="20"/>
        </w:rPr>
      </w:pPr>
      <w:r w:rsidRPr="00006330">
        <w:rPr>
          <w:rFonts w:ascii="Calibri" w:eastAsia="Calibri" w:hAnsi="Calibri" w:cs="Times New Roman"/>
          <w:sz w:val="20"/>
          <w:szCs w:val="20"/>
        </w:rPr>
        <w:t xml:space="preserve">For the Plan of development, the main objective is to ensure uninterrupted, high-quality, sustainable, reliable, and affordable energy supply. Given the importance of this sector for </w:t>
      </w:r>
      <w:r w:rsidR="007745AE">
        <w:rPr>
          <w:rFonts w:ascii="Calibri" w:eastAsia="Calibri" w:hAnsi="Calibri" w:cs="Times New Roman"/>
          <w:sz w:val="20"/>
          <w:szCs w:val="20"/>
        </w:rPr>
        <w:t>Türkiye</w:t>
      </w:r>
      <w:r w:rsidRPr="00006330">
        <w:rPr>
          <w:rFonts w:ascii="Calibri" w:eastAsia="Calibri" w:hAnsi="Calibri" w:cs="Times New Roman"/>
          <w:sz w:val="20"/>
          <w:szCs w:val="20"/>
        </w:rPr>
        <w:t>, we have incorporated an economic analysis of each of the sub-sectors.</w:t>
      </w:r>
    </w:p>
    <w:p w14:paraId="6FB646D8" w14:textId="77777777" w:rsidR="00AC1A29" w:rsidRPr="00006330" w:rsidRDefault="00AC1A29" w:rsidP="00AC1A29">
      <w:pPr>
        <w:spacing w:after="160" w:line="259" w:lineRule="auto"/>
        <w:jc w:val="both"/>
        <w:rPr>
          <w:rFonts w:ascii="Calibri" w:eastAsia="Calibri" w:hAnsi="Calibri" w:cs="Times New Roman"/>
          <w:sz w:val="20"/>
          <w:szCs w:val="20"/>
        </w:rPr>
      </w:pPr>
      <w:r w:rsidRPr="00006330">
        <w:rPr>
          <w:rFonts w:ascii="Calibri" w:eastAsia="Calibri" w:hAnsi="Calibri" w:cs="Times New Roman"/>
          <w:sz w:val="20"/>
          <w:szCs w:val="20"/>
        </w:rPr>
        <w:t xml:space="preserve">There are needs of employment particularly in two areas: nuclear and renewables energies (Globally, the renewable energy sector employed 11.5 million people, directly and indirectly, in 2019). Available evidence suggests that renewable energy employs more people than do fossil fuels. An input output analysis (Garrett-Peltier, 2017) performed to evaluate public and private energy investment found that, on average, spending USD  1 million on renewables creates 7.49 FTE jobs, almost triple the 2.65 FTE jobs in fossil fuels. </w:t>
      </w:r>
      <w:r w:rsidRPr="00006330">
        <w:rPr>
          <w:rFonts w:ascii="Calibri" w:eastAsia="Calibri" w:hAnsi="Calibri" w:cs="Times New Roman"/>
          <w:b/>
          <w:bCs/>
          <w:sz w:val="20"/>
          <w:szCs w:val="20"/>
        </w:rPr>
        <w:t>Most of these jobs are still held by men</w:t>
      </w:r>
      <w:r w:rsidRPr="00006330">
        <w:rPr>
          <w:rFonts w:ascii="Calibri" w:eastAsia="Calibri" w:hAnsi="Calibri" w:cs="Times New Roman"/>
          <w:sz w:val="20"/>
          <w:szCs w:val="20"/>
        </w:rPr>
        <w:t xml:space="preserve">. The share of women in the renewable energy workforce is about 32%, compared to 22% in the energy sector overall (IRENA, 2019). </w:t>
      </w:r>
    </w:p>
    <w:p w14:paraId="3EC8B12C" w14:textId="77777777" w:rsidR="00AC1A29" w:rsidRPr="00006330" w:rsidRDefault="00AC1A29" w:rsidP="00AC1A29">
      <w:pPr>
        <w:spacing w:after="160" w:line="259" w:lineRule="auto"/>
        <w:jc w:val="both"/>
        <w:rPr>
          <w:rFonts w:ascii="Calibri" w:eastAsia="Calibri" w:hAnsi="Calibri" w:cs="Times New Roman"/>
          <w:sz w:val="20"/>
          <w:szCs w:val="20"/>
        </w:rPr>
      </w:pPr>
      <w:r w:rsidRPr="00006330">
        <w:rPr>
          <w:rFonts w:ascii="Calibri" w:eastAsia="Calibri" w:hAnsi="Calibri" w:cs="Times New Roman"/>
          <w:sz w:val="20"/>
          <w:szCs w:val="20"/>
        </w:rPr>
        <w:t xml:space="preserve">Building the skills based necessary to support the ongoing global energy transition from fossil fuels to renewables requires more vocational training, stronger curricula, more teacher training and expanded use of information and communications technology for remote learning. One of the subjects discussed globally are the possibility that </w:t>
      </w:r>
      <w:r w:rsidRPr="00006330">
        <w:rPr>
          <w:rFonts w:ascii="Calibri" w:eastAsia="Calibri" w:hAnsi="Calibri" w:cs="Times New Roman"/>
          <w:b/>
          <w:bCs/>
          <w:sz w:val="20"/>
          <w:szCs w:val="20"/>
        </w:rPr>
        <w:t>renewable energy can be better integrated into national curricula</w:t>
      </w:r>
      <w:r w:rsidRPr="00006330">
        <w:rPr>
          <w:rFonts w:ascii="Calibri" w:eastAsia="Calibri" w:hAnsi="Calibri" w:cs="Times New Roman"/>
          <w:sz w:val="20"/>
          <w:szCs w:val="20"/>
        </w:rPr>
        <w:t xml:space="preserve">, and other possibility is the </w:t>
      </w:r>
      <w:r w:rsidRPr="00006330">
        <w:rPr>
          <w:rFonts w:ascii="Calibri" w:eastAsia="Calibri" w:hAnsi="Calibri" w:cs="Times New Roman"/>
          <w:b/>
          <w:bCs/>
          <w:sz w:val="20"/>
          <w:szCs w:val="20"/>
        </w:rPr>
        <w:t>technology-enhanced learning</w:t>
      </w:r>
      <w:r w:rsidRPr="00006330">
        <w:rPr>
          <w:rFonts w:ascii="Calibri" w:eastAsia="Calibri" w:hAnsi="Calibri" w:cs="Times New Roman"/>
          <w:sz w:val="20"/>
          <w:szCs w:val="20"/>
        </w:rPr>
        <w:t xml:space="preserve"> Innovations in the use of ICT can play an important role in the delivery of education and training related to renewable energy. For this, </w:t>
      </w:r>
      <w:r w:rsidRPr="00006330">
        <w:rPr>
          <w:rFonts w:ascii="Calibri" w:eastAsia="Calibri" w:hAnsi="Calibri" w:cs="Times New Roman"/>
          <w:b/>
          <w:bCs/>
          <w:sz w:val="20"/>
          <w:szCs w:val="20"/>
        </w:rPr>
        <w:t>Public-private partnerships</w:t>
      </w:r>
      <w:r w:rsidRPr="00006330">
        <w:rPr>
          <w:rFonts w:ascii="Calibri" w:eastAsia="Calibri" w:hAnsi="Calibri" w:cs="Times New Roman"/>
          <w:sz w:val="20"/>
          <w:szCs w:val="20"/>
        </w:rPr>
        <w:t xml:space="preserve"> are needed (Engaging the private sector is crucial for meeting sectoral labour requirements, promoting national skill standards, providing on-the-job training, and improving the quality of training overall) </w:t>
      </w:r>
    </w:p>
    <w:p w14:paraId="3441C39F" w14:textId="77777777" w:rsidR="00AC1A29" w:rsidRPr="00006330" w:rsidRDefault="00AC1A29" w:rsidP="00AC1A29">
      <w:pPr>
        <w:spacing w:after="160" w:line="259" w:lineRule="auto"/>
        <w:jc w:val="both"/>
        <w:rPr>
          <w:rFonts w:ascii="Calibri" w:eastAsia="Calibri" w:hAnsi="Calibri" w:cs="Times New Roman"/>
          <w:sz w:val="20"/>
          <w:szCs w:val="20"/>
        </w:rPr>
      </w:pPr>
      <w:r w:rsidRPr="00006330">
        <w:rPr>
          <w:rFonts w:ascii="Calibri" w:eastAsia="Calibri" w:hAnsi="Calibri" w:cs="Times New Roman"/>
          <w:b/>
          <w:bCs/>
          <w:sz w:val="20"/>
          <w:szCs w:val="20"/>
        </w:rPr>
        <w:t>Educating girls and women</w:t>
      </w:r>
      <w:r w:rsidRPr="00006330">
        <w:rPr>
          <w:rFonts w:ascii="Calibri" w:eastAsia="Calibri" w:hAnsi="Calibri" w:cs="Times New Roman"/>
          <w:sz w:val="20"/>
          <w:szCs w:val="20"/>
        </w:rPr>
        <w:t xml:space="preserve"> must be a priority. In the renewable energy sector, women’s participation in science, technology, engineering, and mathematics (STEM) jobs is far lower than in administrative jobs (28% versus 45%) (IRENA, 2019). The difference is more pronounced in the wind energy sector, where women account for only </w:t>
      </w:r>
      <w:r w:rsidRPr="00006330">
        <w:rPr>
          <w:rFonts w:ascii="Calibri" w:eastAsia="Calibri" w:hAnsi="Calibri" w:cs="Times New Roman"/>
          <w:sz w:val="20"/>
          <w:szCs w:val="20"/>
        </w:rPr>
        <w:lastRenderedPageBreak/>
        <w:t xml:space="preserve">14% of the STEM total, compared to 45% in administrative jobs (IRENA, 2020). Strategies to increase the representation of women in the renewable energy sector often focus on workplace accommodations, mentorship, and professional development. Jobs in renewable energy are important beyond the energy sector: incomes spent on food or consumer goods and services stimulate many different industries in local, national, and global economies. </w:t>
      </w:r>
    </w:p>
    <w:p w14:paraId="59FA6E0C" w14:textId="77777777" w:rsidR="00AC1A29" w:rsidRPr="00AC1A29" w:rsidRDefault="00AC1A29" w:rsidP="00AC1A29">
      <w:pPr>
        <w:spacing w:after="160" w:line="259" w:lineRule="auto"/>
        <w:rPr>
          <w:rFonts w:ascii="Calibri" w:eastAsia="Calibri" w:hAnsi="Calibri" w:cs="Times New Roman"/>
          <w:sz w:val="22"/>
          <w:szCs w:val="22"/>
        </w:rPr>
      </w:pPr>
      <w:r w:rsidRPr="00AC1A29">
        <w:rPr>
          <w:rFonts w:ascii="Calibri" w:eastAsia="Calibri" w:hAnsi="Calibri" w:cs="Times New Roman"/>
          <w:sz w:val="22"/>
          <w:szCs w:val="22"/>
        </w:rPr>
        <w:br w:type="page"/>
      </w:r>
    </w:p>
    <w:p w14:paraId="775CA08B" w14:textId="4E7B120B" w:rsidR="00AC1A29" w:rsidRPr="002971D4" w:rsidRDefault="002971D4" w:rsidP="001C1D9B">
      <w:pPr>
        <w:pStyle w:val="Heading1"/>
      </w:pPr>
      <w:bookmarkStart w:id="7" w:name="_Toc118121243"/>
      <w:bookmarkEnd w:id="6"/>
      <w:r w:rsidRPr="002971D4">
        <w:lastRenderedPageBreak/>
        <w:t xml:space="preserve">2. </w:t>
      </w:r>
      <w:r w:rsidR="001365AE" w:rsidRPr="002971D4">
        <w:t>INTRODUCTION</w:t>
      </w:r>
      <w:bookmarkEnd w:id="7"/>
    </w:p>
    <w:p w14:paraId="3787DAB3" w14:textId="5DB79095" w:rsidR="00AC1A29" w:rsidRPr="00DB6A3C" w:rsidRDefault="007745AE" w:rsidP="00AC1A29">
      <w:pPr>
        <w:spacing w:after="160" w:line="259" w:lineRule="auto"/>
        <w:jc w:val="both"/>
        <w:rPr>
          <w:rFonts w:eastAsia="Times New Roman" w:cstheme="minorHAnsi"/>
          <w:sz w:val="20"/>
          <w:szCs w:val="20"/>
          <w:lang w:eastAsia="es-AR"/>
        </w:rPr>
      </w:pPr>
      <w:r>
        <w:rPr>
          <w:rFonts w:eastAsia="Calibri" w:cstheme="minorHAnsi"/>
          <w:sz w:val="20"/>
          <w:szCs w:val="20"/>
        </w:rPr>
        <w:t>Türkiye</w:t>
      </w:r>
      <w:r w:rsidR="00AC1A29" w:rsidRPr="00DB6A3C">
        <w:rPr>
          <w:rFonts w:eastAsia="Calibri" w:cstheme="minorHAnsi"/>
          <w:sz w:val="20"/>
          <w:szCs w:val="20"/>
        </w:rPr>
        <w:t xml:space="preserve"> has the highest rate of growing energy demand among OECD countries over the last 15 years. Located near around seventy percent of the world’s proven oil and gas reserves, </w:t>
      </w:r>
      <w:r>
        <w:rPr>
          <w:rFonts w:eastAsia="Calibri" w:cstheme="minorHAnsi"/>
          <w:sz w:val="20"/>
          <w:szCs w:val="20"/>
        </w:rPr>
        <w:t>Türkiye</w:t>
      </w:r>
      <w:r w:rsidR="00AC1A29" w:rsidRPr="00DB6A3C">
        <w:rPr>
          <w:rFonts w:eastAsia="Calibri" w:cstheme="minorHAnsi"/>
          <w:sz w:val="20"/>
          <w:szCs w:val="20"/>
        </w:rPr>
        <w:t xml:space="preserve"> is one the biggest natural gas and electricity markets in its region.</w:t>
      </w:r>
      <w:r w:rsidR="00AC1A29" w:rsidRPr="00DB6A3C">
        <w:rPr>
          <w:rFonts w:eastAsia="Calibri" w:cstheme="minorHAnsi"/>
          <w:sz w:val="20"/>
          <w:szCs w:val="20"/>
          <w:vertAlign w:val="superscript"/>
        </w:rPr>
        <w:footnoteReference w:id="1"/>
      </w:r>
      <w:r w:rsidR="00AC1A29" w:rsidRPr="00DB6A3C">
        <w:rPr>
          <w:rFonts w:eastAsia="Times New Roman" w:cstheme="minorHAnsi"/>
          <w:sz w:val="20"/>
          <w:szCs w:val="20"/>
          <w:lang w:eastAsia="es-AR"/>
        </w:rPr>
        <w:t xml:space="preserve"> Consumption of </w:t>
      </w:r>
      <w:r w:rsidR="00AC1A29" w:rsidRPr="00DB6A3C">
        <w:rPr>
          <w:rFonts w:eastAsia="Times New Roman" w:cstheme="minorHAnsi"/>
          <w:b/>
          <w:bCs/>
          <w:sz w:val="20"/>
          <w:szCs w:val="20"/>
          <w:lang w:eastAsia="es-AR"/>
        </w:rPr>
        <w:t xml:space="preserve">energy in </w:t>
      </w:r>
      <w:r>
        <w:rPr>
          <w:rFonts w:eastAsia="Times New Roman" w:cstheme="minorHAnsi"/>
          <w:b/>
          <w:bCs/>
          <w:sz w:val="20"/>
          <w:szCs w:val="20"/>
          <w:lang w:eastAsia="es-AR"/>
        </w:rPr>
        <w:t>Türkiye</w:t>
      </w:r>
      <w:r w:rsidR="00AC1A29" w:rsidRPr="00DB6A3C">
        <w:rPr>
          <w:rFonts w:eastAsia="Times New Roman" w:cstheme="minorHAnsi"/>
          <w:sz w:val="20"/>
          <w:szCs w:val="20"/>
          <w:lang w:eastAsia="es-AR"/>
        </w:rPr>
        <w:t xml:space="preserve"> is around the world average of about seventy gigajoules (GJ) per person per year.  </w:t>
      </w:r>
    </w:p>
    <w:p w14:paraId="71DDD593" w14:textId="507AC1B8" w:rsidR="00AC1A29" w:rsidRPr="00DB6A3C" w:rsidRDefault="007745AE" w:rsidP="00AC1A29">
      <w:pPr>
        <w:spacing w:after="160" w:line="259" w:lineRule="auto"/>
        <w:jc w:val="both"/>
        <w:rPr>
          <w:rFonts w:eastAsia="Times New Roman" w:cstheme="minorHAnsi"/>
          <w:sz w:val="20"/>
          <w:szCs w:val="20"/>
          <w:lang w:eastAsia="es-AR"/>
        </w:rPr>
      </w:pPr>
      <w:r>
        <w:rPr>
          <w:rFonts w:eastAsia="Times New Roman" w:cstheme="minorHAnsi"/>
          <w:sz w:val="20"/>
          <w:szCs w:val="20"/>
          <w:lang w:eastAsia="es-AR"/>
        </w:rPr>
        <w:t>Türkiye</w:t>
      </w:r>
      <w:r w:rsidR="00AC1A29" w:rsidRPr="00DB6A3C">
        <w:rPr>
          <w:rFonts w:eastAsia="Times New Roman" w:cstheme="minorHAnsi"/>
          <w:sz w:val="20"/>
          <w:szCs w:val="20"/>
          <w:lang w:eastAsia="es-AR"/>
        </w:rPr>
        <w:t xml:space="preserve"> produces its own lignite (brown coal) but imports three-quarters of its energy, including half the coal and almost all the oil and gas it requires. </w:t>
      </w:r>
      <w:proofErr w:type="spellStart"/>
      <w:r>
        <w:rPr>
          <w:rFonts w:eastAsia="Times New Roman" w:cstheme="minorHAnsi"/>
          <w:sz w:val="20"/>
          <w:szCs w:val="20"/>
          <w:lang w:eastAsia="es-AR"/>
        </w:rPr>
        <w:t>Türkiye</w:t>
      </w:r>
      <w:r w:rsidR="00AC1A29" w:rsidRPr="00DB6A3C">
        <w:rPr>
          <w:rFonts w:eastAsia="Times New Roman" w:cstheme="minorHAnsi"/>
          <w:sz w:val="20"/>
          <w:szCs w:val="20"/>
          <w:lang w:eastAsia="es-AR"/>
        </w:rPr>
        <w:t>'s</w:t>
      </w:r>
      <w:proofErr w:type="spellEnd"/>
      <w:r w:rsidR="00AC1A29" w:rsidRPr="00DB6A3C">
        <w:rPr>
          <w:rFonts w:eastAsia="Times New Roman" w:cstheme="minorHAnsi"/>
          <w:sz w:val="20"/>
          <w:szCs w:val="20"/>
          <w:lang w:eastAsia="es-AR"/>
        </w:rPr>
        <w:t xml:space="preserve"> energy policy prioritises reducing imports, but the OECD</w:t>
      </w:r>
      <w:r w:rsidR="00AC1A29" w:rsidRPr="00DB6A3C">
        <w:rPr>
          <w:rFonts w:eastAsia="Times New Roman" w:cstheme="minorHAnsi"/>
          <w:sz w:val="20"/>
          <w:szCs w:val="20"/>
          <w:vertAlign w:val="superscript"/>
          <w:lang w:eastAsia="es-AR"/>
        </w:rPr>
        <w:footnoteReference w:id="2"/>
      </w:r>
      <w:r w:rsidR="00AC1A29" w:rsidRPr="00DB6A3C">
        <w:rPr>
          <w:rFonts w:eastAsia="Times New Roman" w:cstheme="minorHAnsi"/>
          <w:sz w:val="20"/>
          <w:szCs w:val="20"/>
          <w:lang w:eastAsia="es-AR"/>
        </w:rPr>
        <w:t> has criticised the lack of carbon pricing, subsidising fossil fuels and not taking more advantage of the country's abundant wind and sunshine. Road transport in the country consumes the most oil products. The country's electricity is generated mainly from coal, gas, and hydro, with a small but growing amount from wind, solar and geothermal.</w:t>
      </w:r>
    </w:p>
    <w:p w14:paraId="66574C5B" w14:textId="775D2B5F" w:rsidR="00AC1A29" w:rsidRPr="00DB6A3C" w:rsidRDefault="007745AE" w:rsidP="00AC1A29">
      <w:pPr>
        <w:spacing w:after="160" w:line="259" w:lineRule="auto"/>
        <w:jc w:val="both"/>
        <w:rPr>
          <w:rFonts w:eastAsia="Calibri" w:cstheme="minorHAnsi"/>
          <w:sz w:val="20"/>
          <w:szCs w:val="20"/>
        </w:rPr>
      </w:pPr>
      <w:r>
        <w:rPr>
          <w:rFonts w:eastAsia="Times New Roman" w:cstheme="minorHAnsi"/>
          <w:sz w:val="20"/>
          <w:szCs w:val="20"/>
          <w:lang w:eastAsia="es-AR"/>
        </w:rPr>
        <w:t>Türkiye</w:t>
      </w:r>
      <w:r w:rsidR="00AC1A29" w:rsidRPr="00DB6A3C">
        <w:rPr>
          <w:rFonts w:eastAsia="Calibri" w:cstheme="minorHAnsi"/>
          <w:sz w:val="20"/>
          <w:szCs w:val="20"/>
        </w:rPr>
        <w:t xml:space="preserve"> meets a quarter of its energy demand from national resources. In 2019, the country was almost 40% fossil fuel energy dependent on Russia; it imports 99% of its natural gas and 93% of the petroleum it uses. In the 2010s, fossil fuel imports were probably the largest structural vulnerability of the country's economy: they cost $41 billion in 2019 representing about a fifth of </w:t>
      </w:r>
      <w:proofErr w:type="spellStart"/>
      <w:r>
        <w:rPr>
          <w:rFonts w:eastAsia="Calibri" w:cstheme="minorHAnsi"/>
          <w:sz w:val="20"/>
          <w:szCs w:val="20"/>
        </w:rPr>
        <w:t>Türkiye</w:t>
      </w:r>
      <w:r w:rsidR="00AC1A29" w:rsidRPr="00DB6A3C">
        <w:rPr>
          <w:rFonts w:eastAsia="Calibri" w:cstheme="minorHAnsi"/>
          <w:sz w:val="20"/>
          <w:szCs w:val="20"/>
        </w:rPr>
        <w:t>'s</w:t>
      </w:r>
      <w:proofErr w:type="spellEnd"/>
      <w:r w:rsidR="00AC1A29" w:rsidRPr="00DB6A3C">
        <w:rPr>
          <w:rFonts w:eastAsia="Calibri" w:cstheme="minorHAnsi"/>
          <w:sz w:val="20"/>
          <w:szCs w:val="20"/>
        </w:rPr>
        <w:t xml:space="preserve"> total import bill.</w:t>
      </w:r>
      <w:r w:rsidR="00AC1A29" w:rsidRPr="00DB6A3C">
        <w:rPr>
          <w:rFonts w:eastAsia="Calibri" w:cstheme="minorHAnsi"/>
          <w:sz w:val="20"/>
          <w:szCs w:val="20"/>
          <w:vertAlign w:val="superscript"/>
        </w:rPr>
        <w:footnoteReference w:id="3"/>
      </w:r>
    </w:p>
    <w:p w14:paraId="3E1924E3" w14:textId="1265497A" w:rsidR="00AC1A29" w:rsidRPr="00DB6A3C" w:rsidRDefault="00AC1A29" w:rsidP="00AC1A29">
      <w:pPr>
        <w:spacing w:after="160" w:line="259" w:lineRule="auto"/>
        <w:jc w:val="both"/>
        <w:rPr>
          <w:rFonts w:eastAsia="Calibri" w:cstheme="minorHAnsi"/>
          <w:i/>
          <w:iCs/>
          <w:sz w:val="20"/>
          <w:szCs w:val="20"/>
        </w:rPr>
      </w:pPr>
      <w:r w:rsidRPr="00DB6A3C">
        <w:rPr>
          <w:rFonts w:eastAsia="Calibri" w:cstheme="minorHAnsi"/>
          <w:sz w:val="20"/>
          <w:szCs w:val="20"/>
        </w:rPr>
        <w:t xml:space="preserve">In 2017, renewables generated a tenth of </w:t>
      </w:r>
      <w:proofErr w:type="spellStart"/>
      <w:r w:rsidR="007745AE">
        <w:rPr>
          <w:rFonts w:eastAsia="Calibri" w:cstheme="minorHAnsi"/>
          <w:sz w:val="20"/>
          <w:szCs w:val="20"/>
        </w:rPr>
        <w:t>Türkiye</w:t>
      </w:r>
      <w:r w:rsidRPr="00DB6A3C">
        <w:rPr>
          <w:rFonts w:eastAsia="Calibri" w:cstheme="minorHAnsi"/>
          <w:sz w:val="20"/>
          <w:szCs w:val="20"/>
        </w:rPr>
        <w:t>'s</w:t>
      </w:r>
      <w:proofErr w:type="spellEnd"/>
      <w:r w:rsidRPr="00DB6A3C">
        <w:rPr>
          <w:rFonts w:eastAsia="Calibri" w:cstheme="minorHAnsi"/>
          <w:sz w:val="20"/>
          <w:szCs w:val="20"/>
        </w:rPr>
        <w:t xml:space="preserve"> electricity, which reduced gas import costs. However, being mainly hydroelectricity, the amount that can be produced, and this percentage, is vulnerable to drought. </w:t>
      </w:r>
    </w:p>
    <w:p w14:paraId="65A8EC88"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The main elements of the energy strategy can be summarized as follows:</w:t>
      </w:r>
    </w:p>
    <w:p w14:paraId="1C8715F8" w14:textId="77777777" w:rsidR="00AC1A29" w:rsidRPr="00DB6A3C" w:rsidRDefault="00AC1A29" w:rsidP="001B60EE">
      <w:pPr>
        <w:numPr>
          <w:ilvl w:val="0"/>
          <w:numId w:val="2"/>
        </w:numPr>
        <w:spacing w:after="160" w:line="259" w:lineRule="auto"/>
        <w:contextualSpacing/>
        <w:jc w:val="both"/>
        <w:rPr>
          <w:rFonts w:eastAsia="Calibri" w:cstheme="minorHAnsi"/>
          <w:sz w:val="20"/>
          <w:szCs w:val="20"/>
        </w:rPr>
      </w:pPr>
      <w:r w:rsidRPr="00DB6A3C">
        <w:rPr>
          <w:rFonts w:eastAsia="Calibri" w:cstheme="minorHAnsi"/>
          <w:sz w:val="20"/>
          <w:szCs w:val="20"/>
        </w:rPr>
        <w:t>Considering increasing energy demand and import dependency, prioritization among energy supply security related activities,</w:t>
      </w:r>
    </w:p>
    <w:p w14:paraId="0562888A" w14:textId="77777777" w:rsidR="00AC1A29" w:rsidRPr="00DB6A3C" w:rsidRDefault="00AC1A29" w:rsidP="001B60EE">
      <w:pPr>
        <w:numPr>
          <w:ilvl w:val="0"/>
          <w:numId w:val="2"/>
        </w:numPr>
        <w:spacing w:after="160" w:line="259" w:lineRule="auto"/>
        <w:contextualSpacing/>
        <w:jc w:val="both"/>
        <w:rPr>
          <w:rFonts w:eastAsia="Calibri" w:cstheme="minorHAnsi"/>
          <w:sz w:val="20"/>
          <w:szCs w:val="20"/>
        </w:rPr>
      </w:pPr>
      <w:r w:rsidRPr="00DB6A3C">
        <w:rPr>
          <w:rFonts w:eastAsia="Calibri" w:cstheme="minorHAnsi"/>
          <w:sz w:val="20"/>
          <w:szCs w:val="20"/>
        </w:rPr>
        <w:t>Within the context of sustainable development, giving due consideration to environmental concerns all along the energy chain,</w:t>
      </w:r>
    </w:p>
    <w:p w14:paraId="301CC783" w14:textId="77777777" w:rsidR="00AC1A29" w:rsidRPr="00DB6A3C" w:rsidRDefault="00AC1A29" w:rsidP="001B60EE">
      <w:pPr>
        <w:numPr>
          <w:ilvl w:val="0"/>
          <w:numId w:val="2"/>
        </w:numPr>
        <w:spacing w:after="160" w:line="259" w:lineRule="auto"/>
        <w:contextualSpacing/>
        <w:jc w:val="both"/>
        <w:rPr>
          <w:rFonts w:eastAsia="Calibri" w:cstheme="minorHAnsi"/>
          <w:sz w:val="20"/>
          <w:szCs w:val="20"/>
        </w:rPr>
      </w:pPr>
      <w:r w:rsidRPr="00DB6A3C">
        <w:rPr>
          <w:rFonts w:eastAsia="Calibri" w:cstheme="minorHAnsi"/>
          <w:sz w:val="20"/>
          <w:szCs w:val="20"/>
        </w:rPr>
        <w:t>Increasing efficiency and productivity, establishing transparent and competitive market conditions through reform and liberalization,</w:t>
      </w:r>
    </w:p>
    <w:p w14:paraId="5B1EBAF7" w14:textId="77777777" w:rsidR="00AC1A29" w:rsidRPr="00DB6A3C" w:rsidRDefault="00AC1A29" w:rsidP="001B60EE">
      <w:pPr>
        <w:numPr>
          <w:ilvl w:val="0"/>
          <w:numId w:val="2"/>
        </w:numPr>
        <w:spacing w:after="160" w:line="259" w:lineRule="auto"/>
        <w:contextualSpacing/>
        <w:jc w:val="both"/>
        <w:rPr>
          <w:rFonts w:eastAsia="Calibri" w:cstheme="minorHAnsi"/>
          <w:sz w:val="20"/>
          <w:szCs w:val="20"/>
        </w:rPr>
      </w:pPr>
      <w:r w:rsidRPr="00DB6A3C">
        <w:rPr>
          <w:rFonts w:eastAsia="Calibri" w:cstheme="minorHAnsi"/>
          <w:sz w:val="20"/>
          <w:szCs w:val="20"/>
        </w:rPr>
        <w:t>Expanding research and development activities on energy technologies.</w:t>
      </w:r>
    </w:p>
    <w:p w14:paraId="44F76F6B"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In this scope, the following goals are aimed:</w:t>
      </w:r>
    </w:p>
    <w:p w14:paraId="637A45F8" w14:textId="77777777" w:rsidR="00AC1A29" w:rsidRPr="00DB6A3C" w:rsidRDefault="00AC1A29" w:rsidP="001B60EE">
      <w:pPr>
        <w:numPr>
          <w:ilvl w:val="0"/>
          <w:numId w:val="3"/>
        </w:numPr>
        <w:spacing w:after="160" w:line="259" w:lineRule="auto"/>
        <w:contextualSpacing/>
        <w:jc w:val="both"/>
        <w:rPr>
          <w:rFonts w:eastAsia="Calibri" w:cstheme="minorHAnsi"/>
          <w:sz w:val="20"/>
          <w:szCs w:val="20"/>
        </w:rPr>
      </w:pPr>
      <w:r w:rsidRPr="00DB6A3C">
        <w:rPr>
          <w:rFonts w:eastAsia="Calibri" w:cstheme="minorHAnsi"/>
          <w:sz w:val="20"/>
          <w:szCs w:val="20"/>
        </w:rPr>
        <w:t>Route and source diversification of oil and natural gas imports,</w:t>
      </w:r>
    </w:p>
    <w:p w14:paraId="64DB1CB9" w14:textId="77777777" w:rsidR="00AC1A29" w:rsidRPr="00DB6A3C" w:rsidRDefault="00AC1A29" w:rsidP="001B60EE">
      <w:pPr>
        <w:numPr>
          <w:ilvl w:val="0"/>
          <w:numId w:val="3"/>
        </w:numPr>
        <w:spacing w:after="160" w:line="259" w:lineRule="auto"/>
        <w:contextualSpacing/>
        <w:jc w:val="both"/>
        <w:rPr>
          <w:rFonts w:eastAsia="Calibri" w:cstheme="minorHAnsi"/>
          <w:sz w:val="20"/>
          <w:szCs w:val="20"/>
        </w:rPr>
      </w:pPr>
      <w:r w:rsidRPr="00DB6A3C">
        <w:rPr>
          <w:rFonts w:eastAsia="Calibri" w:cstheme="minorHAnsi"/>
          <w:sz w:val="20"/>
          <w:szCs w:val="20"/>
        </w:rPr>
        <w:t>Increasing the ratio of indigenous and renewable energy sources in our energy mix,</w:t>
      </w:r>
    </w:p>
    <w:p w14:paraId="44E9D90C" w14:textId="77777777" w:rsidR="00AC1A29" w:rsidRPr="00DB6A3C" w:rsidRDefault="00AC1A29" w:rsidP="001B60EE">
      <w:pPr>
        <w:numPr>
          <w:ilvl w:val="0"/>
          <w:numId w:val="3"/>
        </w:numPr>
        <w:spacing w:after="160" w:line="259" w:lineRule="auto"/>
        <w:contextualSpacing/>
        <w:jc w:val="both"/>
        <w:rPr>
          <w:rFonts w:eastAsia="Calibri" w:cstheme="minorHAnsi"/>
          <w:sz w:val="20"/>
          <w:szCs w:val="20"/>
        </w:rPr>
      </w:pPr>
      <w:r w:rsidRPr="00DB6A3C">
        <w:rPr>
          <w:rFonts w:eastAsia="Calibri" w:cstheme="minorHAnsi"/>
          <w:sz w:val="20"/>
          <w:szCs w:val="20"/>
        </w:rPr>
        <w:t>Increasing energy efficiency,</w:t>
      </w:r>
    </w:p>
    <w:p w14:paraId="5A387427" w14:textId="410DE1C5" w:rsidR="00AC1A29" w:rsidRPr="00DB6A3C" w:rsidRDefault="00AC1A29" w:rsidP="001B60EE">
      <w:pPr>
        <w:numPr>
          <w:ilvl w:val="0"/>
          <w:numId w:val="3"/>
        </w:numPr>
        <w:spacing w:after="160" w:line="259" w:lineRule="auto"/>
        <w:contextualSpacing/>
        <w:jc w:val="both"/>
        <w:rPr>
          <w:rFonts w:eastAsia="Calibri" w:cstheme="minorHAnsi"/>
          <w:sz w:val="20"/>
          <w:szCs w:val="20"/>
        </w:rPr>
      </w:pPr>
      <w:r w:rsidRPr="00DB6A3C">
        <w:rPr>
          <w:rFonts w:eastAsia="Calibri" w:cstheme="minorHAnsi"/>
          <w:sz w:val="20"/>
          <w:szCs w:val="20"/>
        </w:rPr>
        <w:t xml:space="preserve">Adding nuclear to their energy mix. </w:t>
      </w:r>
      <w:r w:rsidR="007745AE">
        <w:rPr>
          <w:rFonts w:eastAsia="Calibri" w:cstheme="minorHAnsi"/>
          <w:sz w:val="20"/>
          <w:szCs w:val="20"/>
        </w:rPr>
        <w:t>Türkiye</w:t>
      </w:r>
      <w:r w:rsidRPr="00DB6A3C">
        <w:rPr>
          <w:rFonts w:eastAsia="Calibri" w:cstheme="minorHAnsi"/>
          <w:sz w:val="20"/>
          <w:szCs w:val="20"/>
        </w:rPr>
        <w:t xml:space="preserve"> aims to add nuclear power into its energy mix to decrease negative environmental effects of energy production, to meet its energy demand increase as well as to reduce its energy import dependency. To this end, construction of two nuclear power plants (NPPs) in Akkuyu and </w:t>
      </w:r>
      <w:proofErr w:type="spellStart"/>
      <w:r w:rsidRPr="00DB6A3C">
        <w:rPr>
          <w:rFonts w:eastAsia="Calibri" w:cstheme="minorHAnsi"/>
          <w:sz w:val="20"/>
          <w:szCs w:val="20"/>
        </w:rPr>
        <w:t>Sinop</w:t>
      </w:r>
      <w:proofErr w:type="spellEnd"/>
      <w:r w:rsidRPr="00DB6A3C">
        <w:rPr>
          <w:rFonts w:eastAsia="Calibri" w:cstheme="minorHAnsi"/>
          <w:sz w:val="20"/>
          <w:szCs w:val="20"/>
        </w:rPr>
        <w:t xml:space="preserve"> are on the agenda.</w:t>
      </w:r>
      <w:r w:rsidRPr="00DB6A3C">
        <w:rPr>
          <w:rFonts w:eastAsia="Calibri" w:cstheme="minorHAnsi"/>
          <w:sz w:val="20"/>
          <w:szCs w:val="20"/>
          <w:vertAlign w:val="superscript"/>
        </w:rPr>
        <w:footnoteReference w:id="4"/>
      </w:r>
    </w:p>
    <w:p w14:paraId="42CCF15B" w14:textId="0FDFBE69" w:rsidR="00AC1A29" w:rsidRPr="00DB6A3C" w:rsidRDefault="007745AE" w:rsidP="00AC1A29">
      <w:pPr>
        <w:spacing w:after="160" w:line="259" w:lineRule="auto"/>
        <w:jc w:val="both"/>
        <w:rPr>
          <w:rFonts w:eastAsia="Calibri" w:cstheme="minorHAnsi"/>
          <w:sz w:val="20"/>
          <w:szCs w:val="20"/>
        </w:rPr>
      </w:pPr>
      <w:r>
        <w:rPr>
          <w:rFonts w:eastAsia="Calibri" w:cstheme="minorHAnsi"/>
          <w:sz w:val="20"/>
          <w:szCs w:val="20"/>
        </w:rPr>
        <w:lastRenderedPageBreak/>
        <w:t>Türkiye</w:t>
      </w:r>
      <w:r w:rsidR="00AC1A29" w:rsidRPr="00DB6A3C">
        <w:rPr>
          <w:rFonts w:eastAsia="Calibri" w:cstheme="minorHAnsi"/>
          <w:sz w:val="20"/>
          <w:szCs w:val="20"/>
        </w:rPr>
        <w:t xml:space="preserve"> gives an important place to Renewable Energy and became a founding member of International Renewable Energy Agency (IRENA) on 26 January 2009.</w:t>
      </w:r>
      <w:r w:rsidR="00AC1A29" w:rsidRPr="00DB6A3C">
        <w:rPr>
          <w:rFonts w:eastAsia="Calibri" w:cstheme="minorHAnsi"/>
          <w:sz w:val="20"/>
          <w:szCs w:val="20"/>
          <w:vertAlign w:val="superscript"/>
        </w:rPr>
        <w:footnoteReference w:id="5"/>
      </w:r>
      <w:r w:rsidR="00AC1A29" w:rsidRPr="00DB6A3C">
        <w:rPr>
          <w:rFonts w:eastAsia="Calibri" w:cstheme="minorHAnsi"/>
          <w:sz w:val="20"/>
          <w:szCs w:val="20"/>
        </w:rPr>
        <w:t xml:space="preserve"> According to an article published by BCCT Member </w:t>
      </w:r>
      <w:bookmarkStart w:id="8" w:name="_Hlk67383150"/>
      <w:bookmarkStart w:id="9" w:name="_Hlk70258190"/>
      <w:proofErr w:type="spellStart"/>
      <w:r w:rsidR="00AC1A29" w:rsidRPr="00DB6A3C">
        <w:rPr>
          <w:rFonts w:eastAsia="Calibri" w:cstheme="minorHAnsi"/>
          <w:b/>
          <w:bCs/>
          <w:sz w:val="20"/>
          <w:szCs w:val="20"/>
        </w:rPr>
        <w:t>Balcıoğlu</w:t>
      </w:r>
      <w:proofErr w:type="spellEnd"/>
      <w:r w:rsidR="00AC1A29" w:rsidRPr="00DB6A3C">
        <w:rPr>
          <w:rFonts w:eastAsia="Calibri" w:cstheme="minorHAnsi"/>
          <w:b/>
          <w:bCs/>
          <w:sz w:val="20"/>
          <w:szCs w:val="20"/>
        </w:rPr>
        <w:t xml:space="preserve"> </w:t>
      </w:r>
      <w:proofErr w:type="spellStart"/>
      <w:r w:rsidR="00AC1A29" w:rsidRPr="00DB6A3C">
        <w:rPr>
          <w:rFonts w:eastAsia="Calibri" w:cstheme="minorHAnsi"/>
          <w:b/>
          <w:bCs/>
          <w:sz w:val="20"/>
          <w:szCs w:val="20"/>
        </w:rPr>
        <w:t>Selçuk</w:t>
      </w:r>
      <w:proofErr w:type="spellEnd"/>
      <w:r w:rsidR="00AC1A29" w:rsidRPr="00DB6A3C">
        <w:rPr>
          <w:rFonts w:eastAsia="Calibri" w:cstheme="minorHAnsi"/>
          <w:b/>
          <w:bCs/>
          <w:sz w:val="20"/>
          <w:szCs w:val="20"/>
        </w:rPr>
        <w:t xml:space="preserve"> </w:t>
      </w:r>
      <w:proofErr w:type="spellStart"/>
      <w:r w:rsidR="00AC1A29" w:rsidRPr="00DB6A3C">
        <w:rPr>
          <w:rFonts w:eastAsia="Calibri" w:cstheme="minorHAnsi"/>
          <w:b/>
          <w:bCs/>
          <w:sz w:val="20"/>
          <w:szCs w:val="20"/>
        </w:rPr>
        <w:t>Ardıyok</w:t>
      </w:r>
      <w:proofErr w:type="spellEnd"/>
      <w:r w:rsidR="00AC1A29" w:rsidRPr="00DB6A3C">
        <w:rPr>
          <w:rFonts w:eastAsia="Calibri" w:cstheme="minorHAnsi"/>
          <w:b/>
          <w:bCs/>
          <w:sz w:val="20"/>
          <w:szCs w:val="20"/>
        </w:rPr>
        <w:t xml:space="preserve"> </w:t>
      </w:r>
      <w:proofErr w:type="spellStart"/>
      <w:r w:rsidR="00AC1A29" w:rsidRPr="00DB6A3C">
        <w:rPr>
          <w:rFonts w:eastAsia="Calibri" w:cstheme="minorHAnsi"/>
          <w:b/>
          <w:bCs/>
          <w:sz w:val="20"/>
          <w:szCs w:val="20"/>
        </w:rPr>
        <w:t>Keki</w:t>
      </w:r>
      <w:proofErr w:type="spellEnd"/>
      <w:r w:rsidR="00AC1A29" w:rsidRPr="00DB6A3C">
        <w:rPr>
          <w:rFonts w:eastAsia="Calibri" w:cstheme="minorHAnsi"/>
          <w:b/>
          <w:bCs/>
          <w:sz w:val="20"/>
          <w:szCs w:val="20"/>
        </w:rPr>
        <w:t xml:space="preserve"> (BASEAK)</w:t>
      </w:r>
      <w:r w:rsidR="00AC1A29" w:rsidRPr="00DB6A3C">
        <w:rPr>
          <w:rFonts w:eastAsia="Calibri" w:cstheme="minorHAnsi"/>
          <w:sz w:val="20"/>
          <w:szCs w:val="20"/>
        </w:rPr>
        <w:t> </w:t>
      </w:r>
      <w:bookmarkEnd w:id="8"/>
      <w:r w:rsidR="00AC1A29" w:rsidRPr="00DB6A3C">
        <w:rPr>
          <w:rFonts w:eastAsia="Calibri" w:cstheme="minorHAnsi"/>
          <w:sz w:val="20"/>
          <w:szCs w:val="20"/>
        </w:rPr>
        <w:t xml:space="preserve">the most significant regulatory developments in </w:t>
      </w:r>
      <w:proofErr w:type="spellStart"/>
      <w:r>
        <w:rPr>
          <w:rFonts w:eastAsia="Calibri" w:cstheme="minorHAnsi"/>
          <w:sz w:val="20"/>
          <w:szCs w:val="20"/>
        </w:rPr>
        <w:t>Türkiye</w:t>
      </w:r>
      <w:r w:rsidR="00AC1A29" w:rsidRPr="00DB6A3C">
        <w:rPr>
          <w:rFonts w:eastAsia="Calibri" w:cstheme="minorHAnsi"/>
          <w:sz w:val="20"/>
          <w:szCs w:val="20"/>
        </w:rPr>
        <w:t>’s</w:t>
      </w:r>
      <w:proofErr w:type="spellEnd"/>
      <w:r w:rsidR="00AC1A29" w:rsidRPr="00DB6A3C">
        <w:rPr>
          <w:rFonts w:eastAsia="Calibri" w:cstheme="minorHAnsi"/>
          <w:sz w:val="20"/>
          <w:szCs w:val="20"/>
        </w:rPr>
        <w:t xml:space="preserve"> renewable energy sector in 2020 are as the launching of tenders for mini solar YEKAs (the Turkish acronym for renewable energy designated areas) expected to take place within 2020. The Ministry of Energy and Natural Resources announced that 74 tenders are to be held for solar projects, each with installed capacity of 10-20 MW. The projects will be spread across 36 provinces and have an aggregate installed capacity of 1 GW. </w:t>
      </w:r>
    </w:p>
    <w:p w14:paraId="4B540D32"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For other part, the pandemic has coincided with a time of intense construction activity in respect of existing renewable projects. The project-owners were under significant time pressure since the construction needed to be completed before the end of 2020 for such projects to benefit from the FIT mechanism. Also, in March 2020, the Electricity Generation License Regulation was amended to regulate hybrid and multisource power plants. Prior to the amendments, the lack of regulation had been a restrictive factor in respect of these projects. The regulations on RES support scheme and local content incentive have also been amended to include hybrid and multi-source renewable power plants. </w:t>
      </w:r>
    </w:p>
    <w:p w14:paraId="728B0889"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And finally, the "Green Tariff" has become available from August 2020. Consumers who wish to procure electricity exclusively from renewable resources may opt for the application of "Green Tariff" and purchase electricity at the prices specified in such Tariff. (In July 2020, the Electricity Market Balancing and Settlement Regulation was amended to enable the settlement calculations of such consumers to be carried out separately.)</w:t>
      </w:r>
      <w:r w:rsidRPr="00DB6A3C">
        <w:rPr>
          <w:rFonts w:eastAsia="Calibri" w:cstheme="minorHAnsi"/>
          <w:sz w:val="20"/>
          <w:szCs w:val="20"/>
          <w:vertAlign w:val="superscript"/>
        </w:rPr>
        <w:footnoteReference w:id="6"/>
      </w:r>
    </w:p>
    <w:p w14:paraId="5AD353A6" w14:textId="546B180E"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With this aim, </w:t>
      </w:r>
      <w:r w:rsidR="007745AE">
        <w:rPr>
          <w:rFonts w:eastAsia="Calibri" w:cstheme="minorHAnsi"/>
          <w:sz w:val="20"/>
          <w:szCs w:val="20"/>
        </w:rPr>
        <w:t>Türkiye</w:t>
      </w:r>
      <w:r w:rsidRPr="00DB6A3C">
        <w:rPr>
          <w:rFonts w:eastAsia="Calibri" w:cstheme="minorHAnsi"/>
          <w:sz w:val="20"/>
          <w:szCs w:val="20"/>
        </w:rPr>
        <w:t xml:space="preserve"> has undertaken and carried out several important natural gas and oil pipeline projects in the region. In this scope, South Caucasus Pipeline (SCP), Baku-Tbilisi-Erzurum Natural Gas Pipeline (BTE), </w:t>
      </w:r>
      <w:r w:rsidR="007745AE">
        <w:rPr>
          <w:rFonts w:eastAsia="Calibri" w:cstheme="minorHAnsi"/>
          <w:sz w:val="20"/>
          <w:szCs w:val="20"/>
        </w:rPr>
        <w:t>Türkiye</w:t>
      </w:r>
      <w:r w:rsidRPr="00DB6A3C">
        <w:rPr>
          <w:rFonts w:eastAsia="Calibri" w:cstheme="minorHAnsi"/>
          <w:sz w:val="20"/>
          <w:szCs w:val="20"/>
        </w:rPr>
        <w:t>-Greece Interconnector (ITG) and the Trans-Anatolian Natural Gas Pipeline (TANAP) projects have already been realized. These projects can be considered within the Southern Gas Corridor (SGC) concept. SGC will enhance source and route diversification of natural gas imports. The Trans-Adriatic-Pipeline (TAP) project</w:t>
      </w:r>
      <w:bookmarkEnd w:id="9"/>
      <w:r w:rsidRPr="00DB6A3C">
        <w:rPr>
          <w:rFonts w:eastAsia="Calibri" w:cstheme="minorHAnsi"/>
          <w:sz w:val="20"/>
          <w:szCs w:val="20"/>
        </w:rPr>
        <w:t>, another SGC project, has not been realized yet.</w:t>
      </w:r>
    </w:p>
    <w:p w14:paraId="783CE616" w14:textId="3F0B63E4"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Inauguration of TANAP was held in </w:t>
      </w:r>
      <w:proofErr w:type="spellStart"/>
      <w:r w:rsidRPr="00DB6A3C">
        <w:rPr>
          <w:rFonts w:eastAsia="Calibri" w:cstheme="minorHAnsi"/>
          <w:sz w:val="20"/>
          <w:szCs w:val="20"/>
        </w:rPr>
        <w:t>Eskişehir</w:t>
      </w:r>
      <w:proofErr w:type="spellEnd"/>
      <w:r w:rsidRPr="00DB6A3C">
        <w:rPr>
          <w:rFonts w:eastAsia="Calibri" w:cstheme="minorHAnsi"/>
          <w:sz w:val="20"/>
          <w:szCs w:val="20"/>
        </w:rPr>
        <w:t xml:space="preserve"> on 12 June 2018 and gas flow to </w:t>
      </w:r>
      <w:r w:rsidR="007745AE">
        <w:rPr>
          <w:rFonts w:eastAsia="Calibri" w:cstheme="minorHAnsi"/>
          <w:sz w:val="20"/>
          <w:szCs w:val="20"/>
        </w:rPr>
        <w:t>Türkiye</w:t>
      </w:r>
      <w:r w:rsidRPr="00DB6A3C">
        <w:rPr>
          <w:rFonts w:eastAsia="Calibri" w:cstheme="minorHAnsi"/>
          <w:sz w:val="20"/>
          <w:szCs w:val="20"/>
        </w:rPr>
        <w:t xml:space="preserve"> commenced as of 30 June 2018. As of 1 July 2019, TANAP was completed ahead of schedule with the aim of transporting natural gas produced in Shah Deniz 2 Gas Field in Azerbaijan along with other areas in the south of the Caspian Sea to </w:t>
      </w:r>
      <w:r w:rsidR="007745AE">
        <w:rPr>
          <w:rFonts w:eastAsia="Calibri" w:cstheme="minorHAnsi"/>
          <w:sz w:val="20"/>
          <w:szCs w:val="20"/>
        </w:rPr>
        <w:t>Türkiye</w:t>
      </w:r>
      <w:r w:rsidRPr="00DB6A3C">
        <w:rPr>
          <w:rFonts w:eastAsia="Calibri" w:cstheme="minorHAnsi"/>
          <w:sz w:val="20"/>
          <w:szCs w:val="20"/>
        </w:rPr>
        <w:t xml:space="preserve"> and then to the rest of Europe.</w:t>
      </w:r>
    </w:p>
    <w:p w14:paraId="5353D194" w14:textId="2F0F7BFC"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Turk Stream Natural Gas Pipeline is another project which enhances natural gas supply security of </w:t>
      </w:r>
      <w:r w:rsidR="007745AE">
        <w:rPr>
          <w:rFonts w:eastAsia="Calibri" w:cstheme="minorHAnsi"/>
          <w:sz w:val="20"/>
          <w:szCs w:val="20"/>
        </w:rPr>
        <w:t>Türkiye</w:t>
      </w:r>
      <w:r w:rsidRPr="00DB6A3C">
        <w:rPr>
          <w:rFonts w:eastAsia="Calibri" w:cstheme="minorHAnsi"/>
          <w:sz w:val="20"/>
          <w:szCs w:val="20"/>
        </w:rPr>
        <w:t xml:space="preserve">. Composed of two lines with the capacity of 15,75 </w:t>
      </w:r>
      <w:proofErr w:type="spellStart"/>
      <w:r w:rsidRPr="00DB6A3C">
        <w:rPr>
          <w:rFonts w:eastAsia="Calibri" w:cstheme="minorHAnsi"/>
          <w:sz w:val="20"/>
          <w:szCs w:val="20"/>
        </w:rPr>
        <w:t>bcm</w:t>
      </w:r>
      <w:proofErr w:type="spellEnd"/>
      <w:r w:rsidRPr="00DB6A3C">
        <w:rPr>
          <w:rFonts w:eastAsia="Calibri" w:cstheme="minorHAnsi"/>
          <w:sz w:val="20"/>
          <w:szCs w:val="20"/>
        </w:rPr>
        <w:t xml:space="preserve"> each and with a length of 930 km, the project establishes a new interconnection between </w:t>
      </w:r>
      <w:r w:rsidR="007745AE">
        <w:rPr>
          <w:rFonts w:eastAsia="Calibri" w:cstheme="minorHAnsi"/>
          <w:sz w:val="20"/>
          <w:szCs w:val="20"/>
        </w:rPr>
        <w:t>Türkiye</w:t>
      </w:r>
      <w:r w:rsidRPr="00DB6A3C">
        <w:rPr>
          <w:rFonts w:eastAsia="Calibri" w:cstheme="minorHAnsi"/>
          <w:sz w:val="20"/>
          <w:szCs w:val="20"/>
        </w:rPr>
        <w:t xml:space="preserve"> and the Russian Federation under the Black Sea and thus allowing a direct natural gas supply to </w:t>
      </w:r>
      <w:r w:rsidR="007745AE">
        <w:rPr>
          <w:rFonts w:eastAsia="Calibri" w:cstheme="minorHAnsi"/>
          <w:sz w:val="20"/>
          <w:szCs w:val="20"/>
        </w:rPr>
        <w:t>Türkiye</w:t>
      </w:r>
      <w:r w:rsidRPr="00DB6A3C">
        <w:rPr>
          <w:rFonts w:eastAsia="Calibri" w:cstheme="minorHAnsi"/>
          <w:sz w:val="20"/>
          <w:szCs w:val="20"/>
        </w:rPr>
        <w:t xml:space="preserve">. The first line of the project aims to supply natural gas to </w:t>
      </w:r>
      <w:r w:rsidR="007745AE">
        <w:rPr>
          <w:rFonts w:eastAsia="Calibri" w:cstheme="minorHAnsi"/>
          <w:sz w:val="20"/>
          <w:szCs w:val="20"/>
        </w:rPr>
        <w:t>Türkiye</w:t>
      </w:r>
      <w:r w:rsidRPr="00DB6A3C">
        <w:rPr>
          <w:rFonts w:eastAsia="Calibri" w:cstheme="minorHAnsi"/>
          <w:sz w:val="20"/>
          <w:szCs w:val="20"/>
        </w:rPr>
        <w:t xml:space="preserve"> and the second line to European countries. The </w:t>
      </w:r>
      <w:proofErr w:type="spellStart"/>
      <w:r w:rsidRPr="00DB6A3C">
        <w:rPr>
          <w:rFonts w:eastAsia="Calibri" w:cstheme="minorHAnsi"/>
          <w:sz w:val="20"/>
          <w:szCs w:val="20"/>
        </w:rPr>
        <w:t>TurkStream</w:t>
      </w:r>
      <w:proofErr w:type="spellEnd"/>
      <w:r w:rsidRPr="00DB6A3C">
        <w:rPr>
          <w:rFonts w:eastAsia="Calibri" w:cstheme="minorHAnsi"/>
          <w:sz w:val="20"/>
          <w:szCs w:val="20"/>
        </w:rPr>
        <w:t xml:space="preserve"> project replaced the Russian gas supplied from the western (Trans Balkan) pipeline.</w:t>
      </w:r>
    </w:p>
    <w:p w14:paraId="519BF0B5" w14:textId="77777777"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 xml:space="preserve">On Oil and Natural Gas Pipeline Projects, we can mention: </w:t>
      </w:r>
    </w:p>
    <w:p w14:paraId="666E36B4" w14:textId="77777777"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A. Crude Oil Pipelines</w:t>
      </w:r>
      <w:r w:rsidRPr="00DB6A3C">
        <w:rPr>
          <w:rFonts w:eastAsia="Calibri" w:cstheme="minorHAnsi"/>
          <w:sz w:val="20"/>
          <w:szCs w:val="20"/>
          <w:vertAlign w:val="superscript"/>
        </w:rPr>
        <w:footnoteReference w:id="7"/>
      </w:r>
    </w:p>
    <w:p w14:paraId="2D358743" w14:textId="22288D27" w:rsidR="00AC1A29" w:rsidRPr="00DB6A3C" w:rsidRDefault="00AC1A29" w:rsidP="001B60EE">
      <w:pPr>
        <w:numPr>
          <w:ilvl w:val="0"/>
          <w:numId w:val="4"/>
        </w:numPr>
        <w:spacing w:after="160" w:line="259" w:lineRule="auto"/>
        <w:contextualSpacing/>
        <w:rPr>
          <w:rFonts w:eastAsia="Calibri" w:cstheme="minorHAnsi"/>
          <w:sz w:val="20"/>
          <w:szCs w:val="20"/>
        </w:rPr>
      </w:pPr>
      <w:r w:rsidRPr="00DB6A3C">
        <w:rPr>
          <w:rFonts w:eastAsia="Calibri" w:cstheme="minorHAnsi"/>
          <w:sz w:val="20"/>
          <w:szCs w:val="20"/>
        </w:rPr>
        <w:lastRenderedPageBreak/>
        <w:t>Kirkuk-</w:t>
      </w:r>
      <w:proofErr w:type="spellStart"/>
      <w:r w:rsidRPr="00DB6A3C">
        <w:rPr>
          <w:rFonts w:eastAsia="Calibri" w:cstheme="minorHAnsi"/>
          <w:sz w:val="20"/>
          <w:szCs w:val="20"/>
        </w:rPr>
        <w:t>Yumurtalık</w:t>
      </w:r>
      <w:proofErr w:type="spellEnd"/>
      <w:r w:rsidRPr="00DB6A3C">
        <w:rPr>
          <w:rFonts w:eastAsia="Calibri" w:cstheme="minorHAnsi"/>
          <w:sz w:val="20"/>
          <w:szCs w:val="20"/>
        </w:rPr>
        <w:t xml:space="preserve"> Crude Oil Pipeline (Iraq-</w:t>
      </w:r>
      <w:r w:rsidR="007745AE">
        <w:rPr>
          <w:rFonts w:eastAsia="Calibri" w:cstheme="minorHAnsi"/>
          <w:sz w:val="20"/>
          <w:szCs w:val="20"/>
        </w:rPr>
        <w:t>Türkiye</w:t>
      </w:r>
      <w:r w:rsidRPr="00DB6A3C">
        <w:rPr>
          <w:rFonts w:eastAsia="Calibri" w:cstheme="minorHAnsi"/>
          <w:sz w:val="20"/>
          <w:szCs w:val="20"/>
        </w:rPr>
        <w:t xml:space="preserve"> Crude Oil Pipeline)</w:t>
      </w:r>
    </w:p>
    <w:p w14:paraId="7992D015" w14:textId="77777777" w:rsidR="00AC1A29" w:rsidRPr="00DB6A3C" w:rsidRDefault="00AC1A29" w:rsidP="001B60EE">
      <w:pPr>
        <w:numPr>
          <w:ilvl w:val="0"/>
          <w:numId w:val="4"/>
        </w:numPr>
        <w:spacing w:after="160" w:line="259" w:lineRule="auto"/>
        <w:contextualSpacing/>
        <w:rPr>
          <w:rFonts w:eastAsia="Calibri" w:cstheme="minorHAnsi"/>
          <w:sz w:val="20"/>
          <w:szCs w:val="20"/>
        </w:rPr>
      </w:pPr>
      <w:bookmarkStart w:id="10" w:name="_Hlk70258235"/>
      <w:r w:rsidRPr="00DB6A3C">
        <w:rPr>
          <w:rFonts w:eastAsia="Calibri" w:cstheme="minorHAnsi"/>
          <w:sz w:val="20"/>
          <w:szCs w:val="20"/>
        </w:rPr>
        <w:t>Baku-Tbilisi-Ceyhan Crude Oil Pipeline (BTC)</w:t>
      </w:r>
    </w:p>
    <w:p w14:paraId="10459F0E" w14:textId="77777777"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B. Natural Gas Pipelines</w:t>
      </w:r>
      <w:r w:rsidRPr="00DB6A3C">
        <w:rPr>
          <w:rFonts w:eastAsia="Calibri" w:cstheme="minorHAnsi"/>
          <w:sz w:val="20"/>
          <w:szCs w:val="20"/>
          <w:vertAlign w:val="superscript"/>
        </w:rPr>
        <w:footnoteReference w:id="8"/>
      </w:r>
    </w:p>
    <w:p w14:paraId="59F3A571" w14:textId="77777777" w:rsidR="00AC1A29" w:rsidRPr="00DB6A3C" w:rsidRDefault="00AC1A29" w:rsidP="001B60EE">
      <w:pPr>
        <w:numPr>
          <w:ilvl w:val="0"/>
          <w:numId w:val="5"/>
        </w:numPr>
        <w:spacing w:after="160" w:line="259" w:lineRule="auto"/>
        <w:contextualSpacing/>
        <w:rPr>
          <w:rFonts w:eastAsia="Calibri" w:cstheme="minorHAnsi"/>
          <w:sz w:val="20"/>
          <w:szCs w:val="20"/>
        </w:rPr>
      </w:pPr>
      <w:r w:rsidRPr="00DB6A3C">
        <w:rPr>
          <w:rFonts w:eastAsia="Calibri" w:cstheme="minorHAnsi"/>
          <w:sz w:val="20"/>
          <w:szCs w:val="20"/>
        </w:rPr>
        <w:t>Baku-Tbilisi-Erzurum Natural Gas Pipeline (BTE)</w:t>
      </w:r>
    </w:p>
    <w:p w14:paraId="731EB338" w14:textId="29288E16" w:rsidR="00AC1A29" w:rsidRPr="00DB6A3C" w:rsidRDefault="007745AE" w:rsidP="001B60EE">
      <w:pPr>
        <w:numPr>
          <w:ilvl w:val="0"/>
          <w:numId w:val="5"/>
        </w:numPr>
        <w:spacing w:after="160" w:line="259" w:lineRule="auto"/>
        <w:contextualSpacing/>
        <w:rPr>
          <w:rFonts w:eastAsia="Calibri" w:cstheme="minorHAnsi"/>
          <w:sz w:val="20"/>
          <w:szCs w:val="20"/>
        </w:rPr>
      </w:pPr>
      <w:r>
        <w:rPr>
          <w:rFonts w:eastAsia="Calibri" w:cstheme="minorHAnsi"/>
          <w:sz w:val="20"/>
          <w:szCs w:val="20"/>
        </w:rPr>
        <w:t>Türkiye</w:t>
      </w:r>
      <w:r w:rsidR="00AC1A29" w:rsidRPr="00DB6A3C">
        <w:rPr>
          <w:rFonts w:eastAsia="Calibri" w:cstheme="minorHAnsi"/>
          <w:sz w:val="20"/>
          <w:szCs w:val="20"/>
        </w:rPr>
        <w:t>-Greece Interconnector (ITG)</w:t>
      </w:r>
    </w:p>
    <w:p w14:paraId="7BCE5D02" w14:textId="77777777" w:rsidR="00AC1A29" w:rsidRPr="00DB6A3C" w:rsidRDefault="00AC1A29" w:rsidP="001B60EE">
      <w:pPr>
        <w:numPr>
          <w:ilvl w:val="0"/>
          <w:numId w:val="5"/>
        </w:numPr>
        <w:spacing w:after="160" w:line="259" w:lineRule="auto"/>
        <w:contextualSpacing/>
        <w:rPr>
          <w:rFonts w:eastAsia="Calibri" w:cstheme="minorHAnsi"/>
          <w:sz w:val="20"/>
          <w:szCs w:val="20"/>
        </w:rPr>
      </w:pPr>
      <w:r w:rsidRPr="00DB6A3C">
        <w:rPr>
          <w:rFonts w:eastAsia="Calibri" w:cstheme="minorHAnsi"/>
          <w:sz w:val="20"/>
          <w:szCs w:val="20"/>
        </w:rPr>
        <w:t>Blue Stream Natural Gas Pipeline</w:t>
      </w:r>
    </w:p>
    <w:p w14:paraId="36D304B2" w14:textId="045EC3CB" w:rsidR="00AC1A29" w:rsidRPr="00DB6A3C" w:rsidRDefault="00AC1A29" w:rsidP="001B60EE">
      <w:pPr>
        <w:numPr>
          <w:ilvl w:val="0"/>
          <w:numId w:val="5"/>
        </w:numPr>
        <w:spacing w:after="160" w:line="259" w:lineRule="auto"/>
        <w:contextualSpacing/>
        <w:rPr>
          <w:rFonts w:eastAsia="Calibri" w:cstheme="minorHAnsi"/>
          <w:sz w:val="20"/>
          <w:szCs w:val="20"/>
        </w:rPr>
      </w:pPr>
      <w:r w:rsidRPr="00DB6A3C">
        <w:rPr>
          <w:rFonts w:eastAsia="Calibri" w:cstheme="minorHAnsi"/>
          <w:sz w:val="20"/>
          <w:szCs w:val="20"/>
        </w:rPr>
        <w:t xml:space="preserve">Iran – </w:t>
      </w:r>
      <w:r w:rsidR="007745AE">
        <w:rPr>
          <w:rFonts w:eastAsia="Calibri" w:cstheme="minorHAnsi"/>
          <w:sz w:val="20"/>
          <w:szCs w:val="20"/>
        </w:rPr>
        <w:t>Türkiye</w:t>
      </w:r>
      <w:r w:rsidRPr="00DB6A3C">
        <w:rPr>
          <w:rFonts w:eastAsia="Calibri" w:cstheme="minorHAnsi"/>
          <w:sz w:val="20"/>
          <w:szCs w:val="20"/>
        </w:rPr>
        <w:t xml:space="preserve"> Natural Gas Pipeline</w:t>
      </w:r>
    </w:p>
    <w:p w14:paraId="5867FAF4" w14:textId="77777777" w:rsidR="00AC1A29" w:rsidRPr="00DB6A3C" w:rsidRDefault="00AC1A29" w:rsidP="001B60EE">
      <w:pPr>
        <w:numPr>
          <w:ilvl w:val="0"/>
          <w:numId w:val="5"/>
        </w:numPr>
        <w:spacing w:after="160" w:line="259" w:lineRule="auto"/>
        <w:contextualSpacing/>
        <w:rPr>
          <w:rFonts w:eastAsia="Calibri" w:cstheme="minorHAnsi"/>
          <w:sz w:val="20"/>
          <w:szCs w:val="20"/>
        </w:rPr>
      </w:pPr>
      <w:r w:rsidRPr="00DB6A3C">
        <w:rPr>
          <w:rFonts w:eastAsia="Calibri" w:cstheme="minorHAnsi"/>
          <w:sz w:val="20"/>
          <w:szCs w:val="20"/>
        </w:rPr>
        <w:t>Trans-Anatolian Natural Gas Pipeline Project (TANAP)</w:t>
      </w:r>
    </w:p>
    <w:bookmarkEnd w:id="10"/>
    <w:p w14:paraId="281337C3" w14:textId="77777777" w:rsidR="00AC1A29" w:rsidRPr="00DB6A3C" w:rsidRDefault="00AC1A29" w:rsidP="001B60EE">
      <w:pPr>
        <w:numPr>
          <w:ilvl w:val="0"/>
          <w:numId w:val="5"/>
        </w:numPr>
        <w:spacing w:after="160" w:line="259" w:lineRule="auto"/>
        <w:contextualSpacing/>
        <w:rPr>
          <w:rFonts w:eastAsia="Calibri" w:cstheme="minorHAnsi"/>
          <w:sz w:val="20"/>
          <w:szCs w:val="20"/>
        </w:rPr>
      </w:pPr>
      <w:proofErr w:type="spellStart"/>
      <w:r w:rsidRPr="00DB6A3C">
        <w:rPr>
          <w:rFonts w:eastAsia="Calibri" w:cstheme="minorHAnsi"/>
          <w:sz w:val="20"/>
          <w:szCs w:val="20"/>
        </w:rPr>
        <w:t>TurkStream</w:t>
      </w:r>
      <w:proofErr w:type="spellEnd"/>
      <w:r w:rsidRPr="00DB6A3C">
        <w:rPr>
          <w:rFonts w:eastAsia="Calibri" w:cstheme="minorHAnsi"/>
          <w:sz w:val="20"/>
          <w:szCs w:val="20"/>
        </w:rPr>
        <w:t xml:space="preserve"> Natural Gas Pipeline</w:t>
      </w:r>
    </w:p>
    <w:p w14:paraId="044EF482" w14:textId="77777777" w:rsidR="00AC1A29" w:rsidRPr="00DB6A3C" w:rsidRDefault="00AC1A29" w:rsidP="00AC1A29">
      <w:pPr>
        <w:spacing w:after="160" w:line="259" w:lineRule="auto"/>
        <w:jc w:val="both"/>
        <w:rPr>
          <w:rFonts w:eastAsia="Calibri" w:cstheme="minorHAnsi"/>
          <w:b/>
          <w:bCs/>
          <w:sz w:val="20"/>
          <w:szCs w:val="20"/>
        </w:rPr>
      </w:pPr>
      <w:r w:rsidRPr="00DB6A3C">
        <w:rPr>
          <w:rFonts w:eastAsia="Calibri" w:cstheme="minorHAnsi"/>
          <w:b/>
          <w:bCs/>
          <w:sz w:val="20"/>
          <w:szCs w:val="20"/>
        </w:rPr>
        <w:t>The Plan of development:</w:t>
      </w:r>
    </w:p>
    <w:p w14:paraId="6406C956"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The main objective is to ensure uninterrupted, high-quality, sustainable, reliable, and affordable energy supply. The Policies and Measures to achieve this goal are: </w:t>
      </w:r>
    </w:p>
    <w:p w14:paraId="7366C53A" w14:textId="12B4A320" w:rsidR="00AC1A29" w:rsidRPr="00DB6A3C" w:rsidRDefault="00AC1A29" w:rsidP="001B60EE">
      <w:pPr>
        <w:numPr>
          <w:ilvl w:val="0"/>
          <w:numId w:val="10"/>
        </w:numPr>
        <w:spacing w:after="160" w:line="259" w:lineRule="auto"/>
        <w:contextualSpacing/>
        <w:jc w:val="both"/>
        <w:rPr>
          <w:rFonts w:eastAsia="Calibri" w:cstheme="minorHAnsi"/>
          <w:sz w:val="20"/>
          <w:szCs w:val="20"/>
        </w:rPr>
      </w:pPr>
      <w:r w:rsidRPr="00DB6A3C">
        <w:rPr>
          <w:rFonts w:eastAsia="Calibri" w:cstheme="minorHAnsi"/>
          <w:sz w:val="20"/>
          <w:szCs w:val="20"/>
        </w:rPr>
        <w:t xml:space="preserve">A competitive investment environment will be developed to meet the growing demand for energy while observing the viability of an energy market that is financially strong, stable, transparent, and predictable and that protects consumers and takes sustainability into consideration. </w:t>
      </w:r>
    </w:p>
    <w:p w14:paraId="48A92BDE" w14:textId="77777777" w:rsidR="00AC1A29" w:rsidRPr="00DB6A3C" w:rsidRDefault="00AC1A29" w:rsidP="001B60EE">
      <w:pPr>
        <w:numPr>
          <w:ilvl w:val="0"/>
          <w:numId w:val="10"/>
        </w:numPr>
        <w:spacing w:after="160" w:line="259" w:lineRule="auto"/>
        <w:contextualSpacing/>
        <w:jc w:val="both"/>
        <w:rPr>
          <w:rFonts w:eastAsia="Calibri" w:cstheme="minorHAnsi"/>
          <w:sz w:val="20"/>
          <w:szCs w:val="20"/>
        </w:rPr>
      </w:pPr>
      <w:r w:rsidRPr="00DB6A3C">
        <w:rPr>
          <w:rFonts w:eastAsia="Calibri" w:cstheme="minorHAnsi"/>
          <w:sz w:val="20"/>
          <w:szCs w:val="20"/>
        </w:rPr>
        <w:t>Rehabilitation of the publicly operated power plants will be completed</w:t>
      </w:r>
    </w:p>
    <w:p w14:paraId="1D04CFC6" w14:textId="77777777" w:rsidR="00AC1A29" w:rsidRPr="00DB6A3C" w:rsidRDefault="00AC1A29" w:rsidP="001B60EE">
      <w:pPr>
        <w:numPr>
          <w:ilvl w:val="0"/>
          <w:numId w:val="10"/>
        </w:numPr>
        <w:spacing w:after="160" w:line="259" w:lineRule="auto"/>
        <w:contextualSpacing/>
        <w:jc w:val="both"/>
        <w:rPr>
          <w:rFonts w:eastAsia="Calibri" w:cstheme="minorHAnsi"/>
          <w:sz w:val="20"/>
          <w:szCs w:val="20"/>
        </w:rPr>
      </w:pPr>
      <w:r w:rsidRPr="00DB6A3C">
        <w:rPr>
          <w:rFonts w:eastAsia="Calibri" w:cstheme="minorHAnsi"/>
          <w:sz w:val="20"/>
          <w:szCs w:val="20"/>
        </w:rPr>
        <w:t>Nuclear Power Plants (NPPs) will be included in the electricity generation portfolio, efforts will be continued to increase the share of nuclear energy in electricity generation and institutional capacity will be strengthened.</w:t>
      </w:r>
    </w:p>
    <w:p w14:paraId="5CA39686" w14:textId="77777777" w:rsidR="00AC1A29" w:rsidRPr="00DB6A3C" w:rsidRDefault="00AC1A29" w:rsidP="001B60EE">
      <w:pPr>
        <w:numPr>
          <w:ilvl w:val="0"/>
          <w:numId w:val="10"/>
        </w:numPr>
        <w:spacing w:after="160" w:line="259" w:lineRule="auto"/>
        <w:contextualSpacing/>
        <w:jc w:val="both"/>
        <w:rPr>
          <w:rFonts w:eastAsia="Calibri" w:cstheme="minorHAnsi"/>
          <w:sz w:val="20"/>
          <w:szCs w:val="20"/>
        </w:rPr>
      </w:pPr>
      <w:r w:rsidRPr="00DB6A3C">
        <w:rPr>
          <w:rFonts w:eastAsia="Calibri" w:cstheme="minorHAnsi"/>
          <w:sz w:val="20"/>
          <w:szCs w:val="20"/>
        </w:rPr>
        <w:t xml:space="preserve">The use of domestic lignite reserves in the production of electrical energy in accordance with environmental standards will be increased. </w:t>
      </w:r>
    </w:p>
    <w:p w14:paraId="0AD28A58" w14:textId="79FF906E" w:rsidR="003A7BFE" w:rsidRDefault="00AC1A29" w:rsidP="001B60EE">
      <w:pPr>
        <w:numPr>
          <w:ilvl w:val="0"/>
          <w:numId w:val="10"/>
        </w:numPr>
        <w:spacing w:after="160" w:line="259" w:lineRule="auto"/>
        <w:contextualSpacing/>
        <w:jc w:val="both"/>
        <w:rPr>
          <w:rFonts w:eastAsia="Calibri" w:cstheme="minorHAnsi"/>
          <w:sz w:val="20"/>
          <w:szCs w:val="20"/>
        </w:rPr>
      </w:pPr>
      <w:r w:rsidRPr="00DB6A3C">
        <w:rPr>
          <w:rFonts w:eastAsia="Calibri" w:cstheme="minorHAnsi"/>
          <w:sz w:val="20"/>
          <w:szCs w:val="20"/>
        </w:rPr>
        <w:t xml:space="preserve">Natural gas supply security will be strengthened and access to natural gas will be increased. </w:t>
      </w:r>
    </w:p>
    <w:p w14:paraId="5C54BC6D" w14:textId="77777777" w:rsidR="003A7BFE" w:rsidRDefault="003A7BFE">
      <w:pPr>
        <w:rPr>
          <w:rFonts w:eastAsia="Calibri" w:cstheme="minorHAnsi"/>
          <w:sz w:val="20"/>
          <w:szCs w:val="20"/>
        </w:rPr>
      </w:pPr>
      <w:r>
        <w:rPr>
          <w:rFonts w:eastAsia="Calibri" w:cstheme="minorHAnsi"/>
          <w:sz w:val="20"/>
          <w:szCs w:val="20"/>
        </w:rPr>
        <w:br w:type="page"/>
      </w:r>
    </w:p>
    <w:p w14:paraId="4A120884" w14:textId="7D6AED47" w:rsidR="00AC1A29" w:rsidRPr="002971D4" w:rsidRDefault="002971D4" w:rsidP="001C1D9B">
      <w:pPr>
        <w:pStyle w:val="Heading1"/>
      </w:pPr>
      <w:bookmarkStart w:id="11" w:name="_Toc118121244"/>
      <w:r w:rsidRPr="002971D4">
        <w:lastRenderedPageBreak/>
        <w:t xml:space="preserve">3. </w:t>
      </w:r>
      <w:r w:rsidR="001365AE" w:rsidRPr="002971D4">
        <w:t>ECONOMIC DATA</w:t>
      </w:r>
      <w:bookmarkEnd w:id="11"/>
      <w:r w:rsidR="001365AE" w:rsidRPr="002971D4">
        <w:t xml:space="preserve"> </w:t>
      </w:r>
    </w:p>
    <w:p w14:paraId="30DD92C9" w14:textId="77777777" w:rsidR="00AC1A29" w:rsidRPr="00DB6A3C" w:rsidRDefault="00AC1A29" w:rsidP="001B60EE">
      <w:pPr>
        <w:numPr>
          <w:ilvl w:val="0"/>
          <w:numId w:val="6"/>
        </w:numPr>
        <w:spacing w:after="160" w:line="259" w:lineRule="auto"/>
        <w:contextualSpacing/>
        <w:rPr>
          <w:rFonts w:eastAsia="Calibri" w:cstheme="minorHAnsi"/>
          <w:b/>
          <w:bCs/>
          <w:sz w:val="20"/>
          <w:szCs w:val="20"/>
        </w:rPr>
      </w:pPr>
      <w:r w:rsidRPr="00DB6A3C">
        <w:rPr>
          <w:rFonts w:eastAsia="Calibri" w:cstheme="minorHAnsi"/>
          <w:b/>
          <w:bCs/>
          <w:sz w:val="20"/>
          <w:szCs w:val="20"/>
        </w:rPr>
        <w:t>Electricity</w:t>
      </w:r>
    </w:p>
    <w:p w14:paraId="3F54F2E6" w14:textId="4021EAF1"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The annual gross electricity consumption in </w:t>
      </w:r>
      <w:r w:rsidR="007745AE">
        <w:rPr>
          <w:rFonts w:eastAsia="Calibri" w:cstheme="minorHAnsi"/>
          <w:sz w:val="20"/>
          <w:szCs w:val="20"/>
        </w:rPr>
        <w:t>Türkiye</w:t>
      </w:r>
      <w:r w:rsidRPr="00DB6A3C">
        <w:rPr>
          <w:rFonts w:eastAsia="Calibri" w:cstheme="minorHAnsi"/>
          <w:sz w:val="20"/>
          <w:szCs w:val="20"/>
        </w:rPr>
        <w:t xml:space="preserve"> in 2018 has risen by 2.5% to 304.2 </w:t>
      </w:r>
      <w:proofErr w:type="spellStart"/>
      <w:r w:rsidRPr="00DB6A3C">
        <w:rPr>
          <w:rFonts w:eastAsia="Calibri" w:cstheme="minorHAnsi"/>
          <w:sz w:val="20"/>
          <w:szCs w:val="20"/>
        </w:rPr>
        <w:t>TWh</w:t>
      </w:r>
      <w:proofErr w:type="spellEnd"/>
      <w:r w:rsidRPr="00DB6A3C">
        <w:rPr>
          <w:rFonts w:eastAsia="Calibri" w:cstheme="minorHAnsi"/>
          <w:sz w:val="20"/>
          <w:szCs w:val="20"/>
        </w:rPr>
        <w:t xml:space="preserve">. Electricity generation increased by 2.5% to 304.8 </w:t>
      </w:r>
      <w:proofErr w:type="spellStart"/>
      <w:r w:rsidRPr="00DB6A3C">
        <w:rPr>
          <w:rFonts w:eastAsia="Calibri" w:cstheme="minorHAnsi"/>
          <w:sz w:val="20"/>
          <w:szCs w:val="20"/>
        </w:rPr>
        <w:t>TWh</w:t>
      </w:r>
      <w:proofErr w:type="spellEnd"/>
      <w:r w:rsidRPr="00DB6A3C">
        <w:rPr>
          <w:rFonts w:eastAsia="Calibri" w:cstheme="minorHAnsi"/>
          <w:sz w:val="20"/>
          <w:szCs w:val="20"/>
        </w:rPr>
        <w:t xml:space="preserve">. Electricity consumption is expected to increase by 4.3% annually, reaching 375.8 </w:t>
      </w:r>
      <w:proofErr w:type="spellStart"/>
      <w:r w:rsidRPr="00DB6A3C">
        <w:rPr>
          <w:rFonts w:eastAsia="Calibri" w:cstheme="minorHAnsi"/>
          <w:sz w:val="20"/>
          <w:szCs w:val="20"/>
        </w:rPr>
        <w:t>TWh</w:t>
      </w:r>
      <w:proofErr w:type="spellEnd"/>
      <w:r w:rsidRPr="00DB6A3C">
        <w:rPr>
          <w:rFonts w:eastAsia="Calibri" w:cstheme="minorHAnsi"/>
          <w:sz w:val="20"/>
          <w:szCs w:val="20"/>
        </w:rPr>
        <w:t xml:space="preserve"> in 2023 in the base scenario. The annual gross electricity consumption in </w:t>
      </w:r>
      <w:r w:rsidR="007745AE">
        <w:rPr>
          <w:rFonts w:eastAsia="Calibri" w:cstheme="minorHAnsi"/>
          <w:sz w:val="20"/>
          <w:szCs w:val="20"/>
        </w:rPr>
        <w:t>Türkiye</w:t>
      </w:r>
      <w:r w:rsidRPr="00DB6A3C">
        <w:rPr>
          <w:rFonts w:eastAsia="Calibri" w:cstheme="minorHAnsi"/>
          <w:sz w:val="20"/>
          <w:szCs w:val="20"/>
        </w:rPr>
        <w:t xml:space="preserve"> in 2018 has risen by 2.5% to 304.2 </w:t>
      </w:r>
      <w:proofErr w:type="spellStart"/>
      <w:r w:rsidRPr="00DB6A3C">
        <w:rPr>
          <w:rFonts w:eastAsia="Calibri" w:cstheme="minorHAnsi"/>
          <w:sz w:val="20"/>
          <w:szCs w:val="20"/>
        </w:rPr>
        <w:t>TWh</w:t>
      </w:r>
      <w:proofErr w:type="spellEnd"/>
      <w:r w:rsidRPr="00DB6A3C">
        <w:rPr>
          <w:rFonts w:eastAsia="Calibri" w:cstheme="minorHAnsi"/>
          <w:sz w:val="20"/>
          <w:szCs w:val="20"/>
        </w:rPr>
        <w:t xml:space="preserve">. Electricity generation increased by 2.5% to 304.8 </w:t>
      </w:r>
      <w:proofErr w:type="spellStart"/>
      <w:r w:rsidRPr="00DB6A3C">
        <w:rPr>
          <w:rFonts w:eastAsia="Calibri" w:cstheme="minorHAnsi"/>
          <w:sz w:val="20"/>
          <w:szCs w:val="20"/>
        </w:rPr>
        <w:t>TWh</w:t>
      </w:r>
      <w:proofErr w:type="spellEnd"/>
      <w:r w:rsidRPr="00DB6A3C">
        <w:rPr>
          <w:rFonts w:eastAsia="Calibri" w:cstheme="minorHAnsi"/>
          <w:sz w:val="20"/>
          <w:szCs w:val="20"/>
        </w:rPr>
        <w:t>.</w:t>
      </w:r>
    </w:p>
    <w:p w14:paraId="38F73F24"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Electricity consumption is expected to increase by 4.3% annually, reaching 375.8 </w:t>
      </w:r>
      <w:proofErr w:type="spellStart"/>
      <w:r w:rsidRPr="00DB6A3C">
        <w:rPr>
          <w:rFonts w:eastAsia="Calibri" w:cstheme="minorHAnsi"/>
          <w:sz w:val="20"/>
          <w:szCs w:val="20"/>
        </w:rPr>
        <w:t>TWh</w:t>
      </w:r>
      <w:proofErr w:type="spellEnd"/>
      <w:r w:rsidRPr="00DB6A3C">
        <w:rPr>
          <w:rFonts w:eastAsia="Calibri" w:cstheme="minorHAnsi"/>
          <w:sz w:val="20"/>
          <w:szCs w:val="20"/>
        </w:rPr>
        <w:t xml:space="preserve"> in 2023 in the base scenario.</w:t>
      </w:r>
    </w:p>
    <w:p w14:paraId="003E1CE7"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As the end of the 2018, 37.2% of our electricity generation was obtained from coal, 30.3% from natural gas, 19.7% from hydropower, 6.5% from wind, 2.6% from solar energy, 2.4% from geothermal and 1.3% from other sources.</w:t>
      </w:r>
    </w:p>
    <w:p w14:paraId="69E76EB5"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By the end of 2018, the installed capacity of our country has reached 88,551 MW. The distribution of our installed power by resources is as follows: 31.9% hydraulic, 29.5% natural gas, 22.2% coal, 7.9% wind, 1.4% geothermal, 5.7% solar and 1.4% other sources.</w:t>
      </w:r>
    </w:p>
    <w:p w14:paraId="6E8EF6B6" w14:textId="3B00A25B"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Additionally, as the end of the 2018, number of electricity energy generation plants in </w:t>
      </w:r>
      <w:r w:rsidR="007745AE">
        <w:rPr>
          <w:rFonts w:eastAsia="Calibri" w:cstheme="minorHAnsi"/>
          <w:sz w:val="20"/>
          <w:szCs w:val="20"/>
        </w:rPr>
        <w:t>Türkiye</w:t>
      </w:r>
      <w:r w:rsidRPr="00DB6A3C">
        <w:rPr>
          <w:rFonts w:eastAsia="Calibri" w:cstheme="minorHAnsi"/>
          <w:sz w:val="20"/>
          <w:szCs w:val="20"/>
        </w:rPr>
        <w:t xml:space="preserve"> was 7,423 (including </w:t>
      </w:r>
      <w:proofErr w:type="spellStart"/>
      <w:r w:rsidRPr="00DB6A3C">
        <w:rPr>
          <w:rFonts w:eastAsia="Calibri" w:cstheme="minorHAnsi"/>
          <w:sz w:val="20"/>
          <w:szCs w:val="20"/>
        </w:rPr>
        <w:t>unlicenced</w:t>
      </w:r>
      <w:proofErr w:type="spellEnd"/>
      <w:r w:rsidRPr="00DB6A3C">
        <w:rPr>
          <w:rFonts w:eastAsia="Calibri" w:cstheme="minorHAnsi"/>
          <w:sz w:val="20"/>
          <w:szCs w:val="20"/>
        </w:rPr>
        <w:t xml:space="preserve"> plants). As of the end of August 2019, the installed capacity of our country has reached 90,403 MW.</w:t>
      </w:r>
    </w:p>
    <w:p w14:paraId="7D9B8DFD" w14:textId="77777777" w:rsidR="00AC1A29" w:rsidRPr="00DB6A3C" w:rsidRDefault="00AC1A29" w:rsidP="001B60EE">
      <w:pPr>
        <w:numPr>
          <w:ilvl w:val="0"/>
          <w:numId w:val="6"/>
        </w:numPr>
        <w:spacing w:after="160" w:line="259" w:lineRule="auto"/>
        <w:contextualSpacing/>
        <w:rPr>
          <w:rFonts w:eastAsia="Calibri" w:cstheme="minorHAnsi"/>
          <w:b/>
          <w:bCs/>
          <w:sz w:val="20"/>
          <w:szCs w:val="20"/>
        </w:rPr>
      </w:pPr>
      <w:r w:rsidRPr="00DB6A3C">
        <w:rPr>
          <w:rFonts w:eastAsia="Calibri" w:cstheme="minorHAnsi"/>
          <w:b/>
          <w:bCs/>
          <w:sz w:val="20"/>
          <w:szCs w:val="20"/>
        </w:rPr>
        <w:t>Crude Oil</w:t>
      </w:r>
    </w:p>
    <w:p w14:paraId="53A31613" w14:textId="082AAB71"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To have a brief history of the last 20 years of Oil Exploration in </w:t>
      </w:r>
      <w:r w:rsidR="007745AE">
        <w:rPr>
          <w:rFonts w:eastAsia="Calibri" w:cstheme="minorHAnsi"/>
          <w:sz w:val="20"/>
          <w:szCs w:val="20"/>
        </w:rPr>
        <w:t>Türkiye</w:t>
      </w:r>
      <w:r w:rsidRPr="00DB6A3C">
        <w:rPr>
          <w:rFonts w:eastAsia="Calibri" w:cstheme="minorHAnsi"/>
          <w:sz w:val="20"/>
          <w:szCs w:val="20"/>
        </w:rPr>
        <w:t>, we consult the   General Directorate of Petroleum Affairs:</w:t>
      </w:r>
    </w:p>
    <w:p w14:paraId="3292B7C9"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b/>
          <w:bCs/>
          <w:sz w:val="20"/>
          <w:szCs w:val="20"/>
        </w:rPr>
        <w:t>2001</w:t>
      </w:r>
      <w:r w:rsidRPr="00DB6A3C">
        <w:rPr>
          <w:rFonts w:eastAsia="Calibri" w:cstheme="minorHAnsi"/>
          <w:sz w:val="20"/>
          <w:szCs w:val="20"/>
        </w:rPr>
        <w:t>: Natural Gas Market Law No. 4646 was prepared for liberation and alignment with EU Directive. Market operations concerning natural gas were separated from oil operations in accordance with the Law passed on 2nd May 2001 and taken outside the scope of Petroleum Law; Statutory Decree No. 397 regulating natural gas import and distribution was abolished. Natural gas market was taken in the scope of roles and power of the Energy Market Regulatory Authority (EMRA) established in accordance with the Electricity Market Law No. 4628 and the title of the institution was changed into EMRA.</w:t>
      </w:r>
    </w:p>
    <w:p w14:paraId="41A16E8A"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b/>
          <w:bCs/>
          <w:sz w:val="20"/>
          <w:szCs w:val="20"/>
        </w:rPr>
        <w:t>2003:</w:t>
      </w:r>
      <w:r w:rsidRPr="00DB6A3C">
        <w:rPr>
          <w:rFonts w:eastAsia="Calibri" w:cstheme="minorHAnsi"/>
          <w:sz w:val="20"/>
          <w:szCs w:val="20"/>
        </w:rPr>
        <w:t xml:space="preserve"> The provision of the Petroleum Law was amended with the Law on Working Permits of the Foreigners approved on 27th February 2003 No. 4817 and the opportunity to employ foreign administrative and professional staff and expert staff was provided to the oil right owners via the permission by the Ministry of Labour and Social Security upon the opinions of EMRA and the Ministry of Interior Affairs were taken.</w:t>
      </w:r>
    </w:p>
    <w:p w14:paraId="691A79C6"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Operations which require license for execution such as oil transmission, refinery and storage at large amounts were taken outside the scope of Petroleum Market Law which was enforced on 20th December 2003 No. 5015. Free use of distribution, shipment and relevant operations were taken in the scope of a legal regulation for the first time.</w:t>
      </w:r>
    </w:p>
    <w:p w14:paraId="37BE925F" w14:textId="6AEA02AC" w:rsidR="00AC1A29" w:rsidRDefault="00AC1A29" w:rsidP="00AC1A29">
      <w:pPr>
        <w:spacing w:after="160" w:line="259" w:lineRule="auto"/>
        <w:jc w:val="both"/>
        <w:rPr>
          <w:rFonts w:eastAsia="Calibri" w:cstheme="minorHAnsi"/>
          <w:sz w:val="20"/>
          <w:szCs w:val="20"/>
        </w:rPr>
      </w:pPr>
      <w:r w:rsidRPr="00DB6A3C">
        <w:rPr>
          <w:rFonts w:eastAsia="Calibri" w:cstheme="minorHAnsi"/>
          <w:b/>
          <w:bCs/>
          <w:sz w:val="20"/>
          <w:szCs w:val="20"/>
        </w:rPr>
        <w:t>2007:</w:t>
      </w:r>
      <w:r w:rsidRPr="00DB6A3C">
        <w:rPr>
          <w:rFonts w:eastAsia="Calibri" w:cstheme="minorHAnsi"/>
          <w:sz w:val="20"/>
          <w:szCs w:val="20"/>
        </w:rPr>
        <w:t xml:space="preserve"> New Turkish Petroleum Law No. 5574 was approved by the General Assembly of the Turkish Grand National Assembly (TGNA) on 17th January 2007 whose drafting was completed in Industry, Trade, Energy, Natural Resources, Information and Technology Commissions of the TGNA. The Law, whose four provisions, one being interim, was sent by the 10th President A. </w:t>
      </w:r>
      <w:proofErr w:type="spellStart"/>
      <w:r w:rsidRPr="00DB6A3C">
        <w:rPr>
          <w:rFonts w:eastAsia="Calibri" w:cstheme="minorHAnsi"/>
          <w:sz w:val="20"/>
          <w:szCs w:val="20"/>
        </w:rPr>
        <w:t>Necdet</w:t>
      </w:r>
      <w:proofErr w:type="spellEnd"/>
      <w:r w:rsidRPr="00DB6A3C">
        <w:rPr>
          <w:rFonts w:eastAsia="Calibri" w:cstheme="minorHAnsi"/>
          <w:sz w:val="20"/>
          <w:szCs w:val="20"/>
        </w:rPr>
        <w:t xml:space="preserve"> </w:t>
      </w:r>
      <w:proofErr w:type="spellStart"/>
      <w:r w:rsidRPr="00DB6A3C">
        <w:rPr>
          <w:rFonts w:eastAsia="Calibri" w:cstheme="minorHAnsi"/>
          <w:sz w:val="20"/>
          <w:szCs w:val="20"/>
        </w:rPr>
        <w:t>Sezer</w:t>
      </w:r>
      <w:proofErr w:type="spellEnd"/>
      <w:r w:rsidRPr="00DB6A3C">
        <w:rPr>
          <w:rFonts w:eastAsia="Calibri" w:cstheme="minorHAnsi"/>
          <w:sz w:val="20"/>
          <w:szCs w:val="20"/>
        </w:rPr>
        <w:t xml:space="preserve"> to the TGNA was re-accepted after excluding one provision in the Commission and sent to the General Assembly. Law has been in the agenda of the TGNA since February 2007.</w:t>
      </w:r>
    </w:p>
    <w:p w14:paraId="2E7562A4" w14:textId="341389D8" w:rsidR="00864E79" w:rsidRPr="00DB6A3C" w:rsidRDefault="00864E79" w:rsidP="00AC1A29">
      <w:pPr>
        <w:spacing w:after="160" w:line="259" w:lineRule="auto"/>
        <w:jc w:val="both"/>
        <w:rPr>
          <w:rFonts w:eastAsia="Calibri" w:cstheme="minorHAnsi"/>
          <w:sz w:val="20"/>
          <w:szCs w:val="20"/>
        </w:rPr>
      </w:pPr>
    </w:p>
    <w:p w14:paraId="25022081"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b/>
          <w:bCs/>
          <w:sz w:val="20"/>
          <w:szCs w:val="20"/>
        </w:rPr>
        <w:t>2013:</w:t>
      </w:r>
      <w:r w:rsidRPr="00DB6A3C">
        <w:rPr>
          <w:rFonts w:eastAsia="Calibri" w:cstheme="minorHAnsi"/>
          <w:sz w:val="20"/>
          <w:szCs w:val="20"/>
        </w:rPr>
        <w:t xml:space="preserve"> The new Turkish Petroleum Law No. 6491, which has been in operation since 2007, was put into effect on 30.05.2013 by publication in the official gazette. In the context of the new law, the exploration and operation </w:t>
      </w:r>
      <w:r w:rsidRPr="00DB6A3C">
        <w:rPr>
          <w:rFonts w:eastAsia="Calibri" w:cstheme="minorHAnsi"/>
          <w:sz w:val="20"/>
          <w:szCs w:val="20"/>
        </w:rPr>
        <w:lastRenderedPageBreak/>
        <w:t xml:space="preserve">license periods have been extended, the "State Right" has been removed from the search license areas and the possibility of expropriation has been created. Moreover, it has been decided to leave the "guarantee" issue to the minister's discretion in the case of oil discovery or non-traditional methods. </w:t>
      </w:r>
    </w:p>
    <w:p w14:paraId="5DA5AE1B" w14:textId="5A11E551"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 xml:space="preserve">The main Statistics of Oil Production in </w:t>
      </w:r>
      <w:r w:rsidR="007745AE">
        <w:rPr>
          <w:rFonts w:eastAsia="Calibri" w:cstheme="minorHAnsi"/>
          <w:sz w:val="20"/>
          <w:szCs w:val="20"/>
        </w:rPr>
        <w:t>Türkiye</w:t>
      </w:r>
      <w:r w:rsidRPr="00DB6A3C">
        <w:rPr>
          <w:rFonts w:eastAsia="Calibri" w:cstheme="minorHAnsi"/>
          <w:sz w:val="20"/>
          <w:szCs w:val="20"/>
        </w:rPr>
        <w:t xml:space="preserve"> are: </w:t>
      </w:r>
    </w:p>
    <w:tbl>
      <w:tblPr>
        <w:tblW w:w="3499" w:type="pct"/>
        <w:tblInd w:w="2405" w:type="dxa"/>
        <w:shd w:val="clear" w:color="auto" w:fill="FAFAFA"/>
        <w:tblCellMar>
          <w:left w:w="0" w:type="dxa"/>
          <w:right w:w="0" w:type="dxa"/>
        </w:tblCellMar>
        <w:tblLook w:val="04A0" w:firstRow="1" w:lastRow="0" w:firstColumn="1" w:lastColumn="0" w:noHBand="0" w:noVBand="1"/>
      </w:tblPr>
      <w:tblGrid>
        <w:gridCol w:w="2161"/>
        <w:gridCol w:w="4175"/>
      </w:tblGrid>
      <w:tr w:rsidR="00DB6A3C" w:rsidRPr="00DB6A3C" w14:paraId="7C7337F4" w14:textId="77777777" w:rsidTr="00DB6A3C">
        <w:tc>
          <w:tcPr>
            <w:tcW w:w="1705" w:type="pct"/>
            <w:tcBorders>
              <w:top w:val="single" w:sz="4" w:space="0" w:color="auto"/>
              <w:left w:val="single" w:sz="4" w:space="0" w:color="auto"/>
              <w:bottom w:val="single" w:sz="4" w:space="0" w:color="auto"/>
              <w:right w:val="single" w:sz="4" w:space="0" w:color="auto"/>
            </w:tcBorders>
            <w:shd w:val="clear" w:color="auto" w:fill="FAFAFA"/>
            <w:vAlign w:val="center"/>
            <w:hideMark/>
          </w:tcPr>
          <w:p w14:paraId="003CD159" w14:textId="77777777" w:rsidR="00DB6A3C" w:rsidRPr="00DB6A3C" w:rsidRDefault="00DB6A3C" w:rsidP="00AC1A29">
            <w:pPr>
              <w:spacing w:after="160" w:line="259" w:lineRule="auto"/>
              <w:rPr>
                <w:rFonts w:eastAsia="Calibri" w:cstheme="minorHAnsi"/>
                <w:b/>
                <w:bCs/>
                <w:sz w:val="20"/>
                <w:szCs w:val="20"/>
                <w:lang w:val="es-AR"/>
              </w:rPr>
            </w:pPr>
            <w:r w:rsidRPr="00DB6A3C">
              <w:rPr>
                <w:rFonts w:eastAsia="Calibri" w:cstheme="minorHAnsi"/>
                <w:b/>
                <w:bCs/>
                <w:sz w:val="20"/>
                <w:szCs w:val="20"/>
              </w:rPr>
              <w:t>Oil</w:t>
            </w:r>
            <w:r w:rsidRPr="00DB6A3C">
              <w:rPr>
                <w:rFonts w:eastAsia="Calibri" w:cstheme="minorHAnsi"/>
                <w:b/>
                <w:bCs/>
                <w:sz w:val="20"/>
                <w:szCs w:val="20"/>
                <w:lang w:val="es-AR"/>
              </w:rPr>
              <w:t xml:space="preserve"> </w:t>
            </w:r>
            <w:proofErr w:type="spellStart"/>
            <w:r w:rsidRPr="00DB6A3C">
              <w:rPr>
                <w:rFonts w:eastAsia="Calibri" w:cstheme="minorHAnsi"/>
                <w:b/>
                <w:bCs/>
                <w:sz w:val="20"/>
                <w:szCs w:val="20"/>
                <w:lang w:val="es-AR"/>
              </w:rPr>
              <w:t>Production</w:t>
            </w:r>
            <w:proofErr w:type="spellEnd"/>
            <w:r w:rsidRPr="00DB6A3C">
              <w:rPr>
                <w:rFonts w:eastAsia="Calibri" w:cstheme="minorHAnsi"/>
                <w:b/>
                <w:bCs/>
                <w:sz w:val="20"/>
                <w:szCs w:val="20"/>
                <w:lang w:val="es-AR"/>
              </w:rPr>
              <w:t xml:space="preserve"> (2019)</w:t>
            </w:r>
          </w:p>
        </w:tc>
        <w:tc>
          <w:tcPr>
            <w:tcW w:w="3295" w:type="pct"/>
            <w:tcBorders>
              <w:top w:val="single" w:sz="4" w:space="0" w:color="auto"/>
              <w:left w:val="single" w:sz="4" w:space="0" w:color="auto"/>
              <w:bottom w:val="single" w:sz="4" w:space="0" w:color="auto"/>
              <w:right w:val="single" w:sz="4" w:space="0" w:color="auto"/>
            </w:tcBorders>
            <w:shd w:val="clear" w:color="auto" w:fill="FAFAFA"/>
            <w:vAlign w:val="center"/>
            <w:hideMark/>
          </w:tcPr>
          <w:p w14:paraId="55B0D89F" w14:textId="77777777" w:rsidR="00DB6A3C" w:rsidRPr="00DB6A3C" w:rsidRDefault="00DB6A3C" w:rsidP="00AC1A29">
            <w:pPr>
              <w:spacing w:after="160" w:line="259" w:lineRule="auto"/>
              <w:rPr>
                <w:rFonts w:eastAsia="Calibri" w:cstheme="minorHAnsi"/>
                <w:b/>
                <w:bCs/>
                <w:sz w:val="20"/>
                <w:szCs w:val="20"/>
                <w:lang w:val="es-AR"/>
              </w:rPr>
            </w:pPr>
            <w:r w:rsidRPr="00DB6A3C">
              <w:rPr>
                <w:rFonts w:eastAsia="Calibri" w:cstheme="minorHAnsi"/>
                <w:b/>
                <w:bCs/>
                <w:sz w:val="20"/>
                <w:szCs w:val="20"/>
                <w:lang w:val="es-AR"/>
              </w:rPr>
              <w:t xml:space="preserve">2,9 </w:t>
            </w:r>
            <w:proofErr w:type="spellStart"/>
            <w:r w:rsidRPr="00DB6A3C">
              <w:rPr>
                <w:rFonts w:eastAsia="Calibri" w:cstheme="minorHAnsi"/>
                <w:b/>
                <w:bCs/>
                <w:sz w:val="20"/>
                <w:szCs w:val="20"/>
                <w:lang w:val="es-AR"/>
              </w:rPr>
              <w:t>million</w:t>
            </w:r>
            <w:proofErr w:type="spellEnd"/>
            <w:r w:rsidRPr="00DB6A3C">
              <w:rPr>
                <w:rFonts w:eastAsia="Calibri" w:cstheme="minorHAnsi"/>
                <w:b/>
                <w:bCs/>
                <w:sz w:val="20"/>
                <w:szCs w:val="20"/>
                <w:lang w:val="es-AR"/>
              </w:rPr>
              <w:t xml:space="preserve"> </w:t>
            </w:r>
            <w:proofErr w:type="spellStart"/>
            <w:r w:rsidRPr="00DB6A3C">
              <w:rPr>
                <w:rFonts w:eastAsia="Calibri" w:cstheme="minorHAnsi"/>
                <w:b/>
                <w:bCs/>
                <w:sz w:val="20"/>
                <w:szCs w:val="20"/>
                <w:lang w:val="es-AR"/>
              </w:rPr>
              <w:t>tons</w:t>
            </w:r>
            <w:proofErr w:type="spellEnd"/>
          </w:p>
        </w:tc>
      </w:tr>
      <w:tr w:rsidR="00DB6A3C" w:rsidRPr="00DB6A3C" w14:paraId="44EE5E97" w14:textId="77777777" w:rsidTr="00DB6A3C">
        <w:tc>
          <w:tcPr>
            <w:tcW w:w="1705" w:type="pct"/>
            <w:tcBorders>
              <w:top w:val="single" w:sz="4" w:space="0" w:color="auto"/>
              <w:left w:val="single" w:sz="4" w:space="0" w:color="auto"/>
              <w:bottom w:val="single" w:sz="4" w:space="0" w:color="auto"/>
              <w:right w:val="single" w:sz="4" w:space="0" w:color="auto"/>
            </w:tcBorders>
            <w:shd w:val="clear" w:color="auto" w:fill="FAFAFA"/>
            <w:hideMark/>
          </w:tcPr>
          <w:p w14:paraId="6B3696EE" w14:textId="77777777" w:rsidR="00DB6A3C" w:rsidRPr="00DB6A3C" w:rsidRDefault="00DB6A3C" w:rsidP="00AC1A29">
            <w:pPr>
              <w:spacing w:after="160" w:line="259" w:lineRule="auto"/>
              <w:rPr>
                <w:rFonts w:eastAsia="Calibri" w:cstheme="minorHAnsi"/>
                <w:b/>
                <w:bCs/>
                <w:sz w:val="20"/>
                <w:szCs w:val="20"/>
                <w:lang w:val="es-AR"/>
              </w:rPr>
            </w:pPr>
            <w:proofErr w:type="spellStart"/>
            <w:r w:rsidRPr="00DB6A3C">
              <w:rPr>
                <w:rFonts w:eastAsia="Calibri" w:cstheme="minorHAnsi"/>
                <w:b/>
                <w:bCs/>
                <w:sz w:val="20"/>
                <w:szCs w:val="20"/>
                <w:lang w:val="es-AR"/>
              </w:rPr>
              <w:t>Daily</w:t>
            </w:r>
            <w:proofErr w:type="spellEnd"/>
            <w:r w:rsidRPr="00DB6A3C">
              <w:rPr>
                <w:rFonts w:eastAsia="Calibri" w:cstheme="minorHAnsi"/>
                <w:b/>
                <w:bCs/>
                <w:sz w:val="20"/>
                <w:szCs w:val="20"/>
                <w:lang w:val="es-AR"/>
              </w:rPr>
              <w:t xml:space="preserve"> </w:t>
            </w:r>
            <w:proofErr w:type="spellStart"/>
            <w:r w:rsidRPr="00DB6A3C">
              <w:rPr>
                <w:rFonts w:eastAsia="Calibri" w:cstheme="minorHAnsi"/>
                <w:b/>
                <w:bCs/>
                <w:sz w:val="20"/>
                <w:szCs w:val="20"/>
                <w:lang w:val="es-AR"/>
              </w:rPr>
              <w:t>Average</w:t>
            </w:r>
            <w:proofErr w:type="spellEnd"/>
            <w:r w:rsidRPr="00DB6A3C">
              <w:rPr>
                <w:rFonts w:eastAsia="Calibri" w:cstheme="minorHAnsi"/>
                <w:b/>
                <w:bCs/>
                <w:sz w:val="20"/>
                <w:szCs w:val="20"/>
                <w:lang w:val="es-AR"/>
              </w:rPr>
              <w:t xml:space="preserve"> </w:t>
            </w:r>
            <w:proofErr w:type="spellStart"/>
            <w:r w:rsidRPr="00DB6A3C">
              <w:rPr>
                <w:rFonts w:eastAsia="Calibri" w:cstheme="minorHAnsi"/>
                <w:b/>
                <w:bCs/>
                <w:sz w:val="20"/>
                <w:szCs w:val="20"/>
                <w:lang w:val="es-AR"/>
              </w:rPr>
              <w:t>Production</w:t>
            </w:r>
            <w:proofErr w:type="spellEnd"/>
            <w:r w:rsidRPr="00DB6A3C">
              <w:rPr>
                <w:rFonts w:eastAsia="Calibri" w:cstheme="minorHAnsi"/>
                <w:b/>
                <w:bCs/>
                <w:sz w:val="20"/>
                <w:szCs w:val="20"/>
                <w:lang w:val="es-AR"/>
              </w:rPr>
              <w:t xml:space="preserve"> (2018)</w:t>
            </w:r>
          </w:p>
        </w:tc>
        <w:tc>
          <w:tcPr>
            <w:tcW w:w="3295" w:type="pct"/>
            <w:tcBorders>
              <w:top w:val="single" w:sz="4" w:space="0" w:color="auto"/>
              <w:left w:val="single" w:sz="4" w:space="0" w:color="auto"/>
              <w:bottom w:val="single" w:sz="4" w:space="0" w:color="auto"/>
              <w:right w:val="single" w:sz="4" w:space="0" w:color="auto"/>
            </w:tcBorders>
            <w:shd w:val="clear" w:color="auto" w:fill="FAFAFA"/>
            <w:hideMark/>
          </w:tcPr>
          <w:p w14:paraId="17C6E93C" w14:textId="77777777" w:rsidR="00DB6A3C" w:rsidRPr="00DB6A3C" w:rsidRDefault="00DB6A3C" w:rsidP="00AC1A29">
            <w:pPr>
              <w:spacing w:after="160" w:line="259" w:lineRule="auto"/>
              <w:rPr>
                <w:rFonts w:eastAsia="Calibri" w:cstheme="minorHAnsi"/>
                <w:b/>
                <w:bCs/>
                <w:sz w:val="20"/>
                <w:szCs w:val="20"/>
                <w:lang w:val="es-AR"/>
              </w:rPr>
            </w:pPr>
            <w:r w:rsidRPr="00DB6A3C">
              <w:rPr>
                <w:rFonts w:eastAsia="Calibri" w:cstheme="minorHAnsi"/>
                <w:b/>
                <w:bCs/>
                <w:sz w:val="20"/>
                <w:szCs w:val="20"/>
                <w:lang w:val="es-AR"/>
              </w:rPr>
              <w:t xml:space="preserve">54.386 </w:t>
            </w:r>
            <w:proofErr w:type="spellStart"/>
            <w:r w:rsidRPr="00DB6A3C">
              <w:rPr>
                <w:rFonts w:eastAsia="Calibri" w:cstheme="minorHAnsi"/>
                <w:b/>
                <w:bCs/>
                <w:sz w:val="20"/>
                <w:szCs w:val="20"/>
                <w:lang w:val="es-AR"/>
              </w:rPr>
              <w:t>barrel</w:t>
            </w:r>
            <w:proofErr w:type="spellEnd"/>
            <w:r w:rsidRPr="00DB6A3C">
              <w:rPr>
                <w:rFonts w:eastAsia="Calibri" w:cstheme="minorHAnsi"/>
                <w:b/>
                <w:bCs/>
                <w:sz w:val="20"/>
                <w:szCs w:val="20"/>
                <w:lang w:val="es-AR"/>
              </w:rPr>
              <w:t>/</w:t>
            </w:r>
            <w:proofErr w:type="spellStart"/>
            <w:r w:rsidRPr="00DB6A3C">
              <w:rPr>
                <w:rFonts w:eastAsia="Calibri" w:cstheme="minorHAnsi"/>
                <w:b/>
                <w:bCs/>
                <w:sz w:val="20"/>
                <w:szCs w:val="20"/>
                <w:lang w:val="es-AR"/>
              </w:rPr>
              <w:t>day</w:t>
            </w:r>
            <w:proofErr w:type="spellEnd"/>
          </w:p>
        </w:tc>
      </w:tr>
      <w:tr w:rsidR="00DB6A3C" w:rsidRPr="00DB6A3C" w14:paraId="271C49E2" w14:textId="77777777" w:rsidTr="00DB6A3C">
        <w:tc>
          <w:tcPr>
            <w:tcW w:w="1705" w:type="pct"/>
            <w:tcBorders>
              <w:top w:val="single" w:sz="4" w:space="0" w:color="auto"/>
              <w:left w:val="single" w:sz="4" w:space="0" w:color="auto"/>
              <w:bottom w:val="single" w:sz="4" w:space="0" w:color="auto"/>
              <w:right w:val="single" w:sz="4" w:space="0" w:color="auto"/>
            </w:tcBorders>
            <w:shd w:val="clear" w:color="auto" w:fill="FAFAFA"/>
            <w:vAlign w:val="center"/>
            <w:hideMark/>
          </w:tcPr>
          <w:p w14:paraId="07AF9EC0" w14:textId="77777777" w:rsidR="00DB6A3C" w:rsidRPr="00DB6A3C" w:rsidRDefault="00DB6A3C" w:rsidP="00AC1A29">
            <w:pPr>
              <w:spacing w:after="160" w:line="259" w:lineRule="auto"/>
              <w:rPr>
                <w:rFonts w:eastAsia="Calibri" w:cstheme="minorHAnsi"/>
                <w:b/>
                <w:bCs/>
                <w:sz w:val="20"/>
                <w:szCs w:val="20"/>
              </w:rPr>
            </w:pPr>
            <w:r w:rsidRPr="00DB6A3C">
              <w:rPr>
                <w:rFonts w:eastAsia="Calibri" w:cstheme="minorHAnsi"/>
                <w:b/>
                <w:bCs/>
                <w:sz w:val="20"/>
                <w:szCs w:val="20"/>
              </w:rPr>
              <w:t>Rate of Production Meeting Consumption (2018)</w:t>
            </w:r>
          </w:p>
        </w:tc>
        <w:tc>
          <w:tcPr>
            <w:tcW w:w="3295" w:type="pct"/>
            <w:tcBorders>
              <w:top w:val="single" w:sz="4" w:space="0" w:color="auto"/>
              <w:left w:val="single" w:sz="4" w:space="0" w:color="auto"/>
              <w:bottom w:val="single" w:sz="4" w:space="0" w:color="auto"/>
              <w:right w:val="single" w:sz="4" w:space="0" w:color="auto"/>
            </w:tcBorders>
            <w:shd w:val="clear" w:color="auto" w:fill="FAFAFA"/>
            <w:vAlign w:val="center"/>
            <w:hideMark/>
          </w:tcPr>
          <w:p w14:paraId="3404617A" w14:textId="77777777" w:rsidR="00DB6A3C" w:rsidRPr="00DB6A3C" w:rsidRDefault="00DB6A3C" w:rsidP="00AC1A29">
            <w:pPr>
              <w:spacing w:after="160" w:line="259" w:lineRule="auto"/>
              <w:rPr>
                <w:rFonts w:eastAsia="Calibri" w:cstheme="minorHAnsi"/>
                <w:b/>
                <w:bCs/>
                <w:sz w:val="20"/>
                <w:szCs w:val="20"/>
                <w:lang w:val="es-AR"/>
              </w:rPr>
            </w:pPr>
            <w:r w:rsidRPr="00DB6A3C">
              <w:rPr>
                <w:rFonts w:eastAsia="Calibri" w:cstheme="minorHAnsi"/>
                <w:b/>
                <w:bCs/>
                <w:sz w:val="20"/>
                <w:szCs w:val="20"/>
                <w:lang w:val="es-AR"/>
              </w:rPr>
              <w:t>%8</w:t>
            </w:r>
          </w:p>
        </w:tc>
      </w:tr>
      <w:tr w:rsidR="00DB6A3C" w:rsidRPr="00DB6A3C" w14:paraId="6FF8A873" w14:textId="77777777" w:rsidTr="00DB6A3C">
        <w:tc>
          <w:tcPr>
            <w:tcW w:w="1705" w:type="pct"/>
            <w:tcBorders>
              <w:top w:val="single" w:sz="4" w:space="0" w:color="auto"/>
              <w:left w:val="single" w:sz="4" w:space="0" w:color="auto"/>
              <w:bottom w:val="single" w:sz="4" w:space="0" w:color="auto"/>
              <w:right w:val="single" w:sz="4" w:space="0" w:color="auto"/>
            </w:tcBorders>
            <w:shd w:val="clear" w:color="auto" w:fill="FAFAFA"/>
            <w:vAlign w:val="center"/>
            <w:hideMark/>
          </w:tcPr>
          <w:p w14:paraId="034B1E4D" w14:textId="77777777" w:rsidR="00DB6A3C" w:rsidRPr="00DB6A3C" w:rsidRDefault="00DB6A3C" w:rsidP="00AC1A29">
            <w:pPr>
              <w:spacing w:after="160" w:line="259" w:lineRule="auto"/>
              <w:rPr>
                <w:rFonts w:eastAsia="Calibri" w:cstheme="minorHAnsi"/>
                <w:b/>
                <w:bCs/>
                <w:sz w:val="20"/>
                <w:szCs w:val="20"/>
                <w:lang w:val="es-AR"/>
              </w:rPr>
            </w:pPr>
            <w:proofErr w:type="gramStart"/>
            <w:r w:rsidRPr="00DB6A3C">
              <w:rPr>
                <w:rFonts w:eastAsia="Calibri" w:cstheme="minorHAnsi"/>
                <w:b/>
                <w:bCs/>
                <w:sz w:val="20"/>
                <w:szCs w:val="20"/>
                <w:lang w:val="es-AR"/>
              </w:rPr>
              <w:t>Total</w:t>
            </w:r>
            <w:proofErr w:type="gramEnd"/>
            <w:r w:rsidRPr="00DB6A3C">
              <w:rPr>
                <w:rFonts w:eastAsia="Calibri" w:cstheme="minorHAnsi"/>
                <w:b/>
                <w:bCs/>
                <w:sz w:val="20"/>
                <w:szCs w:val="20"/>
                <w:lang w:val="es-AR"/>
              </w:rPr>
              <w:t xml:space="preserve"> Producible Reserve</w:t>
            </w:r>
          </w:p>
        </w:tc>
        <w:tc>
          <w:tcPr>
            <w:tcW w:w="3295" w:type="pct"/>
            <w:tcBorders>
              <w:top w:val="single" w:sz="4" w:space="0" w:color="auto"/>
              <w:left w:val="single" w:sz="4" w:space="0" w:color="auto"/>
              <w:bottom w:val="single" w:sz="4" w:space="0" w:color="auto"/>
              <w:right w:val="single" w:sz="4" w:space="0" w:color="auto"/>
            </w:tcBorders>
            <w:shd w:val="clear" w:color="auto" w:fill="FAFAFA"/>
            <w:vAlign w:val="center"/>
            <w:hideMark/>
          </w:tcPr>
          <w:p w14:paraId="763525D1" w14:textId="77777777" w:rsidR="00DB6A3C" w:rsidRPr="00DB6A3C" w:rsidRDefault="00DB6A3C" w:rsidP="00AC1A29">
            <w:pPr>
              <w:spacing w:after="160" w:line="259" w:lineRule="auto"/>
              <w:rPr>
                <w:rFonts w:eastAsia="Calibri" w:cstheme="minorHAnsi"/>
                <w:b/>
                <w:bCs/>
                <w:sz w:val="20"/>
                <w:szCs w:val="20"/>
                <w:lang w:val="es-AR"/>
              </w:rPr>
            </w:pPr>
            <w:r w:rsidRPr="00DB6A3C">
              <w:rPr>
                <w:rFonts w:eastAsia="Calibri" w:cstheme="minorHAnsi"/>
                <w:b/>
                <w:bCs/>
                <w:sz w:val="20"/>
                <w:szCs w:val="20"/>
                <w:lang w:val="es-AR"/>
              </w:rPr>
              <w:t xml:space="preserve">209,6 </w:t>
            </w:r>
            <w:proofErr w:type="spellStart"/>
            <w:r w:rsidRPr="00DB6A3C">
              <w:rPr>
                <w:rFonts w:eastAsia="Calibri" w:cstheme="minorHAnsi"/>
                <w:b/>
                <w:bCs/>
                <w:sz w:val="20"/>
                <w:szCs w:val="20"/>
                <w:lang w:val="es-AR"/>
              </w:rPr>
              <w:t>million</w:t>
            </w:r>
            <w:proofErr w:type="spellEnd"/>
            <w:r w:rsidRPr="00DB6A3C">
              <w:rPr>
                <w:rFonts w:eastAsia="Calibri" w:cstheme="minorHAnsi"/>
                <w:b/>
                <w:bCs/>
                <w:sz w:val="20"/>
                <w:szCs w:val="20"/>
                <w:lang w:val="es-AR"/>
              </w:rPr>
              <w:t xml:space="preserve"> </w:t>
            </w:r>
            <w:proofErr w:type="spellStart"/>
            <w:r w:rsidRPr="00DB6A3C">
              <w:rPr>
                <w:rFonts w:eastAsia="Calibri" w:cstheme="minorHAnsi"/>
                <w:b/>
                <w:bCs/>
                <w:sz w:val="20"/>
                <w:szCs w:val="20"/>
                <w:lang w:val="es-AR"/>
              </w:rPr>
              <w:t>tons</w:t>
            </w:r>
            <w:proofErr w:type="spellEnd"/>
          </w:p>
        </w:tc>
      </w:tr>
      <w:tr w:rsidR="00DB6A3C" w:rsidRPr="00DB6A3C" w14:paraId="67751E5E" w14:textId="77777777" w:rsidTr="00DB6A3C">
        <w:tc>
          <w:tcPr>
            <w:tcW w:w="1705" w:type="pct"/>
            <w:tcBorders>
              <w:top w:val="single" w:sz="4" w:space="0" w:color="auto"/>
              <w:left w:val="single" w:sz="4" w:space="0" w:color="auto"/>
              <w:bottom w:val="single" w:sz="4" w:space="0" w:color="auto"/>
              <w:right w:val="single" w:sz="4" w:space="0" w:color="auto"/>
            </w:tcBorders>
            <w:shd w:val="clear" w:color="auto" w:fill="FAFAFA"/>
            <w:vAlign w:val="center"/>
            <w:hideMark/>
          </w:tcPr>
          <w:p w14:paraId="316348C7" w14:textId="77777777" w:rsidR="00DB6A3C" w:rsidRPr="00DB6A3C" w:rsidRDefault="00DB6A3C" w:rsidP="00AC1A29">
            <w:pPr>
              <w:spacing w:after="160" w:line="259" w:lineRule="auto"/>
              <w:rPr>
                <w:rFonts w:eastAsia="Calibri" w:cstheme="minorHAnsi"/>
                <w:b/>
                <w:bCs/>
                <w:sz w:val="20"/>
                <w:szCs w:val="20"/>
                <w:lang w:val="es-AR"/>
              </w:rPr>
            </w:pPr>
            <w:proofErr w:type="spellStart"/>
            <w:r w:rsidRPr="00DB6A3C">
              <w:rPr>
                <w:rFonts w:eastAsia="Calibri" w:cstheme="minorHAnsi"/>
                <w:b/>
                <w:bCs/>
                <w:sz w:val="20"/>
                <w:szCs w:val="20"/>
                <w:lang w:val="es-AR"/>
              </w:rPr>
              <w:t>Cumulative</w:t>
            </w:r>
            <w:proofErr w:type="spellEnd"/>
            <w:r w:rsidRPr="00DB6A3C">
              <w:rPr>
                <w:rFonts w:eastAsia="Calibri" w:cstheme="minorHAnsi"/>
                <w:b/>
                <w:bCs/>
                <w:sz w:val="20"/>
                <w:szCs w:val="20"/>
                <w:lang w:val="es-AR"/>
              </w:rPr>
              <w:t xml:space="preserve"> </w:t>
            </w:r>
            <w:proofErr w:type="spellStart"/>
            <w:r w:rsidRPr="00DB6A3C">
              <w:rPr>
                <w:rFonts w:eastAsia="Calibri" w:cstheme="minorHAnsi"/>
                <w:b/>
                <w:bCs/>
                <w:sz w:val="20"/>
                <w:szCs w:val="20"/>
                <w:lang w:val="es-AR"/>
              </w:rPr>
              <w:t>Production</w:t>
            </w:r>
            <w:proofErr w:type="spellEnd"/>
            <w:r w:rsidRPr="00DB6A3C">
              <w:rPr>
                <w:rFonts w:eastAsia="Calibri" w:cstheme="minorHAnsi"/>
                <w:b/>
                <w:bCs/>
                <w:sz w:val="20"/>
                <w:szCs w:val="20"/>
                <w:lang w:val="es-AR"/>
              </w:rPr>
              <w:t xml:space="preserve"> (1954 – 2018)</w:t>
            </w:r>
          </w:p>
        </w:tc>
        <w:tc>
          <w:tcPr>
            <w:tcW w:w="3295" w:type="pct"/>
            <w:tcBorders>
              <w:top w:val="single" w:sz="4" w:space="0" w:color="auto"/>
              <w:left w:val="single" w:sz="4" w:space="0" w:color="auto"/>
              <w:bottom w:val="single" w:sz="4" w:space="0" w:color="auto"/>
              <w:right w:val="single" w:sz="4" w:space="0" w:color="auto"/>
            </w:tcBorders>
            <w:shd w:val="clear" w:color="auto" w:fill="FAFAFA"/>
            <w:vAlign w:val="center"/>
            <w:hideMark/>
          </w:tcPr>
          <w:p w14:paraId="16D794D3" w14:textId="77777777" w:rsidR="00DB6A3C" w:rsidRPr="00DB6A3C" w:rsidRDefault="00DB6A3C" w:rsidP="00AC1A29">
            <w:pPr>
              <w:spacing w:after="160" w:line="259" w:lineRule="auto"/>
              <w:rPr>
                <w:rFonts w:eastAsia="Calibri" w:cstheme="minorHAnsi"/>
                <w:b/>
                <w:bCs/>
                <w:sz w:val="20"/>
                <w:szCs w:val="20"/>
                <w:lang w:val="es-AR"/>
              </w:rPr>
            </w:pPr>
            <w:r w:rsidRPr="00DB6A3C">
              <w:rPr>
                <w:rFonts w:eastAsia="Calibri" w:cstheme="minorHAnsi"/>
                <w:b/>
                <w:bCs/>
                <w:sz w:val="20"/>
                <w:szCs w:val="20"/>
                <w:lang w:val="es-AR"/>
              </w:rPr>
              <w:t xml:space="preserve">158,6 </w:t>
            </w:r>
            <w:proofErr w:type="spellStart"/>
            <w:r w:rsidRPr="00DB6A3C">
              <w:rPr>
                <w:rFonts w:eastAsia="Calibri" w:cstheme="minorHAnsi"/>
                <w:b/>
                <w:bCs/>
                <w:sz w:val="20"/>
                <w:szCs w:val="20"/>
                <w:lang w:val="es-AR"/>
              </w:rPr>
              <w:t>million</w:t>
            </w:r>
            <w:proofErr w:type="spellEnd"/>
            <w:r w:rsidRPr="00DB6A3C">
              <w:rPr>
                <w:rFonts w:eastAsia="Calibri" w:cstheme="minorHAnsi"/>
                <w:b/>
                <w:bCs/>
                <w:sz w:val="20"/>
                <w:szCs w:val="20"/>
                <w:lang w:val="es-AR"/>
              </w:rPr>
              <w:t xml:space="preserve"> </w:t>
            </w:r>
            <w:proofErr w:type="spellStart"/>
            <w:r w:rsidRPr="00DB6A3C">
              <w:rPr>
                <w:rFonts w:eastAsia="Calibri" w:cstheme="minorHAnsi"/>
                <w:b/>
                <w:bCs/>
                <w:sz w:val="20"/>
                <w:szCs w:val="20"/>
                <w:lang w:val="es-AR"/>
              </w:rPr>
              <w:t>tons</w:t>
            </w:r>
            <w:proofErr w:type="spellEnd"/>
          </w:p>
        </w:tc>
      </w:tr>
      <w:tr w:rsidR="00DB6A3C" w:rsidRPr="00DB6A3C" w14:paraId="788F313A" w14:textId="77777777" w:rsidTr="00DB6A3C">
        <w:tc>
          <w:tcPr>
            <w:tcW w:w="1705" w:type="pct"/>
            <w:tcBorders>
              <w:top w:val="single" w:sz="4" w:space="0" w:color="auto"/>
              <w:left w:val="single" w:sz="4" w:space="0" w:color="auto"/>
              <w:bottom w:val="single" w:sz="4" w:space="0" w:color="auto"/>
              <w:right w:val="single" w:sz="4" w:space="0" w:color="auto"/>
            </w:tcBorders>
            <w:shd w:val="clear" w:color="auto" w:fill="FAFAFA"/>
            <w:vAlign w:val="center"/>
            <w:hideMark/>
          </w:tcPr>
          <w:p w14:paraId="131AF370" w14:textId="77777777" w:rsidR="00DB6A3C" w:rsidRPr="00DB6A3C" w:rsidRDefault="00DB6A3C" w:rsidP="00AC1A29">
            <w:pPr>
              <w:spacing w:after="160" w:line="259" w:lineRule="auto"/>
              <w:rPr>
                <w:rFonts w:eastAsia="Calibri" w:cstheme="minorHAnsi"/>
                <w:b/>
                <w:bCs/>
                <w:sz w:val="20"/>
                <w:szCs w:val="20"/>
                <w:lang w:val="es-AR"/>
              </w:rPr>
            </w:pPr>
            <w:proofErr w:type="spellStart"/>
            <w:r w:rsidRPr="00DB6A3C">
              <w:rPr>
                <w:rFonts w:eastAsia="Calibri" w:cstheme="minorHAnsi"/>
                <w:b/>
                <w:bCs/>
                <w:sz w:val="20"/>
                <w:szCs w:val="20"/>
                <w:lang w:val="es-AR"/>
              </w:rPr>
              <w:t>Remaining</w:t>
            </w:r>
            <w:proofErr w:type="spellEnd"/>
            <w:r w:rsidRPr="00DB6A3C">
              <w:rPr>
                <w:rFonts w:eastAsia="Calibri" w:cstheme="minorHAnsi"/>
                <w:b/>
                <w:bCs/>
                <w:sz w:val="20"/>
                <w:szCs w:val="20"/>
                <w:lang w:val="es-AR"/>
              </w:rPr>
              <w:t xml:space="preserve"> Producible Reserve (2018)</w:t>
            </w:r>
          </w:p>
        </w:tc>
        <w:tc>
          <w:tcPr>
            <w:tcW w:w="3295" w:type="pct"/>
            <w:tcBorders>
              <w:top w:val="single" w:sz="4" w:space="0" w:color="auto"/>
              <w:left w:val="single" w:sz="4" w:space="0" w:color="auto"/>
              <w:bottom w:val="single" w:sz="4" w:space="0" w:color="auto"/>
              <w:right w:val="single" w:sz="4" w:space="0" w:color="auto"/>
            </w:tcBorders>
            <w:shd w:val="clear" w:color="auto" w:fill="FAFAFA"/>
            <w:vAlign w:val="center"/>
            <w:hideMark/>
          </w:tcPr>
          <w:p w14:paraId="08BDE88D" w14:textId="77777777" w:rsidR="00DB6A3C" w:rsidRPr="00DB6A3C" w:rsidRDefault="00DB6A3C" w:rsidP="00AC1A29">
            <w:pPr>
              <w:spacing w:after="160" w:line="259" w:lineRule="auto"/>
              <w:rPr>
                <w:rFonts w:eastAsia="Calibri" w:cstheme="minorHAnsi"/>
                <w:b/>
                <w:bCs/>
                <w:sz w:val="20"/>
                <w:szCs w:val="20"/>
                <w:lang w:val="es-AR"/>
              </w:rPr>
            </w:pPr>
            <w:r w:rsidRPr="00DB6A3C">
              <w:rPr>
                <w:rFonts w:eastAsia="Calibri" w:cstheme="minorHAnsi"/>
                <w:b/>
                <w:bCs/>
                <w:sz w:val="20"/>
                <w:szCs w:val="20"/>
                <w:lang w:val="es-AR"/>
              </w:rPr>
              <w:t xml:space="preserve">51,0 </w:t>
            </w:r>
            <w:proofErr w:type="spellStart"/>
            <w:r w:rsidRPr="00DB6A3C">
              <w:rPr>
                <w:rFonts w:eastAsia="Calibri" w:cstheme="minorHAnsi"/>
                <w:b/>
                <w:bCs/>
                <w:sz w:val="20"/>
                <w:szCs w:val="20"/>
                <w:lang w:val="es-AR"/>
              </w:rPr>
              <w:t>million</w:t>
            </w:r>
            <w:proofErr w:type="spellEnd"/>
            <w:r w:rsidRPr="00DB6A3C">
              <w:rPr>
                <w:rFonts w:eastAsia="Calibri" w:cstheme="minorHAnsi"/>
                <w:b/>
                <w:bCs/>
                <w:sz w:val="20"/>
                <w:szCs w:val="20"/>
                <w:lang w:val="es-AR"/>
              </w:rPr>
              <w:t xml:space="preserve"> </w:t>
            </w:r>
            <w:proofErr w:type="spellStart"/>
            <w:r w:rsidRPr="00DB6A3C">
              <w:rPr>
                <w:rFonts w:eastAsia="Calibri" w:cstheme="minorHAnsi"/>
                <w:b/>
                <w:bCs/>
                <w:sz w:val="20"/>
                <w:szCs w:val="20"/>
                <w:lang w:val="es-AR"/>
              </w:rPr>
              <w:t>tons</w:t>
            </w:r>
            <w:proofErr w:type="spellEnd"/>
          </w:p>
        </w:tc>
      </w:tr>
    </w:tbl>
    <w:p w14:paraId="28606D44" w14:textId="084E2194" w:rsidR="00AC1A29" w:rsidRPr="00DB6A3C" w:rsidRDefault="00AC1A29" w:rsidP="00AC1A29">
      <w:pPr>
        <w:spacing w:after="160" w:line="259" w:lineRule="auto"/>
        <w:jc w:val="center"/>
        <w:rPr>
          <w:rFonts w:eastAsia="Calibri" w:cstheme="minorHAnsi"/>
          <w:b/>
          <w:bCs/>
          <w:sz w:val="20"/>
          <w:szCs w:val="20"/>
        </w:rPr>
      </w:pPr>
      <w:r w:rsidRPr="00DB6A3C">
        <w:rPr>
          <w:rFonts w:eastAsia="Calibri" w:cstheme="minorHAnsi"/>
          <w:b/>
          <w:bCs/>
          <w:sz w:val="20"/>
          <w:szCs w:val="20"/>
        </w:rPr>
        <w:t xml:space="preserve">Source: </w:t>
      </w:r>
      <w:hyperlink r:id="rId15" w:history="1">
        <w:r w:rsidR="007B538C" w:rsidRPr="0085522C">
          <w:rPr>
            <w:rStyle w:val="Hyperlink"/>
            <w:rFonts w:eastAsia="Calibri" w:cstheme="minorHAnsi"/>
            <w:b/>
            <w:bCs/>
            <w:sz w:val="20"/>
            <w:szCs w:val="20"/>
          </w:rPr>
          <w:t>https://www.petform.org.tr/</w:t>
        </w:r>
      </w:hyperlink>
    </w:p>
    <w:p w14:paraId="3E4A9FD4" w14:textId="77777777" w:rsidR="00006330" w:rsidRDefault="00006330" w:rsidP="00AC1A29">
      <w:pPr>
        <w:spacing w:after="160" w:line="259" w:lineRule="auto"/>
        <w:rPr>
          <w:rFonts w:eastAsia="Calibri" w:cstheme="minorHAnsi"/>
          <w:sz w:val="20"/>
          <w:szCs w:val="20"/>
        </w:rPr>
      </w:pPr>
    </w:p>
    <w:p w14:paraId="164C9276" w14:textId="5BA75A93"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 xml:space="preserve">The Domestic crude oil production Trend can be visualised in the next figure: </w:t>
      </w:r>
    </w:p>
    <w:p w14:paraId="0252F00D" w14:textId="77777777" w:rsidR="00AC1A29" w:rsidRPr="00DB6A3C" w:rsidRDefault="00AC1A29" w:rsidP="00AC1A29">
      <w:pPr>
        <w:spacing w:after="160" w:line="259" w:lineRule="auto"/>
        <w:jc w:val="center"/>
        <w:rPr>
          <w:rFonts w:eastAsia="Calibri" w:cstheme="minorHAnsi"/>
          <w:sz w:val="20"/>
          <w:szCs w:val="20"/>
        </w:rPr>
      </w:pPr>
      <w:r w:rsidRPr="00DB6A3C">
        <w:rPr>
          <w:rFonts w:eastAsia="Calibri" w:cstheme="minorHAnsi"/>
          <w:sz w:val="20"/>
          <w:szCs w:val="20"/>
        </w:rPr>
        <w:t>Figure 1. Domestic Crude Oil Production 1965 - 2016</w:t>
      </w:r>
    </w:p>
    <w:p w14:paraId="42CFDA05" w14:textId="77777777" w:rsidR="00AC1A29" w:rsidRPr="00DB6A3C" w:rsidRDefault="00AC1A29" w:rsidP="00AC1A29">
      <w:pPr>
        <w:spacing w:after="160" w:line="259" w:lineRule="auto"/>
        <w:jc w:val="center"/>
        <w:rPr>
          <w:rFonts w:eastAsia="Calibri" w:cstheme="minorHAnsi"/>
          <w:b/>
          <w:bCs/>
          <w:sz w:val="20"/>
          <w:szCs w:val="20"/>
        </w:rPr>
      </w:pPr>
      <w:r w:rsidRPr="00DB6A3C">
        <w:rPr>
          <w:rFonts w:eastAsia="Calibri" w:cstheme="minorHAnsi"/>
          <w:b/>
          <w:bCs/>
          <w:noProof/>
          <w:sz w:val="20"/>
          <w:szCs w:val="20"/>
          <w:lang w:eastAsia="en-GB"/>
        </w:rPr>
        <w:drawing>
          <wp:inline distT="0" distB="0" distL="0" distR="0" wp14:anchorId="66D944F3" wp14:editId="46F4F6D3">
            <wp:extent cx="4778446" cy="30607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79872" cy="3061613"/>
                    </a:xfrm>
                    <a:prstGeom prst="rect">
                      <a:avLst/>
                    </a:prstGeom>
                  </pic:spPr>
                </pic:pic>
              </a:graphicData>
            </a:graphic>
          </wp:inline>
        </w:drawing>
      </w:r>
    </w:p>
    <w:p w14:paraId="3AEBCD9B" w14:textId="77777777" w:rsidR="00AC1A29" w:rsidRPr="00DB6A3C" w:rsidRDefault="00AC1A29" w:rsidP="00AC1A29">
      <w:pPr>
        <w:spacing w:after="160" w:line="259" w:lineRule="auto"/>
        <w:jc w:val="center"/>
        <w:rPr>
          <w:rFonts w:eastAsia="Calibri" w:cstheme="minorHAnsi"/>
          <w:b/>
          <w:bCs/>
          <w:sz w:val="20"/>
          <w:szCs w:val="20"/>
        </w:rPr>
      </w:pPr>
      <w:bookmarkStart w:id="12" w:name="_Hlk67384667"/>
      <w:r w:rsidRPr="00DB6A3C">
        <w:rPr>
          <w:rFonts w:eastAsia="Calibri" w:cstheme="minorHAnsi"/>
          <w:b/>
          <w:bCs/>
          <w:sz w:val="20"/>
          <w:szCs w:val="20"/>
        </w:rPr>
        <w:t xml:space="preserve">Source: </w:t>
      </w:r>
      <w:hyperlink r:id="rId17" w:history="1">
        <w:r w:rsidRPr="00DB6A3C">
          <w:rPr>
            <w:rFonts w:eastAsia="Calibri" w:cstheme="minorHAnsi"/>
            <w:b/>
            <w:bCs/>
            <w:sz w:val="20"/>
            <w:szCs w:val="20"/>
            <w:u w:val="single"/>
          </w:rPr>
          <w:t>https://www.petform.org.tr/</w:t>
        </w:r>
      </w:hyperlink>
    </w:p>
    <w:bookmarkEnd w:id="12"/>
    <w:p w14:paraId="033B9159"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If we compare this with the increment of consumption, we can understand the decisions on import and to increment the production of renewable energy. </w:t>
      </w:r>
    </w:p>
    <w:p w14:paraId="1F43B53D" w14:textId="77777777" w:rsidR="00AC1A29" w:rsidRPr="00DB6A3C" w:rsidRDefault="00AC1A29" w:rsidP="00AC1A29">
      <w:pPr>
        <w:spacing w:after="160" w:line="259" w:lineRule="auto"/>
        <w:jc w:val="center"/>
        <w:rPr>
          <w:rFonts w:eastAsia="Calibri" w:cstheme="minorHAnsi"/>
          <w:b/>
          <w:bCs/>
          <w:sz w:val="20"/>
          <w:szCs w:val="20"/>
        </w:rPr>
      </w:pPr>
      <w:r w:rsidRPr="00DB6A3C">
        <w:rPr>
          <w:rFonts w:eastAsia="Calibri" w:cstheme="minorHAnsi"/>
          <w:b/>
          <w:bCs/>
          <w:sz w:val="20"/>
          <w:szCs w:val="20"/>
        </w:rPr>
        <w:t>Figure 2. Production consumption Rate (2004 – 2016)</w:t>
      </w:r>
    </w:p>
    <w:p w14:paraId="038C9798" w14:textId="77777777" w:rsidR="00AC1A29" w:rsidRPr="00DB6A3C" w:rsidRDefault="00AC1A29" w:rsidP="00AC1A29">
      <w:pPr>
        <w:spacing w:after="160" w:line="259" w:lineRule="auto"/>
        <w:jc w:val="both"/>
        <w:rPr>
          <w:rFonts w:eastAsia="Calibri" w:cstheme="minorHAnsi"/>
          <w:b/>
          <w:bCs/>
          <w:sz w:val="20"/>
          <w:szCs w:val="20"/>
        </w:rPr>
      </w:pPr>
      <w:r w:rsidRPr="00DB6A3C">
        <w:rPr>
          <w:rFonts w:eastAsia="Calibri" w:cstheme="minorHAnsi"/>
          <w:b/>
          <w:bCs/>
          <w:noProof/>
          <w:sz w:val="20"/>
          <w:szCs w:val="20"/>
          <w:lang w:eastAsia="en-GB"/>
        </w:rPr>
        <w:lastRenderedPageBreak/>
        <w:drawing>
          <wp:inline distT="0" distB="0" distL="0" distR="0" wp14:anchorId="2FFBE705" wp14:editId="6DDA791D">
            <wp:extent cx="5400040" cy="229362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0040" cy="2293620"/>
                    </a:xfrm>
                    <a:prstGeom prst="rect">
                      <a:avLst/>
                    </a:prstGeom>
                  </pic:spPr>
                </pic:pic>
              </a:graphicData>
            </a:graphic>
          </wp:inline>
        </w:drawing>
      </w:r>
    </w:p>
    <w:p w14:paraId="43A04FB3" w14:textId="77777777" w:rsidR="00AC1A29" w:rsidRPr="00DB6A3C" w:rsidRDefault="00AC1A29" w:rsidP="00AC1A29">
      <w:pPr>
        <w:spacing w:after="160" w:line="259" w:lineRule="auto"/>
        <w:jc w:val="center"/>
        <w:rPr>
          <w:rFonts w:eastAsia="Calibri" w:cstheme="minorHAnsi"/>
          <w:b/>
          <w:bCs/>
          <w:sz w:val="20"/>
          <w:szCs w:val="20"/>
        </w:rPr>
      </w:pPr>
      <w:r w:rsidRPr="00DB6A3C">
        <w:rPr>
          <w:rFonts w:eastAsia="Calibri" w:cstheme="minorHAnsi"/>
          <w:b/>
          <w:bCs/>
          <w:sz w:val="20"/>
          <w:szCs w:val="20"/>
        </w:rPr>
        <w:t xml:space="preserve">Source: </w:t>
      </w:r>
      <w:hyperlink r:id="rId19" w:history="1">
        <w:r w:rsidRPr="00DB6A3C">
          <w:rPr>
            <w:rFonts w:eastAsia="Calibri" w:cstheme="minorHAnsi"/>
            <w:b/>
            <w:bCs/>
            <w:sz w:val="20"/>
            <w:szCs w:val="20"/>
            <w:u w:val="single"/>
          </w:rPr>
          <w:t>https://www.petform.org.tr/</w:t>
        </w:r>
      </w:hyperlink>
    </w:p>
    <w:p w14:paraId="781E69AE" w14:textId="3ED92DE0"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According to diverse sources in 2018 there are 41 (19 foreign + 22 native) Investor Companies and 265 license owners. On Exploration - Production Sector of Contribution to the Turkish Economy (2001 - 2018), there is 9,5 </w:t>
      </w:r>
      <w:proofErr w:type="spellStart"/>
      <w:r w:rsidRPr="00DB6A3C">
        <w:rPr>
          <w:rFonts w:eastAsia="Calibri" w:cstheme="minorHAnsi"/>
          <w:sz w:val="20"/>
          <w:szCs w:val="20"/>
        </w:rPr>
        <w:t>milyar</w:t>
      </w:r>
      <w:proofErr w:type="spellEnd"/>
      <w:r w:rsidRPr="00DB6A3C">
        <w:rPr>
          <w:rFonts w:eastAsia="Calibri" w:cstheme="minorHAnsi"/>
          <w:sz w:val="20"/>
          <w:szCs w:val="20"/>
        </w:rPr>
        <w:t xml:space="preserve"> USD on investment, the Domestic Production Market Value was 8,3 billion TL and there are 10.000 people employed. </w:t>
      </w:r>
    </w:p>
    <w:p w14:paraId="41C92861" w14:textId="73C52221" w:rsidR="00AC1A29" w:rsidRPr="00DB6A3C" w:rsidRDefault="007745AE" w:rsidP="00AC1A29">
      <w:pPr>
        <w:spacing w:after="160" w:line="259" w:lineRule="auto"/>
        <w:jc w:val="both"/>
        <w:rPr>
          <w:rFonts w:eastAsia="Calibri" w:cstheme="minorHAnsi"/>
          <w:sz w:val="20"/>
          <w:szCs w:val="20"/>
        </w:rPr>
      </w:pPr>
      <w:r>
        <w:rPr>
          <w:rFonts w:eastAsia="Calibri" w:cstheme="minorHAnsi"/>
          <w:sz w:val="20"/>
          <w:szCs w:val="20"/>
        </w:rPr>
        <w:t>Türkiye</w:t>
      </w:r>
      <w:r w:rsidR="00AC1A29" w:rsidRPr="00DB6A3C">
        <w:rPr>
          <w:rFonts w:eastAsia="Calibri" w:cstheme="minorHAnsi"/>
          <w:sz w:val="20"/>
          <w:szCs w:val="20"/>
        </w:rPr>
        <w:t xml:space="preserve"> imports crude oil and petroleum products to these countries: </w:t>
      </w:r>
    </w:p>
    <w:p w14:paraId="5D1EE7EE" w14:textId="77777777" w:rsidR="00AC1A29" w:rsidRPr="00DB6A3C" w:rsidRDefault="00AC1A29" w:rsidP="00AC1A29">
      <w:pPr>
        <w:spacing w:after="160" w:line="259" w:lineRule="auto"/>
        <w:jc w:val="both"/>
        <w:rPr>
          <w:rFonts w:eastAsia="Calibri" w:cstheme="minorHAnsi"/>
          <w:b/>
          <w:bCs/>
          <w:sz w:val="20"/>
          <w:szCs w:val="20"/>
        </w:rPr>
      </w:pPr>
      <w:r w:rsidRPr="00DB6A3C">
        <w:rPr>
          <w:rFonts w:eastAsia="Calibri" w:cstheme="minorHAnsi"/>
          <w:b/>
          <w:bCs/>
          <w:sz w:val="20"/>
          <w:szCs w:val="20"/>
        </w:rPr>
        <w:tab/>
        <w:t xml:space="preserve">Figure 3: </w:t>
      </w:r>
    </w:p>
    <w:p w14:paraId="05B4755F" w14:textId="77777777" w:rsidR="00AC1A29" w:rsidRPr="00DB6A3C" w:rsidRDefault="00AC1A29" w:rsidP="00BD3BDE">
      <w:pPr>
        <w:spacing w:after="160" w:line="259" w:lineRule="auto"/>
        <w:jc w:val="center"/>
        <w:rPr>
          <w:rFonts w:eastAsia="Calibri" w:cstheme="minorHAnsi"/>
          <w:sz w:val="20"/>
          <w:szCs w:val="20"/>
        </w:rPr>
      </w:pPr>
      <w:r w:rsidRPr="00DB6A3C">
        <w:rPr>
          <w:rFonts w:eastAsia="Calibri" w:cstheme="minorHAnsi"/>
          <w:noProof/>
          <w:sz w:val="20"/>
          <w:szCs w:val="20"/>
          <w:lang w:eastAsia="en-GB"/>
        </w:rPr>
        <w:drawing>
          <wp:inline distT="0" distB="0" distL="0" distR="0" wp14:anchorId="7165469E" wp14:editId="33067DFE">
            <wp:extent cx="4508500" cy="2632255"/>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22143" cy="2640221"/>
                    </a:xfrm>
                    <a:prstGeom prst="rect">
                      <a:avLst/>
                    </a:prstGeom>
                    <a:noFill/>
                    <a:ln>
                      <a:noFill/>
                    </a:ln>
                  </pic:spPr>
                </pic:pic>
              </a:graphicData>
            </a:graphic>
          </wp:inline>
        </w:drawing>
      </w:r>
    </w:p>
    <w:p w14:paraId="7707842B" w14:textId="54A5C6DE" w:rsidR="003A7BFE" w:rsidRDefault="00AC1A29" w:rsidP="00AC1A29">
      <w:pPr>
        <w:spacing w:after="160" w:line="259" w:lineRule="auto"/>
        <w:jc w:val="center"/>
        <w:rPr>
          <w:rFonts w:eastAsia="Calibri" w:cstheme="minorHAnsi"/>
          <w:sz w:val="20"/>
          <w:szCs w:val="20"/>
        </w:rPr>
      </w:pPr>
      <w:r w:rsidRPr="00DB6A3C">
        <w:rPr>
          <w:rFonts w:eastAsia="Calibri" w:cstheme="minorHAnsi"/>
          <w:sz w:val="20"/>
          <w:szCs w:val="20"/>
        </w:rPr>
        <w:t>Source: Ministry of Energy and Natural Resources</w:t>
      </w:r>
    </w:p>
    <w:p w14:paraId="76CB0E6F" w14:textId="77777777" w:rsidR="003A7BFE" w:rsidRDefault="003A7BFE">
      <w:pPr>
        <w:rPr>
          <w:rFonts w:eastAsia="Calibri" w:cstheme="minorHAnsi"/>
          <w:sz w:val="20"/>
          <w:szCs w:val="20"/>
        </w:rPr>
      </w:pPr>
      <w:r>
        <w:rPr>
          <w:rFonts w:eastAsia="Calibri" w:cstheme="minorHAnsi"/>
          <w:sz w:val="20"/>
          <w:szCs w:val="20"/>
        </w:rPr>
        <w:br w:type="page"/>
      </w:r>
    </w:p>
    <w:p w14:paraId="4D43F0AD" w14:textId="77777777" w:rsidR="00AC1A29" w:rsidRPr="00DB6A3C" w:rsidRDefault="00AC1A29" w:rsidP="001B60EE">
      <w:pPr>
        <w:numPr>
          <w:ilvl w:val="0"/>
          <w:numId w:val="6"/>
        </w:numPr>
        <w:spacing w:after="160" w:line="259" w:lineRule="auto"/>
        <w:contextualSpacing/>
        <w:rPr>
          <w:rFonts w:eastAsia="Calibri" w:cstheme="minorHAnsi"/>
          <w:b/>
          <w:bCs/>
          <w:sz w:val="20"/>
          <w:szCs w:val="20"/>
          <w:lang w:val="es-AR"/>
        </w:rPr>
      </w:pPr>
      <w:r w:rsidRPr="00DB6A3C">
        <w:rPr>
          <w:rFonts w:eastAsia="Calibri" w:cstheme="minorHAnsi"/>
          <w:b/>
          <w:bCs/>
          <w:sz w:val="20"/>
          <w:szCs w:val="20"/>
          <w:lang w:val="es-AR"/>
        </w:rPr>
        <w:lastRenderedPageBreak/>
        <w:t>Natural Gas</w:t>
      </w:r>
    </w:p>
    <w:p w14:paraId="42750C44"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Natural gas, which is flammable, lighter than air, colourless and odourless, consists of light molecular hydrocarbons such as ethane (C2H6) and propane (C3H8) as well as methane (CH4), which constitutes its greatest density. In addition to light hydrocarbons, it also contains small amounts of heavy hydrocarbons, carbon dioxide, nitrogen, helium, and hydrogen sulphide. Natural gas can be found alone underground or can also be found with oil. Natural gas is used extensively in electricity production, in residences, industry and service sector.</w:t>
      </w:r>
    </w:p>
    <w:p w14:paraId="1F646A5E"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In the world, Russia, Iran, Qatar, Turkmenistan, and the USA have rich natural gas reserves. Russia, Iran, Qatar, China, and Canada followed the USA with the highest production in 2019. As of the end of 2019, the world natural gas reserve was realized as 198.8 trillion m3 and 4 trillion m3 of natural gas was produced from these reserves in the same year.</w:t>
      </w:r>
    </w:p>
    <w:p w14:paraId="6A514D92" w14:textId="659DE59E" w:rsidR="00AC1A29" w:rsidRPr="00DB6A3C" w:rsidRDefault="007745AE" w:rsidP="00AC1A29">
      <w:pPr>
        <w:spacing w:after="160" w:line="259" w:lineRule="auto"/>
        <w:jc w:val="both"/>
        <w:rPr>
          <w:rFonts w:eastAsia="Calibri" w:cstheme="minorHAnsi"/>
          <w:sz w:val="20"/>
          <w:szCs w:val="20"/>
        </w:rPr>
      </w:pPr>
      <w:r>
        <w:rPr>
          <w:rFonts w:eastAsia="Calibri" w:cstheme="minorHAnsi"/>
          <w:sz w:val="20"/>
          <w:szCs w:val="20"/>
        </w:rPr>
        <w:t>Türkiye</w:t>
      </w:r>
      <w:r w:rsidR="00AC1A29" w:rsidRPr="00DB6A3C">
        <w:rPr>
          <w:rFonts w:eastAsia="Calibri" w:cstheme="minorHAnsi"/>
          <w:sz w:val="20"/>
          <w:szCs w:val="20"/>
        </w:rPr>
        <w:t xml:space="preserve"> consumed about 45.3 billion m3 in 2019, a total of 483 million m3 of natural gas and production. The remaining producible reserve is approximately 3.36 billion m3. With the new fields discovered because of the drilling performed for natural gas in our country in 2018 and 2019, natural gas production has increased in the last two years, and production has increased by 20% in 2018 and 11% in 2019 compared to previous years.</w:t>
      </w:r>
    </w:p>
    <w:p w14:paraId="4C19C76F" w14:textId="77777777"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 In 2019, approximately 45.21 billion m3 of natural gas was imported. LNG imports accounted for 28% of the total natural gas imports in 2019. In the same year, only 762 million m3 natural gas was exported to Greece.</w:t>
      </w:r>
    </w:p>
    <w:p w14:paraId="1404CEA9" w14:textId="1E1A9809" w:rsidR="00AC1A29" w:rsidRPr="00DB6A3C" w:rsidRDefault="00AC1A29" w:rsidP="00AC1A29">
      <w:pPr>
        <w:spacing w:after="160" w:line="259" w:lineRule="auto"/>
        <w:jc w:val="center"/>
        <w:rPr>
          <w:rFonts w:eastAsia="Calibri" w:cstheme="minorHAnsi"/>
          <w:sz w:val="20"/>
          <w:szCs w:val="20"/>
        </w:rPr>
      </w:pPr>
      <w:r w:rsidRPr="00DB6A3C">
        <w:rPr>
          <w:rFonts w:eastAsia="Calibri" w:cstheme="minorHAnsi"/>
          <w:sz w:val="20"/>
          <w:szCs w:val="20"/>
        </w:rPr>
        <w:t xml:space="preserve">Figure 4: </w:t>
      </w:r>
      <w:r w:rsidR="007745AE">
        <w:rPr>
          <w:rFonts w:eastAsia="Calibri" w:cstheme="minorHAnsi"/>
          <w:sz w:val="20"/>
          <w:szCs w:val="20"/>
        </w:rPr>
        <w:t>Türkiye</w:t>
      </w:r>
      <w:r w:rsidRPr="00DB6A3C">
        <w:rPr>
          <w:rFonts w:eastAsia="Calibri" w:cstheme="minorHAnsi"/>
          <w:sz w:val="20"/>
          <w:szCs w:val="20"/>
        </w:rPr>
        <w:t xml:space="preserve"> Natural gas Import/Export (million m3</w:t>
      </w:r>
    </w:p>
    <w:p w14:paraId="1778DB00" w14:textId="77777777" w:rsidR="00AC1A29" w:rsidRPr="00DB6A3C" w:rsidRDefault="00AC1A29" w:rsidP="00AC1A29">
      <w:pPr>
        <w:spacing w:after="160" w:line="259" w:lineRule="auto"/>
        <w:jc w:val="center"/>
        <w:rPr>
          <w:rFonts w:eastAsia="Calibri" w:cstheme="minorHAnsi"/>
          <w:sz w:val="20"/>
          <w:szCs w:val="20"/>
          <w:lang w:val="es-AR"/>
        </w:rPr>
      </w:pPr>
      <w:r w:rsidRPr="00DB6A3C">
        <w:rPr>
          <w:rFonts w:eastAsia="Calibri" w:cstheme="minorHAnsi"/>
          <w:noProof/>
          <w:sz w:val="20"/>
          <w:szCs w:val="20"/>
          <w:lang w:eastAsia="en-GB"/>
        </w:rPr>
        <w:drawing>
          <wp:inline distT="0" distB="0" distL="0" distR="0" wp14:anchorId="6DA4D3BA" wp14:editId="675B84E6">
            <wp:extent cx="4180840" cy="271086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196312" cy="2720892"/>
                    </a:xfrm>
                    <a:prstGeom prst="rect">
                      <a:avLst/>
                    </a:prstGeom>
                    <a:noFill/>
                    <a:ln>
                      <a:noFill/>
                    </a:ln>
                  </pic:spPr>
                </pic:pic>
              </a:graphicData>
            </a:graphic>
          </wp:inline>
        </w:drawing>
      </w:r>
    </w:p>
    <w:p w14:paraId="12764BEB"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The natural gas market in the world acts in parallel with the oil market. Natural gas prices were also quite low in 2020, when oil prices saw their lowest levels.</w:t>
      </w:r>
    </w:p>
    <w:p w14:paraId="5F4B43B2"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Within the scope of the activities to meet the increasing need for oil and natural gas from domestic resources as much as possible, the studies carried out in our country's poorly sought-after basins and especially in the marine areas in the Black Sea and the Mediterranean have accelerated. In recent years, hydrocarbon exploration has gained momentum with seismic data collection and drilling activities in our seas, as developments in marine drilling technology have revealed exploration and production opportunities in areas with high water depths (1.000-2.500 m). In this context, 2 seismic exploration and 3 drilling vessels were provided through both purchasing and domestic manufacturing.</w:t>
      </w:r>
    </w:p>
    <w:p w14:paraId="6570EEE2"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To ensure the diversity of resources in the field of natural gas supply security of our country and to become a natural gas trade centre in the medium and long term, our works continue in line with national energy policies.</w:t>
      </w:r>
    </w:p>
    <w:p w14:paraId="38895188" w14:textId="33E590E3" w:rsidR="00AC1A29" w:rsidRPr="00DB6A3C" w:rsidRDefault="00AC1A29" w:rsidP="00AC1A29">
      <w:pPr>
        <w:spacing w:after="160" w:line="259" w:lineRule="auto"/>
        <w:jc w:val="center"/>
        <w:rPr>
          <w:rFonts w:eastAsia="Calibri" w:cstheme="minorHAnsi"/>
          <w:b/>
          <w:bCs/>
          <w:sz w:val="20"/>
          <w:szCs w:val="20"/>
        </w:rPr>
      </w:pPr>
      <w:r w:rsidRPr="00DB6A3C">
        <w:rPr>
          <w:rFonts w:eastAsia="Calibri" w:cstheme="minorHAnsi"/>
          <w:b/>
          <w:bCs/>
          <w:sz w:val="20"/>
          <w:szCs w:val="20"/>
        </w:rPr>
        <w:t xml:space="preserve">Figure 5:  Crude Oil and Petroleum Products Imports by Country for </w:t>
      </w:r>
      <w:r w:rsidR="007745AE">
        <w:rPr>
          <w:rFonts w:eastAsia="Calibri" w:cstheme="minorHAnsi"/>
          <w:b/>
          <w:bCs/>
          <w:sz w:val="20"/>
          <w:szCs w:val="20"/>
        </w:rPr>
        <w:t>Türkiye</w:t>
      </w:r>
    </w:p>
    <w:p w14:paraId="0709AACC" w14:textId="77777777" w:rsidR="00AC1A29" w:rsidRPr="00DB6A3C" w:rsidRDefault="00AC1A29" w:rsidP="00AC1A29">
      <w:pPr>
        <w:spacing w:after="160" w:line="259" w:lineRule="auto"/>
        <w:jc w:val="center"/>
        <w:rPr>
          <w:rFonts w:eastAsia="Calibri" w:cstheme="minorHAnsi"/>
          <w:sz w:val="20"/>
          <w:szCs w:val="20"/>
        </w:rPr>
      </w:pPr>
      <w:r w:rsidRPr="00DB6A3C">
        <w:rPr>
          <w:rFonts w:eastAsia="Calibri" w:cstheme="minorHAnsi"/>
          <w:noProof/>
          <w:sz w:val="20"/>
          <w:szCs w:val="20"/>
          <w:lang w:eastAsia="en-GB"/>
        </w:rPr>
        <w:lastRenderedPageBreak/>
        <w:drawing>
          <wp:inline distT="0" distB="0" distL="0" distR="0" wp14:anchorId="3D064EFC" wp14:editId="3610F4CF">
            <wp:extent cx="4286008" cy="2502356"/>
            <wp:effectExtent l="0" t="0" r="63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21490" cy="2523072"/>
                    </a:xfrm>
                    <a:prstGeom prst="rect">
                      <a:avLst/>
                    </a:prstGeom>
                    <a:noFill/>
                    <a:ln>
                      <a:noFill/>
                    </a:ln>
                  </pic:spPr>
                </pic:pic>
              </a:graphicData>
            </a:graphic>
          </wp:inline>
        </w:drawing>
      </w:r>
    </w:p>
    <w:p w14:paraId="14DE63BA" w14:textId="77777777" w:rsidR="00AC1A29" w:rsidRPr="00DB6A3C" w:rsidRDefault="00AC1A29" w:rsidP="001B60EE">
      <w:pPr>
        <w:numPr>
          <w:ilvl w:val="0"/>
          <w:numId w:val="6"/>
        </w:numPr>
        <w:spacing w:after="160" w:line="259" w:lineRule="auto"/>
        <w:contextualSpacing/>
        <w:rPr>
          <w:rFonts w:eastAsia="Calibri" w:cstheme="minorHAnsi"/>
          <w:b/>
          <w:bCs/>
          <w:sz w:val="20"/>
          <w:szCs w:val="20"/>
          <w:lang w:val="es-AR"/>
        </w:rPr>
      </w:pPr>
      <w:proofErr w:type="spellStart"/>
      <w:r w:rsidRPr="00DB6A3C">
        <w:rPr>
          <w:rFonts w:eastAsia="Calibri" w:cstheme="minorHAnsi"/>
          <w:b/>
          <w:bCs/>
          <w:sz w:val="20"/>
          <w:szCs w:val="20"/>
          <w:lang w:val="es-AR"/>
        </w:rPr>
        <w:t>Hydraulics</w:t>
      </w:r>
      <w:proofErr w:type="spellEnd"/>
      <w:r w:rsidRPr="00DB6A3C">
        <w:rPr>
          <w:rFonts w:eastAsia="Calibri" w:cstheme="minorHAnsi"/>
          <w:b/>
          <w:bCs/>
          <w:sz w:val="20"/>
          <w:szCs w:val="20"/>
          <w:vertAlign w:val="superscript"/>
          <w:lang w:val="es-AR"/>
        </w:rPr>
        <w:footnoteReference w:id="9"/>
      </w:r>
    </w:p>
    <w:p w14:paraId="32A49DAE"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Among the various sources of energy, hydroelectricity power plants are preferred due to being environmentally friendly and carrying low potential risk. Hydroelectricity plants are non-dependent domestic resources working in harmony with the environment, being clean, renewable, and free of fuel expenses, having long lifespan and exceptionally low operating cost.</w:t>
      </w:r>
    </w:p>
    <w:p w14:paraId="7041DE25" w14:textId="163A6AB5"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The theoretical hydroelectricity potential of </w:t>
      </w:r>
      <w:r w:rsidR="007745AE">
        <w:rPr>
          <w:rFonts w:eastAsia="Calibri" w:cstheme="minorHAnsi"/>
          <w:sz w:val="20"/>
          <w:szCs w:val="20"/>
        </w:rPr>
        <w:t>Türkiye</w:t>
      </w:r>
      <w:r w:rsidRPr="00DB6A3C">
        <w:rPr>
          <w:rFonts w:eastAsia="Calibri" w:cstheme="minorHAnsi"/>
          <w:sz w:val="20"/>
          <w:szCs w:val="20"/>
        </w:rPr>
        <w:t xml:space="preserve"> is 1% of theoretical potential of the world, while its economic potential is 16% of the economic potential of Europe. In 2018, electrical energy generated by hydroelectricity plants was 59.9 billion kWh. By the end of August 2019, electrical energy generated by hydroelectricity plants has reached 68.4 billion kWh.</w:t>
      </w:r>
    </w:p>
    <w:p w14:paraId="29F42BA7" w14:textId="0C8E43A5"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By the end of the 2018, 653 operational hydroelectricity power plants having a total of 28,291 MW have 31.9% share in </w:t>
      </w:r>
      <w:proofErr w:type="spellStart"/>
      <w:r w:rsidR="007745AE">
        <w:rPr>
          <w:rFonts w:eastAsia="Calibri" w:cstheme="minorHAnsi"/>
          <w:sz w:val="20"/>
          <w:szCs w:val="20"/>
        </w:rPr>
        <w:t>Türkiye</w:t>
      </w:r>
      <w:r w:rsidRPr="00DB6A3C">
        <w:rPr>
          <w:rFonts w:eastAsia="Calibri" w:cstheme="minorHAnsi"/>
          <w:sz w:val="20"/>
          <w:szCs w:val="20"/>
        </w:rPr>
        <w:t>’s</w:t>
      </w:r>
      <w:proofErr w:type="spellEnd"/>
      <w:r w:rsidRPr="00DB6A3C">
        <w:rPr>
          <w:rFonts w:eastAsia="Calibri" w:cstheme="minorHAnsi"/>
          <w:sz w:val="20"/>
          <w:szCs w:val="20"/>
        </w:rPr>
        <w:t xml:space="preserve"> total installed capacity. By the end of August 2019, hydroelectricity installed capacity has reached 28,437 MW. </w:t>
      </w:r>
    </w:p>
    <w:p w14:paraId="173B6309" w14:textId="77777777" w:rsidR="00AC1A29" w:rsidRPr="00DB6A3C" w:rsidRDefault="00AC1A29" w:rsidP="001B60EE">
      <w:pPr>
        <w:numPr>
          <w:ilvl w:val="0"/>
          <w:numId w:val="6"/>
        </w:numPr>
        <w:spacing w:after="160" w:line="259" w:lineRule="auto"/>
        <w:contextualSpacing/>
        <w:rPr>
          <w:rFonts w:eastAsia="Calibri" w:cstheme="minorHAnsi"/>
          <w:b/>
          <w:bCs/>
          <w:sz w:val="20"/>
          <w:szCs w:val="20"/>
          <w:lang w:val="es-AR"/>
        </w:rPr>
      </w:pPr>
      <w:proofErr w:type="spellStart"/>
      <w:r w:rsidRPr="00DB6A3C">
        <w:rPr>
          <w:rFonts w:eastAsia="Calibri" w:cstheme="minorHAnsi"/>
          <w:b/>
          <w:bCs/>
          <w:sz w:val="20"/>
          <w:szCs w:val="20"/>
          <w:lang w:val="es-AR"/>
        </w:rPr>
        <w:t>Wind</w:t>
      </w:r>
      <w:proofErr w:type="spellEnd"/>
    </w:p>
    <w:p w14:paraId="5C53210A"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Wind comes about from the varied temperatures created by solar radiation on the surface of the earth. These different temperatures cause humidity and pressure levels to vary as well, and the difference in the pressure levels causes the air to move. Approximately 2% of the solar energy which reaches the earth is converted into wind energy.</w:t>
      </w:r>
    </w:p>
    <w:p w14:paraId="7C27757D"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The characteristic of the wind differs (in respect of time and region), based on local geographic differences and the non-homogenous temperatures of the surface of the earth. Wind is stated as two separate parameters – speed and direction. Wind turbines</w:t>
      </w:r>
      <w:r w:rsidRPr="00DB6A3C">
        <w:rPr>
          <w:rFonts w:eastAsia="Calibri" w:cstheme="minorHAnsi"/>
          <w:sz w:val="20"/>
          <w:szCs w:val="20"/>
          <w:vertAlign w:val="superscript"/>
        </w:rPr>
        <w:footnoteReference w:id="10"/>
      </w:r>
      <w:r w:rsidRPr="00DB6A3C">
        <w:rPr>
          <w:rFonts w:eastAsia="Calibri" w:cstheme="minorHAnsi"/>
          <w:sz w:val="20"/>
          <w:szCs w:val="20"/>
        </w:rPr>
        <w:t xml:space="preserve"> are the principal structural elements of wind energy plants and are </w:t>
      </w:r>
      <w:r w:rsidRPr="00DB6A3C">
        <w:rPr>
          <w:rFonts w:eastAsia="Calibri" w:cstheme="minorHAnsi"/>
          <w:sz w:val="20"/>
          <w:szCs w:val="20"/>
        </w:rPr>
        <w:lastRenderedPageBreak/>
        <w:t>machines which convert the kinetic energy of the moving air, first to mechanic energy, and then to electricity energy.</w:t>
      </w:r>
    </w:p>
    <w:p w14:paraId="10D33C17" w14:textId="36202667"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 xml:space="preserve">It has been accepted that wind plants with a capacity of 5 MW can be established in </w:t>
      </w:r>
      <w:r w:rsidR="007745AE">
        <w:rPr>
          <w:rFonts w:eastAsia="Calibri" w:cstheme="minorHAnsi"/>
          <w:sz w:val="20"/>
          <w:szCs w:val="20"/>
        </w:rPr>
        <w:t>Türkiye</w:t>
      </w:r>
      <w:r w:rsidRPr="00DB6A3C">
        <w:rPr>
          <w:rFonts w:eastAsia="Calibri" w:cstheme="minorHAnsi"/>
          <w:sz w:val="20"/>
          <w:szCs w:val="20"/>
        </w:rPr>
        <w:t xml:space="preserve"> at heights of 50 meters above ground level, and in areas with a wind speed exceeding 7.5 m/s. In the light of this acceptance, a Potential Wind Energy Map (PWEM) has been prepared, where the source wind details obtained using a mid-scale weather forecast model and micro-scale wind flow model are given. The wind energy potential of </w:t>
      </w:r>
      <w:r w:rsidR="007745AE">
        <w:rPr>
          <w:rFonts w:eastAsia="Calibri" w:cstheme="minorHAnsi"/>
          <w:sz w:val="20"/>
          <w:szCs w:val="20"/>
        </w:rPr>
        <w:t>Türkiye</w:t>
      </w:r>
      <w:r w:rsidRPr="00DB6A3C">
        <w:rPr>
          <w:rFonts w:eastAsia="Calibri" w:cstheme="minorHAnsi"/>
          <w:sz w:val="20"/>
          <w:szCs w:val="20"/>
        </w:rPr>
        <w:t xml:space="preserve"> has been estimated as 48,000 MW. The total area which is equivalent to this potential is just 1.30% of the total surface area of </w:t>
      </w:r>
      <w:r w:rsidR="007745AE">
        <w:rPr>
          <w:rFonts w:eastAsia="Calibri" w:cstheme="minorHAnsi"/>
          <w:sz w:val="20"/>
          <w:szCs w:val="20"/>
        </w:rPr>
        <w:t>Türkiye</w:t>
      </w:r>
      <w:r w:rsidRPr="00DB6A3C">
        <w:rPr>
          <w:rFonts w:eastAsia="Calibri" w:cstheme="minorHAnsi"/>
          <w:sz w:val="20"/>
          <w:szCs w:val="20"/>
        </w:rPr>
        <w:t>.</w:t>
      </w:r>
    </w:p>
    <w:p w14:paraId="12B5059E" w14:textId="77777777" w:rsidR="00AC1A29" w:rsidRPr="00DB6A3C" w:rsidRDefault="00AC1A29" w:rsidP="001B60EE">
      <w:pPr>
        <w:numPr>
          <w:ilvl w:val="0"/>
          <w:numId w:val="6"/>
        </w:numPr>
        <w:spacing w:after="160" w:line="259" w:lineRule="auto"/>
        <w:contextualSpacing/>
        <w:rPr>
          <w:rFonts w:eastAsia="Calibri" w:cstheme="minorHAnsi"/>
          <w:b/>
          <w:bCs/>
          <w:sz w:val="20"/>
          <w:szCs w:val="20"/>
          <w:lang w:val="es-AR"/>
        </w:rPr>
      </w:pPr>
      <w:r w:rsidRPr="00DB6A3C">
        <w:rPr>
          <w:rFonts w:eastAsia="Calibri" w:cstheme="minorHAnsi"/>
          <w:b/>
          <w:bCs/>
          <w:sz w:val="20"/>
          <w:szCs w:val="20"/>
          <w:lang w:val="es-AR"/>
        </w:rPr>
        <w:t>Solar</w:t>
      </w:r>
    </w:p>
    <w:p w14:paraId="45A527E9" w14:textId="3A45EA41"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Solar energy is a renewable energy source which has features such as not to pollute the environment and create harmful waste as well as ease of installation and use. Solar energy uses include direct or indirect electricity generation, hot water generation, space heating and cooling, process heat for industrial enterprises and greenhouse heating. An exceedingly small amount from solar energy it is produced in </w:t>
      </w:r>
      <w:r w:rsidR="007745AE">
        <w:rPr>
          <w:rFonts w:eastAsia="Calibri" w:cstheme="minorHAnsi"/>
          <w:sz w:val="20"/>
          <w:szCs w:val="20"/>
        </w:rPr>
        <w:t>Türkiye</w:t>
      </w:r>
      <w:r w:rsidRPr="00DB6A3C">
        <w:rPr>
          <w:rFonts w:eastAsia="Calibri" w:cstheme="minorHAnsi"/>
          <w:sz w:val="20"/>
          <w:szCs w:val="20"/>
        </w:rPr>
        <w:t>, but it is utilized in the production of hot water.  Studies on the utilization of solar energy gained momentum especially after the 1970s, solar energy systems showed a technological progress and a decrease in cost and established itself as an environmentally clean energy source.</w:t>
      </w:r>
    </w:p>
    <w:p w14:paraId="6BF8E13F" w14:textId="702035A1" w:rsidR="00AC1A29" w:rsidRPr="00DB6A3C" w:rsidRDefault="007745AE" w:rsidP="00AC1A29">
      <w:pPr>
        <w:spacing w:after="160" w:line="259" w:lineRule="auto"/>
        <w:jc w:val="both"/>
        <w:rPr>
          <w:rFonts w:eastAsia="Calibri" w:cstheme="minorHAnsi"/>
          <w:sz w:val="20"/>
          <w:szCs w:val="20"/>
        </w:rPr>
      </w:pPr>
      <w:r>
        <w:rPr>
          <w:rFonts w:eastAsia="Calibri" w:cstheme="minorHAnsi"/>
          <w:sz w:val="20"/>
          <w:szCs w:val="20"/>
        </w:rPr>
        <w:t>Türkiye</w:t>
      </w:r>
      <w:r w:rsidR="00AC1A29" w:rsidRPr="00DB6A3C">
        <w:rPr>
          <w:rFonts w:eastAsia="Calibri" w:cstheme="minorHAnsi"/>
          <w:sz w:val="20"/>
          <w:szCs w:val="20"/>
        </w:rPr>
        <w:t xml:space="preserve"> has high solar energy potential due to its geographical location</w:t>
      </w:r>
      <w:r w:rsidR="00AC1A29" w:rsidRPr="00DB6A3C">
        <w:rPr>
          <w:rFonts w:eastAsia="Calibri" w:cstheme="minorHAnsi"/>
          <w:b/>
          <w:bCs/>
          <w:sz w:val="20"/>
          <w:szCs w:val="20"/>
        </w:rPr>
        <w:t xml:space="preserve">. </w:t>
      </w:r>
      <w:r w:rsidR="00AC1A29" w:rsidRPr="00DB6A3C">
        <w:rPr>
          <w:rFonts w:eastAsia="Calibri" w:cstheme="minorHAnsi"/>
          <w:sz w:val="20"/>
          <w:szCs w:val="20"/>
        </w:rPr>
        <w:t xml:space="preserve">The energy potential that can be produced from the sun is approximately 380 billion kWh. </w:t>
      </w:r>
      <w:proofErr w:type="spellStart"/>
      <w:r>
        <w:rPr>
          <w:rFonts w:eastAsia="Calibri" w:cstheme="minorHAnsi"/>
          <w:sz w:val="20"/>
          <w:szCs w:val="20"/>
        </w:rPr>
        <w:t>Türkiye</w:t>
      </w:r>
      <w:r w:rsidR="00AC1A29" w:rsidRPr="00DB6A3C">
        <w:rPr>
          <w:rFonts w:eastAsia="Calibri" w:cstheme="minorHAnsi"/>
          <w:sz w:val="20"/>
          <w:szCs w:val="20"/>
        </w:rPr>
        <w:t>'s</w:t>
      </w:r>
      <w:proofErr w:type="spellEnd"/>
      <w:r w:rsidR="00AC1A29" w:rsidRPr="00DB6A3C">
        <w:rPr>
          <w:rFonts w:eastAsia="Calibri" w:cstheme="minorHAnsi"/>
          <w:sz w:val="20"/>
          <w:szCs w:val="20"/>
        </w:rPr>
        <w:t xml:space="preserve"> gross solar energy technical potential 87.5 Million Tons of Oil Equivalent (TOE) is the size. 26.5 of this value is suitable for thermal use and 8.75 is suitable for generating electricity.</w:t>
      </w:r>
    </w:p>
    <w:p w14:paraId="45E6124A" w14:textId="5305B51F"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 According to the Solar Energy Potential Map (SEM) of </w:t>
      </w:r>
      <w:r w:rsidR="007745AE">
        <w:rPr>
          <w:rFonts w:eastAsia="Calibri" w:cstheme="minorHAnsi"/>
          <w:sz w:val="20"/>
          <w:szCs w:val="20"/>
        </w:rPr>
        <w:t>Türkiye</w:t>
      </w:r>
      <w:r w:rsidRPr="00DB6A3C">
        <w:rPr>
          <w:rFonts w:eastAsia="Calibri" w:cstheme="minorHAnsi"/>
          <w:sz w:val="20"/>
          <w:szCs w:val="20"/>
        </w:rPr>
        <w:t xml:space="preserve"> prepared by Ministry of Energy and Natural Resources, </w:t>
      </w:r>
    </w:p>
    <w:p w14:paraId="26588A02" w14:textId="77777777" w:rsidR="00AC1A29" w:rsidRPr="00DB6A3C" w:rsidRDefault="00AC1A29" w:rsidP="00356B55">
      <w:pPr>
        <w:numPr>
          <w:ilvl w:val="0"/>
          <w:numId w:val="28"/>
        </w:numPr>
        <w:spacing w:after="160" w:line="259" w:lineRule="auto"/>
        <w:contextualSpacing/>
        <w:rPr>
          <w:rFonts w:eastAsia="Calibri" w:cstheme="minorHAnsi"/>
          <w:sz w:val="20"/>
          <w:szCs w:val="20"/>
        </w:rPr>
      </w:pPr>
      <w:r w:rsidRPr="00DB6A3C">
        <w:rPr>
          <w:rFonts w:eastAsia="Calibri" w:cstheme="minorHAnsi"/>
          <w:sz w:val="20"/>
          <w:szCs w:val="20"/>
        </w:rPr>
        <w:t>Average annual sunshine duration = 2766.5 hours / year</w:t>
      </w:r>
    </w:p>
    <w:p w14:paraId="2DB3427F" w14:textId="77777777" w:rsidR="00AC1A29" w:rsidRPr="00DB6A3C" w:rsidRDefault="00AC1A29" w:rsidP="00356B55">
      <w:pPr>
        <w:numPr>
          <w:ilvl w:val="0"/>
          <w:numId w:val="28"/>
        </w:numPr>
        <w:spacing w:after="160" w:line="259" w:lineRule="auto"/>
        <w:contextualSpacing/>
        <w:rPr>
          <w:rFonts w:eastAsia="Calibri" w:cstheme="minorHAnsi"/>
          <w:sz w:val="20"/>
          <w:szCs w:val="20"/>
        </w:rPr>
      </w:pPr>
      <w:r w:rsidRPr="00DB6A3C">
        <w:rPr>
          <w:rFonts w:eastAsia="Calibri" w:cstheme="minorHAnsi"/>
          <w:sz w:val="20"/>
          <w:szCs w:val="20"/>
        </w:rPr>
        <w:t xml:space="preserve">Average daily total sunshine time = 7.58 hours / day </w:t>
      </w:r>
    </w:p>
    <w:p w14:paraId="510ADED3" w14:textId="77777777" w:rsidR="00AC1A29" w:rsidRPr="00DB6A3C" w:rsidRDefault="00AC1A29" w:rsidP="00356B55">
      <w:pPr>
        <w:numPr>
          <w:ilvl w:val="0"/>
          <w:numId w:val="28"/>
        </w:numPr>
        <w:spacing w:after="160" w:line="259" w:lineRule="auto"/>
        <w:contextualSpacing/>
        <w:rPr>
          <w:rFonts w:eastAsia="Calibri" w:cstheme="minorHAnsi"/>
          <w:sz w:val="20"/>
          <w:szCs w:val="20"/>
        </w:rPr>
      </w:pPr>
      <w:r w:rsidRPr="00DB6A3C">
        <w:rPr>
          <w:rFonts w:eastAsia="Calibri" w:cstheme="minorHAnsi"/>
          <w:sz w:val="20"/>
          <w:szCs w:val="20"/>
        </w:rPr>
        <w:t xml:space="preserve">Average annual radiation intensity = 1527.1 kwh / m2-year </w:t>
      </w:r>
    </w:p>
    <w:p w14:paraId="29131294" w14:textId="6AF85878" w:rsidR="00AC1A29" w:rsidRDefault="00AC1A29" w:rsidP="00356B55">
      <w:pPr>
        <w:numPr>
          <w:ilvl w:val="0"/>
          <w:numId w:val="28"/>
        </w:numPr>
        <w:spacing w:after="160" w:line="259" w:lineRule="auto"/>
        <w:contextualSpacing/>
        <w:rPr>
          <w:rFonts w:eastAsia="Calibri" w:cstheme="minorHAnsi"/>
          <w:sz w:val="20"/>
          <w:szCs w:val="20"/>
        </w:rPr>
      </w:pPr>
      <w:r w:rsidRPr="00DB6A3C">
        <w:rPr>
          <w:rFonts w:eastAsia="Calibri" w:cstheme="minorHAnsi"/>
          <w:sz w:val="20"/>
          <w:szCs w:val="20"/>
        </w:rPr>
        <w:t>Average daily radiation intensity = 4.18 kwh / m2-day</w:t>
      </w:r>
    </w:p>
    <w:p w14:paraId="5466F392" w14:textId="77777777" w:rsidR="00864E79" w:rsidRPr="00DB6A3C" w:rsidRDefault="00864E79" w:rsidP="00864E79">
      <w:pPr>
        <w:spacing w:after="160" w:line="259" w:lineRule="auto"/>
        <w:ind w:left="720"/>
        <w:contextualSpacing/>
        <w:rPr>
          <w:rFonts w:eastAsia="Calibri" w:cstheme="minorHAnsi"/>
          <w:sz w:val="20"/>
          <w:szCs w:val="20"/>
        </w:rPr>
      </w:pPr>
    </w:p>
    <w:p w14:paraId="5BBC8E02" w14:textId="794B23A9"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 xml:space="preserve">The number of days that the sun can be used at efficient rates is as high as 110 days a year. During the 10 months of the year, it can be technically and economically exploited at 63% of the country's surface area and 17% throughout the year. Solar energy potential of </w:t>
      </w:r>
      <w:r w:rsidR="007745AE">
        <w:rPr>
          <w:rFonts w:eastAsia="Calibri" w:cstheme="minorHAnsi"/>
          <w:sz w:val="20"/>
          <w:szCs w:val="20"/>
        </w:rPr>
        <w:t>Türkiye</w:t>
      </w:r>
      <w:r w:rsidRPr="00DB6A3C">
        <w:rPr>
          <w:rFonts w:eastAsia="Calibri" w:cstheme="minorHAnsi"/>
          <w:sz w:val="20"/>
          <w:szCs w:val="20"/>
        </w:rPr>
        <w:t xml:space="preserve"> and sunshine duration values by months is given in</w:t>
      </w:r>
      <w:r w:rsidRPr="00DB6A3C">
        <w:rPr>
          <w:rFonts w:eastAsia="Calibri" w:cstheme="minorHAnsi"/>
          <w:b/>
          <w:bCs/>
          <w:sz w:val="20"/>
          <w:szCs w:val="20"/>
        </w:rPr>
        <w:t> Table 2.</w:t>
      </w:r>
    </w:p>
    <w:p w14:paraId="2F6361ED" w14:textId="77777777" w:rsidR="003A7BFE" w:rsidRDefault="003A7BFE">
      <w:pPr>
        <w:rPr>
          <w:rFonts w:eastAsia="Calibri" w:cstheme="minorHAnsi"/>
          <w:sz w:val="20"/>
          <w:szCs w:val="20"/>
        </w:rPr>
      </w:pPr>
      <w:r>
        <w:rPr>
          <w:rFonts w:eastAsia="Calibri" w:cstheme="minorHAnsi"/>
          <w:sz w:val="20"/>
          <w:szCs w:val="20"/>
        </w:rPr>
        <w:br w:type="page"/>
      </w:r>
    </w:p>
    <w:p w14:paraId="10D373D3" w14:textId="76D06870" w:rsidR="00AC1A29" w:rsidRPr="00DB6A3C" w:rsidRDefault="00AC1A29" w:rsidP="003A7BFE">
      <w:pPr>
        <w:spacing w:after="160" w:line="259" w:lineRule="auto"/>
        <w:rPr>
          <w:rFonts w:eastAsia="Calibri" w:cstheme="minorHAnsi"/>
          <w:sz w:val="20"/>
          <w:szCs w:val="20"/>
        </w:rPr>
      </w:pPr>
      <w:r w:rsidRPr="00DB6A3C">
        <w:rPr>
          <w:rFonts w:eastAsia="Calibri" w:cstheme="minorHAnsi"/>
          <w:sz w:val="20"/>
          <w:szCs w:val="20"/>
        </w:rPr>
        <w:lastRenderedPageBreak/>
        <w:t> </w:t>
      </w:r>
      <w:r w:rsidRPr="00DB6A3C">
        <w:rPr>
          <w:rFonts w:eastAsia="Calibri" w:cstheme="minorHAnsi"/>
          <w:b/>
          <w:bCs/>
          <w:sz w:val="20"/>
          <w:szCs w:val="20"/>
        </w:rPr>
        <w:t xml:space="preserve">Table No 2: </w:t>
      </w:r>
      <w:proofErr w:type="spellStart"/>
      <w:r w:rsidR="007745AE">
        <w:rPr>
          <w:rFonts w:eastAsia="Calibri" w:cstheme="minorHAnsi"/>
          <w:b/>
          <w:bCs/>
          <w:sz w:val="20"/>
          <w:szCs w:val="20"/>
        </w:rPr>
        <w:t>Türkiye</w:t>
      </w:r>
      <w:r w:rsidRPr="00DB6A3C">
        <w:rPr>
          <w:rFonts w:eastAsia="Calibri" w:cstheme="minorHAnsi"/>
          <w:b/>
          <w:bCs/>
          <w:sz w:val="20"/>
          <w:szCs w:val="20"/>
        </w:rPr>
        <w:t>'s</w:t>
      </w:r>
      <w:proofErr w:type="spellEnd"/>
      <w:r w:rsidRPr="00DB6A3C">
        <w:rPr>
          <w:rFonts w:eastAsia="Calibri" w:cstheme="minorHAnsi"/>
          <w:b/>
          <w:bCs/>
          <w:sz w:val="20"/>
          <w:szCs w:val="20"/>
        </w:rPr>
        <w:t xml:space="preserve"> Monthly Average Solar Potential</w:t>
      </w:r>
    </w:p>
    <w:tbl>
      <w:tblPr>
        <w:tblW w:w="0" w:type="auto"/>
        <w:jc w:val="center"/>
        <w:tblBorders>
          <w:top w:val="single" w:sz="18" w:space="0" w:color="000000" w:themeColor="text1"/>
          <w:left w:val="single" w:sz="18" w:space="0" w:color="000000" w:themeColor="text1"/>
          <w:bottom w:val="single" w:sz="18" w:space="0" w:color="000000" w:themeColor="text1"/>
          <w:right w:val="single" w:sz="18" w:space="0" w:color="000000" w:themeColor="text1"/>
        </w:tblBorders>
        <w:tblCellMar>
          <w:top w:w="15" w:type="dxa"/>
          <w:left w:w="15" w:type="dxa"/>
          <w:bottom w:w="15" w:type="dxa"/>
          <w:right w:w="15" w:type="dxa"/>
        </w:tblCellMar>
        <w:tblLook w:val="04A0" w:firstRow="1" w:lastRow="0" w:firstColumn="1" w:lastColumn="0" w:noHBand="0" w:noVBand="1"/>
      </w:tblPr>
      <w:tblGrid>
        <w:gridCol w:w="1005"/>
        <w:gridCol w:w="1590"/>
        <w:gridCol w:w="1450"/>
        <w:gridCol w:w="1361"/>
      </w:tblGrid>
      <w:tr w:rsidR="00AC1A29" w:rsidRPr="00DB6A3C" w14:paraId="707A792B" w14:textId="77777777" w:rsidTr="00BD3BDE">
        <w:trPr>
          <w:jc w:val="center"/>
        </w:trPr>
        <w:tc>
          <w:tcPr>
            <w:tcW w:w="0" w:type="auto"/>
            <w:vMerge w:val="restart"/>
            <w:hideMark/>
          </w:tcPr>
          <w:p w14:paraId="1B0F21F9" w14:textId="77777777" w:rsidR="00AC1A29" w:rsidRPr="00DB6A3C" w:rsidRDefault="00AC1A29" w:rsidP="00BD3BDE">
            <w:pPr>
              <w:spacing w:after="60"/>
              <w:rPr>
                <w:rFonts w:eastAsia="Calibri" w:cstheme="minorHAnsi"/>
                <w:sz w:val="20"/>
                <w:szCs w:val="20"/>
                <w:lang w:val="es-AR"/>
              </w:rPr>
            </w:pPr>
            <w:proofErr w:type="spellStart"/>
            <w:r w:rsidRPr="00DB6A3C">
              <w:rPr>
                <w:rFonts w:eastAsia="Calibri" w:cstheme="minorHAnsi"/>
                <w:b/>
                <w:bCs/>
                <w:sz w:val="20"/>
                <w:szCs w:val="20"/>
                <w:lang w:val="es-AR"/>
              </w:rPr>
              <w:t>Months</w:t>
            </w:r>
            <w:proofErr w:type="spellEnd"/>
          </w:p>
        </w:tc>
        <w:tc>
          <w:tcPr>
            <w:tcW w:w="0" w:type="auto"/>
            <w:gridSpan w:val="2"/>
            <w:hideMark/>
          </w:tcPr>
          <w:p w14:paraId="2E970967" w14:textId="77777777" w:rsidR="00AC1A29" w:rsidRPr="00DB6A3C" w:rsidRDefault="00AC1A29" w:rsidP="00BD3BDE">
            <w:pPr>
              <w:spacing w:after="60"/>
              <w:rPr>
                <w:rFonts w:eastAsia="Calibri" w:cstheme="minorHAnsi"/>
                <w:sz w:val="20"/>
                <w:szCs w:val="20"/>
                <w:lang w:val="es-AR"/>
              </w:rPr>
            </w:pPr>
            <w:proofErr w:type="spellStart"/>
            <w:r w:rsidRPr="00DB6A3C">
              <w:rPr>
                <w:rFonts w:eastAsia="Calibri" w:cstheme="minorHAnsi"/>
                <w:b/>
                <w:bCs/>
                <w:sz w:val="20"/>
                <w:szCs w:val="20"/>
                <w:lang w:val="es-AR"/>
              </w:rPr>
              <w:t>Monthly</w:t>
            </w:r>
            <w:proofErr w:type="spellEnd"/>
            <w:r w:rsidRPr="00DB6A3C">
              <w:rPr>
                <w:rFonts w:eastAsia="Calibri" w:cstheme="minorHAnsi"/>
                <w:b/>
                <w:bCs/>
                <w:sz w:val="20"/>
                <w:szCs w:val="20"/>
                <w:lang w:val="es-AR"/>
              </w:rPr>
              <w:t xml:space="preserve"> Total </w:t>
            </w:r>
            <w:proofErr w:type="spellStart"/>
            <w:r w:rsidRPr="00DB6A3C">
              <w:rPr>
                <w:rFonts w:eastAsia="Calibri" w:cstheme="minorHAnsi"/>
                <w:b/>
                <w:bCs/>
                <w:sz w:val="20"/>
                <w:szCs w:val="20"/>
                <w:lang w:val="es-AR"/>
              </w:rPr>
              <w:t>Sun</w:t>
            </w:r>
            <w:proofErr w:type="spellEnd"/>
            <w:r w:rsidRPr="00DB6A3C">
              <w:rPr>
                <w:rFonts w:eastAsia="Calibri" w:cstheme="minorHAnsi"/>
                <w:b/>
                <w:bCs/>
                <w:sz w:val="20"/>
                <w:szCs w:val="20"/>
                <w:lang w:val="es-AR"/>
              </w:rPr>
              <w:t xml:space="preserve"> ENERGY</w:t>
            </w:r>
          </w:p>
        </w:tc>
        <w:tc>
          <w:tcPr>
            <w:tcW w:w="0" w:type="auto"/>
            <w:hideMark/>
          </w:tcPr>
          <w:p w14:paraId="735073E1" w14:textId="77777777" w:rsidR="00AC1A29" w:rsidRPr="00DB6A3C" w:rsidRDefault="00AC1A29" w:rsidP="00BD3BDE">
            <w:pPr>
              <w:spacing w:after="60"/>
              <w:rPr>
                <w:rFonts w:eastAsia="Calibri" w:cstheme="minorHAnsi"/>
                <w:sz w:val="20"/>
                <w:szCs w:val="20"/>
                <w:lang w:val="es-AR"/>
              </w:rPr>
            </w:pPr>
            <w:r w:rsidRPr="00DB6A3C">
              <w:rPr>
                <w:rFonts w:eastAsia="Calibri" w:cstheme="minorHAnsi"/>
                <w:b/>
                <w:bCs/>
                <w:sz w:val="20"/>
                <w:szCs w:val="20"/>
                <w:lang w:val="es-AR"/>
              </w:rPr>
              <w:t>SUNSHINE TIME</w:t>
            </w:r>
          </w:p>
        </w:tc>
      </w:tr>
      <w:tr w:rsidR="00AC1A29" w:rsidRPr="00DB6A3C" w14:paraId="36965543" w14:textId="77777777" w:rsidTr="00BD3BDE">
        <w:trPr>
          <w:jc w:val="center"/>
        </w:trPr>
        <w:tc>
          <w:tcPr>
            <w:tcW w:w="0" w:type="auto"/>
            <w:vMerge/>
            <w:vAlign w:val="center"/>
            <w:hideMark/>
          </w:tcPr>
          <w:p w14:paraId="25875F55" w14:textId="77777777" w:rsidR="00AC1A29" w:rsidRPr="00DB6A3C" w:rsidRDefault="00AC1A29" w:rsidP="00BD3BDE">
            <w:pPr>
              <w:spacing w:after="60"/>
              <w:rPr>
                <w:rFonts w:eastAsia="Calibri" w:cstheme="minorHAnsi"/>
                <w:sz w:val="20"/>
                <w:szCs w:val="20"/>
                <w:lang w:val="es-AR"/>
              </w:rPr>
            </w:pPr>
          </w:p>
        </w:tc>
        <w:tc>
          <w:tcPr>
            <w:tcW w:w="0" w:type="auto"/>
            <w:hideMark/>
          </w:tcPr>
          <w:p w14:paraId="55610B55"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(kcal/cm</w:t>
            </w:r>
            <w:r w:rsidRPr="00DB6A3C">
              <w:rPr>
                <w:rFonts w:eastAsia="Calibri" w:cstheme="minorHAnsi"/>
                <w:sz w:val="20"/>
                <w:szCs w:val="20"/>
                <w:vertAlign w:val="superscript"/>
                <w:lang w:val="es-AR"/>
              </w:rPr>
              <w:t>2</w:t>
            </w:r>
            <w:r w:rsidRPr="00DB6A3C">
              <w:rPr>
                <w:rFonts w:eastAsia="Calibri" w:cstheme="minorHAnsi"/>
                <w:sz w:val="20"/>
                <w:szCs w:val="20"/>
                <w:lang w:val="es-AR"/>
              </w:rPr>
              <w:t>-month)</w:t>
            </w:r>
          </w:p>
        </w:tc>
        <w:tc>
          <w:tcPr>
            <w:tcW w:w="0" w:type="auto"/>
            <w:hideMark/>
          </w:tcPr>
          <w:p w14:paraId="06FC925A"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(kWh/m</w:t>
            </w:r>
            <w:r w:rsidRPr="00DB6A3C">
              <w:rPr>
                <w:rFonts w:eastAsia="Calibri" w:cstheme="minorHAnsi"/>
                <w:sz w:val="20"/>
                <w:szCs w:val="20"/>
                <w:vertAlign w:val="superscript"/>
                <w:lang w:val="es-AR"/>
              </w:rPr>
              <w:t>2</w:t>
            </w:r>
            <w:r w:rsidRPr="00DB6A3C">
              <w:rPr>
                <w:rFonts w:eastAsia="Calibri" w:cstheme="minorHAnsi"/>
                <w:sz w:val="20"/>
                <w:szCs w:val="20"/>
                <w:lang w:val="es-AR"/>
              </w:rPr>
              <w:t>-month)</w:t>
            </w:r>
          </w:p>
        </w:tc>
        <w:tc>
          <w:tcPr>
            <w:tcW w:w="0" w:type="auto"/>
            <w:hideMark/>
          </w:tcPr>
          <w:p w14:paraId="22872B56"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w:t>
            </w:r>
            <w:proofErr w:type="spellStart"/>
            <w:r w:rsidRPr="00DB6A3C">
              <w:rPr>
                <w:rFonts w:eastAsia="Calibri" w:cstheme="minorHAnsi"/>
                <w:sz w:val="20"/>
                <w:szCs w:val="20"/>
                <w:lang w:val="es-AR"/>
              </w:rPr>
              <w:t>hours</w:t>
            </w:r>
            <w:proofErr w:type="spellEnd"/>
            <w:r w:rsidRPr="00DB6A3C">
              <w:rPr>
                <w:rFonts w:eastAsia="Calibri" w:cstheme="minorHAnsi"/>
                <w:sz w:val="20"/>
                <w:szCs w:val="20"/>
                <w:lang w:val="es-AR"/>
              </w:rPr>
              <w:t>/</w:t>
            </w:r>
            <w:proofErr w:type="spellStart"/>
            <w:r w:rsidRPr="00DB6A3C">
              <w:rPr>
                <w:rFonts w:eastAsia="Calibri" w:cstheme="minorHAnsi"/>
                <w:sz w:val="20"/>
                <w:szCs w:val="20"/>
                <w:lang w:val="es-AR"/>
              </w:rPr>
              <w:t>months</w:t>
            </w:r>
            <w:proofErr w:type="spellEnd"/>
            <w:r w:rsidRPr="00DB6A3C">
              <w:rPr>
                <w:rFonts w:eastAsia="Calibri" w:cstheme="minorHAnsi"/>
                <w:sz w:val="20"/>
                <w:szCs w:val="20"/>
                <w:lang w:val="es-AR"/>
              </w:rPr>
              <w:t>)</w:t>
            </w:r>
          </w:p>
        </w:tc>
      </w:tr>
      <w:tr w:rsidR="00AC1A29" w:rsidRPr="00DB6A3C" w14:paraId="011AD7F7" w14:textId="77777777" w:rsidTr="00BD3BDE">
        <w:trPr>
          <w:jc w:val="center"/>
        </w:trPr>
        <w:tc>
          <w:tcPr>
            <w:tcW w:w="0" w:type="auto"/>
            <w:shd w:val="clear" w:color="auto" w:fill="E6E6E6"/>
            <w:hideMark/>
          </w:tcPr>
          <w:p w14:paraId="4051CF12"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JANUARY</w:t>
            </w:r>
          </w:p>
        </w:tc>
        <w:tc>
          <w:tcPr>
            <w:tcW w:w="0" w:type="auto"/>
            <w:shd w:val="clear" w:color="auto" w:fill="E6E6E6"/>
            <w:hideMark/>
          </w:tcPr>
          <w:p w14:paraId="1D81B650"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4.45</w:t>
            </w:r>
          </w:p>
        </w:tc>
        <w:tc>
          <w:tcPr>
            <w:tcW w:w="0" w:type="auto"/>
            <w:shd w:val="clear" w:color="auto" w:fill="E6E6E6"/>
            <w:hideMark/>
          </w:tcPr>
          <w:p w14:paraId="143BED90"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51.75</w:t>
            </w:r>
          </w:p>
        </w:tc>
        <w:tc>
          <w:tcPr>
            <w:tcW w:w="0" w:type="auto"/>
            <w:shd w:val="clear" w:color="auto" w:fill="E6E6E6"/>
            <w:hideMark/>
          </w:tcPr>
          <w:p w14:paraId="5A156043"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103.0</w:t>
            </w:r>
          </w:p>
        </w:tc>
      </w:tr>
      <w:tr w:rsidR="00AC1A29" w:rsidRPr="00DB6A3C" w14:paraId="7E9357D0" w14:textId="77777777" w:rsidTr="00BD3BDE">
        <w:trPr>
          <w:jc w:val="center"/>
        </w:trPr>
        <w:tc>
          <w:tcPr>
            <w:tcW w:w="0" w:type="auto"/>
            <w:hideMark/>
          </w:tcPr>
          <w:p w14:paraId="7DDBC83D"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FEBRUARY</w:t>
            </w:r>
          </w:p>
        </w:tc>
        <w:tc>
          <w:tcPr>
            <w:tcW w:w="0" w:type="auto"/>
            <w:hideMark/>
          </w:tcPr>
          <w:p w14:paraId="739DBE20"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5.44</w:t>
            </w:r>
          </w:p>
        </w:tc>
        <w:tc>
          <w:tcPr>
            <w:tcW w:w="0" w:type="auto"/>
            <w:hideMark/>
          </w:tcPr>
          <w:p w14:paraId="0593C1A6"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63.27</w:t>
            </w:r>
          </w:p>
        </w:tc>
        <w:tc>
          <w:tcPr>
            <w:tcW w:w="0" w:type="auto"/>
            <w:hideMark/>
          </w:tcPr>
          <w:p w14:paraId="10789FB3"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115.0</w:t>
            </w:r>
          </w:p>
        </w:tc>
      </w:tr>
      <w:tr w:rsidR="00AC1A29" w:rsidRPr="00DB6A3C" w14:paraId="623E62A7" w14:textId="77777777" w:rsidTr="00BD3BDE">
        <w:trPr>
          <w:jc w:val="center"/>
        </w:trPr>
        <w:tc>
          <w:tcPr>
            <w:tcW w:w="0" w:type="auto"/>
            <w:shd w:val="clear" w:color="auto" w:fill="E6E6E6"/>
            <w:hideMark/>
          </w:tcPr>
          <w:p w14:paraId="759CB2D5"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MARCH</w:t>
            </w:r>
          </w:p>
        </w:tc>
        <w:tc>
          <w:tcPr>
            <w:tcW w:w="0" w:type="auto"/>
            <w:shd w:val="clear" w:color="auto" w:fill="E6E6E6"/>
            <w:hideMark/>
          </w:tcPr>
          <w:p w14:paraId="1785815A"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8.31</w:t>
            </w:r>
          </w:p>
        </w:tc>
        <w:tc>
          <w:tcPr>
            <w:tcW w:w="0" w:type="auto"/>
            <w:shd w:val="clear" w:color="auto" w:fill="E6E6E6"/>
            <w:hideMark/>
          </w:tcPr>
          <w:p w14:paraId="77C029CA"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96.65</w:t>
            </w:r>
          </w:p>
        </w:tc>
        <w:tc>
          <w:tcPr>
            <w:tcW w:w="0" w:type="auto"/>
            <w:shd w:val="clear" w:color="auto" w:fill="E6E6E6"/>
            <w:hideMark/>
          </w:tcPr>
          <w:p w14:paraId="22103142"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165.0</w:t>
            </w:r>
          </w:p>
        </w:tc>
      </w:tr>
      <w:tr w:rsidR="00AC1A29" w:rsidRPr="00DB6A3C" w14:paraId="1425DEB8" w14:textId="77777777" w:rsidTr="00BD3BDE">
        <w:trPr>
          <w:jc w:val="center"/>
        </w:trPr>
        <w:tc>
          <w:tcPr>
            <w:tcW w:w="0" w:type="auto"/>
            <w:hideMark/>
          </w:tcPr>
          <w:p w14:paraId="0E5B8AEB"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APRİL</w:t>
            </w:r>
          </w:p>
        </w:tc>
        <w:tc>
          <w:tcPr>
            <w:tcW w:w="0" w:type="auto"/>
            <w:hideMark/>
          </w:tcPr>
          <w:p w14:paraId="68ED2293"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10.51</w:t>
            </w:r>
          </w:p>
        </w:tc>
        <w:tc>
          <w:tcPr>
            <w:tcW w:w="0" w:type="auto"/>
            <w:hideMark/>
          </w:tcPr>
          <w:p w14:paraId="6C544CFF"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122.23</w:t>
            </w:r>
          </w:p>
        </w:tc>
        <w:tc>
          <w:tcPr>
            <w:tcW w:w="0" w:type="auto"/>
            <w:hideMark/>
          </w:tcPr>
          <w:p w14:paraId="791ACC8B"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197.0</w:t>
            </w:r>
          </w:p>
        </w:tc>
      </w:tr>
      <w:tr w:rsidR="00AC1A29" w:rsidRPr="00DB6A3C" w14:paraId="14AB5C8C" w14:textId="77777777" w:rsidTr="00BD3BDE">
        <w:trPr>
          <w:jc w:val="center"/>
        </w:trPr>
        <w:tc>
          <w:tcPr>
            <w:tcW w:w="0" w:type="auto"/>
            <w:shd w:val="clear" w:color="auto" w:fill="E6E6E6"/>
            <w:hideMark/>
          </w:tcPr>
          <w:p w14:paraId="0BDDF3D1"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MAY</w:t>
            </w:r>
          </w:p>
        </w:tc>
        <w:tc>
          <w:tcPr>
            <w:tcW w:w="0" w:type="auto"/>
            <w:shd w:val="clear" w:color="auto" w:fill="E6E6E6"/>
            <w:hideMark/>
          </w:tcPr>
          <w:p w14:paraId="5CDF4A87"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13.23</w:t>
            </w:r>
          </w:p>
        </w:tc>
        <w:tc>
          <w:tcPr>
            <w:tcW w:w="0" w:type="auto"/>
            <w:shd w:val="clear" w:color="auto" w:fill="E6E6E6"/>
            <w:hideMark/>
          </w:tcPr>
          <w:p w14:paraId="7D3B0052"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153.86</w:t>
            </w:r>
          </w:p>
        </w:tc>
        <w:tc>
          <w:tcPr>
            <w:tcW w:w="0" w:type="auto"/>
            <w:shd w:val="clear" w:color="auto" w:fill="E6E6E6"/>
            <w:hideMark/>
          </w:tcPr>
          <w:p w14:paraId="5B883D7A"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273.0</w:t>
            </w:r>
          </w:p>
        </w:tc>
      </w:tr>
      <w:tr w:rsidR="00AC1A29" w:rsidRPr="00DB6A3C" w14:paraId="66AD4854" w14:textId="77777777" w:rsidTr="00BD3BDE">
        <w:trPr>
          <w:jc w:val="center"/>
        </w:trPr>
        <w:tc>
          <w:tcPr>
            <w:tcW w:w="0" w:type="auto"/>
            <w:hideMark/>
          </w:tcPr>
          <w:p w14:paraId="0D0A1791"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JUNE</w:t>
            </w:r>
          </w:p>
        </w:tc>
        <w:tc>
          <w:tcPr>
            <w:tcW w:w="0" w:type="auto"/>
            <w:hideMark/>
          </w:tcPr>
          <w:p w14:paraId="5736CBB3"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14.51</w:t>
            </w:r>
          </w:p>
        </w:tc>
        <w:tc>
          <w:tcPr>
            <w:tcW w:w="0" w:type="auto"/>
            <w:hideMark/>
          </w:tcPr>
          <w:p w14:paraId="6C316A71"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168.75</w:t>
            </w:r>
          </w:p>
        </w:tc>
        <w:tc>
          <w:tcPr>
            <w:tcW w:w="0" w:type="auto"/>
            <w:hideMark/>
          </w:tcPr>
          <w:p w14:paraId="3ECD57C7"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325.0</w:t>
            </w:r>
          </w:p>
        </w:tc>
      </w:tr>
      <w:tr w:rsidR="00AC1A29" w:rsidRPr="00DB6A3C" w14:paraId="2D840CFD" w14:textId="77777777" w:rsidTr="00BD3BDE">
        <w:trPr>
          <w:jc w:val="center"/>
        </w:trPr>
        <w:tc>
          <w:tcPr>
            <w:tcW w:w="0" w:type="auto"/>
            <w:shd w:val="clear" w:color="auto" w:fill="E6E6E6"/>
            <w:hideMark/>
          </w:tcPr>
          <w:p w14:paraId="20BCB2F5"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JULY</w:t>
            </w:r>
          </w:p>
        </w:tc>
        <w:tc>
          <w:tcPr>
            <w:tcW w:w="0" w:type="auto"/>
            <w:shd w:val="clear" w:color="auto" w:fill="E6E6E6"/>
            <w:hideMark/>
          </w:tcPr>
          <w:p w14:paraId="022A1ED3"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15.08</w:t>
            </w:r>
          </w:p>
        </w:tc>
        <w:tc>
          <w:tcPr>
            <w:tcW w:w="0" w:type="auto"/>
            <w:shd w:val="clear" w:color="auto" w:fill="E6E6E6"/>
            <w:hideMark/>
          </w:tcPr>
          <w:p w14:paraId="24ED3283"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175.38</w:t>
            </w:r>
          </w:p>
        </w:tc>
        <w:tc>
          <w:tcPr>
            <w:tcW w:w="0" w:type="auto"/>
            <w:shd w:val="clear" w:color="auto" w:fill="E6E6E6"/>
            <w:hideMark/>
          </w:tcPr>
          <w:p w14:paraId="3AB7855D"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365.0</w:t>
            </w:r>
          </w:p>
        </w:tc>
      </w:tr>
      <w:tr w:rsidR="00AC1A29" w:rsidRPr="00DB6A3C" w14:paraId="44428A28" w14:textId="77777777" w:rsidTr="00BD3BDE">
        <w:trPr>
          <w:jc w:val="center"/>
        </w:trPr>
        <w:tc>
          <w:tcPr>
            <w:tcW w:w="0" w:type="auto"/>
            <w:hideMark/>
          </w:tcPr>
          <w:p w14:paraId="3DF31556"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AGUST</w:t>
            </w:r>
          </w:p>
        </w:tc>
        <w:tc>
          <w:tcPr>
            <w:tcW w:w="0" w:type="auto"/>
            <w:hideMark/>
          </w:tcPr>
          <w:p w14:paraId="31864C66"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13.62</w:t>
            </w:r>
          </w:p>
        </w:tc>
        <w:tc>
          <w:tcPr>
            <w:tcW w:w="0" w:type="auto"/>
            <w:hideMark/>
          </w:tcPr>
          <w:p w14:paraId="082DBBD3"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158.40</w:t>
            </w:r>
          </w:p>
        </w:tc>
        <w:tc>
          <w:tcPr>
            <w:tcW w:w="0" w:type="auto"/>
            <w:hideMark/>
          </w:tcPr>
          <w:p w14:paraId="5D8B4E2A"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343.0</w:t>
            </w:r>
          </w:p>
        </w:tc>
      </w:tr>
      <w:tr w:rsidR="00AC1A29" w:rsidRPr="00DB6A3C" w14:paraId="3D99AF37" w14:textId="77777777" w:rsidTr="00BD3BDE">
        <w:trPr>
          <w:jc w:val="center"/>
        </w:trPr>
        <w:tc>
          <w:tcPr>
            <w:tcW w:w="0" w:type="auto"/>
            <w:shd w:val="clear" w:color="auto" w:fill="E6E6E6"/>
            <w:hideMark/>
          </w:tcPr>
          <w:p w14:paraId="47BB05C2"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SEPTEMBER</w:t>
            </w:r>
          </w:p>
        </w:tc>
        <w:tc>
          <w:tcPr>
            <w:tcW w:w="0" w:type="auto"/>
            <w:shd w:val="clear" w:color="auto" w:fill="E6E6E6"/>
            <w:hideMark/>
          </w:tcPr>
          <w:p w14:paraId="6CD8CC86"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10.60</w:t>
            </w:r>
          </w:p>
        </w:tc>
        <w:tc>
          <w:tcPr>
            <w:tcW w:w="0" w:type="auto"/>
            <w:shd w:val="clear" w:color="auto" w:fill="E6E6E6"/>
            <w:hideMark/>
          </w:tcPr>
          <w:p w14:paraId="542B23D8"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123.28</w:t>
            </w:r>
          </w:p>
        </w:tc>
        <w:tc>
          <w:tcPr>
            <w:tcW w:w="0" w:type="auto"/>
            <w:shd w:val="clear" w:color="auto" w:fill="E6E6E6"/>
            <w:hideMark/>
          </w:tcPr>
          <w:p w14:paraId="160AF65B"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280.0</w:t>
            </w:r>
          </w:p>
        </w:tc>
      </w:tr>
      <w:tr w:rsidR="00AC1A29" w:rsidRPr="00DB6A3C" w14:paraId="2F01056D" w14:textId="77777777" w:rsidTr="00BD3BDE">
        <w:trPr>
          <w:jc w:val="center"/>
        </w:trPr>
        <w:tc>
          <w:tcPr>
            <w:tcW w:w="0" w:type="auto"/>
            <w:hideMark/>
          </w:tcPr>
          <w:p w14:paraId="4BE3A6A0"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OCTOBER</w:t>
            </w:r>
          </w:p>
        </w:tc>
        <w:tc>
          <w:tcPr>
            <w:tcW w:w="0" w:type="auto"/>
            <w:hideMark/>
          </w:tcPr>
          <w:p w14:paraId="777C1333"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7.73</w:t>
            </w:r>
          </w:p>
        </w:tc>
        <w:tc>
          <w:tcPr>
            <w:tcW w:w="0" w:type="auto"/>
            <w:hideMark/>
          </w:tcPr>
          <w:p w14:paraId="6DF98BE1"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89.90</w:t>
            </w:r>
          </w:p>
        </w:tc>
        <w:tc>
          <w:tcPr>
            <w:tcW w:w="0" w:type="auto"/>
            <w:hideMark/>
          </w:tcPr>
          <w:p w14:paraId="1978166D"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214.0</w:t>
            </w:r>
          </w:p>
        </w:tc>
      </w:tr>
      <w:tr w:rsidR="00AC1A29" w:rsidRPr="00DB6A3C" w14:paraId="0BA1B5BB" w14:textId="77777777" w:rsidTr="00BD3BDE">
        <w:trPr>
          <w:jc w:val="center"/>
        </w:trPr>
        <w:tc>
          <w:tcPr>
            <w:tcW w:w="0" w:type="auto"/>
            <w:shd w:val="clear" w:color="auto" w:fill="E6E6E6"/>
            <w:hideMark/>
          </w:tcPr>
          <w:p w14:paraId="5539F86B"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NOVEMBER</w:t>
            </w:r>
          </w:p>
        </w:tc>
        <w:tc>
          <w:tcPr>
            <w:tcW w:w="0" w:type="auto"/>
            <w:shd w:val="clear" w:color="auto" w:fill="E6E6E6"/>
            <w:hideMark/>
          </w:tcPr>
          <w:p w14:paraId="2BFC0833"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5.23</w:t>
            </w:r>
          </w:p>
        </w:tc>
        <w:tc>
          <w:tcPr>
            <w:tcW w:w="0" w:type="auto"/>
            <w:shd w:val="clear" w:color="auto" w:fill="E6E6E6"/>
            <w:hideMark/>
          </w:tcPr>
          <w:p w14:paraId="7ED35282"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60.82</w:t>
            </w:r>
          </w:p>
        </w:tc>
        <w:tc>
          <w:tcPr>
            <w:tcW w:w="0" w:type="auto"/>
            <w:shd w:val="clear" w:color="auto" w:fill="E6E6E6"/>
            <w:hideMark/>
          </w:tcPr>
          <w:p w14:paraId="0C113818"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157.0</w:t>
            </w:r>
          </w:p>
        </w:tc>
      </w:tr>
      <w:tr w:rsidR="00AC1A29" w:rsidRPr="00DB6A3C" w14:paraId="500AD766" w14:textId="77777777" w:rsidTr="00BD3BDE">
        <w:trPr>
          <w:jc w:val="center"/>
        </w:trPr>
        <w:tc>
          <w:tcPr>
            <w:tcW w:w="0" w:type="auto"/>
            <w:hideMark/>
          </w:tcPr>
          <w:p w14:paraId="55C58593"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DECEMBER</w:t>
            </w:r>
          </w:p>
        </w:tc>
        <w:tc>
          <w:tcPr>
            <w:tcW w:w="0" w:type="auto"/>
            <w:hideMark/>
          </w:tcPr>
          <w:p w14:paraId="15A22C8D"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4.03</w:t>
            </w:r>
          </w:p>
        </w:tc>
        <w:tc>
          <w:tcPr>
            <w:tcW w:w="0" w:type="auto"/>
            <w:hideMark/>
          </w:tcPr>
          <w:p w14:paraId="0993D007"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46.87</w:t>
            </w:r>
          </w:p>
        </w:tc>
        <w:tc>
          <w:tcPr>
            <w:tcW w:w="0" w:type="auto"/>
            <w:hideMark/>
          </w:tcPr>
          <w:p w14:paraId="06A055DE"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103.0</w:t>
            </w:r>
          </w:p>
        </w:tc>
      </w:tr>
      <w:tr w:rsidR="00AC1A29" w:rsidRPr="00DB6A3C" w14:paraId="216A74C9" w14:textId="77777777" w:rsidTr="00BD3BDE">
        <w:trPr>
          <w:jc w:val="center"/>
        </w:trPr>
        <w:tc>
          <w:tcPr>
            <w:tcW w:w="0" w:type="auto"/>
            <w:shd w:val="clear" w:color="auto" w:fill="E6E6E6"/>
            <w:hideMark/>
          </w:tcPr>
          <w:p w14:paraId="4AF65545"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TOPLAM</w:t>
            </w:r>
          </w:p>
        </w:tc>
        <w:tc>
          <w:tcPr>
            <w:tcW w:w="0" w:type="auto"/>
            <w:shd w:val="clear" w:color="auto" w:fill="E6E6E6"/>
            <w:hideMark/>
          </w:tcPr>
          <w:p w14:paraId="67322383"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112.74</w:t>
            </w:r>
          </w:p>
        </w:tc>
        <w:tc>
          <w:tcPr>
            <w:tcW w:w="0" w:type="auto"/>
            <w:shd w:val="clear" w:color="auto" w:fill="E6E6E6"/>
            <w:hideMark/>
          </w:tcPr>
          <w:p w14:paraId="09894491"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1311</w:t>
            </w:r>
          </w:p>
        </w:tc>
        <w:tc>
          <w:tcPr>
            <w:tcW w:w="0" w:type="auto"/>
            <w:shd w:val="clear" w:color="auto" w:fill="E6E6E6"/>
            <w:hideMark/>
          </w:tcPr>
          <w:p w14:paraId="72181855"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2640</w:t>
            </w:r>
          </w:p>
        </w:tc>
      </w:tr>
      <w:tr w:rsidR="00AC1A29" w:rsidRPr="00DB6A3C" w14:paraId="49339130" w14:textId="77777777" w:rsidTr="00BD3BDE">
        <w:trPr>
          <w:jc w:val="center"/>
        </w:trPr>
        <w:tc>
          <w:tcPr>
            <w:tcW w:w="0" w:type="auto"/>
            <w:hideMark/>
          </w:tcPr>
          <w:p w14:paraId="0C0EF8E5" w14:textId="77777777" w:rsidR="00AC1A29" w:rsidRPr="00DB6A3C" w:rsidRDefault="00AC1A29" w:rsidP="00BD3BDE">
            <w:pPr>
              <w:spacing w:after="60"/>
              <w:rPr>
                <w:rFonts w:eastAsia="Calibri" w:cstheme="minorHAnsi"/>
                <w:sz w:val="20"/>
                <w:szCs w:val="20"/>
                <w:lang w:val="es-AR"/>
              </w:rPr>
            </w:pPr>
            <w:r w:rsidRPr="00DB6A3C">
              <w:rPr>
                <w:rFonts w:eastAsia="Calibri" w:cstheme="minorHAnsi"/>
                <w:b/>
                <w:bCs/>
                <w:sz w:val="20"/>
                <w:szCs w:val="20"/>
                <w:lang w:val="es-AR"/>
              </w:rPr>
              <w:t>AVERAGE</w:t>
            </w:r>
          </w:p>
        </w:tc>
        <w:tc>
          <w:tcPr>
            <w:tcW w:w="0" w:type="auto"/>
            <w:hideMark/>
          </w:tcPr>
          <w:p w14:paraId="356F33AC"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308.0 cal/cm</w:t>
            </w:r>
            <w:r w:rsidRPr="00DB6A3C">
              <w:rPr>
                <w:rFonts w:eastAsia="Calibri" w:cstheme="minorHAnsi"/>
                <w:sz w:val="20"/>
                <w:szCs w:val="20"/>
                <w:vertAlign w:val="superscript"/>
                <w:lang w:val="es-AR"/>
              </w:rPr>
              <w:t>2</w:t>
            </w:r>
            <w:r w:rsidRPr="00DB6A3C">
              <w:rPr>
                <w:rFonts w:eastAsia="Calibri" w:cstheme="minorHAnsi"/>
                <w:sz w:val="20"/>
                <w:szCs w:val="20"/>
                <w:lang w:val="es-AR"/>
              </w:rPr>
              <w:t>-daily</w:t>
            </w:r>
          </w:p>
        </w:tc>
        <w:tc>
          <w:tcPr>
            <w:tcW w:w="0" w:type="auto"/>
            <w:hideMark/>
          </w:tcPr>
          <w:p w14:paraId="061E1618"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3.6 kWh/m</w:t>
            </w:r>
            <w:r w:rsidRPr="00DB6A3C">
              <w:rPr>
                <w:rFonts w:eastAsia="Calibri" w:cstheme="minorHAnsi"/>
                <w:sz w:val="20"/>
                <w:szCs w:val="20"/>
                <w:vertAlign w:val="superscript"/>
                <w:lang w:val="es-AR"/>
              </w:rPr>
              <w:t>2</w:t>
            </w:r>
            <w:r w:rsidRPr="00DB6A3C">
              <w:rPr>
                <w:rFonts w:eastAsia="Calibri" w:cstheme="minorHAnsi"/>
                <w:sz w:val="20"/>
                <w:szCs w:val="20"/>
                <w:lang w:val="es-AR"/>
              </w:rPr>
              <w:t>-daily</w:t>
            </w:r>
          </w:p>
        </w:tc>
        <w:tc>
          <w:tcPr>
            <w:tcW w:w="0" w:type="auto"/>
            <w:hideMark/>
          </w:tcPr>
          <w:p w14:paraId="4B424A92" w14:textId="77777777" w:rsidR="00AC1A29" w:rsidRPr="00DB6A3C" w:rsidRDefault="00AC1A29" w:rsidP="00BD3BDE">
            <w:pPr>
              <w:spacing w:after="60"/>
              <w:rPr>
                <w:rFonts w:eastAsia="Calibri" w:cstheme="minorHAnsi"/>
                <w:sz w:val="20"/>
                <w:szCs w:val="20"/>
                <w:lang w:val="es-AR"/>
              </w:rPr>
            </w:pPr>
            <w:r w:rsidRPr="00DB6A3C">
              <w:rPr>
                <w:rFonts w:eastAsia="Calibri" w:cstheme="minorHAnsi"/>
                <w:sz w:val="20"/>
                <w:szCs w:val="20"/>
                <w:lang w:val="es-AR"/>
              </w:rPr>
              <w:t xml:space="preserve">7.2 </w:t>
            </w:r>
            <w:proofErr w:type="spellStart"/>
            <w:r w:rsidRPr="00DB6A3C">
              <w:rPr>
                <w:rFonts w:eastAsia="Calibri" w:cstheme="minorHAnsi"/>
                <w:sz w:val="20"/>
                <w:szCs w:val="20"/>
                <w:lang w:val="es-AR"/>
              </w:rPr>
              <w:t>hours</w:t>
            </w:r>
            <w:proofErr w:type="spellEnd"/>
            <w:r w:rsidRPr="00DB6A3C">
              <w:rPr>
                <w:rFonts w:eastAsia="Calibri" w:cstheme="minorHAnsi"/>
                <w:sz w:val="20"/>
                <w:szCs w:val="20"/>
                <w:lang w:val="es-AR"/>
              </w:rPr>
              <w:t xml:space="preserve"> /</w:t>
            </w:r>
            <w:proofErr w:type="spellStart"/>
            <w:r w:rsidRPr="00DB6A3C">
              <w:rPr>
                <w:rFonts w:eastAsia="Calibri" w:cstheme="minorHAnsi"/>
                <w:sz w:val="20"/>
                <w:szCs w:val="20"/>
                <w:lang w:val="es-AR"/>
              </w:rPr>
              <w:t>daily</w:t>
            </w:r>
            <w:proofErr w:type="spellEnd"/>
          </w:p>
        </w:tc>
      </w:tr>
    </w:tbl>
    <w:p w14:paraId="5A55C995" w14:textId="77777777" w:rsidR="00AC1A29" w:rsidRPr="00DB6A3C" w:rsidRDefault="00AC1A29" w:rsidP="00AC1A29">
      <w:pPr>
        <w:spacing w:after="160" w:line="259" w:lineRule="auto"/>
        <w:jc w:val="center"/>
        <w:rPr>
          <w:rFonts w:eastAsia="Calibri" w:cstheme="minorHAnsi"/>
          <w:sz w:val="20"/>
          <w:szCs w:val="20"/>
        </w:rPr>
      </w:pPr>
      <w:r w:rsidRPr="00DB6A3C">
        <w:rPr>
          <w:rFonts w:eastAsia="Calibri" w:cstheme="minorHAnsi"/>
          <w:sz w:val="20"/>
          <w:szCs w:val="20"/>
        </w:rPr>
        <w:t>Source: ministry of Energy and Natural Resources</w:t>
      </w:r>
    </w:p>
    <w:p w14:paraId="3D4F87B3" w14:textId="77777777" w:rsidR="003A7BFE" w:rsidRDefault="003A7BFE" w:rsidP="00AC1A29">
      <w:pPr>
        <w:spacing w:after="160" w:line="259" w:lineRule="auto"/>
        <w:rPr>
          <w:rFonts w:eastAsia="Calibri" w:cstheme="minorHAnsi"/>
          <w:sz w:val="20"/>
          <w:szCs w:val="20"/>
        </w:rPr>
      </w:pPr>
    </w:p>
    <w:p w14:paraId="28234F98" w14:textId="5BA0A7BB"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Distribution of annual solar energy potential of our country by geographical regions is shown in </w:t>
      </w:r>
      <w:r w:rsidRPr="00DB6A3C">
        <w:rPr>
          <w:rFonts w:eastAsia="Calibri" w:cstheme="minorHAnsi"/>
          <w:b/>
          <w:bCs/>
          <w:sz w:val="20"/>
          <w:szCs w:val="20"/>
        </w:rPr>
        <w:t>Table 3.</w:t>
      </w:r>
    </w:p>
    <w:p w14:paraId="4232ABD3" w14:textId="1C710B4D" w:rsidR="00AC1A29" w:rsidRPr="00DB6A3C" w:rsidRDefault="00AC1A29" w:rsidP="00AC1A29">
      <w:pPr>
        <w:spacing w:after="160" w:line="259" w:lineRule="auto"/>
        <w:jc w:val="center"/>
        <w:rPr>
          <w:rFonts w:eastAsia="Calibri" w:cstheme="minorHAnsi"/>
          <w:sz w:val="20"/>
          <w:szCs w:val="20"/>
        </w:rPr>
      </w:pPr>
      <w:r w:rsidRPr="00DB6A3C">
        <w:rPr>
          <w:rFonts w:eastAsia="Calibri" w:cstheme="minorHAnsi"/>
          <w:b/>
          <w:bCs/>
          <w:sz w:val="20"/>
          <w:szCs w:val="20"/>
        </w:rPr>
        <w:t xml:space="preserve">Table No. 3: </w:t>
      </w:r>
      <w:proofErr w:type="spellStart"/>
      <w:r w:rsidR="007745AE">
        <w:rPr>
          <w:rFonts w:eastAsia="Calibri" w:cstheme="minorHAnsi"/>
          <w:b/>
          <w:bCs/>
          <w:sz w:val="20"/>
          <w:szCs w:val="20"/>
        </w:rPr>
        <w:t>Türkiye</w:t>
      </w:r>
      <w:r w:rsidRPr="00DB6A3C">
        <w:rPr>
          <w:rFonts w:eastAsia="Calibri" w:cstheme="minorHAnsi"/>
          <w:b/>
          <w:bCs/>
          <w:sz w:val="20"/>
          <w:szCs w:val="20"/>
        </w:rPr>
        <w:t>'s</w:t>
      </w:r>
      <w:proofErr w:type="spellEnd"/>
      <w:r w:rsidRPr="00DB6A3C">
        <w:rPr>
          <w:rFonts w:eastAsia="Calibri" w:cstheme="minorHAnsi"/>
          <w:b/>
          <w:bCs/>
          <w:sz w:val="20"/>
          <w:szCs w:val="20"/>
        </w:rPr>
        <w:t xml:space="preserve"> Total Annual Potential of Solar Energy Distribution by Region</w:t>
      </w:r>
    </w:p>
    <w:tbl>
      <w:tblPr>
        <w:tblW w:w="0" w:type="auto"/>
        <w:jc w:val="center"/>
        <w:tblBorders>
          <w:top w:val="single" w:sz="18" w:space="0" w:color="000000" w:themeColor="text1"/>
          <w:left w:val="single" w:sz="18" w:space="0" w:color="000000" w:themeColor="text1"/>
          <w:bottom w:val="single" w:sz="18" w:space="0" w:color="000000" w:themeColor="text1"/>
          <w:right w:val="single" w:sz="18" w:space="0" w:color="000000" w:themeColor="text1"/>
        </w:tblBorders>
        <w:tblCellMar>
          <w:top w:w="15" w:type="dxa"/>
          <w:left w:w="15" w:type="dxa"/>
          <w:bottom w:w="15" w:type="dxa"/>
          <w:right w:w="15" w:type="dxa"/>
        </w:tblCellMar>
        <w:tblLook w:val="04A0" w:firstRow="1" w:lastRow="0" w:firstColumn="1" w:lastColumn="0" w:noHBand="0" w:noVBand="1"/>
      </w:tblPr>
      <w:tblGrid>
        <w:gridCol w:w="1842"/>
        <w:gridCol w:w="1814"/>
        <w:gridCol w:w="1701"/>
      </w:tblGrid>
      <w:tr w:rsidR="00AC1A29" w:rsidRPr="00DB6A3C" w14:paraId="77C78DAB" w14:textId="77777777" w:rsidTr="00BD3BDE">
        <w:trPr>
          <w:trHeight w:val="614"/>
          <w:jc w:val="center"/>
        </w:trPr>
        <w:tc>
          <w:tcPr>
            <w:tcW w:w="0" w:type="auto"/>
            <w:hideMark/>
          </w:tcPr>
          <w:p w14:paraId="2CF6A7FA" w14:textId="77777777" w:rsidR="00AC1A29" w:rsidRPr="00DB6A3C" w:rsidRDefault="00AC1A29" w:rsidP="00BD3BDE">
            <w:pPr>
              <w:spacing w:after="60" w:line="259" w:lineRule="auto"/>
              <w:rPr>
                <w:rFonts w:eastAsia="Calibri" w:cstheme="minorHAnsi"/>
                <w:sz w:val="20"/>
                <w:szCs w:val="20"/>
                <w:lang w:val="es-AR"/>
              </w:rPr>
            </w:pPr>
            <w:proofErr w:type="spellStart"/>
            <w:r w:rsidRPr="00DB6A3C">
              <w:rPr>
                <w:rFonts w:eastAsia="Calibri" w:cstheme="minorHAnsi"/>
                <w:b/>
                <w:bCs/>
                <w:sz w:val="20"/>
                <w:szCs w:val="20"/>
                <w:lang w:val="es-AR"/>
              </w:rPr>
              <w:t>Regions</w:t>
            </w:r>
            <w:proofErr w:type="spellEnd"/>
          </w:p>
        </w:tc>
        <w:tc>
          <w:tcPr>
            <w:tcW w:w="1814" w:type="dxa"/>
            <w:hideMark/>
          </w:tcPr>
          <w:p w14:paraId="0D96F1FF" w14:textId="77777777" w:rsidR="00AC1A29" w:rsidRPr="00DB6A3C" w:rsidRDefault="00AC1A29" w:rsidP="00BD3BDE">
            <w:pPr>
              <w:spacing w:after="60" w:line="259" w:lineRule="auto"/>
              <w:jc w:val="center"/>
              <w:rPr>
                <w:rFonts w:eastAsia="Calibri" w:cstheme="minorHAnsi"/>
                <w:sz w:val="20"/>
                <w:szCs w:val="20"/>
              </w:rPr>
            </w:pPr>
            <w:r w:rsidRPr="00DB6A3C">
              <w:rPr>
                <w:rFonts w:eastAsia="Calibri" w:cstheme="minorHAnsi"/>
                <w:b/>
                <w:bCs/>
                <w:sz w:val="20"/>
                <w:szCs w:val="20"/>
              </w:rPr>
              <w:t>Total Energy</w:t>
            </w:r>
            <w:r w:rsidRPr="00DB6A3C">
              <w:rPr>
                <w:rFonts w:eastAsia="Calibri" w:cstheme="minorHAnsi"/>
                <w:sz w:val="20"/>
                <w:szCs w:val="20"/>
              </w:rPr>
              <w:br/>
            </w:r>
            <w:r w:rsidRPr="00DB6A3C">
              <w:rPr>
                <w:rFonts w:eastAsia="Calibri" w:cstheme="minorHAnsi"/>
                <w:b/>
                <w:bCs/>
                <w:sz w:val="20"/>
                <w:szCs w:val="20"/>
              </w:rPr>
              <w:t>(kWh/m</w:t>
            </w:r>
            <w:r w:rsidRPr="00DB6A3C">
              <w:rPr>
                <w:rFonts w:eastAsia="Calibri" w:cstheme="minorHAnsi"/>
                <w:b/>
                <w:bCs/>
                <w:sz w:val="20"/>
                <w:szCs w:val="20"/>
                <w:vertAlign w:val="superscript"/>
              </w:rPr>
              <w:t>2</w:t>
            </w:r>
            <w:r w:rsidRPr="00DB6A3C">
              <w:rPr>
                <w:rFonts w:eastAsia="Calibri" w:cstheme="minorHAnsi"/>
                <w:b/>
                <w:bCs/>
                <w:sz w:val="20"/>
                <w:szCs w:val="20"/>
              </w:rPr>
              <w:t>/year)</w:t>
            </w:r>
          </w:p>
        </w:tc>
        <w:tc>
          <w:tcPr>
            <w:tcW w:w="1701" w:type="dxa"/>
            <w:hideMark/>
          </w:tcPr>
          <w:p w14:paraId="72CE84BF" w14:textId="77777777" w:rsidR="00AC1A29" w:rsidRPr="00DB6A3C" w:rsidRDefault="00AC1A29" w:rsidP="00BD3BDE">
            <w:pPr>
              <w:spacing w:after="60" w:line="259" w:lineRule="auto"/>
              <w:jc w:val="center"/>
              <w:rPr>
                <w:rFonts w:eastAsia="Calibri" w:cstheme="minorHAnsi"/>
                <w:sz w:val="20"/>
                <w:szCs w:val="20"/>
                <w:lang w:val="es-AR"/>
              </w:rPr>
            </w:pPr>
            <w:proofErr w:type="spellStart"/>
            <w:r w:rsidRPr="00DB6A3C">
              <w:rPr>
                <w:rFonts w:eastAsia="Calibri" w:cstheme="minorHAnsi"/>
                <w:b/>
                <w:bCs/>
                <w:sz w:val="20"/>
                <w:szCs w:val="20"/>
                <w:lang w:val="es-AR"/>
              </w:rPr>
              <w:t>Sunshine</w:t>
            </w:r>
            <w:proofErr w:type="spellEnd"/>
            <w:r w:rsidRPr="00DB6A3C">
              <w:rPr>
                <w:rFonts w:eastAsia="Calibri" w:cstheme="minorHAnsi"/>
                <w:b/>
                <w:bCs/>
                <w:sz w:val="20"/>
                <w:szCs w:val="20"/>
                <w:lang w:val="es-AR"/>
              </w:rPr>
              <w:t xml:space="preserve"> Time</w:t>
            </w:r>
            <w:r w:rsidRPr="00DB6A3C">
              <w:rPr>
                <w:rFonts w:eastAsia="Calibri" w:cstheme="minorHAnsi"/>
                <w:sz w:val="20"/>
                <w:szCs w:val="20"/>
                <w:lang w:val="es-AR"/>
              </w:rPr>
              <w:br/>
            </w:r>
            <w:r w:rsidRPr="00DB6A3C">
              <w:rPr>
                <w:rFonts w:eastAsia="Calibri" w:cstheme="minorHAnsi"/>
                <w:b/>
                <w:bCs/>
                <w:sz w:val="20"/>
                <w:szCs w:val="20"/>
                <w:lang w:val="es-AR"/>
              </w:rPr>
              <w:t>(</w:t>
            </w:r>
            <w:proofErr w:type="spellStart"/>
            <w:r w:rsidRPr="00DB6A3C">
              <w:rPr>
                <w:rFonts w:eastAsia="Calibri" w:cstheme="minorHAnsi"/>
                <w:b/>
                <w:bCs/>
                <w:sz w:val="20"/>
                <w:szCs w:val="20"/>
                <w:lang w:val="es-AR"/>
              </w:rPr>
              <w:t>hours</w:t>
            </w:r>
            <w:proofErr w:type="spellEnd"/>
            <w:r w:rsidRPr="00DB6A3C">
              <w:rPr>
                <w:rFonts w:eastAsia="Calibri" w:cstheme="minorHAnsi"/>
                <w:b/>
                <w:bCs/>
                <w:sz w:val="20"/>
                <w:szCs w:val="20"/>
                <w:lang w:val="es-AR"/>
              </w:rPr>
              <w:t xml:space="preserve"> / </w:t>
            </w:r>
            <w:proofErr w:type="spellStart"/>
            <w:r w:rsidRPr="00DB6A3C">
              <w:rPr>
                <w:rFonts w:eastAsia="Calibri" w:cstheme="minorHAnsi"/>
                <w:b/>
                <w:bCs/>
                <w:sz w:val="20"/>
                <w:szCs w:val="20"/>
                <w:lang w:val="es-AR"/>
              </w:rPr>
              <w:t>year</w:t>
            </w:r>
            <w:proofErr w:type="spellEnd"/>
            <w:r w:rsidRPr="00DB6A3C">
              <w:rPr>
                <w:rFonts w:eastAsia="Calibri" w:cstheme="minorHAnsi"/>
                <w:b/>
                <w:bCs/>
                <w:sz w:val="20"/>
                <w:szCs w:val="20"/>
                <w:lang w:val="es-AR"/>
              </w:rPr>
              <w:t>)</w:t>
            </w:r>
          </w:p>
        </w:tc>
      </w:tr>
      <w:tr w:rsidR="00AC1A29" w:rsidRPr="00DB6A3C" w14:paraId="7FA981B6" w14:textId="77777777" w:rsidTr="00BD3BDE">
        <w:trPr>
          <w:jc w:val="center"/>
        </w:trPr>
        <w:tc>
          <w:tcPr>
            <w:tcW w:w="0" w:type="auto"/>
            <w:shd w:val="clear" w:color="auto" w:fill="E6E6E6"/>
            <w:hideMark/>
          </w:tcPr>
          <w:p w14:paraId="3D92C3BF" w14:textId="77777777" w:rsidR="00AC1A29" w:rsidRPr="00DB6A3C" w:rsidRDefault="00AC1A29" w:rsidP="00BD3BDE">
            <w:pPr>
              <w:spacing w:after="60" w:line="259" w:lineRule="auto"/>
              <w:rPr>
                <w:rFonts w:eastAsia="Calibri" w:cstheme="minorHAnsi"/>
                <w:sz w:val="20"/>
                <w:szCs w:val="20"/>
                <w:lang w:val="es-AR"/>
              </w:rPr>
            </w:pPr>
            <w:proofErr w:type="spellStart"/>
            <w:r w:rsidRPr="00DB6A3C">
              <w:rPr>
                <w:rFonts w:eastAsia="Calibri" w:cstheme="minorHAnsi"/>
                <w:sz w:val="20"/>
                <w:szCs w:val="20"/>
                <w:lang w:val="es-AR"/>
              </w:rPr>
              <w:t>Southeastern</w:t>
            </w:r>
            <w:proofErr w:type="spellEnd"/>
            <w:r w:rsidRPr="00DB6A3C">
              <w:rPr>
                <w:rFonts w:eastAsia="Calibri" w:cstheme="minorHAnsi"/>
                <w:sz w:val="20"/>
                <w:szCs w:val="20"/>
                <w:lang w:val="es-AR"/>
              </w:rPr>
              <w:t xml:space="preserve"> Anatolia</w:t>
            </w:r>
          </w:p>
        </w:tc>
        <w:tc>
          <w:tcPr>
            <w:tcW w:w="1814" w:type="dxa"/>
            <w:shd w:val="clear" w:color="auto" w:fill="E6E6E6"/>
            <w:hideMark/>
          </w:tcPr>
          <w:p w14:paraId="426C3C25"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1460</w:t>
            </w:r>
          </w:p>
        </w:tc>
        <w:tc>
          <w:tcPr>
            <w:tcW w:w="1701" w:type="dxa"/>
            <w:shd w:val="clear" w:color="auto" w:fill="E6E6E6"/>
            <w:hideMark/>
          </w:tcPr>
          <w:p w14:paraId="4D4C3567"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2993</w:t>
            </w:r>
          </w:p>
        </w:tc>
      </w:tr>
      <w:tr w:rsidR="00AC1A29" w:rsidRPr="00DB6A3C" w14:paraId="35FED484" w14:textId="77777777" w:rsidTr="00BD3BDE">
        <w:trPr>
          <w:jc w:val="center"/>
        </w:trPr>
        <w:tc>
          <w:tcPr>
            <w:tcW w:w="0" w:type="auto"/>
            <w:hideMark/>
          </w:tcPr>
          <w:p w14:paraId="24E22665" w14:textId="77777777" w:rsidR="00AC1A29" w:rsidRPr="00DB6A3C" w:rsidRDefault="00AC1A29" w:rsidP="00BD3BDE">
            <w:pPr>
              <w:spacing w:after="60" w:line="259" w:lineRule="auto"/>
              <w:rPr>
                <w:rFonts w:eastAsia="Calibri" w:cstheme="minorHAnsi"/>
                <w:sz w:val="20"/>
                <w:szCs w:val="20"/>
                <w:lang w:val="es-AR"/>
              </w:rPr>
            </w:pPr>
            <w:proofErr w:type="spellStart"/>
            <w:r w:rsidRPr="00DB6A3C">
              <w:rPr>
                <w:rFonts w:eastAsia="Calibri" w:cstheme="minorHAnsi"/>
                <w:sz w:val="20"/>
                <w:szCs w:val="20"/>
                <w:lang w:val="es-AR"/>
              </w:rPr>
              <w:t>Mediterranean</w:t>
            </w:r>
            <w:proofErr w:type="spellEnd"/>
          </w:p>
        </w:tc>
        <w:tc>
          <w:tcPr>
            <w:tcW w:w="1814" w:type="dxa"/>
            <w:hideMark/>
          </w:tcPr>
          <w:p w14:paraId="12E7AD29"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1390</w:t>
            </w:r>
          </w:p>
        </w:tc>
        <w:tc>
          <w:tcPr>
            <w:tcW w:w="1701" w:type="dxa"/>
            <w:hideMark/>
          </w:tcPr>
          <w:p w14:paraId="5CEAC7C6"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2956</w:t>
            </w:r>
          </w:p>
        </w:tc>
      </w:tr>
      <w:tr w:rsidR="00AC1A29" w:rsidRPr="00DB6A3C" w14:paraId="79E612FA" w14:textId="77777777" w:rsidTr="00BD3BDE">
        <w:trPr>
          <w:jc w:val="center"/>
        </w:trPr>
        <w:tc>
          <w:tcPr>
            <w:tcW w:w="0" w:type="auto"/>
            <w:shd w:val="clear" w:color="auto" w:fill="E6E6E6"/>
            <w:hideMark/>
          </w:tcPr>
          <w:p w14:paraId="0C2BA0C7" w14:textId="77777777" w:rsidR="00AC1A29" w:rsidRPr="00DB6A3C" w:rsidRDefault="00AC1A29" w:rsidP="00BD3BDE">
            <w:pPr>
              <w:spacing w:after="60" w:line="259" w:lineRule="auto"/>
              <w:rPr>
                <w:rFonts w:eastAsia="Calibri" w:cstheme="minorHAnsi"/>
                <w:sz w:val="20"/>
                <w:szCs w:val="20"/>
                <w:lang w:val="es-AR"/>
              </w:rPr>
            </w:pPr>
            <w:r w:rsidRPr="00DB6A3C">
              <w:rPr>
                <w:rFonts w:eastAsia="Calibri" w:cstheme="minorHAnsi"/>
                <w:sz w:val="20"/>
                <w:szCs w:val="20"/>
                <w:lang w:val="es-AR"/>
              </w:rPr>
              <w:t>Eastern Anatolia</w:t>
            </w:r>
          </w:p>
        </w:tc>
        <w:tc>
          <w:tcPr>
            <w:tcW w:w="1814" w:type="dxa"/>
            <w:shd w:val="clear" w:color="auto" w:fill="E6E6E6"/>
            <w:hideMark/>
          </w:tcPr>
          <w:p w14:paraId="00C39716"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1365</w:t>
            </w:r>
          </w:p>
        </w:tc>
        <w:tc>
          <w:tcPr>
            <w:tcW w:w="1701" w:type="dxa"/>
            <w:shd w:val="clear" w:color="auto" w:fill="E6E6E6"/>
            <w:hideMark/>
          </w:tcPr>
          <w:p w14:paraId="6A87E195"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2664</w:t>
            </w:r>
          </w:p>
        </w:tc>
      </w:tr>
      <w:tr w:rsidR="00AC1A29" w:rsidRPr="00DB6A3C" w14:paraId="7BF6831F" w14:textId="77777777" w:rsidTr="00BD3BDE">
        <w:trPr>
          <w:jc w:val="center"/>
        </w:trPr>
        <w:tc>
          <w:tcPr>
            <w:tcW w:w="0" w:type="auto"/>
            <w:hideMark/>
          </w:tcPr>
          <w:p w14:paraId="0A73042C" w14:textId="77777777" w:rsidR="00AC1A29" w:rsidRPr="00DB6A3C" w:rsidRDefault="00AC1A29" w:rsidP="00BD3BDE">
            <w:pPr>
              <w:spacing w:after="60" w:line="259" w:lineRule="auto"/>
              <w:rPr>
                <w:rFonts w:eastAsia="Calibri" w:cstheme="minorHAnsi"/>
                <w:sz w:val="20"/>
                <w:szCs w:val="20"/>
                <w:lang w:val="es-AR"/>
              </w:rPr>
            </w:pPr>
            <w:r w:rsidRPr="00DB6A3C">
              <w:rPr>
                <w:rFonts w:eastAsia="Calibri" w:cstheme="minorHAnsi"/>
                <w:sz w:val="20"/>
                <w:szCs w:val="20"/>
                <w:lang w:val="es-AR"/>
              </w:rPr>
              <w:t>Central Anatolia</w:t>
            </w:r>
          </w:p>
        </w:tc>
        <w:tc>
          <w:tcPr>
            <w:tcW w:w="1814" w:type="dxa"/>
            <w:hideMark/>
          </w:tcPr>
          <w:p w14:paraId="7973CF7E"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1314</w:t>
            </w:r>
          </w:p>
        </w:tc>
        <w:tc>
          <w:tcPr>
            <w:tcW w:w="1701" w:type="dxa"/>
            <w:hideMark/>
          </w:tcPr>
          <w:p w14:paraId="6AEC07DC"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2628</w:t>
            </w:r>
          </w:p>
        </w:tc>
      </w:tr>
      <w:tr w:rsidR="00AC1A29" w:rsidRPr="00DB6A3C" w14:paraId="68E9F5EA" w14:textId="77777777" w:rsidTr="00BD3BDE">
        <w:trPr>
          <w:jc w:val="center"/>
        </w:trPr>
        <w:tc>
          <w:tcPr>
            <w:tcW w:w="0" w:type="auto"/>
            <w:shd w:val="clear" w:color="auto" w:fill="E6E6E6"/>
            <w:hideMark/>
          </w:tcPr>
          <w:p w14:paraId="3B11345F" w14:textId="77777777" w:rsidR="00AC1A29" w:rsidRPr="00DB6A3C" w:rsidRDefault="00AC1A29" w:rsidP="00BD3BDE">
            <w:pPr>
              <w:spacing w:after="60" w:line="259" w:lineRule="auto"/>
              <w:rPr>
                <w:rFonts w:eastAsia="Calibri" w:cstheme="minorHAnsi"/>
                <w:sz w:val="20"/>
                <w:szCs w:val="20"/>
                <w:lang w:val="es-AR"/>
              </w:rPr>
            </w:pPr>
            <w:proofErr w:type="spellStart"/>
            <w:r w:rsidRPr="00DB6A3C">
              <w:rPr>
                <w:rFonts w:eastAsia="Calibri" w:cstheme="minorHAnsi"/>
                <w:sz w:val="20"/>
                <w:szCs w:val="20"/>
                <w:lang w:val="es-AR"/>
              </w:rPr>
              <w:t>Aegean</w:t>
            </w:r>
            <w:proofErr w:type="spellEnd"/>
          </w:p>
        </w:tc>
        <w:tc>
          <w:tcPr>
            <w:tcW w:w="1814" w:type="dxa"/>
            <w:shd w:val="clear" w:color="auto" w:fill="E6E6E6"/>
            <w:hideMark/>
          </w:tcPr>
          <w:p w14:paraId="1E1300F2"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1304</w:t>
            </w:r>
          </w:p>
        </w:tc>
        <w:tc>
          <w:tcPr>
            <w:tcW w:w="1701" w:type="dxa"/>
            <w:shd w:val="clear" w:color="auto" w:fill="E6E6E6"/>
            <w:hideMark/>
          </w:tcPr>
          <w:p w14:paraId="5A1814FC"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2738</w:t>
            </w:r>
          </w:p>
        </w:tc>
      </w:tr>
      <w:tr w:rsidR="00AC1A29" w:rsidRPr="00DB6A3C" w14:paraId="1EFD8880" w14:textId="77777777" w:rsidTr="00BD3BDE">
        <w:trPr>
          <w:jc w:val="center"/>
        </w:trPr>
        <w:tc>
          <w:tcPr>
            <w:tcW w:w="0" w:type="auto"/>
            <w:hideMark/>
          </w:tcPr>
          <w:p w14:paraId="728C0133" w14:textId="77777777" w:rsidR="00AC1A29" w:rsidRPr="00DB6A3C" w:rsidRDefault="00AC1A29" w:rsidP="00BD3BDE">
            <w:pPr>
              <w:spacing w:after="60" w:line="259" w:lineRule="auto"/>
              <w:rPr>
                <w:rFonts w:eastAsia="Calibri" w:cstheme="minorHAnsi"/>
                <w:sz w:val="20"/>
                <w:szCs w:val="20"/>
                <w:lang w:val="es-AR"/>
              </w:rPr>
            </w:pPr>
            <w:proofErr w:type="spellStart"/>
            <w:r w:rsidRPr="00DB6A3C">
              <w:rPr>
                <w:rFonts w:eastAsia="Calibri" w:cstheme="minorHAnsi"/>
                <w:sz w:val="20"/>
                <w:szCs w:val="20"/>
                <w:lang w:val="es-AR"/>
              </w:rPr>
              <w:t>Marmara</w:t>
            </w:r>
            <w:proofErr w:type="spellEnd"/>
          </w:p>
        </w:tc>
        <w:tc>
          <w:tcPr>
            <w:tcW w:w="1814" w:type="dxa"/>
            <w:hideMark/>
          </w:tcPr>
          <w:p w14:paraId="0016F0A6"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1168</w:t>
            </w:r>
          </w:p>
        </w:tc>
        <w:tc>
          <w:tcPr>
            <w:tcW w:w="1701" w:type="dxa"/>
            <w:hideMark/>
          </w:tcPr>
          <w:p w14:paraId="0B1AD22C"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2409</w:t>
            </w:r>
          </w:p>
        </w:tc>
      </w:tr>
      <w:tr w:rsidR="00AC1A29" w:rsidRPr="00DB6A3C" w14:paraId="5111A18D" w14:textId="77777777" w:rsidTr="00BD3BDE">
        <w:trPr>
          <w:jc w:val="center"/>
        </w:trPr>
        <w:tc>
          <w:tcPr>
            <w:tcW w:w="0" w:type="auto"/>
            <w:shd w:val="clear" w:color="auto" w:fill="E6E6E6"/>
            <w:hideMark/>
          </w:tcPr>
          <w:p w14:paraId="7F6A6591" w14:textId="77777777" w:rsidR="00AC1A29" w:rsidRPr="00DB6A3C" w:rsidRDefault="00AC1A29" w:rsidP="00BD3BDE">
            <w:pPr>
              <w:spacing w:after="60" w:line="259" w:lineRule="auto"/>
              <w:rPr>
                <w:rFonts w:eastAsia="Calibri" w:cstheme="minorHAnsi"/>
                <w:sz w:val="20"/>
                <w:szCs w:val="20"/>
                <w:lang w:val="es-AR"/>
              </w:rPr>
            </w:pPr>
            <w:r w:rsidRPr="00DB6A3C">
              <w:rPr>
                <w:rFonts w:eastAsia="Calibri" w:cstheme="minorHAnsi"/>
                <w:sz w:val="20"/>
                <w:szCs w:val="20"/>
                <w:lang w:val="es-AR"/>
              </w:rPr>
              <w:t>Black Sea</w:t>
            </w:r>
          </w:p>
        </w:tc>
        <w:tc>
          <w:tcPr>
            <w:tcW w:w="1814" w:type="dxa"/>
            <w:shd w:val="clear" w:color="auto" w:fill="E6E6E6"/>
            <w:hideMark/>
          </w:tcPr>
          <w:p w14:paraId="2FC755DA"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1120</w:t>
            </w:r>
          </w:p>
        </w:tc>
        <w:tc>
          <w:tcPr>
            <w:tcW w:w="1701" w:type="dxa"/>
            <w:shd w:val="clear" w:color="auto" w:fill="E6E6E6"/>
            <w:hideMark/>
          </w:tcPr>
          <w:p w14:paraId="0D354E83" w14:textId="77777777" w:rsidR="00AC1A29" w:rsidRPr="00DB6A3C" w:rsidRDefault="00AC1A29" w:rsidP="00BD3BDE">
            <w:pPr>
              <w:spacing w:after="60" w:line="259" w:lineRule="auto"/>
              <w:jc w:val="center"/>
              <w:rPr>
                <w:rFonts w:eastAsia="Calibri" w:cstheme="minorHAnsi"/>
                <w:sz w:val="20"/>
                <w:szCs w:val="20"/>
                <w:lang w:val="es-AR"/>
              </w:rPr>
            </w:pPr>
            <w:r w:rsidRPr="00DB6A3C">
              <w:rPr>
                <w:rFonts w:eastAsia="Calibri" w:cstheme="minorHAnsi"/>
                <w:sz w:val="20"/>
                <w:szCs w:val="20"/>
                <w:lang w:val="es-AR"/>
              </w:rPr>
              <w:t>1971</w:t>
            </w:r>
          </w:p>
        </w:tc>
      </w:tr>
    </w:tbl>
    <w:p w14:paraId="4A4A83AF" w14:textId="77777777" w:rsidR="00BD3BDE" w:rsidRDefault="00BD3BDE" w:rsidP="00AC1A29">
      <w:pPr>
        <w:spacing w:after="160" w:line="259" w:lineRule="auto"/>
        <w:jc w:val="both"/>
        <w:rPr>
          <w:rFonts w:eastAsia="Calibri" w:cstheme="minorHAnsi"/>
          <w:sz w:val="20"/>
          <w:szCs w:val="20"/>
        </w:rPr>
      </w:pPr>
    </w:p>
    <w:p w14:paraId="49BFE21B" w14:textId="0F83C3C8" w:rsidR="00AC1A29" w:rsidRPr="00DB6A3C" w:rsidRDefault="007745AE" w:rsidP="00AC1A29">
      <w:pPr>
        <w:spacing w:after="160" w:line="259" w:lineRule="auto"/>
        <w:jc w:val="both"/>
        <w:rPr>
          <w:rFonts w:eastAsia="Calibri" w:cstheme="minorHAnsi"/>
          <w:sz w:val="20"/>
          <w:szCs w:val="20"/>
        </w:rPr>
      </w:pPr>
      <w:proofErr w:type="spellStart"/>
      <w:r>
        <w:rPr>
          <w:rFonts w:eastAsia="Calibri" w:cstheme="minorHAnsi"/>
          <w:sz w:val="20"/>
          <w:szCs w:val="20"/>
        </w:rPr>
        <w:t>Türkiye</w:t>
      </w:r>
      <w:r w:rsidR="00AC1A29" w:rsidRPr="00DB6A3C">
        <w:rPr>
          <w:rFonts w:eastAsia="Calibri" w:cstheme="minorHAnsi"/>
          <w:sz w:val="20"/>
          <w:szCs w:val="20"/>
        </w:rPr>
        <w:t>'s</w:t>
      </w:r>
      <w:proofErr w:type="spellEnd"/>
      <w:r w:rsidR="00AC1A29" w:rsidRPr="00DB6A3C">
        <w:rPr>
          <w:rFonts w:eastAsia="Calibri" w:cstheme="minorHAnsi"/>
          <w:sz w:val="20"/>
          <w:szCs w:val="20"/>
        </w:rPr>
        <w:t xml:space="preserve"> region with the greatest potential to benefit from solar energy is the South-eastern Anatolia Region. This place has a strong and cold climate and receives the most radiation in winter. Altitude is high. The air condenses in the form of water vapor, rain and snow, and the atmosphere is clearer and radiation shielding is minimal. The Mediterranean Region is our second largest region. The region receiving the least radiation is the </w:t>
      </w:r>
      <w:r w:rsidR="00AC1A29" w:rsidRPr="00DB6A3C">
        <w:rPr>
          <w:rFonts w:eastAsia="Calibri" w:cstheme="minorHAnsi"/>
          <w:sz w:val="20"/>
          <w:szCs w:val="20"/>
        </w:rPr>
        <w:lastRenderedPageBreak/>
        <w:t xml:space="preserve">Central and Eastern Black Sea Region. This region has both a high latitude and a humid climate. Excess water vapor in the atmosphere causes the radiation to be shielded. </w:t>
      </w:r>
      <w:r w:rsidR="00AC1A29" w:rsidRPr="00DB6A3C">
        <w:rPr>
          <w:rFonts w:eastAsia="Calibri" w:cstheme="minorHAnsi"/>
          <w:sz w:val="20"/>
          <w:szCs w:val="20"/>
          <w:vertAlign w:val="superscript"/>
        </w:rPr>
        <w:footnoteReference w:id="11"/>
      </w:r>
    </w:p>
    <w:p w14:paraId="2469F6B7" w14:textId="77777777" w:rsidR="00AC1A29" w:rsidRPr="00DB6A3C" w:rsidRDefault="00AC1A29" w:rsidP="001B60EE">
      <w:pPr>
        <w:numPr>
          <w:ilvl w:val="0"/>
          <w:numId w:val="6"/>
        </w:numPr>
        <w:spacing w:after="160" w:line="259" w:lineRule="auto"/>
        <w:contextualSpacing/>
        <w:rPr>
          <w:rFonts w:eastAsia="Calibri" w:cstheme="minorHAnsi"/>
          <w:b/>
          <w:bCs/>
          <w:sz w:val="20"/>
          <w:szCs w:val="20"/>
          <w:lang w:val="es-AR"/>
        </w:rPr>
      </w:pPr>
      <w:r w:rsidRPr="00DB6A3C">
        <w:rPr>
          <w:rFonts w:eastAsia="Calibri" w:cstheme="minorHAnsi"/>
          <w:b/>
          <w:bCs/>
          <w:sz w:val="20"/>
          <w:szCs w:val="20"/>
          <w:lang w:val="es-AR"/>
        </w:rPr>
        <w:t>Geotermal</w:t>
      </w:r>
    </w:p>
    <w:p w14:paraId="102A9EA1" w14:textId="43DE45FF"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Geothermal energy is the heat energy transported to the surface by hot water, steam and gases which are above the regional atmospheric average temperature and may contain more dissolved minerals, various salts, and gases than the ground and surface waters around it.</w:t>
      </w:r>
      <w:r w:rsidRPr="00DB6A3C">
        <w:rPr>
          <w:rFonts w:eastAsia="Calibri" w:cstheme="minorHAnsi"/>
          <w:sz w:val="20"/>
          <w:szCs w:val="20"/>
          <w:vertAlign w:val="superscript"/>
        </w:rPr>
        <w:footnoteReference w:id="12"/>
      </w:r>
      <w:r w:rsidRPr="00DB6A3C">
        <w:rPr>
          <w:rFonts w:eastAsia="Calibri" w:cstheme="minorHAnsi"/>
          <w:sz w:val="20"/>
          <w:szCs w:val="20"/>
        </w:rPr>
        <w:t xml:space="preserve"> In </w:t>
      </w:r>
      <w:r w:rsidR="007745AE">
        <w:rPr>
          <w:rFonts w:eastAsia="Calibri" w:cstheme="minorHAnsi"/>
          <w:sz w:val="20"/>
          <w:szCs w:val="20"/>
        </w:rPr>
        <w:t>Türkiye</w:t>
      </w:r>
      <w:r w:rsidRPr="00DB6A3C">
        <w:rPr>
          <w:rFonts w:eastAsia="Calibri" w:cstheme="minorHAnsi"/>
          <w:sz w:val="20"/>
          <w:szCs w:val="20"/>
        </w:rPr>
        <w:t xml:space="preserve">, approximately 61,000 residences are currently heated by geothermal fluids. A total of 665 </w:t>
      </w:r>
      <w:proofErr w:type="spellStart"/>
      <w:r w:rsidRPr="00DB6A3C">
        <w:rPr>
          <w:rFonts w:eastAsia="Calibri" w:cstheme="minorHAnsi"/>
          <w:sz w:val="20"/>
          <w:szCs w:val="20"/>
        </w:rPr>
        <w:t>MW</w:t>
      </w:r>
      <w:r w:rsidRPr="00DB6A3C">
        <w:rPr>
          <w:rFonts w:eastAsia="Calibri" w:cstheme="minorHAnsi"/>
          <w:sz w:val="20"/>
          <w:szCs w:val="20"/>
          <w:vertAlign w:val="subscript"/>
        </w:rPr>
        <w:t>t</w:t>
      </w:r>
      <w:proofErr w:type="spellEnd"/>
      <w:r w:rsidRPr="00DB6A3C">
        <w:rPr>
          <w:rFonts w:eastAsia="Calibri" w:cstheme="minorHAnsi"/>
          <w:sz w:val="20"/>
          <w:szCs w:val="20"/>
        </w:rPr>
        <w:t> is utilized for space heating of residential, public, and private property, and 565,000 m</w:t>
      </w:r>
      <w:r w:rsidRPr="00DB6A3C">
        <w:rPr>
          <w:rFonts w:eastAsia="Calibri" w:cstheme="minorHAnsi"/>
          <w:sz w:val="20"/>
          <w:szCs w:val="20"/>
          <w:vertAlign w:val="superscript"/>
        </w:rPr>
        <w:t>2</w:t>
      </w:r>
      <w:r w:rsidRPr="00DB6A3C">
        <w:rPr>
          <w:rFonts w:eastAsia="Calibri" w:cstheme="minorHAnsi"/>
          <w:sz w:val="20"/>
          <w:szCs w:val="20"/>
        </w:rPr>
        <w:t xml:space="preserve"> of greenhouses. The proven geothermal heat capacity, according to data from existing geothermal wells and natural discharges, is 3132 </w:t>
      </w:r>
      <w:proofErr w:type="spellStart"/>
      <w:r w:rsidRPr="00DB6A3C">
        <w:rPr>
          <w:rFonts w:eastAsia="Calibri" w:cstheme="minorHAnsi"/>
          <w:sz w:val="20"/>
          <w:szCs w:val="20"/>
        </w:rPr>
        <w:t>MWt</w:t>
      </w:r>
      <w:proofErr w:type="spellEnd"/>
      <w:r w:rsidRPr="00DB6A3C">
        <w:rPr>
          <w:rFonts w:eastAsia="Calibri" w:cstheme="minorHAnsi"/>
          <w:sz w:val="20"/>
          <w:szCs w:val="20"/>
        </w:rPr>
        <w:t>. </w:t>
      </w:r>
      <w:r w:rsidRPr="00DB6A3C">
        <w:rPr>
          <w:rFonts w:eastAsia="Calibri" w:cstheme="minorHAnsi"/>
          <w:sz w:val="20"/>
          <w:szCs w:val="20"/>
          <w:vertAlign w:val="superscript"/>
        </w:rPr>
        <w:footnoteReference w:id="13"/>
      </w:r>
    </w:p>
    <w:p w14:paraId="4E14394A" w14:textId="782CF2ED" w:rsidR="00AC1A29" w:rsidRPr="00DB6A3C" w:rsidRDefault="007745AE" w:rsidP="00AC1A29">
      <w:pPr>
        <w:spacing w:after="160" w:line="259" w:lineRule="auto"/>
        <w:jc w:val="both"/>
        <w:rPr>
          <w:rFonts w:eastAsia="Calibri" w:cstheme="minorHAnsi"/>
          <w:sz w:val="20"/>
          <w:szCs w:val="20"/>
        </w:rPr>
      </w:pPr>
      <w:r>
        <w:rPr>
          <w:rFonts w:eastAsia="Calibri" w:cstheme="minorHAnsi"/>
          <w:sz w:val="20"/>
          <w:szCs w:val="20"/>
        </w:rPr>
        <w:t>Türkiye</w:t>
      </w:r>
      <w:r w:rsidR="00AC1A29" w:rsidRPr="00DB6A3C">
        <w:rPr>
          <w:rFonts w:eastAsia="Calibri" w:cstheme="minorHAnsi"/>
          <w:sz w:val="20"/>
          <w:szCs w:val="20"/>
        </w:rPr>
        <w:t xml:space="preserve"> is Europe's 1st country in terms of installed capacity and in point of its geothermal potential is the world's 4th country. Top five countries in this area are the USA, Indonesia, Philippines, </w:t>
      </w:r>
      <w:r>
        <w:rPr>
          <w:rFonts w:eastAsia="Calibri" w:cstheme="minorHAnsi"/>
          <w:sz w:val="20"/>
          <w:szCs w:val="20"/>
        </w:rPr>
        <w:t>Türkiye</w:t>
      </w:r>
      <w:r w:rsidR="00AC1A29" w:rsidRPr="00DB6A3C">
        <w:rPr>
          <w:rFonts w:eastAsia="Calibri" w:cstheme="minorHAnsi"/>
          <w:sz w:val="20"/>
          <w:szCs w:val="20"/>
        </w:rPr>
        <w:t>, and New Zealand</w:t>
      </w:r>
    </w:p>
    <w:p w14:paraId="78E6AB90" w14:textId="33442F4B" w:rsidR="00AC1A29" w:rsidRPr="00DB6A3C" w:rsidRDefault="007745AE" w:rsidP="00AC1A29">
      <w:pPr>
        <w:spacing w:after="160" w:line="259" w:lineRule="auto"/>
        <w:jc w:val="both"/>
        <w:rPr>
          <w:rFonts w:eastAsia="Calibri" w:cstheme="minorHAnsi"/>
          <w:sz w:val="20"/>
          <w:szCs w:val="20"/>
        </w:rPr>
      </w:pPr>
      <w:r>
        <w:rPr>
          <w:rFonts w:eastAsia="Calibri" w:cstheme="minorHAnsi"/>
          <w:sz w:val="20"/>
          <w:szCs w:val="20"/>
        </w:rPr>
        <w:t>Türkiye</w:t>
      </w:r>
      <w:r w:rsidR="00AC1A29" w:rsidRPr="00DB6A3C">
        <w:rPr>
          <w:rFonts w:eastAsia="Calibri" w:cstheme="minorHAnsi"/>
          <w:sz w:val="20"/>
          <w:szCs w:val="20"/>
        </w:rPr>
        <w:t xml:space="preserve"> is located on an active tectonic zone as geological and geographical location and for this reason our country is rich in terms of geothermal energy resources. </w:t>
      </w:r>
      <w:r>
        <w:rPr>
          <w:rFonts w:eastAsia="Calibri" w:cstheme="minorHAnsi"/>
          <w:sz w:val="20"/>
          <w:szCs w:val="20"/>
        </w:rPr>
        <w:t>Türkiye</w:t>
      </w:r>
      <w:r w:rsidR="00AC1A29" w:rsidRPr="00DB6A3C">
        <w:rPr>
          <w:rFonts w:eastAsia="Calibri" w:cstheme="minorHAnsi"/>
          <w:sz w:val="20"/>
          <w:szCs w:val="20"/>
        </w:rPr>
        <w:t xml:space="preserve"> have approximately 1.000 geothermal springs that located all over the country that have various of temperatures.</w:t>
      </w:r>
    </w:p>
    <w:p w14:paraId="4450B1CB"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The geothermal capacity of our country is extremely high. 78% of these geothermal fields are situated in Western Anatolia, 9% in Central Anatolia, 7% in the Marmara Region, 5% in Eastern Anatolia and 1% in the other regions. 90% of our geothermal resources are low and medium enthalpy geothermal areas which are suitable for direct applications (heating, thermal tourism, industrial usage, etc.), while 10% are suitable for indirect applications (generation of electricity). First geothermal electricity generation held in 1975 was initiated by </w:t>
      </w:r>
      <w:proofErr w:type="spellStart"/>
      <w:r w:rsidRPr="00DB6A3C">
        <w:rPr>
          <w:rFonts w:eastAsia="Calibri" w:cstheme="minorHAnsi"/>
          <w:sz w:val="20"/>
          <w:szCs w:val="20"/>
        </w:rPr>
        <w:t>Kızıldere</w:t>
      </w:r>
      <w:proofErr w:type="spellEnd"/>
      <w:r w:rsidRPr="00DB6A3C">
        <w:rPr>
          <w:rFonts w:eastAsia="Calibri" w:cstheme="minorHAnsi"/>
          <w:sz w:val="20"/>
          <w:szCs w:val="20"/>
        </w:rPr>
        <w:t xml:space="preserve"> power plant with 0.5 </w:t>
      </w:r>
      <w:proofErr w:type="spellStart"/>
      <w:r w:rsidRPr="00DB6A3C">
        <w:rPr>
          <w:rFonts w:eastAsia="Calibri" w:cstheme="minorHAnsi"/>
          <w:sz w:val="20"/>
          <w:szCs w:val="20"/>
        </w:rPr>
        <w:t>MWe</w:t>
      </w:r>
      <w:proofErr w:type="spellEnd"/>
      <w:r w:rsidRPr="00DB6A3C">
        <w:rPr>
          <w:rFonts w:eastAsia="Calibri" w:cstheme="minorHAnsi"/>
          <w:sz w:val="20"/>
          <w:szCs w:val="20"/>
        </w:rPr>
        <w:t xml:space="preserve"> power.</w:t>
      </w:r>
    </w:p>
    <w:p w14:paraId="66C18399" w14:textId="12B09EB0" w:rsidR="00AC1A29"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To develop existing resources and to search for new resources/fields, drillings reached from 2.000 meters to 28.000 meters. Since 2005, with the support of the Ministry of Energy and Natural Resources, the development of existing geothermal resources initiated and began to search for new potential areas. In 2008, in conjunction with the Geothermal Resources and Natural Mineralized Waters Law, private sector began to introduce development and investment of geothermal projects also. In conjunction with this development, the country's total geothermal heat capacity (visible amount of heat) reached to 35.500 </w:t>
      </w:r>
      <w:proofErr w:type="spellStart"/>
      <w:r w:rsidRPr="00DB6A3C">
        <w:rPr>
          <w:rFonts w:eastAsia="Calibri" w:cstheme="minorHAnsi"/>
          <w:sz w:val="20"/>
          <w:szCs w:val="20"/>
        </w:rPr>
        <w:t>MWt</w:t>
      </w:r>
      <w:proofErr w:type="spellEnd"/>
      <w:r w:rsidRPr="00DB6A3C">
        <w:rPr>
          <w:rFonts w:eastAsia="Calibri" w:cstheme="minorHAnsi"/>
          <w:sz w:val="20"/>
          <w:szCs w:val="20"/>
        </w:rPr>
        <w:t>.</w:t>
      </w:r>
    </w:p>
    <w:p w14:paraId="1CC47465" w14:textId="12436D17" w:rsidR="003A7BFE" w:rsidRDefault="003A7BFE">
      <w:pPr>
        <w:rPr>
          <w:rFonts w:eastAsia="Calibri" w:cstheme="minorHAnsi"/>
          <w:sz w:val="20"/>
          <w:szCs w:val="20"/>
        </w:rPr>
      </w:pPr>
      <w:r>
        <w:rPr>
          <w:rFonts w:eastAsia="Calibri" w:cstheme="minorHAnsi"/>
          <w:sz w:val="20"/>
          <w:szCs w:val="20"/>
        </w:rPr>
        <w:br w:type="page"/>
      </w:r>
    </w:p>
    <w:p w14:paraId="28E27008" w14:textId="77777777" w:rsidR="00AC1A29" w:rsidRPr="00DB6A3C" w:rsidRDefault="00AC1A29" w:rsidP="001B60EE">
      <w:pPr>
        <w:numPr>
          <w:ilvl w:val="0"/>
          <w:numId w:val="6"/>
        </w:numPr>
        <w:spacing w:after="160" w:line="259" w:lineRule="auto"/>
        <w:contextualSpacing/>
        <w:rPr>
          <w:rFonts w:eastAsia="Calibri" w:cstheme="minorHAnsi"/>
          <w:b/>
          <w:bCs/>
          <w:sz w:val="20"/>
          <w:szCs w:val="20"/>
          <w:lang w:val="es-AR"/>
        </w:rPr>
      </w:pPr>
      <w:r w:rsidRPr="00DB6A3C">
        <w:rPr>
          <w:rFonts w:eastAsia="Calibri" w:cstheme="minorHAnsi"/>
          <w:sz w:val="20"/>
          <w:szCs w:val="20"/>
        </w:rPr>
        <w:lastRenderedPageBreak/>
        <w:t> </w:t>
      </w:r>
      <w:proofErr w:type="spellStart"/>
      <w:r w:rsidRPr="00DB6A3C">
        <w:rPr>
          <w:rFonts w:eastAsia="Calibri" w:cstheme="minorHAnsi"/>
          <w:b/>
          <w:bCs/>
          <w:sz w:val="20"/>
          <w:szCs w:val="20"/>
          <w:lang w:val="es-AR"/>
        </w:rPr>
        <w:t>Biomass</w:t>
      </w:r>
      <w:proofErr w:type="spellEnd"/>
    </w:p>
    <w:p w14:paraId="11F0A885" w14:textId="77777777"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Biomass can be defined as the total mass of living organisms that belong to a society consists of species or consist of several species. Biomass is also defined as an organic carbon.</w:t>
      </w:r>
    </w:p>
    <w:p w14:paraId="587D9FFA" w14:textId="77777777" w:rsidR="00AC1A29" w:rsidRPr="00DB6A3C" w:rsidRDefault="00AC1A29" w:rsidP="00AC1A29">
      <w:pPr>
        <w:spacing w:after="160" w:line="259" w:lineRule="auto"/>
        <w:rPr>
          <w:rFonts w:eastAsia="Calibri" w:cstheme="minorHAnsi"/>
          <w:sz w:val="20"/>
          <w:szCs w:val="20"/>
        </w:rPr>
      </w:pPr>
      <w:r w:rsidRPr="00DB6A3C">
        <w:rPr>
          <w:rFonts w:eastAsia="Calibri" w:cstheme="minorHAnsi"/>
          <w:b/>
          <w:bCs/>
          <w:sz w:val="20"/>
          <w:szCs w:val="20"/>
        </w:rPr>
        <w:t xml:space="preserve">The main biomass resources include: </w:t>
      </w:r>
      <w:r w:rsidRPr="00DB6A3C">
        <w:rPr>
          <w:rFonts w:eastAsia="Calibri" w:cstheme="minorHAnsi"/>
          <w:sz w:val="20"/>
          <w:szCs w:val="20"/>
        </w:rPr>
        <w:t> </w:t>
      </w:r>
    </w:p>
    <w:p w14:paraId="666F135C" w14:textId="77777777" w:rsidR="00AC1A29" w:rsidRPr="00DB6A3C" w:rsidRDefault="00AC1A29" w:rsidP="001B60EE">
      <w:pPr>
        <w:numPr>
          <w:ilvl w:val="0"/>
          <w:numId w:val="8"/>
        </w:numPr>
        <w:spacing w:after="160" w:line="259" w:lineRule="auto"/>
        <w:contextualSpacing/>
        <w:rPr>
          <w:rFonts w:eastAsia="Calibri" w:cstheme="minorHAnsi"/>
          <w:sz w:val="20"/>
          <w:szCs w:val="20"/>
        </w:rPr>
      </w:pPr>
      <w:r w:rsidRPr="00DB6A3C">
        <w:rPr>
          <w:rFonts w:eastAsia="Calibri" w:cstheme="minorHAnsi"/>
          <w:b/>
          <w:bCs/>
          <w:sz w:val="20"/>
          <w:szCs w:val="20"/>
        </w:rPr>
        <w:t>Herbal Biomass Resources</w:t>
      </w:r>
      <w:r w:rsidRPr="00DB6A3C">
        <w:rPr>
          <w:rFonts w:eastAsia="Calibri" w:cstheme="minorHAnsi"/>
          <w:b/>
          <w:bCs/>
          <w:sz w:val="20"/>
          <w:szCs w:val="20"/>
          <w:vertAlign w:val="superscript"/>
          <w:lang w:val="es-AR"/>
        </w:rPr>
        <w:footnoteReference w:id="14"/>
      </w:r>
    </w:p>
    <w:p w14:paraId="4E468C95" w14:textId="77777777" w:rsidR="00AC1A29" w:rsidRPr="00DB6A3C" w:rsidRDefault="00AC1A29" w:rsidP="001B60EE">
      <w:pPr>
        <w:numPr>
          <w:ilvl w:val="0"/>
          <w:numId w:val="8"/>
        </w:numPr>
        <w:spacing w:after="160" w:line="259" w:lineRule="auto"/>
        <w:contextualSpacing/>
        <w:rPr>
          <w:rFonts w:eastAsia="Calibri" w:cstheme="minorHAnsi"/>
          <w:sz w:val="20"/>
          <w:szCs w:val="20"/>
        </w:rPr>
      </w:pPr>
      <w:r w:rsidRPr="00DB6A3C">
        <w:rPr>
          <w:rFonts w:eastAsia="Calibri" w:cstheme="minorHAnsi"/>
          <w:b/>
          <w:bCs/>
          <w:sz w:val="20"/>
          <w:szCs w:val="20"/>
        </w:rPr>
        <w:t>Forest and Forestry Product Biomass Resources </w:t>
      </w:r>
      <w:r w:rsidRPr="00DB6A3C">
        <w:rPr>
          <w:rFonts w:eastAsia="Calibri" w:cstheme="minorHAnsi"/>
          <w:b/>
          <w:bCs/>
          <w:sz w:val="20"/>
          <w:szCs w:val="20"/>
          <w:vertAlign w:val="superscript"/>
        </w:rPr>
        <w:footnoteReference w:id="15"/>
      </w:r>
      <w:r w:rsidRPr="00DB6A3C">
        <w:rPr>
          <w:rFonts w:eastAsia="Calibri" w:cstheme="minorHAnsi"/>
          <w:sz w:val="20"/>
          <w:szCs w:val="20"/>
        </w:rPr>
        <w:t> </w:t>
      </w:r>
    </w:p>
    <w:p w14:paraId="038C1A02" w14:textId="77777777" w:rsidR="00AC1A29" w:rsidRPr="00DB6A3C" w:rsidRDefault="00AC1A29" w:rsidP="001B60EE">
      <w:pPr>
        <w:numPr>
          <w:ilvl w:val="0"/>
          <w:numId w:val="8"/>
        </w:numPr>
        <w:spacing w:after="160" w:line="259" w:lineRule="auto"/>
        <w:contextualSpacing/>
        <w:rPr>
          <w:rFonts w:eastAsia="Calibri" w:cstheme="minorHAnsi"/>
          <w:b/>
          <w:bCs/>
          <w:sz w:val="20"/>
          <w:szCs w:val="20"/>
        </w:rPr>
      </w:pPr>
      <w:r w:rsidRPr="00DB6A3C">
        <w:rPr>
          <w:rFonts w:eastAsia="Calibri" w:cstheme="minorHAnsi"/>
          <w:b/>
          <w:bCs/>
          <w:sz w:val="20"/>
          <w:szCs w:val="20"/>
        </w:rPr>
        <w:t>Animal Biomass Resources</w:t>
      </w:r>
      <w:r w:rsidRPr="00DB6A3C">
        <w:rPr>
          <w:rFonts w:eastAsia="Calibri" w:cstheme="minorHAnsi"/>
          <w:b/>
          <w:bCs/>
          <w:sz w:val="20"/>
          <w:szCs w:val="20"/>
          <w:vertAlign w:val="superscript"/>
          <w:lang w:val="es-AR"/>
        </w:rPr>
        <w:footnoteReference w:id="16"/>
      </w:r>
      <w:r w:rsidRPr="00DB6A3C">
        <w:rPr>
          <w:rFonts w:eastAsia="Calibri" w:cstheme="minorHAnsi"/>
          <w:b/>
          <w:bCs/>
          <w:sz w:val="20"/>
          <w:szCs w:val="20"/>
        </w:rPr>
        <w:t> </w:t>
      </w:r>
    </w:p>
    <w:p w14:paraId="30CE6517" w14:textId="47A9AB80" w:rsidR="00AC1A29" w:rsidRPr="00864E79" w:rsidRDefault="00AC1A29" w:rsidP="001B60EE">
      <w:pPr>
        <w:numPr>
          <w:ilvl w:val="0"/>
          <w:numId w:val="8"/>
        </w:numPr>
        <w:spacing w:after="160" w:line="259" w:lineRule="auto"/>
        <w:contextualSpacing/>
        <w:rPr>
          <w:rFonts w:eastAsia="Calibri" w:cstheme="minorHAnsi"/>
          <w:sz w:val="20"/>
          <w:szCs w:val="20"/>
        </w:rPr>
      </w:pPr>
      <w:r w:rsidRPr="00DB6A3C">
        <w:rPr>
          <w:rFonts w:eastAsia="Calibri" w:cstheme="minorHAnsi"/>
          <w:b/>
          <w:bCs/>
          <w:sz w:val="20"/>
          <w:szCs w:val="20"/>
        </w:rPr>
        <w:t>Organic wastes, biomass resources obtained from urban and industrial wastes</w:t>
      </w:r>
      <w:r w:rsidRPr="00DB6A3C">
        <w:rPr>
          <w:rFonts w:eastAsia="Calibri" w:cstheme="minorHAnsi"/>
          <w:b/>
          <w:bCs/>
          <w:sz w:val="20"/>
          <w:szCs w:val="20"/>
          <w:vertAlign w:val="superscript"/>
        </w:rPr>
        <w:footnoteReference w:id="17"/>
      </w:r>
    </w:p>
    <w:p w14:paraId="53251595" w14:textId="77777777" w:rsidR="00864E79" w:rsidRPr="00DB6A3C" w:rsidRDefault="00864E79" w:rsidP="00864E79">
      <w:pPr>
        <w:spacing w:after="160" w:line="259" w:lineRule="auto"/>
        <w:ind w:left="801"/>
        <w:contextualSpacing/>
        <w:rPr>
          <w:rFonts w:eastAsia="Calibri" w:cstheme="minorHAnsi"/>
          <w:sz w:val="20"/>
          <w:szCs w:val="20"/>
        </w:rPr>
      </w:pPr>
    </w:p>
    <w:p w14:paraId="7908FD31" w14:textId="2A4ECF84"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 xml:space="preserve">It is estimated that the biomass potential in </w:t>
      </w:r>
      <w:r w:rsidR="007745AE">
        <w:rPr>
          <w:rFonts w:eastAsia="Calibri" w:cstheme="minorHAnsi"/>
          <w:sz w:val="20"/>
          <w:szCs w:val="20"/>
        </w:rPr>
        <w:t>Türkiye</w:t>
      </w:r>
      <w:r w:rsidRPr="00DB6A3C">
        <w:rPr>
          <w:rFonts w:eastAsia="Calibri" w:cstheme="minorHAnsi"/>
          <w:sz w:val="20"/>
          <w:szCs w:val="20"/>
        </w:rPr>
        <w:t xml:space="preserve"> is about 8,6 million tonnes of equivalent petrol (MTEP), and biogas quantities that can be produced from biomass is 1,5-2 MTEP.</w:t>
      </w:r>
    </w:p>
    <w:p w14:paraId="68E638D5" w14:textId="77777777" w:rsidR="00AC1A29" w:rsidRPr="00DB6A3C" w:rsidRDefault="00AC1A29" w:rsidP="001B60EE">
      <w:pPr>
        <w:numPr>
          <w:ilvl w:val="0"/>
          <w:numId w:val="6"/>
        </w:numPr>
        <w:spacing w:after="160" w:line="259" w:lineRule="auto"/>
        <w:contextualSpacing/>
        <w:rPr>
          <w:rFonts w:eastAsia="Calibri" w:cstheme="minorHAnsi"/>
          <w:b/>
          <w:bCs/>
          <w:sz w:val="20"/>
          <w:szCs w:val="20"/>
          <w:lang w:val="es-AR"/>
        </w:rPr>
      </w:pPr>
      <w:r w:rsidRPr="00DB6A3C">
        <w:rPr>
          <w:rFonts w:eastAsia="Calibri" w:cstheme="minorHAnsi"/>
          <w:b/>
          <w:bCs/>
          <w:sz w:val="20"/>
          <w:szCs w:val="20"/>
          <w:lang w:val="es-AR"/>
        </w:rPr>
        <w:t>Nuclear</w:t>
      </w:r>
    </w:p>
    <w:p w14:paraId="631F4348"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Nuclear energy is an energy which occurs by splitting (fission) big atoms (Uranium, plutonium) or by merging (fusion) small atoms (like hydrogen). The spread of nuclear power plants began with the oil crisis of the early 1970s. Countries that do not have oil and other hydrocarbon resources have inclined to nuclear power plants to reduce their dependence on these resources and ensure security of energy supply. Nuclear power plants continue to be established all over the world, despite a slowdown due to accidents Three Mile Island (TMI) in the US in 1979 and Chernobyl incident in Soviet Russia on 1986 (today in the Ukrainian borders).</w:t>
      </w:r>
    </w:p>
    <w:p w14:paraId="4164FD51"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The concept of safety culture came to fore in the light of the lessons learned from these accidents. There have been both administrative and technical improvements to establish and operate safer nuclear power plants all over the world. On the one hand, the establishment and operation of nuclear inspecting institutions began to be monitored and controlled; On the other hand, new techniques, technology, standardization, and quality systems have been developed to produce safer equipment and systems.</w:t>
      </w:r>
    </w:p>
    <w:p w14:paraId="5A56F64C"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Nowadays, nuclear power plants have become an electricity source preferred by countries due to their unique characteristics. The need for a reliable, affordable, sustainable, and accessible energy source with increased environmental awareness places more emphasis on nuclear power plants than other alternatives.</w:t>
      </w:r>
      <w:r w:rsidRPr="00DB6A3C">
        <w:rPr>
          <w:rFonts w:eastAsia="Calibri" w:cstheme="minorHAnsi"/>
          <w:sz w:val="20"/>
          <w:szCs w:val="20"/>
          <w:vertAlign w:val="superscript"/>
        </w:rPr>
        <w:footnoteReference w:id="18"/>
      </w:r>
      <w:r w:rsidRPr="00DB6A3C">
        <w:rPr>
          <w:rFonts w:eastAsia="Calibri" w:cstheme="minorHAnsi"/>
          <w:sz w:val="20"/>
          <w:szCs w:val="20"/>
          <w:vertAlign w:val="superscript"/>
        </w:rPr>
        <w:footnoteReference w:id="19"/>
      </w:r>
    </w:p>
    <w:p w14:paraId="5533B4B3" w14:textId="24185302"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lastRenderedPageBreak/>
        <w:t xml:space="preserve">The half-century goal of </w:t>
      </w:r>
      <w:r w:rsidR="007745AE">
        <w:rPr>
          <w:rFonts w:eastAsia="Calibri" w:cstheme="minorHAnsi"/>
          <w:sz w:val="20"/>
          <w:szCs w:val="20"/>
        </w:rPr>
        <w:t>Türkiye</w:t>
      </w:r>
      <w:r w:rsidRPr="00DB6A3C">
        <w:rPr>
          <w:rFonts w:eastAsia="Calibri" w:cstheme="minorHAnsi"/>
          <w:sz w:val="20"/>
          <w:szCs w:val="20"/>
        </w:rPr>
        <w:t xml:space="preserve"> to establish a nuclear power plant has begun to actualize with the signing of the Intergovernmental Agreement on Cooperation on the Establishment and Operation of a Nuclear Power Plant on Akkuyu Site between Government of Turkish Republic and the Russian Federation on 12 May 2010. Within the scope of mentioned agreement process, the Project Company was established on 13 December 2010 in Ankara with the name of Akkuyu </w:t>
      </w:r>
      <w:proofErr w:type="spellStart"/>
      <w:r w:rsidRPr="00DB6A3C">
        <w:rPr>
          <w:rFonts w:eastAsia="Calibri" w:cstheme="minorHAnsi"/>
          <w:sz w:val="20"/>
          <w:szCs w:val="20"/>
        </w:rPr>
        <w:t>Nükleer</w:t>
      </w:r>
      <w:proofErr w:type="spellEnd"/>
      <w:r w:rsidRPr="00DB6A3C">
        <w:rPr>
          <w:rFonts w:eastAsia="Calibri" w:cstheme="minorHAnsi"/>
          <w:sz w:val="20"/>
          <w:szCs w:val="20"/>
        </w:rPr>
        <w:t xml:space="preserve"> A.Ş. In the meantime, positive decision on </w:t>
      </w:r>
      <w:bookmarkStart w:id="13" w:name="_Hlk70258493"/>
      <w:r w:rsidRPr="00DB6A3C">
        <w:rPr>
          <w:rFonts w:eastAsia="Calibri" w:cstheme="minorHAnsi"/>
          <w:sz w:val="20"/>
          <w:szCs w:val="20"/>
        </w:rPr>
        <w:t xml:space="preserve">Environmental Impact Assessment (EIA) </w:t>
      </w:r>
      <w:bookmarkEnd w:id="13"/>
      <w:r w:rsidRPr="00DB6A3C">
        <w:rPr>
          <w:rFonts w:eastAsia="Calibri" w:cstheme="minorHAnsi"/>
          <w:sz w:val="20"/>
          <w:szCs w:val="20"/>
        </w:rPr>
        <w:t xml:space="preserve">report (December 2014) was obtained from Ministry of Environment and Urban Planning and 36 months electricity production license was obtained from Energy Market Regulatory Authority. The Site Parameters Report prepared by Akkuyu </w:t>
      </w:r>
      <w:proofErr w:type="spellStart"/>
      <w:r w:rsidRPr="00DB6A3C">
        <w:rPr>
          <w:rFonts w:eastAsia="Calibri" w:cstheme="minorHAnsi"/>
          <w:sz w:val="20"/>
          <w:szCs w:val="20"/>
        </w:rPr>
        <w:t>Nükleer</w:t>
      </w:r>
      <w:proofErr w:type="spellEnd"/>
      <w:r w:rsidRPr="00DB6A3C">
        <w:rPr>
          <w:rFonts w:eastAsia="Calibri" w:cstheme="minorHAnsi"/>
          <w:sz w:val="20"/>
          <w:szCs w:val="20"/>
        </w:rPr>
        <w:t xml:space="preserve"> A.Ş. was submitted to TEAK, which is approved. Following the approval of this report, the construction license application which is a prerequisite for the construction of Akkuyu Nuclear Power Plant is submitted to TAEK. The ultimate objective is to get the first unit of Akkuyu Nuclear Power Plant to commissioned by 2023.</w:t>
      </w:r>
    </w:p>
    <w:p w14:paraId="3BA810DE"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On May 3, 2013, an intergovernmental agreement on nuclear power plant construction and cooperation for the </w:t>
      </w:r>
      <w:proofErr w:type="spellStart"/>
      <w:r w:rsidRPr="00DB6A3C">
        <w:rPr>
          <w:rFonts w:eastAsia="Calibri" w:cstheme="minorHAnsi"/>
          <w:sz w:val="20"/>
          <w:szCs w:val="20"/>
        </w:rPr>
        <w:t>Sinop</w:t>
      </w:r>
      <w:proofErr w:type="spellEnd"/>
      <w:r w:rsidRPr="00DB6A3C">
        <w:rPr>
          <w:rFonts w:eastAsia="Calibri" w:cstheme="minorHAnsi"/>
          <w:sz w:val="20"/>
          <w:szCs w:val="20"/>
        </w:rPr>
        <w:t xml:space="preserve"> Nuclear Power Plant which is the second nuclear power plant project of our country was signed with Japan.</w:t>
      </w:r>
    </w:p>
    <w:p w14:paraId="399BE652"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To meet the rapidly increasing demand for electric power and to reduce the risks arising from import dependency, it is planned to commission 2 nuclear power plants by 2023 and start the construction of the 3rd power plant.</w:t>
      </w:r>
    </w:p>
    <w:p w14:paraId="2CDFB12E" w14:textId="363D1869" w:rsidR="003A7BFE"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Nuclear power plants should be not regarded only as electricity generation facilities. The nuclear power plant project, which consists of approximately 550 thousand components and equipment, will provide added value to our country's industry together with the dynamism and employment opportunities it provides to other sectors</w:t>
      </w:r>
    </w:p>
    <w:p w14:paraId="1C9CFFF0" w14:textId="77777777" w:rsidR="00AC1A29" w:rsidRPr="00DB6A3C" w:rsidRDefault="00AC1A29" w:rsidP="001B60EE">
      <w:pPr>
        <w:numPr>
          <w:ilvl w:val="0"/>
          <w:numId w:val="6"/>
        </w:numPr>
        <w:spacing w:after="160" w:line="259" w:lineRule="auto"/>
        <w:contextualSpacing/>
        <w:rPr>
          <w:rFonts w:eastAsia="Calibri" w:cstheme="minorHAnsi"/>
          <w:b/>
          <w:bCs/>
          <w:sz w:val="20"/>
          <w:szCs w:val="20"/>
        </w:rPr>
      </w:pPr>
      <w:r w:rsidRPr="00DB6A3C">
        <w:rPr>
          <w:rFonts w:eastAsia="Calibri" w:cstheme="minorHAnsi"/>
          <w:b/>
          <w:bCs/>
          <w:sz w:val="20"/>
          <w:szCs w:val="20"/>
        </w:rPr>
        <w:t>Renewable Energy</w:t>
      </w:r>
    </w:p>
    <w:p w14:paraId="4E1365F1" w14:textId="32EB7DAA"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This paragraph has a big importance because </w:t>
      </w:r>
      <w:r w:rsidR="007745AE">
        <w:rPr>
          <w:rFonts w:eastAsia="Calibri" w:cstheme="minorHAnsi"/>
          <w:sz w:val="20"/>
          <w:szCs w:val="20"/>
        </w:rPr>
        <w:t>Türkiye</w:t>
      </w:r>
      <w:r w:rsidRPr="00DB6A3C">
        <w:rPr>
          <w:rFonts w:eastAsia="Calibri" w:cstheme="minorHAnsi"/>
          <w:sz w:val="20"/>
          <w:szCs w:val="20"/>
        </w:rPr>
        <w:t xml:space="preserve"> is evaluating the development of renewable energy through the follow up of the works carried out with the European Union, and the collaboration with international organizations that </w:t>
      </w:r>
      <w:r w:rsidR="007745AE">
        <w:rPr>
          <w:rFonts w:eastAsia="Calibri" w:cstheme="minorHAnsi"/>
          <w:sz w:val="20"/>
          <w:szCs w:val="20"/>
        </w:rPr>
        <w:t>Türkiye</w:t>
      </w:r>
      <w:r w:rsidRPr="00DB6A3C">
        <w:rPr>
          <w:rFonts w:eastAsia="Calibri" w:cstheme="minorHAnsi"/>
          <w:sz w:val="20"/>
          <w:szCs w:val="20"/>
        </w:rPr>
        <w:t xml:space="preserve"> are a member of (IEA, IRENA, KEI, G20, D-8, etc.)</w:t>
      </w:r>
    </w:p>
    <w:p w14:paraId="593A9A87" w14:textId="3EEF6984" w:rsidR="00AC1A29" w:rsidRPr="00DB6A3C" w:rsidRDefault="007745AE" w:rsidP="00AC1A29">
      <w:pPr>
        <w:spacing w:after="160" w:line="259" w:lineRule="auto"/>
        <w:jc w:val="both"/>
        <w:rPr>
          <w:rFonts w:eastAsia="Calibri" w:cstheme="minorHAnsi"/>
          <w:sz w:val="20"/>
          <w:szCs w:val="20"/>
        </w:rPr>
      </w:pPr>
      <w:r>
        <w:rPr>
          <w:rFonts w:eastAsia="Calibri" w:cstheme="minorHAnsi"/>
          <w:sz w:val="20"/>
          <w:szCs w:val="20"/>
        </w:rPr>
        <w:t>Türkiye</w:t>
      </w:r>
      <w:r w:rsidR="00AC1A29" w:rsidRPr="00DB6A3C">
        <w:rPr>
          <w:rFonts w:eastAsia="Calibri" w:cstheme="minorHAnsi"/>
          <w:sz w:val="20"/>
          <w:szCs w:val="20"/>
        </w:rPr>
        <w:t xml:space="preserve"> has also created bases for energy statistics, evaluation, and policy/strategy determination studies; has determined Renewable Energy Resource Areas (YEKA), to declare the determined areas YEKA by conducting the necessary technical and administrative infrastructure studies and has organized YEKA Rights of Use Competitions within the framework of the Regulation on Renewable Energy Resource Areas. </w:t>
      </w:r>
    </w:p>
    <w:p w14:paraId="38470DED" w14:textId="77777777"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The Development Plan includes a special section to these energies, intending to work on determining, and making maximum use of renewable energy sources potentials, and to make technical evaluations of the applications for unlicensed production and unlicensed production applications made to EMRA based on solar and wind energy, and to formulate opinions for the changes in the scope of the associate/license. </w:t>
      </w:r>
    </w:p>
    <w:p w14:paraId="0EA41441" w14:textId="77777777" w:rsidR="00864E79" w:rsidRDefault="00864E79">
      <w:pPr>
        <w:rPr>
          <w:rFonts w:eastAsia="Calibri" w:cstheme="minorHAnsi"/>
          <w:sz w:val="20"/>
          <w:szCs w:val="20"/>
        </w:rPr>
      </w:pPr>
      <w:r>
        <w:rPr>
          <w:rFonts w:eastAsia="Calibri" w:cstheme="minorHAnsi"/>
          <w:sz w:val="20"/>
          <w:szCs w:val="20"/>
        </w:rPr>
        <w:br w:type="page"/>
      </w:r>
    </w:p>
    <w:p w14:paraId="18EE119F" w14:textId="7253A9C0"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lastRenderedPageBreak/>
        <w:t xml:space="preserve">The next figure shows the development of facilities producing electricity from renewable energy sources: </w:t>
      </w:r>
    </w:p>
    <w:p w14:paraId="0026B00C" w14:textId="734CB93F"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Fig. No. 6. Board Development of facilities producing electricity from renewable energy sources:</w:t>
      </w:r>
    </w:p>
    <w:p w14:paraId="1264EFE5" w14:textId="77777777" w:rsidR="00AC1A29" w:rsidRPr="00DB6A3C" w:rsidRDefault="00AC1A29" w:rsidP="00AC1A29">
      <w:pPr>
        <w:spacing w:after="160" w:line="259" w:lineRule="auto"/>
        <w:rPr>
          <w:rFonts w:eastAsia="Calibri" w:cstheme="minorHAnsi"/>
          <w:sz w:val="20"/>
          <w:szCs w:val="20"/>
          <w:lang w:val="es-AR"/>
        </w:rPr>
      </w:pPr>
      <w:r w:rsidRPr="00DB6A3C">
        <w:rPr>
          <w:rFonts w:eastAsia="Calibri" w:cstheme="minorHAnsi"/>
          <w:noProof/>
          <w:sz w:val="20"/>
          <w:szCs w:val="20"/>
          <w:lang w:eastAsia="en-GB"/>
        </w:rPr>
        <w:drawing>
          <wp:inline distT="0" distB="0" distL="0" distR="0" wp14:anchorId="438C8C2E" wp14:editId="01EA9888">
            <wp:extent cx="5400040" cy="2839085"/>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00040" cy="2839085"/>
                    </a:xfrm>
                    <a:prstGeom prst="rect">
                      <a:avLst/>
                    </a:prstGeom>
                    <a:noFill/>
                    <a:ln>
                      <a:noFill/>
                    </a:ln>
                  </pic:spPr>
                </pic:pic>
              </a:graphicData>
            </a:graphic>
          </wp:inline>
        </w:drawing>
      </w:r>
    </w:p>
    <w:p w14:paraId="3F8ACA01" w14:textId="50222324"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Wind and solar energy are the most important. </w:t>
      </w:r>
      <w:r w:rsidRPr="00DB6A3C">
        <w:rPr>
          <w:rFonts w:eastAsia="Calibri" w:cstheme="minorHAnsi"/>
          <w:sz w:val="20"/>
          <w:szCs w:val="20"/>
          <w:vertAlign w:val="superscript"/>
        </w:rPr>
        <w:footnoteReference w:id="20"/>
      </w:r>
      <w:r w:rsidRPr="00DB6A3C">
        <w:rPr>
          <w:rFonts w:eastAsia="Calibri" w:cstheme="minorHAnsi"/>
          <w:sz w:val="20"/>
          <w:szCs w:val="20"/>
        </w:rPr>
        <w:t xml:space="preserve"> In the </w:t>
      </w:r>
      <w:r w:rsidR="007745AE">
        <w:rPr>
          <w:rFonts w:eastAsia="Calibri" w:cstheme="minorHAnsi"/>
          <w:sz w:val="20"/>
          <w:szCs w:val="20"/>
        </w:rPr>
        <w:t>Türkiye</w:t>
      </w:r>
      <w:r w:rsidRPr="00DB6A3C">
        <w:rPr>
          <w:rFonts w:eastAsia="Calibri" w:cstheme="minorHAnsi"/>
          <w:sz w:val="20"/>
          <w:szCs w:val="20"/>
        </w:rPr>
        <w:t xml:space="preserve"> Development Plan, Electricity generation from renewable energy sources is specially considered (it “will be increased and necessary planning and investments will be realized in order to ensure the safe integration of renewable energy generation to the grid”). Energy storage systems, including pumped storage HEPP, will be installed to eliminate the constraints of increasing renewable energy on the grid. Buildings that are more efficient and produce their own energy will be expanded. Energy efficiency in existing buildings will be promoted through support systems.</w:t>
      </w:r>
    </w:p>
    <w:p w14:paraId="4A7465B9" w14:textId="77777777" w:rsidR="00AC1A29" w:rsidRPr="00DB6A3C" w:rsidRDefault="00AC1A29" w:rsidP="00AC1A29">
      <w:pPr>
        <w:spacing w:after="160" w:line="259" w:lineRule="auto"/>
        <w:rPr>
          <w:rFonts w:eastAsia="Calibri" w:cstheme="minorHAnsi"/>
          <w:sz w:val="20"/>
          <w:szCs w:val="20"/>
        </w:rPr>
      </w:pPr>
      <w:r w:rsidRPr="00DB6A3C">
        <w:rPr>
          <w:rFonts w:eastAsia="Calibri" w:cstheme="minorHAnsi"/>
          <w:sz w:val="20"/>
          <w:szCs w:val="20"/>
        </w:rPr>
        <w:t xml:space="preserve">The Plan also mentioned the need to establish a National Green Building Certificate System </w:t>
      </w:r>
    </w:p>
    <w:p w14:paraId="6E6F507B" w14:textId="5B01A26B"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This also represents opportunities of inversion for </w:t>
      </w:r>
      <w:r w:rsidR="007745AE">
        <w:rPr>
          <w:rFonts w:eastAsia="Calibri" w:cstheme="minorHAnsi"/>
          <w:sz w:val="20"/>
          <w:szCs w:val="20"/>
        </w:rPr>
        <w:t>Türkiye</w:t>
      </w:r>
      <w:r w:rsidRPr="00DB6A3C">
        <w:rPr>
          <w:rFonts w:eastAsia="Calibri" w:cstheme="minorHAnsi"/>
          <w:sz w:val="20"/>
          <w:szCs w:val="20"/>
        </w:rPr>
        <w:t xml:space="preserve">. Therefore, the government aims to increase the ratio of renewable energy resources (RES) in total installed capacity to 30 percent by 2023. By this date, total energy investments are expected to be approximately $110 billion. At this stage, site selection and deciding appropriate RES are the most important feasibility parameters for investment. In this study, “Site Selection in </w:t>
      </w:r>
      <w:r w:rsidR="007745AE">
        <w:rPr>
          <w:rFonts w:eastAsia="Calibri" w:cstheme="minorHAnsi"/>
          <w:sz w:val="20"/>
          <w:szCs w:val="20"/>
        </w:rPr>
        <w:t>Türkiye</w:t>
      </w:r>
      <w:r w:rsidRPr="00DB6A3C">
        <w:rPr>
          <w:rFonts w:eastAsia="Calibri" w:cstheme="minorHAnsi"/>
          <w:sz w:val="20"/>
          <w:szCs w:val="20"/>
        </w:rPr>
        <w:t xml:space="preserve">” issue for RES (solar, wind, hydroelectric, geothermal, biomass) is evaluated by the ELECTRE which is one of the </w:t>
      </w:r>
      <w:bookmarkStart w:id="14" w:name="_Hlk70258545"/>
      <w:r w:rsidRPr="00DB6A3C">
        <w:rPr>
          <w:rFonts w:eastAsia="Calibri" w:cstheme="minorHAnsi"/>
          <w:sz w:val="20"/>
          <w:szCs w:val="20"/>
        </w:rPr>
        <w:t xml:space="preserve">Multi Criteria Decision Making (MCDM) </w:t>
      </w:r>
      <w:bookmarkEnd w:id="14"/>
      <w:r w:rsidRPr="00DB6A3C">
        <w:rPr>
          <w:rFonts w:eastAsia="Calibri" w:cstheme="minorHAnsi"/>
          <w:sz w:val="20"/>
          <w:szCs w:val="20"/>
        </w:rPr>
        <w:t xml:space="preserve">methods. The study emphasizes the importance of energy generation from renewable and sustainable sources and is concerned with improving the position of the country. The Turkish government offers many purchasing guarantees and high incentives, especially in the renewable energy sector. As a result of the analysis, the most suitable energy sources are presented according to the geography and energy </w:t>
      </w:r>
      <w:r w:rsidRPr="00DB6A3C">
        <w:rPr>
          <w:rFonts w:eastAsia="Calibri" w:cstheme="minorHAnsi"/>
          <w:sz w:val="20"/>
          <w:szCs w:val="20"/>
        </w:rPr>
        <w:lastRenderedPageBreak/>
        <w:t xml:space="preserve">potential of the regions. The study aims to inform energy firms, and everyone related with RES about </w:t>
      </w:r>
      <w:proofErr w:type="spellStart"/>
      <w:r w:rsidR="007745AE">
        <w:rPr>
          <w:rFonts w:eastAsia="Calibri" w:cstheme="minorHAnsi"/>
          <w:sz w:val="20"/>
          <w:szCs w:val="20"/>
        </w:rPr>
        <w:t>Türkiye</w:t>
      </w:r>
      <w:r w:rsidRPr="00DB6A3C">
        <w:rPr>
          <w:rFonts w:eastAsia="Calibri" w:cstheme="minorHAnsi"/>
          <w:sz w:val="20"/>
          <w:szCs w:val="20"/>
        </w:rPr>
        <w:t>’s</w:t>
      </w:r>
      <w:proofErr w:type="spellEnd"/>
      <w:r w:rsidRPr="00DB6A3C">
        <w:rPr>
          <w:rFonts w:eastAsia="Calibri" w:cstheme="minorHAnsi"/>
          <w:sz w:val="20"/>
          <w:szCs w:val="20"/>
        </w:rPr>
        <w:t xml:space="preserve"> RES opportunities. </w:t>
      </w:r>
      <w:r w:rsidRPr="00DB6A3C">
        <w:rPr>
          <w:rFonts w:eastAsia="Calibri" w:cstheme="minorHAnsi"/>
          <w:sz w:val="20"/>
          <w:szCs w:val="20"/>
          <w:vertAlign w:val="superscript"/>
        </w:rPr>
        <w:footnoteReference w:id="21"/>
      </w:r>
    </w:p>
    <w:p w14:paraId="3F6F7C90" w14:textId="77777777" w:rsidR="00AC1A29" w:rsidRPr="00DB6A3C" w:rsidRDefault="00AC1A29" w:rsidP="00AC1A29">
      <w:pPr>
        <w:spacing w:after="160" w:line="259" w:lineRule="auto"/>
        <w:jc w:val="center"/>
        <w:rPr>
          <w:rFonts w:eastAsia="Calibri" w:cstheme="minorHAnsi"/>
          <w:b/>
          <w:bCs/>
          <w:sz w:val="20"/>
          <w:szCs w:val="20"/>
        </w:rPr>
      </w:pPr>
      <w:r w:rsidRPr="00DB6A3C">
        <w:rPr>
          <w:rFonts w:eastAsia="Calibri" w:cstheme="minorHAnsi"/>
          <w:b/>
          <w:bCs/>
          <w:sz w:val="20"/>
          <w:szCs w:val="20"/>
        </w:rPr>
        <w:t>Figure No. 7. Comparison of installed capacity shares (%) in 2002 and 2017</w:t>
      </w:r>
    </w:p>
    <w:p w14:paraId="34E2F17F" w14:textId="70467972" w:rsidR="00AC1A29" w:rsidRPr="00DB6A3C" w:rsidRDefault="00AC1A29" w:rsidP="003A7BFE">
      <w:pPr>
        <w:spacing w:after="160" w:line="259" w:lineRule="auto"/>
        <w:jc w:val="center"/>
        <w:rPr>
          <w:rFonts w:eastAsia="Calibri" w:cstheme="minorHAnsi"/>
          <w:sz w:val="20"/>
          <w:szCs w:val="20"/>
        </w:rPr>
      </w:pPr>
      <w:r w:rsidRPr="00DB6A3C">
        <w:rPr>
          <w:rFonts w:eastAsia="Calibri" w:cstheme="minorHAnsi"/>
          <w:noProof/>
          <w:sz w:val="20"/>
          <w:szCs w:val="20"/>
          <w:lang w:eastAsia="en-GB"/>
        </w:rPr>
        <w:drawing>
          <wp:inline distT="0" distB="0" distL="0" distR="0" wp14:anchorId="1FEA4863" wp14:editId="5B0BD710">
            <wp:extent cx="6045200" cy="1419225"/>
            <wp:effectExtent l="0" t="0" r="0" b="317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45200" cy="1419225"/>
                    </a:xfrm>
                    <a:prstGeom prst="rect">
                      <a:avLst/>
                    </a:prstGeom>
                  </pic:spPr>
                </pic:pic>
              </a:graphicData>
            </a:graphic>
          </wp:inline>
        </w:drawing>
      </w:r>
    </w:p>
    <w:p w14:paraId="015757C1" w14:textId="75A50B82"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t xml:space="preserve">The need for energy in </w:t>
      </w:r>
      <w:r w:rsidR="007745AE">
        <w:rPr>
          <w:rFonts w:eastAsia="Calibri" w:cstheme="minorHAnsi"/>
          <w:sz w:val="20"/>
          <w:szCs w:val="20"/>
        </w:rPr>
        <w:t>Türkiye</w:t>
      </w:r>
      <w:r w:rsidRPr="00DB6A3C">
        <w:rPr>
          <w:rFonts w:eastAsia="Calibri" w:cstheme="minorHAnsi"/>
          <w:sz w:val="20"/>
          <w:szCs w:val="20"/>
        </w:rPr>
        <w:t xml:space="preserve"> until 2023 is expected to increase between 4–6 percent annually, so </w:t>
      </w:r>
      <w:r w:rsidR="007745AE">
        <w:rPr>
          <w:rFonts w:eastAsia="Calibri" w:cstheme="minorHAnsi"/>
          <w:sz w:val="20"/>
          <w:szCs w:val="20"/>
        </w:rPr>
        <w:t>Türkiye</w:t>
      </w:r>
      <w:r w:rsidRPr="00DB6A3C">
        <w:rPr>
          <w:rFonts w:eastAsia="Calibri" w:cstheme="minorHAnsi"/>
          <w:sz w:val="20"/>
          <w:szCs w:val="20"/>
        </w:rPr>
        <w:t xml:space="preserve"> aims to increase the capacity of RES energy to 30 percent by 2023. The estimated energy investment will be approximately 110 billion dollars up to 2023. Therefore, </w:t>
      </w:r>
      <w:r w:rsidR="007745AE">
        <w:rPr>
          <w:rFonts w:eastAsia="Calibri" w:cstheme="minorHAnsi"/>
          <w:sz w:val="20"/>
          <w:szCs w:val="20"/>
        </w:rPr>
        <w:t>Türkiye</w:t>
      </w:r>
      <w:r w:rsidRPr="00DB6A3C">
        <w:rPr>
          <w:rFonts w:eastAsia="Calibri" w:cstheme="minorHAnsi"/>
          <w:sz w:val="20"/>
          <w:szCs w:val="20"/>
        </w:rPr>
        <w:t xml:space="preserve"> is a significant market for companies and investors operating in the energy sector. </w:t>
      </w:r>
    </w:p>
    <w:p w14:paraId="0ECE2696" w14:textId="30E70D7E" w:rsidR="00AC1A29" w:rsidRPr="00DB6A3C" w:rsidRDefault="00AC1A29" w:rsidP="00AC1A29">
      <w:pPr>
        <w:spacing w:after="160" w:line="259" w:lineRule="auto"/>
        <w:jc w:val="center"/>
        <w:rPr>
          <w:rFonts w:eastAsia="Calibri" w:cstheme="minorHAnsi"/>
          <w:sz w:val="20"/>
          <w:szCs w:val="20"/>
        </w:rPr>
      </w:pPr>
      <w:r w:rsidRPr="00DB6A3C">
        <w:rPr>
          <w:rFonts w:eastAsia="Calibri" w:cstheme="minorHAnsi"/>
          <w:sz w:val="20"/>
          <w:szCs w:val="20"/>
        </w:rPr>
        <w:t xml:space="preserve">Figure No. 8. Investments in </w:t>
      </w:r>
      <w:r w:rsidR="007745AE">
        <w:rPr>
          <w:rFonts w:eastAsia="Calibri" w:cstheme="minorHAnsi"/>
          <w:sz w:val="20"/>
          <w:szCs w:val="20"/>
        </w:rPr>
        <w:t>Türkiye</w:t>
      </w:r>
      <w:r w:rsidRPr="00DB6A3C">
        <w:rPr>
          <w:rFonts w:eastAsia="Calibri" w:cstheme="minorHAnsi"/>
          <w:sz w:val="20"/>
          <w:szCs w:val="20"/>
        </w:rPr>
        <w:t xml:space="preserve"> in energy in the last years</w:t>
      </w:r>
    </w:p>
    <w:p w14:paraId="15AB0710" w14:textId="77777777" w:rsidR="00AC1A29" w:rsidRPr="00DB6A3C" w:rsidRDefault="00AC1A29" w:rsidP="003A7BFE">
      <w:pPr>
        <w:spacing w:after="160" w:line="259" w:lineRule="auto"/>
        <w:jc w:val="center"/>
        <w:rPr>
          <w:rFonts w:eastAsia="Calibri" w:cstheme="minorHAnsi"/>
          <w:sz w:val="20"/>
          <w:szCs w:val="20"/>
        </w:rPr>
      </w:pPr>
      <w:r w:rsidRPr="00DB6A3C">
        <w:rPr>
          <w:rFonts w:eastAsia="Calibri" w:cstheme="minorHAnsi"/>
          <w:noProof/>
          <w:sz w:val="20"/>
          <w:szCs w:val="20"/>
          <w:lang w:eastAsia="en-GB"/>
        </w:rPr>
        <w:drawing>
          <wp:inline distT="0" distB="0" distL="0" distR="0" wp14:anchorId="4DAB09E2" wp14:editId="745E6816">
            <wp:extent cx="4635500" cy="1862707"/>
            <wp:effectExtent l="0" t="0" r="0" b="444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49144" cy="1908373"/>
                    </a:xfrm>
                    <a:prstGeom prst="rect">
                      <a:avLst/>
                    </a:prstGeom>
                    <a:noFill/>
                  </pic:spPr>
                </pic:pic>
              </a:graphicData>
            </a:graphic>
          </wp:inline>
        </w:drawing>
      </w:r>
    </w:p>
    <w:p w14:paraId="2D90EE90" w14:textId="53D211DC" w:rsidR="00AC1A29" w:rsidRPr="00DB6A3C" w:rsidRDefault="00AC1A29" w:rsidP="00AC1A29">
      <w:pPr>
        <w:spacing w:after="160" w:line="259" w:lineRule="auto"/>
        <w:jc w:val="center"/>
        <w:rPr>
          <w:rFonts w:eastAsia="Calibri" w:cstheme="minorHAnsi"/>
          <w:sz w:val="20"/>
          <w:szCs w:val="20"/>
        </w:rPr>
      </w:pPr>
      <w:r w:rsidRPr="00DB6A3C">
        <w:rPr>
          <w:rFonts w:eastAsia="Calibri" w:cstheme="minorHAnsi"/>
          <w:sz w:val="20"/>
          <w:szCs w:val="20"/>
        </w:rPr>
        <w:t xml:space="preserve">Source: Republic of </w:t>
      </w:r>
      <w:r w:rsidR="007745AE">
        <w:rPr>
          <w:rFonts w:eastAsia="Calibri" w:cstheme="minorHAnsi"/>
          <w:sz w:val="20"/>
          <w:szCs w:val="20"/>
        </w:rPr>
        <w:t>Türkiye</w:t>
      </w:r>
      <w:r w:rsidRPr="00DB6A3C">
        <w:rPr>
          <w:rFonts w:eastAsia="Calibri" w:cstheme="minorHAnsi"/>
          <w:sz w:val="20"/>
          <w:szCs w:val="20"/>
        </w:rPr>
        <w:t>, Ministry of Investment</w:t>
      </w:r>
    </w:p>
    <w:p w14:paraId="78682556" w14:textId="77777777" w:rsidR="00864E79" w:rsidRDefault="00864E79">
      <w:pPr>
        <w:rPr>
          <w:rFonts w:eastAsia="Calibri" w:cstheme="minorHAnsi"/>
          <w:sz w:val="20"/>
          <w:szCs w:val="20"/>
        </w:rPr>
      </w:pPr>
      <w:r>
        <w:rPr>
          <w:rFonts w:eastAsia="Calibri" w:cstheme="minorHAnsi"/>
          <w:sz w:val="20"/>
          <w:szCs w:val="20"/>
        </w:rPr>
        <w:br w:type="page"/>
      </w:r>
    </w:p>
    <w:p w14:paraId="2C1CC3B6" w14:textId="4E71A232" w:rsidR="00AC1A29" w:rsidRPr="00DB6A3C" w:rsidRDefault="00AC1A29" w:rsidP="00AC1A29">
      <w:pPr>
        <w:spacing w:after="160" w:line="259" w:lineRule="auto"/>
        <w:jc w:val="both"/>
        <w:rPr>
          <w:rFonts w:eastAsia="Calibri" w:cstheme="minorHAnsi"/>
          <w:sz w:val="20"/>
          <w:szCs w:val="20"/>
        </w:rPr>
      </w:pPr>
      <w:r w:rsidRPr="00DB6A3C">
        <w:rPr>
          <w:rFonts w:eastAsia="Calibri" w:cstheme="minorHAnsi"/>
          <w:sz w:val="20"/>
          <w:szCs w:val="20"/>
        </w:rPr>
        <w:lastRenderedPageBreak/>
        <w:t xml:space="preserve">The next figures show a comparison between the total installed power in 2013 and 2023. </w:t>
      </w:r>
    </w:p>
    <w:p w14:paraId="60AEE973" w14:textId="4E6D57E4" w:rsidR="003A7BFE" w:rsidRDefault="003A7BFE">
      <w:pPr>
        <w:rPr>
          <w:rFonts w:eastAsia="Calibri" w:cstheme="minorHAnsi"/>
          <w:b/>
          <w:bCs/>
          <w:sz w:val="20"/>
          <w:szCs w:val="20"/>
        </w:rPr>
      </w:pPr>
    </w:p>
    <w:p w14:paraId="7032A69E" w14:textId="5E1D6754" w:rsidR="00AC1A29" w:rsidRPr="00DB6A3C" w:rsidRDefault="00AC1A29" w:rsidP="00AC1A29">
      <w:pPr>
        <w:spacing w:after="160" w:line="259" w:lineRule="auto"/>
        <w:jc w:val="center"/>
        <w:rPr>
          <w:rFonts w:eastAsia="Calibri" w:cstheme="minorHAnsi"/>
          <w:b/>
          <w:bCs/>
          <w:sz w:val="20"/>
          <w:szCs w:val="20"/>
        </w:rPr>
      </w:pPr>
      <w:r w:rsidRPr="00DB6A3C">
        <w:rPr>
          <w:rFonts w:eastAsia="Calibri" w:cstheme="minorHAnsi"/>
          <w:b/>
          <w:bCs/>
          <w:sz w:val="20"/>
          <w:szCs w:val="20"/>
        </w:rPr>
        <w:t xml:space="preserve">Figure No. 9. </w:t>
      </w:r>
      <w:r w:rsidR="007745AE">
        <w:rPr>
          <w:rFonts w:eastAsia="Calibri" w:cstheme="minorHAnsi"/>
          <w:b/>
          <w:bCs/>
          <w:sz w:val="20"/>
          <w:szCs w:val="20"/>
        </w:rPr>
        <w:t>Türkiye</w:t>
      </w:r>
      <w:r w:rsidRPr="00DB6A3C">
        <w:rPr>
          <w:rFonts w:eastAsia="Calibri" w:cstheme="minorHAnsi"/>
          <w:b/>
          <w:bCs/>
          <w:sz w:val="20"/>
          <w:szCs w:val="20"/>
        </w:rPr>
        <w:t xml:space="preserve"> Energy total installed power in 2013 and 2023</w:t>
      </w:r>
    </w:p>
    <w:p w14:paraId="622EFD2C" w14:textId="77777777" w:rsidR="00AC1A29" w:rsidRPr="00AC1A29" w:rsidRDefault="00AC1A29" w:rsidP="00AC1A29">
      <w:pPr>
        <w:spacing w:after="160" w:line="259" w:lineRule="auto"/>
        <w:jc w:val="both"/>
        <w:rPr>
          <w:rFonts w:ascii="Calibri" w:eastAsia="Calibri" w:hAnsi="Calibri" w:cs="Times New Roman"/>
          <w:sz w:val="22"/>
          <w:szCs w:val="22"/>
        </w:rPr>
      </w:pPr>
      <w:r w:rsidRPr="00AC1A29">
        <w:rPr>
          <w:rFonts w:ascii="Calibri" w:eastAsia="Calibri" w:hAnsi="Calibri" w:cs="Times New Roman"/>
          <w:noProof/>
          <w:sz w:val="22"/>
          <w:szCs w:val="22"/>
          <w:lang w:eastAsia="en-GB"/>
        </w:rPr>
        <w:drawing>
          <wp:inline distT="0" distB="0" distL="0" distR="0" wp14:anchorId="618A837F" wp14:editId="19E39A19">
            <wp:extent cx="5400040" cy="6967855"/>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00040" cy="6967855"/>
                    </a:xfrm>
                    <a:prstGeom prst="rect">
                      <a:avLst/>
                    </a:prstGeom>
                    <a:noFill/>
                    <a:ln>
                      <a:noFill/>
                    </a:ln>
                  </pic:spPr>
                </pic:pic>
              </a:graphicData>
            </a:graphic>
          </wp:inline>
        </w:drawing>
      </w:r>
    </w:p>
    <w:p w14:paraId="59E5D592" w14:textId="77777777" w:rsidR="003A7BFE" w:rsidRDefault="003A7BFE">
      <w:pPr>
        <w:rPr>
          <w:rFonts w:ascii="Calibri" w:eastAsia="Calibri" w:hAnsi="Calibri" w:cs="Times New Roman"/>
          <w:color w:val="2F5496" w:themeColor="accent1" w:themeShade="BF"/>
          <w:sz w:val="32"/>
          <w:szCs w:val="32"/>
          <w:highlight w:val="lightGray"/>
        </w:rPr>
      </w:pPr>
      <w:r>
        <w:rPr>
          <w:rFonts w:ascii="Calibri" w:eastAsia="Calibri" w:hAnsi="Calibri" w:cs="Times New Roman"/>
          <w:color w:val="2F5496" w:themeColor="accent1" w:themeShade="BF"/>
          <w:sz w:val="32"/>
          <w:szCs w:val="32"/>
          <w:highlight w:val="lightGray"/>
        </w:rPr>
        <w:br w:type="page"/>
      </w:r>
    </w:p>
    <w:p w14:paraId="6B5C582C" w14:textId="2F1BD49A" w:rsidR="00AC1A29" w:rsidRPr="002971D4" w:rsidRDefault="002971D4" w:rsidP="001C1D9B">
      <w:pPr>
        <w:pStyle w:val="Heading1"/>
      </w:pPr>
      <w:bookmarkStart w:id="17" w:name="_Toc118121245"/>
      <w:r w:rsidRPr="002971D4">
        <w:lastRenderedPageBreak/>
        <w:t xml:space="preserve">4. </w:t>
      </w:r>
      <w:r w:rsidR="00DB6A3C" w:rsidRPr="002971D4">
        <w:t>EMPLOYMENT</w:t>
      </w:r>
      <w:bookmarkEnd w:id="17"/>
    </w:p>
    <w:p w14:paraId="50AF779C"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t xml:space="preserve">According to </w:t>
      </w:r>
      <w:bookmarkStart w:id="18" w:name="_Hlk70258576"/>
      <w:r w:rsidRPr="00DB6A3C">
        <w:rPr>
          <w:rFonts w:ascii="Calibri" w:eastAsia="Calibri" w:hAnsi="Calibri" w:cs="Times New Roman"/>
          <w:sz w:val="20"/>
          <w:szCs w:val="20"/>
        </w:rPr>
        <w:t xml:space="preserve">Turkish Statistical Institute (TURKSTAT) – TÜİK </w:t>
      </w:r>
      <w:bookmarkEnd w:id="18"/>
      <w:r w:rsidRPr="00DB6A3C">
        <w:rPr>
          <w:rFonts w:ascii="Calibri" w:eastAsia="Calibri" w:hAnsi="Calibri" w:cs="Times New Roman"/>
          <w:sz w:val="20"/>
          <w:szCs w:val="20"/>
        </w:rPr>
        <w:t xml:space="preserve">(Table on Distribution of paid employees by sector), the sector D. Electricity and others has 114.929 employees, with an annual change of 1.7%. </w:t>
      </w:r>
    </w:p>
    <w:p w14:paraId="768C7D9A" w14:textId="77777777" w:rsidR="00AC1A29" w:rsidRPr="00DB6A3C" w:rsidRDefault="00AC1A29" w:rsidP="00AC1A29">
      <w:pPr>
        <w:spacing w:after="160" w:line="259" w:lineRule="auto"/>
        <w:ind w:left="360"/>
        <w:jc w:val="center"/>
        <w:rPr>
          <w:rFonts w:ascii="Calibri" w:eastAsia="Calibri" w:hAnsi="Calibri" w:cs="Times New Roman"/>
          <w:b/>
          <w:bCs/>
          <w:sz w:val="20"/>
          <w:szCs w:val="20"/>
        </w:rPr>
      </w:pPr>
      <w:r w:rsidRPr="00DB6A3C">
        <w:rPr>
          <w:rFonts w:ascii="Calibri" w:eastAsia="Calibri" w:hAnsi="Calibri" w:cs="Times New Roman"/>
          <w:b/>
          <w:bCs/>
          <w:sz w:val="20"/>
          <w:szCs w:val="20"/>
        </w:rPr>
        <w:t>Table No. 4. Distribution of paid employees by sector</w:t>
      </w:r>
    </w:p>
    <w:p w14:paraId="06BB664C" w14:textId="77777777" w:rsidR="00AC1A29" w:rsidRPr="00DB6A3C" w:rsidRDefault="00AC1A29" w:rsidP="00AC1A29">
      <w:pPr>
        <w:spacing w:after="160" w:line="259" w:lineRule="auto"/>
        <w:ind w:left="360"/>
        <w:jc w:val="both"/>
        <w:rPr>
          <w:rFonts w:ascii="Calibri" w:eastAsia="Calibri" w:hAnsi="Calibri" w:cs="Times New Roman"/>
          <w:sz w:val="20"/>
          <w:szCs w:val="20"/>
        </w:rPr>
      </w:pPr>
      <w:r w:rsidRPr="00DB6A3C">
        <w:rPr>
          <w:rFonts w:ascii="Calibri" w:eastAsia="Calibri" w:hAnsi="Calibri" w:cs="Times New Roman"/>
          <w:noProof/>
          <w:sz w:val="20"/>
          <w:szCs w:val="20"/>
          <w:lang w:eastAsia="en-GB"/>
        </w:rPr>
        <w:drawing>
          <wp:inline distT="0" distB="0" distL="0" distR="0" wp14:anchorId="4B9B6754" wp14:editId="23D7EED7">
            <wp:extent cx="5401310" cy="2749550"/>
            <wp:effectExtent l="0" t="0" r="889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1310" cy="2749550"/>
                    </a:xfrm>
                    <a:prstGeom prst="rect">
                      <a:avLst/>
                    </a:prstGeom>
                    <a:noFill/>
                  </pic:spPr>
                </pic:pic>
              </a:graphicData>
            </a:graphic>
          </wp:inline>
        </w:drawing>
      </w:r>
    </w:p>
    <w:p w14:paraId="5E503412" w14:textId="77777777" w:rsidR="00AC1A29" w:rsidRPr="00DB6A3C" w:rsidRDefault="00AC1A29" w:rsidP="00AC1A29">
      <w:pPr>
        <w:spacing w:after="160" w:line="259" w:lineRule="auto"/>
        <w:ind w:left="360"/>
        <w:jc w:val="center"/>
        <w:rPr>
          <w:rFonts w:ascii="Calibri" w:eastAsia="Calibri" w:hAnsi="Calibri" w:cs="Times New Roman"/>
          <w:sz w:val="20"/>
          <w:szCs w:val="20"/>
        </w:rPr>
      </w:pPr>
      <w:r w:rsidRPr="00DB6A3C">
        <w:rPr>
          <w:rFonts w:ascii="Calibri" w:eastAsia="Calibri" w:hAnsi="Calibri" w:cs="Times New Roman"/>
          <w:sz w:val="20"/>
          <w:szCs w:val="20"/>
        </w:rPr>
        <w:t>Source: TUIK</w:t>
      </w:r>
    </w:p>
    <w:p w14:paraId="45EA74CC" w14:textId="77777777" w:rsidR="00AC1A29" w:rsidRPr="00DB6A3C" w:rsidRDefault="00AC1A29" w:rsidP="00AC1A29">
      <w:pPr>
        <w:spacing w:after="160" w:line="259" w:lineRule="auto"/>
        <w:jc w:val="both"/>
        <w:rPr>
          <w:rFonts w:ascii="Calibri" w:eastAsia="Calibri" w:hAnsi="Calibri" w:cs="Times New Roman"/>
          <w:sz w:val="20"/>
          <w:szCs w:val="20"/>
        </w:rPr>
      </w:pPr>
      <w:bookmarkStart w:id="19" w:name="_Hlk69732530"/>
      <w:r w:rsidRPr="00DB6A3C">
        <w:rPr>
          <w:rFonts w:ascii="Calibri" w:eastAsia="Calibri" w:hAnsi="Calibri" w:cs="Times New Roman"/>
          <w:sz w:val="20"/>
          <w:szCs w:val="20"/>
        </w:rPr>
        <w:t>Even when it is no possible to find much information on employment sub sectors in this area, we can particularly mention the needs of employment in two areas: nuclear and renewables energies. Related to nuclear energy, the Ministry of Energy and Natural resources consider for instance to meet the need for an engineer to work in Akkuyu, 88 of the 245 students who were sent to receive education in Russia graduated in the previous days and they have started to work within Akkuyu Nuclear Power Plant Project. Turkish students will be employed in different fields from engineering to managerial level in the Akkuyu Nuclear Power Plant Project.</w:t>
      </w:r>
    </w:p>
    <w:p w14:paraId="4E8FA348"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t xml:space="preserve">Globally, the renewable energy sector employed 11.5 million people, directly and indirectly, in 2019. Renewable energy employment has continued to grow worldwide since 2012, when the International Renewable Energy Agency (IRENA) began to assess it on an annual basis. The </w:t>
      </w:r>
      <w:bookmarkStart w:id="20" w:name="_Hlk70258612"/>
      <w:r w:rsidRPr="00DB6A3C">
        <w:rPr>
          <w:rFonts w:ascii="Calibri" w:eastAsia="Calibri" w:hAnsi="Calibri" w:cs="Times New Roman"/>
          <w:sz w:val="20"/>
          <w:szCs w:val="20"/>
        </w:rPr>
        <w:t xml:space="preserve">solar photovoltaic (PV), </w:t>
      </w:r>
      <w:bookmarkEnd w:id="20"/>
      <w:r w:rsidRPr="00DB6A3C">
        <w:rPr>
          <w:rFonts w:ascii="Calibri" w:eastAsia="Calibri" w:hAnsi="Calibri" w:cs="Times New Roman"/>
          <w:sz w:val="20"/>
          <w:szCs w:val="20"/>
        </w:rPr>
        <w:t xml:space="preserve">bioenergy, hydropower and wind power industries have been the biggest employers. The bulk of global jobs relate to modern energy use, but the 2019 estimate includes jobs tied to the use of decentralised solar PV to expand energy access in parts of Sub-Saharan Africa and in South Asia. The figure 8 shows the evolution of IRENA’s renewable energy employment estimates since 2012. </w:t>
      </w:r>
      <w:r w:rsidRPr="00DB6A3C">
        <w:rPr>
          <w:rFonts w:ascii="Calibri" w:eastAsia="Calibri" w:hAnsi="Calibri" w:cs="Times New Roman"/>
          <w:b/>
          <w:bCs/>
          <w:sz w:val="20"/>
          <w:szCs w:val="20"/>
        </w:rPr>
        <w:t>Most of these jobs are still held by men</w:t>
      </w:r>
      <w:r w:rsidRPr="00DB6A3C">
        <w:rPr>
          <w:rFonts w:ascii="Calibri" w:eastAsia="Calibri" w:hAnsi="Calibri" w:cs="Times New Roman"/>
          <w:sz w:val="20"/>
          <w:szCs w:val="20"/>
        </w:rPr>
        <w:t xml:space="preserve">. The share of women in the renewable energy workforce is about 32%, compared to 22% in the energy sector overall (IRENA, 2019). </w:t>
      </w:r>
    </w:p>
    <w:bookmarkEnd w:id="19"/>
    <w:p w14:paraId="7777CD94"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t xml:space="preserve">Although precise estimates remain scarce, off-grid decentralised renewables are creating a growing number of jobs, while also propelling employment in productive uses ranging from </w:t>
      </w:r>
      <w:proofErr w:type="spellStart"/>
      <w:r w:rsidRPr="00DB6A3C">
        <w:rPr>
          <w:rFonts w:ascii="Calibri" w:eastAsia="Calibri" w:hAnsi="Calibri" w:cs="Times New Roman"/>
          <w:sz w:val="20"/>
          <w:szCs w:val="20"/>
        </w:rPr>
        <w:t>agro</w:t>
      </w:r>
      <w:proofErr w:type="spellEnd"/>
      <w:r w:rsidRPr="00DB6A3C">
        <w:rPr>
          <w:rFonts w:ascii="Calibri" w:eastAsia="Calibri" w:hAnsi="Calibri" w:cs="Times New Roman"/>
          <w:sz w:val="20"/>
          <w:szCs w:val="20"/>
        </w:rPr>
        <w:t xml:space="preserve">-processing and health care to communications and commerce in local communities.  The solar PV industry retains the top spot, with 33% of the total renewable energy workforce. In 2019, 91% of global PV employment was concentrated in the ten countries that lead in worldwide deployment and in the production of equipment. Driven by output growth of 2% for ethanol and 13% for biodiesel, biofuels jobs worldwide expanded to 2.5 million. </w:t>
      </w:r>
    </w:p>
    <w:p w14:paraId="4A16B175"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t xml:space="preserve">Employment in wind power supports 1.2 million jobs, </w:t>
      </w:r>
      <w:r w:rsidRPr="00DB6A3C">
        <w:rPr>
          <w:rFonts w:ascii="Calibri" w:eastAsia="Calibri" w:hAnsi="Calibri" w:cs="Times New Roman"/>
          <w:b/>
          <w:bCs/>
          <w:sz w:val="20"/>
          <w:szCs w:val="20"/>
        </w:rPr>
        <w:t>21% of which are held by women</w:t>
      </w:r>
      <w:r w:rsidRPr="00DB6A3C">
        <w:rPr>
          <w:rFonts w:ascii="Calibri" w:eastAsia="Calibri" w:hAnsi="Calibri" w:cs="Times New Roman"/>
          <w:sz w:val="20"/>
          <w:szCs w:val="20"/>
        </w:rPr>
        <w:t xml:space="preserve">. Onshore projects continue to predominate, but the number of countries with offshore farms now stands at 18, up from 10 a decade ago. Supply chains are expanding. </w:t>
      </w:r>
    </w:p>
    <w:p w14:paraId="63A2B7BC"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lastRenderedPageBreak/>
        <w:t xml:space="preserve">Hydropower has the largest installed capacity of all renewables, but its growth is slowing. The sector employs close to 2 million people directly, many in operations and maintenance. </w:t>
      </w:r>
    </w:p>
    <w:p w14:paraId="746F8627"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t xml:space="preserve">The next figure shows an estimate for employment in solar PV, liquid biofuels, wind, solar heating and cooling, and hydropower. Less information is available for other technologies such as biogas, geothermal energy, and ground-based heat pumps, concentrated solar power (CSP), waste-to-energy and ocean or wave energy. These other technologies also employ fewer people </w:t>
      </w:r>
    </w:p>
    <w:p w14:paraId="757A84B8" w14:textId="77777777" w:rsidR="00AC1A29" w:rsidRPr="00DB6A3C" w:rsidRDefault="00AC1A29" w:rsidP="00AC1A29">
      <w:pPr>
        <w:spacing w:after="160" w:line="259" w:lineRule="auto"/>
        <w:jc w:val="center"/>
        <w:rPr>
          <w:rFonts w:ascii="Calibri" w:eastAsia="Calibri" w:hAnsi="Calibri" w:cs="Times New Roman"/>
          <w:b/>
          <w:bCs/>
          <w:sz w:val="20"/>
          <w:szCs w:val="20"/>
        </w:rPr>
      </w:pPr>
      <w:r w:rsidRPr="00DB6A3C">
        <w:rPr>
          <w:rFonts w:ascii="Calibri" w:eastAsia="Calibri" w:hAnsi="Calibri" w:cs="Times New Roman"/>
          <w:b/>
          <w:bCs/>
          <w:sz w:val="20"/>
          <w:szCs w:val="20"/>
        </w:rPr>
        <w:t>Figure No. 10 Renewable energy employment by technology</w:t>
      </w:r>
    </w:p>
    <w:p w14:paraId="78427F1A"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noProof/>
          <w:sz w:val="20"/>
          <w:szCs w:val="20"/>
          <w:lang w:eastAsia="en-GB"/>
        </w:rPr>
        <w:drawing>
          <wp:inline distT="0" distB="0" distL="0" distR="0" wp14:anchorId="2DF2621B" wp14:editId="46AA81E5">
            <wp:extent cx="5400040" cy="4221480"/>
            <wp:effectExtent l="0" t="0" r="0" b="762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400040" cy="4221480"/>
                    </a:xfrm>
                    <a:prstGeom prst="rect">
                      <a:avLst/>
                    </a:prstGeom>
                  </pic:spPr>
                </pic:pic>
              </a:graphicData>
            </a:graphic>
          </wp:inline>
        </w:drawing>
      </w:r>
    </w:p>
    <w:p w14:paraId="2A12F6D1" w14:textId="77777777" w:rsidR="00AC1A29" w:rsidRPr="00DB6A3C" w:rsidRDefault="00AC1A29" w:rsidP="00AC1A29">
      <w:pPr>
        <w:spacing w:after="160" w:line="259" w:lineRule="auto"/>
        <w:jc w:val="center"/>
        <w:rPr>
          <w:rFonts w:ascii="Calibri" w:eastAsia="Calibri" w:hAnsi="Calibri" w:cs="Times New Roman"/>
          <w:sz w:val="20"/>
          <w:szCs w:val="20"/>
        </w:rPr>
      </w:pPr>
      <w:r w:rsidRPr="00DB6A3C">
        <w:rPr>
          <w:rFonts w:ascii="Calibri" w:eastAsia="Calibri" w:hAnsi="Calibri" w:cs="Times New Roman"/>
          <w:sz w:val="20"/>
          <w:szCs w:val="20"/>
        </w:rPr>
        <w:t>Source: IRENA</w:t>
      </w:r>
    </w:p>
    <w:p w14:paraId="349378D5"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t xml:space="preserve">An important consideration on gender diversity in the Renewal Energies is that based on a survey of over 1 000 individuals and organisations, </w:t>
      </w:r>
      <w:r w:rsidRPr="00DB6A3C">
        <w:rPr>
          <w:rFonts w:ascii="Calibri" w:eastAsia="Calibri" w:hAnsi="Calibri" w:cs="Times New Roman"/>
          <w:i/>
          <w:iCs/>
          <w:sz w:val="20"/>
          <w:szCs w:val="20"/>
        </w:rPr>
        <w:t>IRENA’s Wind Energy: A Gender Perspective</w:t>
      </w:r>
      <w:r w:rsidRPr="00DB6A3C">
        <w:rPr>
          <w:rFonts w:ascii="Calibri" w:eastAsia="Calibri" w:hAnsi="Calibri" w:cs="Times New Roman"/>
          <w:sz w:val="20"/>
          <w:szCs w:val="20"/>
        </w:rPr>
        <w:t xml:space="preserve"> (IRENA, 2020, carried out in collaboration with the </w:t>
      </w:r>
      <w:bookmarkStart w:id="21" w:name="_Hlk70258633"/>
      <w:r w:rsidRPr="00DB6A3C">
        <w:rPr>
          <w:rFonts w:ascii="Calibri" w:eastAsia="Calibri" w:hAnsi="Calibri" w:cs="Times New Roman"/>
          <w:sz w:val="20"/>
          <w:szCs w:val="20"/>
        </w:rPr>
        <w:t xml:space="preserve">Global Wind Energy Council (GWEC) and the Global Women's Network for the Energy Transition (GWNET)) </w:t>
      </w:r>
      <w:bookmarkEnd w:id="21"/>
      <w:r w:rsidRPr="00DB6A3C">
        <w:rPr>
          <w:rFonts w:ascii="Calibri" w:eastAsia="Calibri" w:hAnsi="Calibri" w:cs="Times New Roman"/>
          <w:sz w:val="20"/>
          <w:szCs w:val="20"/>
        </w:rPr>
        <w:t xml:space="preserve">shows that the wind energy sector is male dominated, with women representing just 21% of the workforce (substantially lower than the 32% share of women in the renewable industry globally [IRENA, 2019]). While respondents perceived that women possess the required skills and knowledge, they highlighted perceptions of gender roles and culture social norms as major barriers to gender equality in the sector. The under-representation of women in the science, technology, engineering, and mathematics workforce (at just a 14% share) means that the wind industry is failing to tap a rich pool of talent that could add valuable perspectives and open new pathways for innovation. To address the persistent gender imbalance, the wind sector needs to diminish ingrained stereotypes, facilitate inclusion and more diverse perspectives, and replicate best practices. Some initiatives already recognise women as agents of change. </w:t>
      </w:r>
    </w:p>
    <w:p w14:paraId="188F531B"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t xml:space="preserve">Other important consideration we want to add is about Hydropower. Given its deployment over many decades, hydropower is still the largest source of renewable electricity in the world, accounting for 44.6% of the total </w:t>
      </w:r>
      <w:r w:rsidRPr="00DB6A3C">
        <w:rPr>
          <w:rFonts w:ascii="Calibri" w:eastAsia="Calibri" w:hAnsi="Calibri" w:cs="Times New Roman"/>
          <w:sz w:val="20"/>
          <w:szCs w:val="20"/>
        </w:rPr>
        <w:lastRenderedPageBreak/>
        <w:t>installed renewable energy capacity in 2019. China, Brazil, the United States and Canada were the top countries that year. However, global net additions of capacity in 2019 were the lowest in the last 17 years and 43% below the value in 2018 (IRENA, 2020a).</w:t>
      </w:r>
    </w:p>
    <w:p w14:paraId="4D73F079"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t xml:space="preserve">IRENA estimates jobs in the hydropower sector based on an employment-factor approach, which allows the revision of previous estimates and an examination of direct jobs in the main segments of the value chain: manufacturing, construction and installation, and operations and maintenance (O&amp;M). The results reveal that approximately 1.93 million people worldwide worked in the sector in 2019. </w:t>
      </w:r>
    </w:p>
    <w:p w14:paraId="73DD3E9A" w14:textId="77777777" w:rsidR="00AC1A29" w:rsidRPr="00DB6A3C" w:rsidRDefault="00AC1A29" w:rsidP="00AC1A29">
      <w:pPr>
        <w:spacing w:after="160" w:line="259" w:lineRule="auto"/>
        <w:jc w:val="center"/>
        <w:rPr>
          <w:rFonts w:ascii="Calibri" w:eastAsia="Calibri" w:hAnsi="Calibri" w:cs="Times New Roman"/>
          <w:b/>
          <w:bCs/>
          <w:sz w:val="20"/>
          <w:szCs w:val="20"/>
        </w:rPr>
      </w:pPr>
      <w:r w:rsidRPr="00DB6A3C">
        <w:rPr>
          <w:rFonts w:ascii="Calibri" w:eastAsia="Calibri" w:hAnsi="Calibri" w:cs="Times New Roman"/>
          <w:b/>
          <w:bCs/>
          <w:sz w:val="20"/>
          <w:szCs w:val="20"/>
        </w:rPr>
        <w:t>Figure 11: Hydropower employment by country, 2019</w:t>
      </w:r>
    </w:p>
    <w:p w14:paraId="09B78253"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noProof/>
          <w:sz w:val="20"/>
          <w:szCs w:val="20"/>
          <w:lang w:eastAsia="en-GB"/>
        </w:rPr>
        <w:drawing>
          <wp:inline distT="0" distB="0" distL="0" distR="0" wp14:anchorId="1646111A" wp14:editId="190ABCEF">
            <wp:extent cx="5400040" cy="3382010"/>
            <wp:effectExtent l="0" t="0" r="0" b="889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400040" cy="3382010"/>
                    </a:xfrm>
                    <a:prstGeom prst="rect">
                      <a:avLst/>
                    </a:prstGeom>
                  </pic:spPr>
                </pic:pic>
              </a:graphicData>
            </a:graphic>
          </wp:inline>
        </w:drawing>
      </w:r>
    </w:p>
    <w:p w14:paraId="600F5EAD" w14:textId="2F2CCBCE" w:rsidR="00AC1A29" w:rsidRPr="00DB6A3C" w:rsidRDefault="00AC1A29" w:rsidP="00AC1A29">
      <w:pPr>
        <w:spacing w:after="160" w:line="259" w:lineRule="auto"/>
        <w:jc w:val="both"/>
        <w:rPr>
          <w:rFonts w:ascii="Calibri" w:eastAsia="Calibri" w:hAnsi="Calibri" w:cs="Times New Roman"/>
          <w:noProof/>
          <w:sz w:val="20"/>
          <w:szCs w:val="20"/>
          <w:lang w:val="en"/>
        </w:rPr>
      </w:pPr>
      <w:r w:rsidRPr="00DB6A3C">
        <w:rPr>
          <w:rFonts w:ascii="Calibri" w:eastAsia="Calibri" w:hAnsi="Calibri" w:cs="Times New Roman"/>
          <w:b/>
          <w:bCs/>
          <w:noProof/>
          <w:sz w:val="20"/>
          <w:szCs w:val="20"/>
        </w:rPr>
        <w:t xml:space="preserve">Renewables energies represents great opportunities to </w:t>
      </w:r>
      <w:r w:rsidR="007745AE">
        <w:rPr>
          <w:rFonts w:ascii="Calibri" w:eastAsia="Calibri" w:hAnsi="Calibri" w:cs="Times New Roman"/>
          <w:b/>
          <w:bCs/>
          <w:noProof/>
          <w:sz w:val="20"/>
          <w:szCs w:val="20"/>
        </w:rPr>
        <w:t>Türkiye</w:t>
      </w:r>
      <w:r w:rsidRPr="00DB6A3C">
        <w:rPr>
          <w:rFonts w:ascii="Calibri" w:eastAsia="Calibri" w:hAnsi="Calibri" w:cs="Times New Roman"/>
          <w:b/>
          <w:bCs/>
          <w:noProof/>
          <w:sz w:val="20"/>
          <w:szCs w:val="20"/>
        </w:rPr>
        <w:t xml:space="preserve"> for employment and to give an important opportunity for women in non traditional/stereotyped activites.</w:t>
      </w:r>
      <w:r w:rsidRPr="00DB6A3C">
        <w:rPr>
          <w:rFonts w:ascii="Calibri" w:eastAsia="Calibri" w:hAnsi="Calibri" w:cs="Times New Roman"/>
          <w:noProof/>
          <w:sz w:val="20"/>
          <w:szCs w:val="20"/>
        </w:rPr>
        <w:t xml:space="preserve"> For this possibility, the inclusion of m</w:t>
      </w:r>
      <w:r w:rsidRPr="00DB6A3C">
        <w:rPr>
          <w:rFonts w:ascii="Calibri" w:eastAsia="Calibri" w:hAnsi="Calibri" w:cs="Times New Roman"/>
          <w:noProof/>
          <w:sz w:val="20"/>
          <w:szCs w:val="20"/>
          <w:lang w:val="en"/>
        </w:rPr>
        <w:t xml:space="preserve">ore women in management teams is needed. Increasing the number and visibility of women leaders in executive positions as well as positively affecting women's employment, it will change the perception that the energy sector is a male-dominated world, and thus women are often exposed to glass It will help them “break the ceiling”. </w:t>
      </w:r>
    </w:p>
    <w:p w14:paraId="48AFF959" w14:textId="77777777" w:rsidR="00AC1A29" w:rsidRPr="00DB6A3C" w:rsidRDefault="00AC1A29" w:rsidP="00AC1A29">
      <w:pPr>
        <w:spacing w:after="160" w:line="259" w:lineRule="auto"/>
        <w:jc w:val="both"/>
        <w:rPr>
          <w:rFonts w:ascii="Calibri" w:eastAsia="Calibri" w:hAnsi="Calibri" w:cs="Times New Roman"/>
          <w:noProof/>
          <w:sz w:val="20"/>
          <w:szCs w:val="20"/>
        </w:rPr>
      </w:pPr>
      <w:r w:rsidRPr="00DB6A3C">
        <w:rPr>
          <w:rFonts w:ascii="Calibri" w:eastAsia="Calibri" w:hAnsi="Calibri" w:cs="Times New Roman"/>
          <w:noProof/>
          <w:sz w:val="20"/>
          <w:szCs w:val="20"/>
          <w:lang w:val="en"/>
        </w:rPr>
        <w:t xml:space="preserve">Creating more flexible working conditions and comfortable working spaces it always helps.  In addition to the perception that men are dominant in the energy sector, the perception that there is no work / private life balance should also be broken. </w:t>
      </w:r>
    </w:p>
    <w:p w14:paraId="21FDB7C1" w14:textId="77777777" w:rsidR="00AC1A29" w:rsidRPr="00DB6A3C" w:rsidRDefault="00AC1A29" w:rsidP="00AC1A29">
      <w:pPr>
        <w:spacing w:after="160" w:line="259" w:lineRule="auto"/>
        <w:jc w:val="both"/>
        <w:rPr>
          <w:rFonts w:ascii="Calibri" w:eastAsia="Calibri" w:hAnsi="Calibri" w:cs="Times New Roman"/>
          <w:noProof/>
          <w:sz w:val="20"/>
          <w:szCs w:val="20"/>
          <w:lang w:val="en"/>
        </w:rPr>
      </w:pPr>
      <w:r w:rsidRPr="00DB6A3C">
        <w:rPr>
          <w:rFonts w:ascii="Calibri" w:eastAsia="Calibri" w:hAnsi="Calibri" w:cs="Times New Roman"/>
          <w:noProof/>
          <w:sz w:val="20"/>
          <w:szCs w:val="20"/>
          <w:lang w:val="en"/>
        </w:rPr>
        <w:t>Other possibility is to attract women workers early to the energy sector. Young talents in the energy sector but especially for young women due to their potential to create a new perspective</w:t>
      </w:r>
    </w:p>
    <w:p w14:paraId="1D7F3A96" w14:textId="5DFD401C" w:rsidR="00AC1A29" w:rsidRPr="00DB6A3C" w:rsidRDefault="002971D4" w:rsidP="001C1D9B">
      <w:pPr>
        <w:pStyle w:val="Heading1"/>
        <w:rPr>
          <w:rFonts w:eastAsia="Calibri"/>
        </w:rPr>
      </w:pPr>
      <w:bookmarkStart w:id="22" w:name="_Toc118121246"/>
      <w:r>
        <w:rPr>
          <w:rFonts w:eastAsia="Calibri"/>
        </w:rPr>
        <w:t xml:space="preserve">5. </w:t>
      </w:r>
      <w:r w:rsidR="001365AE" w:rsidRPr="00DB6A3C">
        <w:rPr>
          <w:rFonts w:eastAsia="Calibri"/>
        </w:rPr>
        <w:t>EDUCATION RELATED TO EMPLOYMENT IN THE SECTOR</w:t>
      </w:r>
      <w:bookmarkEnd w:id="22"/>
    </w:p>
    <w:p w14:paraId="34F74D4E" w14:textId="1350B06C" w:rsidR="00AC1A29" w:rsidRDefault="00AC1A29" w:rsidP="00AC1A29">
      <w:pPr>
        <w:spacing w:after="160" w:line="259" w:lineRule="auto"/>
        <w:jc w:val="both"/>
        <w:rPr>
          <w:rFonts w:ascii="Calibri" w:eastAsia="Calibri" w:hAnsi="Calibri" w:cs="Times New Roman"/>
          <w:sz w:val="20"/>
          <w:szCs w:val="20"/>
        </w:rPr>
      </w:pPr>
      <w:bookmarkStart w:id="23" w:name="_Hlk69732752"/>
      <w:r w:rsidRPr="00DB6A3C">
        <w:rPr>
          <w:rFonts w:ascii="Calibri" w:eastAsia="Calibri" w:hAnsi="Calibri" w:cs="Times New Roman"/>
          <w:sz w:val="20"/>
          <w:szCs w:val="20"/>
        </w:rPr>
        <w:t xml:space="preserve">Building the skills base necessary to support the ongoing global energy transition from fossil fuels to renewables requires more vocational training, stronger curricula, more teacher training and expanded use of information and communications technology for remote learning. </w:t>
      </w:r>
    </w:p>
    <w:p w14:paraId="198CD14A" w14:textId="77777777" w:rsidR="00451890" w:rsidRPr="00DB6A3C" w:rsidRDefault="00451890" w:rsidP="00AC1A29">
      <w:pPr>
        <w:spacing w:after="160" w:line="259" w:lineRule="auto"/>
        <w:jc w:val="both"/>
        <w:rPr>
          <w:rFonts w:ascii="Calibri" w:eastAsia="Calibri" w:hAnsi="Calibri" w:cs="Times New Roman"/>
          <w:sz w:val="20"/>
          <w:szCs w:val="20"/>
        </w:rPr>
      </w:pPr>
    </w:p>
    <w:p w14:paraId="0E5D87C0"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lastRenderedPageBreak/>
        <w:t xml:space="preserve">One of the subjects discussed globally are the possibility that </w:t>
      </w:r>
      <w:r w:rsidRPr="00DB6A3C">
        <w:rPr>
          <w:rFonts w:ascii="Calibri" w:eastAsia="Calibri" w:hAnsi="Calibri" w:cs="Times New Roman"/>
          <w:b/>
          <w:bCs/>
          <w:sz w:val="20"/>
          <w:szCs w:val="20"/>
        </w:rPr>
        <w:t>renewable energy can be better integrated into national curricula</w:t>
      </w:r>
      <w:r w:rsidRPr="00DB6A3C">
        <w:rPr>
          <w:rFonts w:ascii="Calibri" w:eastAsia="Calibri" w:hAnsi="Calibri" w:cs="Times New Roman"/>
          <w:sz w:val="20"/>
          <w:szCs w:val="20"/>
        </w:rPr>
        <w:t xml:space="preserve"> – not only in science and technology but also in social studies – for students in primary, secondary, and tertiary education and at technical and vocational institutions. Industry leaders can play a major role in imparting that knowledge – and thus in educating the workforce of the future. The chronic shortage of skilled workers in expanding access to modern forms of energy could constitute a major barrier to the deployment of renewables. Installations undertaken by unskilled workers can result in performance issues and a negative perception of renewable technologies. Training initiatives are critical to forestall such outcomes and instead translate potential benefits into reality. </w:t>
      </w:r>
    </w:p>
    <w:p w14:paraId="352D7F22"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t xml:space="preserve">Other possibility is the </w:t>
      </w:r>
      <w:r w:rsidRPr="00DB6A3C">
        <w:rPr>
          <w:rFonts w:ascii="Calibri" w:eastAsia="Calibri" w:hAnsi="Calibri" w:cs="Times New Roman"/>
          <w:b/>
          <w:bCs/>
          <w:sz w:val="20"/>
          <w:szCs w:val="20"/>
        </w:rPr>
        <w:t>technology-enhanced learning</w:t>
      </w:r>
      <w:r w:rsidRPr="00DB6A3C">
        <w:rPr>
          <w:rFonts w:ascii="Calibri" w:eastAsia="Calibri" w:hAnsi="Calibri" w:cs="Times New Roman"/>
          <w:sz w:val="20"/>
          <w:szCs w:val="20"/>
        </w:rPr>
        <w:t xml:space="preserve"> Innovations in the use of ICT can play an important role in the delivery of education and training related to renewable energy. Models and simulations can be used to build learners’ technical skills, and flexible delivery of online content can improve access for learners. Learning-management systems can be applied to deliver personalised learning content that considers the different starting points of learners. ICT can also be used to increase collaboration between industry and technical and vocational education and training (TVET) institutions, thus allowing experts to contribute to the curriculum as well as deliver instruction digitally. </w:t>
      </w:r>
      <w:r w:rsidRPr="00DB6A3C">
        <w:rPr>
          <w:rFonts w:ascii="Calibri" w:eastAsia="Calibri" w:hAnsi="Calibri" w:cs="Times New Roman"/>
          <w:sz w:val="20"/>
          <w:szCs w:val="20"/>
          <w:vertAlign w:val="superscript"/>
        </w:rPr>
        <w:footnoteReference w:id="22"/>
      </w:r>
    </w:p>
    <w:p w14:paraId="2D72FF8A"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b/>
          <w:bCs/>
          <w:sz w:val="20"/>
          <w:szCs w:val="20"/>
        </w:rPr>
        <w:t>Public-private partnerships</w:t>
      </w:r>
      <w:r w:rsidRPr="00DB6A3C">
        <w:rPr>
          <w:rFonts w:ascii="Calibri" w:eastAsia="Calibri" w:hAnsi="Calibri" w:cs="Times New Roman"/>
          <w:sz w:val="20"/>
          <w:szCs w:val="20"/>
        </w:rPr>
        <w:t xml:space="preserve"> Engaging the private sector is crucial for meeting sectoral labour requirements, promoting national skill standards, providing on-the-job training, and improving the quality of training overall. Public-private partnerships can play an especially important role in TVET. The private sector can contribute to skill delivery in several ways, including course delivery, work-based learning and apprenticeships, and transfers of knowledge and equipment. The private sector is playing an increasingly significant role in the financing of TVET programmes. Dunbar (2013) discusses the need to move away from the traditional fragmented model of training markets, which are financed primarily through fees, toward a more integrated market that incorporates a range of funding mechanisms, including payroll-based training levies, tax incentives, scholarships and donations, vouchers, and student loans.</w:t>
      </w:r>
    </w:p>
    <w:p w14:paraId="2FC20FD9" w14:textId="74FA6476" w:rsidR="00AC1A29"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b/>
          <w:bCs/>
          <w:sz w:val="20"/>
          <w:szCs w:val="20"/>
        </w:rPr>
        <w:t>Educating girls and women</w:t>
      </w:r>
      <w:r w:rsidRPr="00DB6A3C">
        <w:rPr>
          <w:rFonts w:ascii="Calibri" w:eastAsia="Calibri" w:hAnsi="Calibri" w:cs="Times New Roman"/>
          <w:sz w:val="20"/>
          <w:szCs w:val="20"/>
        </w:rPr>
        <w:t xml:space="preserve"> in the renewable energy sector, women’s participation in science, technology, engineering, and mathematics (STEM) jobs is far lower than in administrative jobs (28% versus 45%) (IRENA, 2019). The difference is more pronounced in the wind energy sector, where women account for only 14% of the STEM total, compared to 45% in administrative jobs (IRENA, 2020). Strategies to increase the representation of women in the renewable energy sector often focus on workplace accommodations, mentorship, and professional development. These approaches reach only the small number of women who have already made a conscious career path decision. Influencing the choices girls make earlier in life, when aspirations and affinities are still being discovered, can help increase the number of women in the renewable energy sector specifically, as well as in STEM fields more broadly. Early career choices are often shaped by gendered cultural norms and perceptions. </w:t>
      </w:r>
    </w:p>
    <w:p w14:paraId="44ECF236" w14:textId="77777777" w:rsidR="003A7BFE" w:rsidRPr="00DB6A3C" w:rsidRDefault="003A7BFE" w:rsidP="00AC1A29">
      <w:pPr>
        <w:spacing w:after="160" w:line="259" w:lineRule="auto"/>
        <w:jc w:val="both"/>
        <w:rPr>
          <w:rFonts w:ascii="Calibri" w:eastAsia="Calibri" w:hAnsi="Calibri" w:cs="Times New Roman"/>
          <w:sz w:val="20"/>
          <w:szCs w:val="20"/>
        </w:rPr>
      </w:pPr>
    </w:p>
    <w:p w14:paraId="42E6D2F2" w14:textId="73D25D43" w:rsidR="00AC1A29" w:rsidRPr="00DB6A3C" w:rsidRDefault="002971D4" w:rsidP="001C1D9B">
      <w:pPr>
        <w:pStyle w:val="Heading1"/>
        <w:rPr>
          <w:rFonts w:eastAsia="Calibri"/>
        </w:rPr>
      </w:pPr>
      <w:bookmarkStart w:id="24" w:name="_Toc118121247"/>
      <w:r>
        <w:rPr>
          <w:rFonts w:eastAsia="Calibri"/>
        </w:rPr>
        <w:t xml:space="preserve">6. </w:t>
      </w:r>
      <w:r w:rsidR="001365AE" w:rsidRPr="00DB6A3C">
        <w:rPr>
          <w:rFonts w:eastAsia="Calibri"/>
        </w:rPr>
        <w:t>ANALYSIS OF THE MARKET</w:t>
      </w:r>
      <w:bookmarkEnd w:id="24"/>
    </w:p>
    <w:p w14:paraId="2C3762F6" w14:textId="77777777" w:rsidR="00AC1A29" w:rsidRPr="00DB6A3C" w:rsidRDefault="00AC1A29" w:rsidP="00AC1A29">
      <w:pPr>
        <w:spacing w:after="160" w:line="259" w:lineRule="auto"/>
        <w:jc w:val="both"/>
        <w:rPr>
          <w:rFonts w:ascii="Calibri" w:eastAsia="Calibri" w:hAnsi="Calibri" w:cs="Times New Roman"/>
          <w:sz w:val="20"/>
          <w:szCs w:val="20"/>
        </w:rPr>
      </w:pPr>
      <w:r w:rsidRPr="00DB6A3C">
        <w:rPr>
          <w:rFonts w:ascii="Calibri" w:eastAsia="Calibri" w:hAnsi="Calibri" w:cs="Times New Roman"/>
          <w:sz w:val="20"/>
          <w:szCs w:val="20"/>
        </w:rPr>
        <w:t xml:space="preserve">Even when many of our conclusions are included in the point 4. Employment and 5. Education for employment with a real gender perspective, we would like to add that: </w:t>
      </w:r>
    </w:p>
    <w:p w14:paraId="63DC310F" w14:textId="77777777" w:rsidR="00AC1A29" w:rsidRPr="00DB6A3C" w:rsidRDefault="00AC1A29" w:rsidP="001B60EE">
      <w:pPr>
        <w:numPr>
          <w:ilvl w:val="0"/>
          <w:numId w:val="9"/>
        </w:numPr>
        <w:spacing w:after="160" w:line="259" w:lineRule="auto"/>
        <w:contextualSpacing/>
        <w:jc w:val="both"/>
        <w:rPr>
          <w:rFonts w:ascii="Calibri" w:eastAsia="Calibri" w:hAnsi="Calibri" w:cs="Times New Roman"/>
          <w:sz w:val="20"/>
          <w:szCs w:val="20"/>
        </w:rPr>
      </w:pPr>
      <w:r w:rsidRPr="00DB6A3C">
        <w:rPr>
          <w:rFonts w:ascii="Calibri" w:eastAsia="Calibri" w:hAnsi="Calibri" w:cs="Times New Roman"/>
          <w:sz w:val="20"/>
          <w:szCs w:val="20"/>
        </w:rPr>
        <w:t xml:space="preserve">In our societies, a job is how most working people secure an income for themselves and their families. Beyond ensuring an adequate number of jobs, labour representation is often essential to ensuring good jobs that will provide an adequate wage or salary in a safe and productive workplace. </w:t>
      </w:r>
    </w:p>
    <w:p w14:paraId="11530769" w14:textId="77777777" w:rsidR="00AC1A29" w:rsidRPr="00DB6A3C" w:rsidRDefault="00AC1A29" w:rsidP="001B60EE">
      <w:pPr>
        <w:numPr>
          <w:ilvl w:val="0"/>
          <w:numId w:val="9"/>
        </w:numPr>
        <w:spacing w:after="160" w:line="259" w:lineRule="auto"/>
        <w:contextualSpacing/>
        <w:jc w:val="both"/>
        <w:rPr>
          <w:rFonts w:ascii="Calibri" w:eastAsia="Calibri" w:hAnsi="Calibri" w:cs="Times New Roman"/>
          <w:sz w:val="20"/>
          <w:szCs w:val="20"/>
        </w:rPr>
      </w:pPr>
      <w:r w:rsidRPr="00DB6A3C">
        <w:rPr>
          <w:rFonts w:ascii="Calibri" w:eastAsia="Calibri" w:hAnsi="Calibri" w:cs="Times New Roman"/>
          <w:sz w:val="20"/>
          <w:szCs w:val="20"/>
        </w:rPr>
        <w:lastRenderedPageBreak/>
        <w:t xml:space="preserve">Jobs build experience, hone skills and can provide a path to self-fulfilment by way of a worker’s pride in performing a task well or in helping a community or country accomplish an important objective, such as creating a clean energy system. </w:t>
      </w:r>
    </w:p>
    <w:p w14:paraId="394FFD65" w14:textId="77777777" w:rsidR="00AC1A29" w:rsidRPr="00DB6A3C" w:rsidRDefault="00AC1A29" w:rsidP="001B60EE">
      <w:pPr>
        <w:numPr>
          <w:ilvl w:val="0"/>
          <w:numId w:val="9"/>
        </w:numPr>
        <w:spacing w:after="160" w:line="259" w:lineRule="auto"/>
        <w:contextualSpacing/>
        <w:jc w:val="both"/>
        <w:rPr>
          <w:rFonts w:ascii="Calibri" w:eastAsia="Calibri" w:hAnsi="Calibri" w:cs="Times New Roman"/>
          <w:sz w:val="20"/>
          <w:szCs w:val="20"/>
        </w:rPr>
      </w:pPr>
      <w:r w:rsidRPr="00DB6A3C">
        <w:rPr>
          <w:rFonts w:ascii="Calibri" w:eastAsia="Calibri" w:hAnsi="Calibri" w:cs="Times New Roman"/>
          <w:sz w:val="20"/>
          <w:szCs w:val="20"/>
        </w:rPr>
        <w:t xml:space="preserve">Jobs in renewable energy are important beyond the energy sector: incomes spent on food or consumer goods and services stimulate many different industries in local, national, and global economies. </w:t>
      </w:r>
    </w:p>
    <w:p w14:paraId="4CB8D2A6" w14:textId="77777777" w:rsidR="00AC1A29" w:rsidRPr="00DB6A3C" w:rsidRDefault="00AC1A29" w:rsidP="001B60EE">
      <w:pPr>
        <w:numPr>
          <w:ilvl w:val="0"/>
          <w:numId w:val="9"/>
        </w:numPr>
        <w:spacing w:after="160" w:line="259" w:lineRule="auto"/>
        <w:contextualSpacing/>
        <w:jc w:val="both"/>
        <w:rPr>
          <w:rFonts w:ascii="Calibri" w:eastAsia="Calibri" w:hAnsi="Calibri" w:cs="Times New Roman"/>
          <w:sz w:val="20"/>
          <w:szCs w:val="20"/>
        </w:rPr>
      </w:pPr>
      <w:r w:rsidRPr="00DB6A3C">
        <w:rPr>
          <w:rFonts w:ascii="Calibri" w:eastAsia="Calibri" w:hAnsi="Calibri" w:cs="Times New Roman"/>
          <w:sz w:val="20"/>
          <w:szCs w:val="20"/>
        </w:rPr>
        <w:t xml:space="preserve">Available evidence suggests that renewable energy employs more people than do fossil fuels. An input output analysis (Garrett-Peltier, 2017) performed to evaluate public and private energy investment found that, on average, spending USD  1 million on renewables creates 7.49 FTE jobs, almost triple the 2.65 FTE jobs in fossil fuels. </w:t>
      </w:r>
    </w:p>
    <w:p w14:paraId="697604AA" w14:textId="77777777" w:rsidR="00AC1A29" w:rsidRPr="00DB6A3C" w:rsidRDefault="00AC1A29" w:rsidP="001B60EE">
      <w:pPr>
        <w:numPr>
          <w:ilvl w:val="0"/>
          <w:numId w:val="9"/>
        </w:numPr>
        <w:spacing w:after="160" w:line="259" w:lineRule="auto"/>
        <w:contextualSpacing/>
        <w:jc w:val="both"/>
        <w:rPr>
          <w:rFonts w:ascii="Calibri" w:eastAsia="Calibri" w:hAnsi="Calibri" w:cs="Times New Roman"/>
          <w:sz w:val="20"/>
          <w:szCs w:val="20"/>
        </w:rPr>
      </w:pPr>
      <w:r w:rsidRPr="00DB6A3C">
        <w:rPr>
          <w:rFonts w:ascii="Calibri" w:eastAsia="Calibri" w:hAnsi="Calibri" w:cs="Times New Roman"/>
          <w:sz w:val="20"/>
          <w:szCs w:val="20"/>
        </w:rPr>
        <w:t>Learning curves, economies of scale and new technologies such as drones and artificial intelligence will shape the labour intensity of renewables in years to come. The dynamics will probably differ somewhat in the agricultural supply chains for bioenergy, where informal employment is often the norm in developing countries</w:t>
      </w:r>
    </w:p>
    <w:p w14:paraId="6F9DF035" w14:textId="66F5A5B8" w:rsidR="003A7BFE" w:rsidRDefault="003A7BFE">
      <w:pPr>
        <w:rPr>
          <w:rFonts w:ascii="Calibri" w:eastAsia="Calibri" w:hAnsi="Calibri" w:cs="Times New Roman"/>
          <w:sz w:val="22"/>
          <w:szCs w:val="22"/>
        </w:rPr>
      </w:pPr>
      <w:r>
        <w:rPr>
          <w:rFonts w:ascii="Calibri" w:eastAsia="Calibri" w:hAnsi="Calibri" w:cs="Times New Roman"/>
          <w:sz w:val="22"/>
          <w:szCs w:val="22"/>
        </w:rPr>
        <w:br w:type="page"/>
      </w:r>
    </w:p>
    <w:p w14:paraId="0E349A7E" w14:textId="2EC63FDF" w:rsidR="00A65B9B" w:rsidRPr="002971D4" w:rsidRDefault="002971D4" w:rsidP="001C1D9B">
      <w:pPr>
        <w:pStyle w:val="Heading1"/>
        <w:rPr>
          <w:lang w:val="en-US"/>
        </w:rPr>
      </w:pPr>
      <w:bookmarkStart w:id="25" w:name="_Toc118121248"/>
      <w:bookmarkEnd w:id="23"/>
      <w:r w:rsidRPr="002971D4">
        <w:rPr>
          <w:lang w:val="en-US"/>
        </w:rPr>
        <w:lastRenderedPageBreak/>
        <w:t xml:space="preserve">7. </w:t>
      </w:r>
      <w:r w:rsidR="00A65B9B" w:rsidRPr="002971D4">
        <w:rPr>
          <w:lang w:val="en-US"/>
        </w:rPr>
        <w:t>ENERGY SECTOR FACTSHEET</w:t>
      </w:r>
      <w:bookmarkEnd w:id="25"/>
    </w:p>
    <w:tbl>
      <w:tblPr>
        <w:tblStyle w:val="Tablaconcuadrcula1"/>
        <w:tblW w:w="9188" w:type="dxa"/>
        <w:tblInd w:w="-5" w:type="dxa"/>
        <w:tblLook w:val="04A0" w:firstRow="1" w:lastRow="0" w:firstColumn="1" w:lastColumn="0" w:noHBand="0" w:noVBand="1"/>
      </w:tblPr>
      <w:tblGrid>
        <w:gridCol w:w="1478"/>
        <w:gridCol w:w="7710"/>
      </w:tblGrid>
      <w:tr w:rsidR="00BB1D90" w:rsidRPr="00BB1D90" w14:paraId="0F06E7FB" w14:textId="77777777" w:rsidTr="00864E79">
        <w:tc>
          <w:tcPr>
            <w:tcW w:w="1478" w:type="dxa"/>
            <w:tcBorders>
              <w:top w:val="single" w:sz="4" w:space="0" w:color="auto"/>
              <w:left w:val="single" w:sz="4" w:space="0" w:color="auto"/>
              <w:bottom w:val="single" w:sz="4" w:space="0" w:color="auto"/>
              <w:right w:val="single" w:sz="4" w:space="0" w:color="auto"/>
            </w:tcBorders>
            <w:shd w:val="clear" w:color="auto" w:fill="D9E2F3"/>
          </w:tcPr>
          <w:p w14:paraId="7B354CAE" w14:textId="77777777" w:rsidR="00BB1D90" w:rsidRPr="00BB1D90" w:rsidRDefault="00BB1D90" w:rsidP="00BB1D90">
            <w:pPr>
              <w:spacing w:after="160" w:line="259" w:lineRule="auto"/>
              <w:jc w:val="both"/>
              <w:rPr>
                <w:rFonts w:ascii="Calibri" w:eastAsia="Calibri" w:hAnsi="Calibri" w:cs="Calibri"/>
                <w:sz w:val="20"/>
                <w:szCs w:val="20"/>
              </w:rPr>
            </w:pPr>
          </w:p>
        </w:tc>
        <w:tc>
          <w:tcPr>
            <w:tcW w:w="7710" w:type="dxa"/>
            <w:tcBorders>
              <w:top w:val="single" w:sz="4" w:space="0" w:color="auto"/>
              <w:left w:val="single" w:sz="4" w:space="0" w:color="auto"/>
              <w:bottom w:val="single" w:sz="4" w:space="0" w:color="auto"/>
              <w:right w:val="single" w:sz="4" w:space="0" w:color="auto"/>
            </w:tcBorders>
            <w:shd w:val="clear" w:color="auto" w:fill="D9E2F3"/>
            <w:hideMark/>
          </w:tcPr>
          <w:p w14:paraId="46CBAF0A" w14:textId="77777777" w:rsidR="00BB1D90" w:rsidRPr="00BB1D90" w:rsidRDefault="00BB1D90" w:rsidP="00BB1D90">
            <w:pPr>
              <w:spacing w:after="160" w:line="259" w:lineRule="auto"/>
              <w:jc w:val="both"/>
              <w:rPr>
                <w:rFonts w:ascii="Calibri" w:eastAsia="Calibri" w:hAnsi="Calibri" w:cs="Calibri"/>
                <w:b/>
                <w:bCs/>
                <w:sz w:val="20"/>
                <w:szCs w:val="20"/>
              </w:rPr>
            </w:pPr>
            <w:r w:rsidRPr="00BB1D90">
              <w:rPr>
                <w:rFonts w:ascii="Calibri" w:eastAsia="Calibri" w:hAnsi="Calibri" w:cs="Calibri"/>
                <w:b/>
                <w:bCs/>
                <w:sz w:val="20"/>
                <w:szCs w:val="20"/>
              </w:rPr>
              <w:t>QUANTITATIVE AND QUALITATIVE DATA</w:t>
            </w:r>
          </w:p>
        </w:tc>
      </w:tr>
      <w:tr w:rsidR="00BB1D90" w:rsidRPr="00BB1D90" w14:paraId="5D7FC628" w14:textId="77777777" w:rsidTr="00864E79">
        <w:tc>
          <w:tcPr>
            <w:tcW w:w="1478" w:type="dxa"/>
            <w:tcBorders>
              <w:top w:val="single" w:sz="4" w:space="0" w:color="auto"/>
              <w:left w:val="single" w:sz="4" w:space="0" w:color="auto"/>
              <w:bottom w:val="single" w:sz="4" w:space="0" w:color="auto"/>
              <w:right w:val="single" w:sz="4" w:space="0" w:color="auto"/>
            </w:tcBorders>
            <w:shd w:val="clear" w:color="auto" w:fill="D9E2F3"/>
          </w:tcPr>
          <w:p w14:paraId="16FE3764" w14:textId="77777777" w:rsidR="00BB1D90" w:rsidRPr="00BB1D90" w:rsidRDefault="00BB1D90" w:rsidP="00BB1D90">
            <w:pPr>
              <w:jc w:val="both"/>
              <w:rPr>
                <w:rFonts w:ascii="Calibri" w:eastAsia="Calibri" w:hAnsi="Calibri" w:cs="Calibri"/>
                <w:b/>
                <w:bCs/>
                <w:sz w:val="20"/>
                <w:szCs w:val="20"/>
              </w:rPr>
            </w:pPr>
            <w:r w:rsidRPr="00BB1D90">
              <w:rPr>
                <w:rFonts w:ascii="Calibri" w:eastAsia="Calibri" w:hAnsi="Calibri" w:cs="Calibri"/>
                <w:b/>
                <w:bCs/>
                <w:sz w:val="20"/>
                <w:szCs w:val="20"/>
              </w:rPr>
              <w:t>BASELINE</w:t>
            </w:r>
          </w:p>
        </w:tc>
        <w:tc>
          <w:tcPr>
            <w:tcW w:w="7710" w:type="dxa"/>
            <w:tcBorders>
              <w:top w:val="single" w:sz="4" w:space="0" w:color="auto"/>
              <w:left w:val="single" w:sz="4" w:space="0" w:color="auto"/>
              <w:bottom w:val="single" w:sz="4" w:space="0" w:color="auto"/>
              <w:right w:val="single" w:sz="4" w:space="0" w:color="auto"/>
            </w:tcBorders>
          </w:tcPr>
          <w:p w14:paraId="319FBB70" w14:textId="090C91E5"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b/>
                <w:bCs/>
                <w:sz w:val="20"/>
                <w:szCs w:val="20"/>
                <w:lang w:val="en-US"/>
              </w:rPr>
              <w:t>Electricity:</w:t>
            </w:r>
            <w:r w:rsidRPr="002F515A">
              <w:rPr>
                <w:rFonts w:ascii="Calibri" w:eastAsia="Calibri" w:hAnsi="Calibri" w:cs="Calibri"/>
                <w:sz w:val="20"/>
                <w:szCs w:val="20"/>
                <w:lang w:val="en-US"/>
              </w:rPr>
              <w:t xml:space="preserve"> Electricity consumption is expected to increase by 4.3% annually, reaching 375.8 </w:t>
            </w:r>
            <w:proofErr w:type="spellStart"/>
            <w:r w:rsidRPr="002F515A">
              <w:rPr>
                <w:rFonts w:ascii="Calibri" w:eastAsia="Calibri" w:hAnsi="Calibri" w:cs="Calibri"/>
                <w:sz w:val="20"/>
                <w:szCs w:val="20"/>
                <w:lang w:val="en-US"/>
              </w:rPr>
              <w:t>TWh</w:t>
            </w:r>
            <w:proofErr w:type="spellEnd"/>
            <w:r w:rsidRPr="002F515A">
              <w:rPr>
                <w:rFonts w:ascii="Calibri" w:eastAsia="Calibri" w:hAnsi="Calibri" w:cs="Calibri"/>
                <w:sz w:val="20"/>
                <w:szCs w:val="20"/>
                <w:lang w:val="en-US"/>
              </w:rPr>
              <w:t xml:space="preserve"> in 2023 in the base scenario. As the end of the 2018, 37.2% of </w:t>
            </w:r>
            <w:r w:rsidR="007745AE">
              <w:rPr>
                <w:rFonts w:ascii="Calibri" w:eastAsia="Calibri" w:hAnsi="Calibri" w:cs="Calibri"/>
                <w:sz w:val="20"/>
                <w:szCs w:val="20"/>
                <w:lang w:val="en-US"/>
              </w:rPr>
              <w:t>Türkiye</w:t>
            </w:r>
            <w:r w:rsidRPr="002F515A">
              <w:rPr>
                <w:rFonts w:ascii="Calibri" w:eastAsia="Calibri" w:hAnsi="Calibri" w:cs="Calibri"/>
                <w:sz w:val="20"/>
                <w:szCs w:val="20"/>
                <w:lang w:val="en-US"/>
              </w:rPr>
              <w:t xml:space="preserve"> electricity generation was obtained from coal, 30.3% from natural gas, 19.7% from hydropower, 6.5% from wind, 2.6% from solar energy, 2.4% from geothermal and 1.3% from other sources.</w:t>
            </w:r>
          </w:p>
          <w:p w14:paraId="57E695CC" w14:textId="77777777"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b/>
                <w:bCs/>
                <w:sz w:val="20"/>
                <w:szCs w:val="20"/>
                <w:lang w:val="en-US"/>
              </w:rPr>
              <w:t>Crude Oil:</w:t>
            </w:r>
            <w:r w:rsidRPr="002F515A">
              <w:rPr>
                <w:rFonts w:ascii="Calibri" w:eastAsia="Calibri" w:hAnsi="Calibri" w:cs="Calibri"/>
                <w:sz w:val="20"/>
                <w:szCs w:val="20"/>
                <w:lang w:val="en-US"/>
              </w:rPr>
              <w:t xml:space="preserve"> There are 41 (19 foreign + 22 native) Investor Companies and 265 license owners. On Exploration - Production Sector of Contribution to the Turkish Economy (2001 - 2018), there is 9,5 </w:t>
            </w:r>
            <w:proofErr w:type="spellStart"/>
            <w:r w:rsidRPr="002F515A">
              <w:rPr>
                <w:rFonts w:ascii="Calibri" w:eastAsia="Calibri" w:hAnsi="Calibri" w:cs="Calibri"/>
                <w:sz w:val="20"/>
                <w:szCs w:val="20"/>
                <w:lang w:val="en-US"/>
              </w:rPr>
              <w:t>millard</w:t>
            </w:r>
            <w:proofErr w:type="spellEnd"/>
            <w:r w:rsidRPr="002F515A">
              <w:rPr>
                <w:rFonts w:ascii="Calibri" w:eastAsia="Calibri" w:hAnsi="Calibri" w:cs="Calibri"/>
                <w:sz w:val="20"/>
                <w:szCs w:val="20"/>
                <w:lang w:val="en-US"/>
              </w:rPr>
              <w:t xml:space="preserve"> USD on investment, the Domestic Production Market Value was 8,3 billion TL and there are 10.000 people employed. </w:t>
            </w:r>
          </w:p>
          <w:p w14:paraId="440D9258" w14:textId="04BB35F2"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b/>
                <w:bCs/>
                <w:sz w:val="20"/>
                <w:szCs w:val="20"/>
                <w:lang w:val="en-US"/>
              </w:rPr>
              <w:t>Natural Gas:</w:t>
            </w:r>
            <w:r w:rsidRPr="002F515A">
              <w:rPr>
                <w:rFonts w:ascii="Calibri" w:eastAsia="Calibri" w:hAnsi="Calibri" w:cs="Calibri"/>
                <w:sz w:val="20"/>
                <w:szCs w:val="20"/>
                <w:lang w:val="en-US"/>
              </w:rPr>
              <w:t xml:space="preserve"> </w:t>
            </w:r>
            <w:r w:rsidR="007745AE">
              <w:rPr>
                <w:rFonts w:ascii="Calibri" w:eastAsia="Calibri" w:hAnsi="Calibri" w:cs="Calibri"/>
                <w:sz w:val="20"/>
                <w:szCs w:val="20"/>
                <w:lang w:val="en-US"/>
              </w:rPr>
              <w:t>Türkiye</w:t>
            </w:r>
            <w:r w:rsidRPr="002F515A">
              <w:rPr>
                <w:rFonts w:ascii="Calibri" w:eastAsia="Calibri" w:hAnsi="Calibri" w:cs="Calibri"/>
                <w:sz w:val="20"/>
                <w:szCs w:val="20"/>
                <w:lang w:val="en-US"/>
              </w:rPr>
              <w:t xml:space="preserve"> consumed about 45.3 billion m3 in 2019, a total of 483 million m3 of natural gas and production, most of them imported.</w:t>
            </w:r>
          </w:p>
          <w:p w14:paraId="57B40EA3" w14:textId="74143C0F"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b/>
                <w:bCs/>
                <w:sz w:val="20"/>
                <w:szCs w:val="20"/>
                <w:lang w:val="en-US"/>
              </w:rPr>
              <w:t>Hydroelectricity:</w:t>
            </w:r>
            <w:r w:rsidRPr="002F515A">
              <w:rPr>
                <w:rFonts w:ascii="Calibri" w:eastAsia="Calibri" w:hAnsi="Calibri" w:cs="Calibri"/>
                <w:sz w:val="20"/>
                <w:szCs w:val="20"/>
                <w:lang w:val="en-US"/>
              </w:rPr>
              <w:t xml:space="preserve"> The hydroelectricity potential of </w:t>
            </w:r>
            <w:r w:rsidR="007745AE">
              <w:rPr>
                <w:rFonts w:ascii="Calibri" w:eastAsia="Calibri" w:hAnsi="Calibri" w:cs="Calibri"/>
                <w:sz w:val="20"/>
                <w:szCs w:val="20"/>
                <w:lang w:val="en-US"/>
              </w:rPr>
              <w:t>Türkiye</w:t>
            </w:r>
            <w:r w:rsidRPr="002F515A">
              <w:rPr>
                <w:rFonts w:ascii="Calibri" w:eastAsia="Calibri" w:hAnsi="Calibri" w:cs="Calibri"/>
                <w:sz w:val="20"/>
                <w:szCs w:val="20"/>
                <w:lang w:val="en-US"/>
              </w:rPr>
              <w:t xml:space="preserve"> is 1% of theoretical potential of the world, while its economic potential is 16% of the economic potential of Europe. By the end of the 2018, 653 operational hydroelectricity power plants having a total of 28,291 MW have 31.9% share in </w:t>
            </w:r>
            <w:proofErr w:type="spellStart"/>
            <w:r w:rsidR="007745AE">
              <w:rPr>
                <w:rFonts w:ascii="Calibri" w:eastAsia="Calibri" w:hAnsi="Calibri" w:cs="Calibri"/>
                <w:sz w:val="20"/>
                <w:szCs w:val="20"/>
                <w:lang w:val="en-US"/>
              </w:rPr>
              <w:t>Türkiye</w:t>
            </w:r>
            <w:r w:rsidRPr="002F515A">
              <w:rPr>
                <w:rFonts w:ascii="Calibri" w:eastAsia="Calibri" w:hAnsi="Calibri" w:cs="Calibri"/>
                <w:sz w:val="20"/>
                <w:szCs w:val="20"/>
                <w:lang w:val="en-US"/>
              </w:rPr>
              <w:t>’s</w:t>
            </w:r>
            <w:proofErr w:type="spellEnd"/>
            <w:r w:rsidRPr="002F515A">
              <w:rPr>
                <w:rFonts w:ascii="Calibri" w:eastAsia="Calibri" w:hAnsi="Calibri" w:cs="Calibri"/>
                <w:sz w:val="20"/>
                <w:szCs w:val="20"/>
                <w:lang w:val="en-US"/>
              </w:rPr>
              <w:t xml:space="preserve"> total installed capacity. </w:t>
            </w:r>
          </w:p>
          <w:p w14:paraId="31A266CC" w14:textId="08059C5A"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b/>
                <w:bCs/>
                <w:sz w:val="20"/>
                <w:szCs w:val="20"/>
                <w:lang w:val="en-US"/>
              </w:rPr>
              <w:t>Wind:</w:t>
            </w:r>
            <w:r w:rsidRPr="002F515A">
              <w:rPr>
                <w:rFonts w:ascii="Calibri" w:eastAsia="Calibri" w:hAnsi="Calibri" w:cs="Calibri"/>
                <w:sz w:val="20"/>
                <w:szCs w:val="20"/>
                <w:lang w:val="en-US"/>
              </w:rPr>
              <w:t xml:space="preserve"> Wind plants with a capacity of 5 MW can be established in </w:t>
            </w:r>
            <w:r w:rsidR="007745AE">
              <w:rPr>
                <w:rFonts w:ascii="Calibri" w:eastAsia="Calibri" w:hAnsi="Calibri" w:cs="Calibri"/>
                <w:sz w:val="20"/>
                <w:szCs w:val="20"/>
                <w:lang w:val="en-US"/>
              </w:rPr>
              <w:t>Türkiye</w:t>
            </w:r>
            <w:r w:rsidRPr="002F515A">
              <w:rPr>
                <w:rFonts w:ascii="Calibri" w:eastAsia="Calibri" w:hAnsi="Calibri" w:cs="Calibri"/>
                <w:sz w:val="20"/>
                <w:szCs w:val="20"/>
                <w:lang w:val="en-US"/>
              </w:rPr>
              <w:t xml:space="preserve"> at heights of 50 meters above ground level, and in areas with a wind speed exceeding 7.5 m/s.</w:t>
            </w:r>
          </w:p>
          <w:p w14:paraId="3E4E62F2" w14:textId="2B1977DB"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b/>
                <w:bCs/>
                <w:sz w:val="20"/>
                <w:szCs w:val="20"/>
                <w:lang w:val="en-US"/>
              </w:rPr>
              <w:t>Solar:</w:t>
            </w:r>
            <w:r w:rsidRPr="002F515A">
              <w:rPr>
                <w:rFonts w:ascii="Calibri" w:eastAsia="Calibri" w:hAnsi="Calibri" w:cs="Calibri"/>
                <w:sz w:val="20"/>
                <w:szCs w:val="20"/>
                <w:lang w:val="en-US"/>
              </w:rPr>
              <w:t xml:space="preserve"> </w:t>
            </w:r>
            <w:r w:rsidR="007745AE">
              <w:rPr>
                <w:rFonts w:ascii="Calibri" w:eastAsia="Calibri" w:hAnsi="Calibri" w:cs="Calibri"/>
                <w:sz w:val="20"/>
                <w:szCs w:val="20"/>
                <w:lang w:val="en-US"/>
              </w:rPr>
              <w:t>Türkiye</w:t>
            </w:r>
            <w:r w:rsidRPr="002F515A">
              <w:rPr>
                <w:rFonts w:ascii="Calibri" w:eastAsia="Calibri" w:hAnsi="Calibri" w:cs="Calibri"/>
                <w:sz w:val="20"/>
                <w:szCs w:val="20"/>
                <w:lang w:val="en-US"/>
              </w:rPr>
              <w:t xml:space="preserve"> has high solar energy potential due to its geographical location. The energy potential that can be produced from the sun is approximately 380 billion kWh. </w:t>
            </w:r>
          </w:p>
          <w:p w14:paraId="6036B8A7" w14:textId="2DDD9504"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b/>
                <w:bCs/>
                <w:sz w:val="20"/>
                <w:szCs w:val="20"/>
                <w:lang w:val="en-US"/>
              </w:rPr>
              <w:t>Nuclear:</w:t>
            </w:r>
            <w:r w:rsidRPr="002F515A">
              <w:rPr>
                <w:rFonts w:ascii="Calibri" w:eastAsia="Calibri" w:hAnsi="Calibri" w:cs="Calibri"/>
                <w:sz w:val="20"/>
                <w:szCs w:val="20"/>
                <w:lang w:val="en-US"/>
              </w:rPr>
              <w:t xml:space="preserve"> Nuclear power plants should be not regarded only as electricity generation facilities. The nuclear power plant project, which consists of approximately 550 thousand components and equipment, will provide added value to </w:t>
            </w:r>
            <w:proofErr w:type="spellStart"/>
            <w:r w:rsidR="007745AE">
              <w:rPr>
                <w:rFonts w:ascii="Calibri" w:eastAsia="Calibri" w:hAnsi="Calibri" w:cs="Calibri"/>
                <w:sz w:val="20"/>
                <w:szCs w:val="20"/>
                <w:lang w:val="en-US"/>
              </w:rPr>
              <w:t>Türkiye</w:t>
            </w:r>
            <w:r w:rsidRPr="002F515A">
              <w:rPr>
                <w:rFonts w:ascii="Calibri" w:eastAsia="Calibri" w:hAnsi="Calibri" w:cs="Calibri"/>
                <w:sz w:val="20"/>
                <w:szCs w:val="20"/>
                <w:lang w:val="en-US"/>
              </w:rPr>
              <w:t>´s</w:t>
            </w:r>
            <w:proofErr w:type="spellEnd"/>
            <w:r w:rsidRPr="002F515A">
              <w:rPr>
                <w:rFonts w:ascii="Calibri" w:eastAsia="Calibri" w:hAnsi="Calibri" w:cs="Calibri"/>
                <w:sz w:val="20"/>
                <w:szCs w:val="20"/>
                <w:lang w:val="en-US"/>
              </w:rPr>
              <w:t xml:space="preserve"> industry together with the dynamism and employment opportunities it provides to other sectors.</w:t>
            </w:r>
          </w:p>
          <w:p w14:paraId="2E56B73C" w14:textId="2E64A855"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b/>
                <w:bCs/>
                <w:sz w:val="20"/>
                <w:szCs w:val="20"/>
                <w:lang w:val="en-US"/>
              </w:rPr>
              <w:t>Renewable Energy:</w:t>
            </w:r>
            <w:r w:rsidRPr="002F515A">
              <w:rPr>
                <w:rFonts w:ascii="Calibri" w:eastAsia="Calibri" w:hAnsi="Calibri" w:cs="Calibri"/>
                <w:sz w:val="20"/>
                <w:szCs w:val="20"/>
                <w:lang w:val="en-US"/>
              </w:rPr>
              <w:t xml:space="preserve"> </w:t>
            </w:r>
            <w:r w:rsidR="007745AE">
              <w:rPr>
                <w:rFonts w:ascii="Calibri" w:eastAsia="Calibri" w:hAnsi="Calibri" w:cs="Calibri"/>
                <w:sz w:val="20"/>
                <w:szCs w:val="20"/>
                <w:lang w:val="en-US"/>
              </w:rPr>
              <w:t>Türkiye</w:t>
            </w:r>
            <w:r w:rsidRPr="002F515A">
              <w:rPr>
                <w:rFonts w:ascii="Calibri" w:eastAsia="Calibri" w:hAnsi="Calibri" w:cs="Calibri"/>
                <w:sz w:val="20"/>
                <w:szCs w:val="20"/>
                <w:lang w:val="en-US"/>
              </w:rPr>
              <w:t xml:space="preserve"> has also created bases for energy statistics, evaluation, and policy/strategy determination studies; has determined Renewable Energy Resource Areas (YEKA), to declare the determined areas YEKA by conducting the necessary technical and administrative infrastructure studies and has organized YEKA Rights of Use Competitions within the framework of the Regulation on Renewable Energy Resource Areas.</w:t>
            </w:r>
          </w:p>
          <w:p w14:paraId="4FC04719" w14:textId="77777777"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sz w:val="20"/>
                <w:szCs w:val="20"/>
                <w:lang w:val="en-US"/>
              </w:rPr>
              <w:t>The Development Plan includes a special section to these energies, intending to work on determining, and making maximum use of renewable energy sources potentials, and to make technical evaluations of the applications for unlicensed production and unlicensed production applications made to EMRA based on solar and wind energy, and to formulate opinions for the changes in the scope of the associate/license.</w:t>
            </w:r>
          </w:p>
          <w:p w14:paraId="1E745CCE" w14:textId="77777777"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sz w:val="20"/>
                <w:szCs w:val="20"/>
                <w:lang w:val="en-US"/>
              </w:rPr>
              <w:t>According to Turkish Statistical Institute (TURKSTAT) – TÜİK the sector D. Electricity and others has 114.929 employees, with an annual change of 1.7%.</w:t>
            </w:r>
          </w:p>
          <w:p w14:paraId="711912B1" w14:textId="77777777"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sz w:val="20"/>
                <w:szCs w:val="20"/>
                <w:lang w:val="en-US"/>
              </w:rPr>
              <w:t>There are employment needs in two areas: nuclear and renewables energies (Globally, the renewable energy sector employed 11.5 million people, directly and indirectly, in 2019).</w:t>
            </w:r>
          </w:p>
          <w:p w14:paraId="69EEF18E" w14:textId="77777777"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sz w:val="20"/>
                <w:szCs w:val="20"/>
                <w:lang w:val="en-US"/>
              </w:rPr>
              <w:t>Employment in wind power for example, supports 1.2 million jobs, 21% of which are held by women. An important consideration on gender diversity in the Renewal Energies shows that the wind energy sector is male dominated, with women representing just 21% of the workforce.</w:t>
            </w:r>
          </w:p>
          <w:p w14:paraId="0EB5CC1A" w14:textId="51105552"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sz w:val="20"/>
                <w:szCs w:val="20"/>
                <w:lang w:val="en-US"/>
              </w:rPr>
              <w:t xml:space="preserve">Renewable energies represent great opportunities to </w:t>
            </w:r>
            <w:r w:rsidR="007745AE">
              <w:rPr>
                <w:rFonts w:ascii="Calibri" w:eastAsia="Calibri" w:hAnsi="Calibri" w:cs="Calibri"/>
                <w:sz w:val="20"/>
                <w:szCs w:val="20"/>
                <w:lang w:val="en-US"/>
              </w:rPr>
              <w:t>Türkiye</w:t>
            </w:r>
            <w:r w:rsidRPr="002F515A">
              <w:rPr>
                <w:rFonts w:ascii="Calibri" w:eastAsia="Calibri" w:hAnsi="Calibri" w:cs="Calibri"/>
                <w:sz w:val="20"/>
                <w:szCs w:val="20"/>
                <w:lang w:val="en-US"/>
              </w:rPr>
              <w:t xml:space="preserve"> for employment and to give an important opportunity for women in nontraditional/stereotyped activities. For this possibility, the inclusion of more women in management teams is needed.</w:t>
            </w:r>
          </w:p>
          <w:p w14:paraId="6F63AA0E" w14:textId="77777777" w:rsidR="00BB1D90" w:rsidRPr="002F515A" w:rsidRDefault="00BB1D90" w:rsidP="00BB1D90">
            <w:pPr>
              <w:numPr>
                <w:ilvl w:val="0"/>
                <w:numId w:val="17"/>
              </w:numPr>
              <w:contextualSpacing/>
              <w:jc w:val="both"/>
              <w:rPr>
                <w:rFonts w:ascii="Calibri" w:eastAsia="Calibri" w:hAnsi="Calibri" w:cs="Calibri"/>
                <w:sz w:val="20"/>
                <w:szCs w:val="20"/>
                <w:lang w:val="en-US"/>
              </w:rPr>
            </w:pPr>
            <w:r w:rsidRPr="002F515A">
              <w:rPr>
                <w:rFonts w:ascii="Calibri" w:eastAsia="Calibri" w:hAnsi="Calibri" w:cs="Calibri"/>
                <w:sz w:val="20"/>
                <w:szCs w:val="20"/>
                <w:lang w:val="en-US"/>
              </w:rPr>
              <w:t>Other possibility is to attract women workers early to the energy sector. Young talents in the energy sector but especially for young women due to their potential to create a new perspective.</w:t>
            </w:r>
          </w:p>
        </w:tc>
      </w:tr>
      <w:tr w:rsidR="00BB1D90" w:rsidRPr="00BB1D90" w14:paraId="43EEA7E6" w14:textId="77777777" w:rsidTr="00864E79">
        <w:tc>
          <w:tcPr>
            <w:tcW w:w="1478" w:type="dxa"/>
            <w:tcBorders>
              <w:top w:val="single" w:sz="4" w:space="0" w:color="auto"/>
              <w:left w:val="single" w:sz="4" w:space="0" w:color="auto"/>
              <w:bottom w:val="single" w:sz="4" w:space="0" w:color="auto"/>
              <w:right w:val="single" w:sz="4" w:space="0" w:color="auto"/>
            </w:tcBorders>
            <w:shd w:val="clear" w:color="auto" w:fill="D9E2F3"/>
            <w:hideMark/>
          </w:tcPr>
          <w:p w14:paraId="09E1DC1A" w14:textId="77777777" w:rsidR="00BB1D90" w:rsidRPr="00BB1D90" w:rsidRDefault="00BB1D90" w:rsidP="00BB1D90">
            <w:pPr>
              <w:spacing w:after="160" w:line="259" w:lineRule="auto"/>
              <w:jc w:val="both"/>
              <w:rPr>
                <w:rFonts w:ascii="Calibri" w:eastAsia="Calibri" w:hAnsi="Calibri" w:cs="Calibri"/>
                <w:b/>
                <w:bCs/>
                <w:sz w:val="20"/>
                <w:szCs w:val="20"/>
              </w:rPr>
            </w:pPr>
            <w:r w:rsidRPr="00BB1D90">
              <w:rPr>
                <w:rFonts w:ascii="Calibri" w:eastAsia="Calibri" w:hAnsi="Calibri" w:cs="Calibri"/>
                <w:b/>
                <w:bCs/>
                <w:sz w:val="20"/>
                <w:szCs w:val="20"/>
              </w:rPr>
              <w:lastRenderedPageBreak/>
              <w:t>POTENTIAL</w:t>
            </w:r>
          </w:p>
        </w:tc>
        <w:tc>
          <w:tcPr>
            <w:tcW w:w="7710" w:type="dxa"/>
            <w:tcBorders>
              <w:top w:val="single" w:sz="4" w:space="0" w:color="auto"/>
              <w:left w:val="single" w:sz="4" w:space="0" w:color="auto"/>
              <w:bottom w:val="single" w:sz="4" w:space="0" w:color="auto"/>
              <w:right w:val="single" w:sz="4" w:space="0" w:color="auto"/>
            </w:tcBorders>
          </w:tcPr>
          <w:p w14:paraId="38C596AE" w14:textId="63EA632F" w:rsidR="00BB1D90" w:rsidRPr="002F515A" w:rsidRDefault="007745AE" w:rsidP="00BB1D90">
            <w:pPr>
              <w:numPr>
                <w:ilvl w:val="0"/>
                <w:numId w:val="18"/>
              </w:numPr>
              <w:contextualSpacing/>
              <w:jc w:val="both"/>
              <w:rPr>
                <w:rFonts w:ascii="Calibri" w:eastAsia="Calibri" w:hAnsi="Calibri" w:cs="Calibri"/>
                <w:sz w:val="20"/>
                <w:szCs w:val="20"/>
                <w:lang w:val="en-GB"/>
              </w:rPr>
            </w:pPr>
            <w:r>
              <w:rPr>
                <w:rFonts w:ascii="Calibri" w:eastAsia="Calibri" w:hAnsi="Calibri" w:cs="Calibri"/>
                <w:sz w:val="20"/>
                <w:szCs w:val="20"/>
                <w:lang w:val="en-GB"/>
              </w:rPr>
              <w:t>Türkiye</w:t>
            </w:r>
            <w:r w:rsidR="00BB1D90" w:rsidRPr="002F515A">
              <w:rPr>
                <w:rFonts w:ascii="Calibri" w:eastAsia="Calibri" w:hAnsi="Calibri" w:cs="Calibri"/>
                <w:sz w:val="20"/>
                <w:szCs w:val="20"/>
                <w:lang w:val="en-GB"/>
              </w:rPr>
              <w:t xml:space="preserve"> has the highest rate of growing energy demand among OECD countries over the last 15 years. Located near around seventy percent of the world’s proven oil and gas reserves, </w:t>
            </w:r>
            <w:r>
              <w:rPr>
                <w:rFonts w:ascii="Calibri" w:eastAsia="Calibri" w:hAnsi="Calibri" w:cs="Calibri"/>
                <w:sz w:val="20"/>
                <w:szCs w:val="20"/>
                <w:lang w:val="en-GB"/>
              </w:rPr>
              <w:t>Türkiye</w:t>
            </w:r>
            <w:r w:rsidR="00BB1D90" w:rsidRPr="002F515A">
              <w:rPr>
                <w:rFonts w:ascii="Calibri" w:eastAsia="Calibri" w:hAnsi="Calibri" w:cs="Calibri"/>
                <w:sz w:val="20"/>
                <w:szCs w:val="20"/>
                <w:lang w:val="en-GB"/>
              </w:rPr>
              <w:t xml:space="preserve"> is one the biggest natural gas and electricity markets in its region.</w:t>
            </w:r>
          </w:p>
          <w:p w14:paraId="0F3264C2" w14:textId="45A1B528" w:rsidR="00BB1D90" w:rsidRPr="002F515A" w:rsidRDefault="007745AE" w:rsidP="00BB1D90">
            <w:pPr>
              <w:numPr>
                <w:ilvl w:val="0"/>
                <w:numId w:val="18"/>
              </w:numPr>
              <w:contextualSpacing/>
              <w:jc w:val="both"/>
              <w:rPr>
                <w:rFonts w:ascii="Calibri" w:eastAsia="Calibri" w:hAnsi="Calibri" w:cs="Calibri"/>
                <w:sz w:val="20"/>
                <w:szCs w:val="20"/>
                <w:lang w:val="en-GB"/>
              </w:rPr>
            </w:pPr>
            <w:r>
              <w:rPr>
                <w:rFonts w:ascii="Calibri" w:eastAsia="Calibri" w:hAnsi="Calibri" w:cs="Calibri"/>
                <w:sz w:val="20"/>
                <w:szCs w:val="20"/>
                <w:lang w:val="en-GB"/>
              </w:rPr>
              <w:t>Türkiye</w:t>
            </w:r>
            <w:r w:rsidR="00BB1D90" w:rsidRPr="002F515A">
              <w:rPr>
                <w:rFonts w:ascii="Calibri" w:eastAsia="Calibri" w:hAnsi="Calibri" w:cs="Calibri"/>
                <w:sz w:val="20"/>
                <w:szCs w:val="20"/>
                <w:lang w:val="en-GB"/>
              </w:rPr>
              <w:t xml:space="preserve"> produces its own lignite (brown coal) but imports three-quarters of its energy, including half the coal and almost all the oil and gas it requires.</w:t>
            </w:r>
          </w:p>
          <w:p w14:paraId="1B502E43" w14:textId="54F7F610" w:rsidR="00BB1D90" w:rsidRPr="002F515A" w:rsidRDefault="007745AE" w:rsidP="00BB1D90">
            <w:pPr>
              <w:numPr>
                <w:ilvl w:val="0"/>
                <w:numId w:val="18"/>
              </w:numPr>
              <w:contextualSpacing/>
              <w:jc w:val="both"/>
              <w:rPr>
                <w:rFonts w:ascii="Calibri" w:eastAsia="Calibri" w:hAnsi="Calibri" w:cs="Calibri"/>
                <w:sz w:val="20"/>
                <w:szCs w:val="20"/>
                <w:lang w:val="en-GB"/>
              </w:rPr>
            </w:pPr>
            <w:r>
              <w:rPr>
                <w:rFonts w:ascii="Calibri" w:eastAsia="Calibri" w:hAnsi="Calibri" w:cs="Calibri"/>
                <w:sz w:val="20"/>
                <w:szCs w:val="20"/>
                <w:lang w:val="en-GB"/>
              </w:rPr>
              <w:t>Türkiye</w:t>
            </w:r>
            <w:r w:rsidR="00BB1D90" w:rsidRPr="002F515A">
              <w:rPr>
                <w:rFonts w:ascii="Calibri" w:eastAsia="Calibri" w:hAnsi="Calibri" w:cs="Calibri"/>
                <w:sz w:val="20"/>
                <w:szCs w:val="20"/>
                <w:lang w:val="en-GB"/>
              </w:rPr>
              <w:t xml:space="preserve"> gives an important place to Renewable Energy and became a founding member of International Renewable Energy Agency (IRENA) on 26 January 2009.</w:t>
            </w:r>
          </w:p>
          <w:p w14:paraId="6E0B7443" w14:textId="77777777" w:rsidR="00BB1D90" w:rsidRPr="002F515A" w:rsidRDefault="00BB1D90" w:rsidP="00BB1D90">
            <w:pPr>
              <w:numPr>
                <w:ilvl w:val="0"/>
                <w:numId w:val="18"/>
              </w:numPr>
              <w:contextualSpacing/>
              <w:jc w:val="both"/>
              <w:rPr>
                <w:rFonts w:ascii="Calibri" w:eastAsia="Calibri" w:hAnsi="Calibri" w:cs="Calibri"/>
                <w:sz w:val="20"/>
                <w:szCs w:val="20"/>
                <w:lang w:val="en-GB"/>
              </w:rPr>
            </w:pPr>
            <w:r w:rsidRPr="002F515A">
              <w:rPr>
                <w:rFonts w:ascii="Calibri" w:eastAsia="Calibri" w:hAnsi="Calibri" w:cs="Calibri"/>
                <w:sz w:val="20"/>
                <w:szCs w:val="20"/>
                <w:lang w:val="en-GB"/>
              </w:rPr>
              <w:t>The "Green Tariff" has become available from August 2020. Consumers who wish to procure electricity exclusively from renewable resources may opt for the application of "Green Tariff" and purchase electricity at the prices specified in such Tariff.</w:t>
            </w:r>
          </w:p>
          <w:p w14:paraId="487829D2" w14:textId="62CE8D9D" w:rsidR="00BB1D90" w:rsidRPr="002F515A" w:rsidRDefault="007745AE" w:rsidP="00BB1D90">
            <w:pPr>
              <w:numPr>
                <w:ilvl w:val="0"/>
                <w:numId w:val="18"/>
              </w:numPr>
              <w:contextualSpacing/>
              <w:jc w:val="both"/>
              <w:rPr>
                <w:rFonts w:ascii="Calibri" w:eastAsia="Calibri" w:hAnsi="Calibri" w:cs="Calibri"/>
                <w:sz w:val="20"/>
                <w:szCs w:val="20"/>
                <w:lang w:val="en-GB"/>
              </w:rPr>
            </w:pPr>
            <w:r>
              <w:rPr>
                <w:rFonts w:ascii="Calibri" w:eastAsia="Calibri" w:hAnsi="Calibri" w:cs="Calibri"/>
                <w:sz w:val="20"/>
                <w:szCs w:val="20"/>
                <w:lang w:val="en-GB"/>
              </w:rPr>
              <w:t>Türkiye</w:t>
            </w:r>
            <w:r w:rsidR="00BB1D90" w:rsidRPr="002F515A">
              <w:rPr>
                <w:rFonts w:ascii="Calibri" w:eastAsia="Calibri" w:hAnsi="Calibri" w:cs="Calibri"/>
                <w:sz w:val="20"/>
                <w:szCs w:val="20"/>
                <w:lang w:val="en-GB"/>
              </w:rPr>
              <w:t xml:space="preserve"> has undertaken and carried out several important natural gas and oil pipeline projects in the region. In this scope, South Caucasus Pipeline (SCP), Baku-Tbilisi-Erzurum Natural Gas Pipeline (BTE), </w:t>
            </w:r>
            <w:r>
              <w:rPr>
                <w:rFonts w:ascii="Calibri" w:eastAsia="Calibri" w:hAnsi="Calibri" w:cs="Calibri"/>
                <w:sz w:val="20"/>
                <w:szCs w:val="20"/>
                <w:lang w:val="en-GB"/>
              </w:rPr>
              <w:t>Türkiye</w:t>
            </w:r>
            <w:r w:rsidR="00BB1D90" w:rsidRPr="002F515A">
              <w:rPr>
                <w:rFonts w:ascii="Calibri" w:eastAsia="Calibri" w:hAnsi="Calibri" w:cs="Calibri"/>
                <w:sz w:val="20"/>
                <w:szCs w:val="20"/>
                <w:lang w:val="en-GB"/>
              </w:rPr>
              <w:t xml:space="preserve">-Greece Interconnector (ITG) and the Trans-Anatolian Natural Gas Pipeline (TANAP) projects have already been realized. These projects can be considered within the Southern Gas Corridor (SGC) concept. </w:t>
            </w:r>
          </w:p>
          <w:p w14:paraId="44E94451" w14:textId="77777777" w:rsidR="00BB1D90" w:rsidRPr="002F515A" w:rsidRDefault="00BB1D90" w:rsidP="00BB1D90">
            <w:pPr>
              <w:numPr>
                <w:ilvl w:val="0"/>
                <w:numId w:val="18"/>
              </w:numPr>
              <w:contextualSpacing/>
              <w:jc w:val="both"/>
              <w:rPr>
                <w:rFonts w:ascii="Calibri" w:eastAsia="Calibri" w:hAnsi="Calibri" w:cs="Calibri"/>
                <w:sz w:val="20"/>
                <w:szCs w:val="20"/>
                <w:lang w:val="en-GB"/>
              </w:rPr>
            </w:pPr>
            <w:r w:rsidRPr="002F515A">
              <w:rPr>
                <w:rFonts w:ascii="Calibri" w:eastAsia="Calibri" w:hAnsi="Calibri" w:cs="Calibri"/>
                <w:sz w:val="20"/>
                <w:szCs w:val="20"/>
                <w:lang w:val="en-GB"/>
              </w:rPr>
              <w:t xml:space="preserve">For the Plan of Development, the main objective is to ensure uninterrupted, high-quality, sustainable, reliable, and affordable energy supply. </w:t>
            </w:r>
          </w:p>
        </w:tc>
      </w:tr>
      <w:tr w:rsidR="00BB1D90" w:rsidRPr="00BB1D90" w14:paraId="04016B8A" w14:textId="77777777" w:rsidTr="00864E79">
        <w:tc>
          <w:tcPr>
            <w:tcW w:w="1478" w:type="dxa"/>
            <w:tcBorders>
              <w:top w:val="single" w:sz="4" w:space="0" w:color="auto"/>
              <w:left w:val="single" w:sz="4" w:space="0" w:color="auto"/>
              <w:bottom w:val="single" w:sz="4" w:space="0" w:color="auto"/>
              <w:right w:val="single" w:sz="4" w:space="0" w:color="auto"/>
            </w:tcBorders>
            <w:shd w:val="clear" w:color="auto" w:fill="D9E2F3"/>
            <w:hideMark/>
          </w:tcPr>
          <w:p w14:paraId="35ABFF8B" w14:textId="77777777" w:rsidR="00BB1D90" w:rsidRPr="00BB1D90" w:rsidRDefault="00BB1D90" w:rsidP="00BB1D90">
            <w:pPr>
              <w:spacing w:after="160" w:line="259" w:lineRule="auto"/>
              <w:jc w:val="both"/>
              <w:rPr>
                <w:rFonts w:ascii="Calibri" w:eastAsia="Calibri" w:hAnsi="Calibri" w:cs="Calibri"/>
                <w:b/>
                <w:bCs/>
                <w:sz w:val="20"/>
                <w:szCs w:val="20"/>
              </w:rPr>
            </w:pPr>
            <w:r w:rsidRPr="00BB1D90">
              <w:rPr>
                <w:rFonts w:ascii="Calibri" w:eastAsia="Calibri" w:hAnsi="Calibri" w:cs="Calibri"/>
                <w:b/>
                <w:bCs/>
                <w:sz w:val="20"/>
                <w:szCs w:val="20"/>
              </w:rPr>
              <w:t>SKILLS</w:t>
            </w:r>
          </w:p>
        </w:tc>
        <w:tc>
          <w:tcPr>
            <w:tcW w:w="7710" w:type="dxa"/>
            <w:tcBorders>
              <w:top w:val="single" w:sz="4" w:space="0" w:color="auto"/>
              <w:left w:val="single" w:sz="4" w:space="0" w:color="auto"/>
              <w:bottom w:val="single" w:sz="4" w:space="0" w:color="auto"/>
              <w:right w:val="single" w:sz="4" w:space="0" w:color="auto"/>
            </w:tcBorders>
          </w:tcPr>
          <w:p w14:paraId="22773AEF" w14:textId="77777777" w:rsidR="00BB1D90" w:rsidRPr="002F515A" w:rsidRDefault="00BB1D90" w:rsidP="00BB1D90">
            <w:pPr>
              <w:numPr>
                <w:ilvl w:val="0"/>
                <w:numId w:val="19"/>
              </w:numPr>
              <w:contextualSpacing/>
              <w:jc w:val="both"/>
              <w:rPr>
                <w:rFonts w:ascii="Calibri" w:eastAsia="Calibri" w:hAnsi="Calibri" w:cs="Calibri"/>
                <w:sz w:val="20"/>
                <w:szCs w:val="20"/>
                <w:lang w:val="en-GB"/>
              </w:rPr>
            </w:pPr>
            <w:r w:rsidRPr="002F515A">
              <w:rPr>
                <w:rFonts w:ascii="Calibri" w:eastAsia="Calibri" w:hAnsi="Calibri" w:cs="Calibri"/>
                <w:sz w:val="20"/>
                <w:szCs w:val="20"/>
                <w:lang w:val="en-GB"/>
              </w:rPr>
              <w:t>Building the skills base necessary to support the ongoing global energy transition from fossil fuels to renewables requires more vocational training, stronger curricula, more teacher training and expanded use of information and communications technology for remote learning.</w:t>
            </w:r>
          </w:p>
          <w:p w14:paraId="531CA895" w14:textId="77777777" w:rsidR="00BB1D90" w:rsidRPr="002F515A" w:rsidRDefault="00BB1D90" w:rsidP="00BB1D90">
            <w:pPr>
              <w:numPr>
                <w:ilvl w:val="0"/>
                <w:numId w:val="19"/>
              </w:numPr>
              <w:contextualSpacing/>
              <w:jc w:val="both"/>
              <w:rPr>
                <w:rFonts w:ascii="Calibri" w:eastAsia="Calibri" w:hAnsi="Calibri" w:cs="Calibri"/>
                <w:sz w:val="20"/>
                <w:szCs w:val="20"/>
                <w:lang w:val="en-GB"/>
              </w:rPr>
            </w:pPr>
            <w:r w:rsidRPr="002F515A">
              <w:rPr>
                <w:rFonts w:ascii="Calibri" w:eastAsia="Calibri" w:hAnsi="Calibri" w:cs="Calibri"/>
                <w:sz w:val="20"/>
                <w:szCs w:val="20"/>
                <w:lang w:val="en-GB"/>
              </w:rPr>
              <w:t>One of the subjects discussed globally are the possibility that renewable energy can be better integrated into national curricula – not only in science and technology but also in social studies – for students in primary, secondary, and tertiary education and at technical and vocational institutions.</w:t>
            </w:r>
          </w:p>
          <w:p w14:paraId="0D7C3A18" w14:textId="77777777" w:rsidR="00BB1D90" w:rsidRPr="002F515A" w:rsidRDefault="00BB1D90" w:rsidP="00BB1D90">
            <w:pPr>
              <w:numPr>
                <w:ilvl w:val="0"/>
                <w:numId w:val="19"/>
              </w:numPr>
              <w:contextualSpacing/>
              <w:jc w:val="both"/>
              <w:rPr>
                <w:rFonts w:ascii="Calibri" w:eastAsia="Calibri" w:hAnsi="Calibri" w:cs="Calibri"/>
                <w:sz w:val="20"/>
                <w:szCs w:val="20"/>
                <w:lang w:val="en-GB"/>
              </w:rPr>
            </w:pPr>
            <w:r w:rsidRPr="002F515A">
              <w:rPr>
                <w:rFonts w:ascii="Calibri" w:eastAsia="Calibri" w:hAnsi="Calibri" w:cs="Calibri"/>
                <w:sz w:val="20"/>
                <w:szCs w:val="20"/>
                <w:lang w:val="en-GB"/>
              </w:rPr>
              <w:t>Industry leaders can play a major role in imparting that knowledge – and thus in educating the workforce of the future.</w:t>
            </w:r>
          </w:p>
          <w:p w14:paraId="71CD55A6" w14:textId="77777777" w:rsidR="00BB1D90" w:rsidRPr="002F515A" w:rsidRDefault="00BB1D90" w:rsidP="00BB1D90">
            <w:pPr>
              <w:numPr>
                <w:ilvl w:val="0"/>
                <w:numId w:val="19"/>
              </w:numPr>
              <w:contextualSpacing/>
              <w:jc w:val="both"/>
              <w:rPr>
                <w:rFonts w:ascii="Calibri" w:eastAsia="Calibri" w:hAnsi="Calibri" w:cs="Calibri"/>
                <w:sz w:val="20"/>
                <w:szCs w:val="20"/>
                <w:lang w:val="en-GB"/>
              </w:rPr>
            </w:pPr>
            <w:r w:rsidRPr="002F515A">
              <w:rPr>
                <w:rFonts w:ascii="Calibri" w:eastAsia="Calibri" w:hAnsi="Calibri" w:cs="Calibri"/>
                <w:sz w:val="20"/>
                <w:szCs w:val="20"/>
                <w:lang w:val="en-GB"/>
              </w:rPr>
              <w:t xml:space="preserve">Other possibility is the technology-enhanced learning Innovations in the use of ICT can play an important role in the delivery of education and training related to renewable energy. </w:t>
            </w:r>
          </w:p>
          <w:p w14:paraId="6D5BC494" w14:textId="77777777" w:rsidR="00BB1D90" w:rsidRPr="002F515A" w:rsidRDefault="00BB1D90" w:rsidP="00BB1D90">
            <w:pPr>
              <w:numPr>
                <w:ilvl w:val="0"/>
                <w:numId w:val="19"/>
              </w:numPr>
              <w:contextualSpacing/>
              <w:jc w:val="both"/>
              <w:rPr>
                <w:rFonts w:ascii="Calibri" w:eastAsia="Calibri" w:hAnsi="Calibri" w:cs="Calibri"/>
                <w:sz w:val="20"/>
                <w:szCs w:val="20"/>
                <w:lang w:val="en-GB"/>
              </w:rPr>
            </w:pPr>
            <w:r w:rsidRPr="002F515A">
              <w:rPr>
                <w:rFonts w:ascii="Calibri" w:eastAsia="Calibri" w:hAnsi="Calibri" w:cs="Calibri"/>
                <w:sz w:val="20"/>
                <w:szCs w:val="20"/>
                <w:lang w:val="en-GB"/>
              </w:rPr>
              <w:t xml:space="preserve">Public-private partnerships for meeting sectoral labour requirements, promoting national skill standards, providing on-the-job training, and improving the quality of training overall. </w:t>
            </w:r>
          </w:p>
          <w:p w14:paraId="74914498" w14:textId="77777777" w:rsidR="00BB1D90" w:rsidRPr="002F515A" w:rsidRDefault="00BB1D90" w:rsidP="00BB1D90">
            <w:pPr>
              <w:numPr>
                <w:ilvl w:val="0"/>
                <w:numId w:val="19"/>
              </w:numPr>
              <w:contextualSpacing/>
              <w:jc w:val="both"/>
              <w:rPr>
                <w:rFonts w:ascii="Calibri" w:eastAsia="Calibri" w:hAnsi="Calibri" w:cs="Calibri"/>
                <w:sz w:val="20"/>
                <w:szCs w:val="20"/>
                <w:lang w:val="en-GB"/>
              </w:rPr>
            </w:pPr>
            <w:r w:rsidRPr="002F515A">
              <w:rPr>
                <w:rFonts w:ascii="Calibri" w:eastAsia="Calibri" w:hAnsi="Calibri" w:cs="Calibri"/>
                <w:sz w:val="20"/>
                <w:szCs w:val="20"/>
                <w:lang w:val="en-GB"/>
              </w:rPr>
              <w:t xml:space="preserve">Educating girls and women in the renewable energy sector, women’s participation in science, technology, engineering, and mathematics (STEM) jobs is far lower than in administrative jobs. </w:t>
            </w:r>
          </w:p>
        </w:tc>
      </w:tr>
      <w:tr w:rsidR="00BB1D90" w:rsidRPr="00BB1D90" w14:paraId="47CC7BEC" w14:textId="77777777" w:rsidTr="00864E79">
        <w:tc>
          <w:tcPr>
            <w:tcW w:w="1478" w:type="dxa"/>
            <w:tcBorders>
              <w:top w:val="single" w:sz="4" w:space="0" w:color="auto"/>
              <w:left w:val="single" w:sz="4" w:space="0" w:color="auto"/>
              <w:bottom w:val="single" w:sz="4" w:space="0" w:color="auto"/>
              <w:right w:val="single" w:sz="4" w:space="0" w:color="auto"/>
            </w:tcBorders>
            <w:shd w:val="clear" w:color="auto" w:fill="D9E2F3"/>
            <w:hideMark/>
          </w:tcPr>
          <w:p w14:paraId="45874B66" w14:textId="77777777" w:rsidR="00BB1D90" w:rsidRPr="00307FCE" w:rsidRDefault="00BB1D90" w:rsidP="00BB1D90">
            <w:pPr>
              <w:spacing w:after="160" w:line="259" w:lineRule="auto"/>
              <w:rPr>
                <w:rFonts w:ascii="Calibri" w:eastAsia="Calibri" w:hAnsi="Calibri" w:cs="Calibri"/>
                <w:b/>
                <w:bCs/>
                <w:sz w:val="20"/>
                <w:szCs w:val="20"/>
                <w:highlight w:val="yellow"/>
                <w:lang w:val="en-GB"/>
              </w:rPr>
            </w:pPr>
            <w:r w:rsidRPr="00307FCE">
              <w:rPr>
                <w:rFonts w:ascii="Calibri" w:eastAsia="Calibri" w:hAnsi="Calibri" w:cs="Calibri"/>
                <w:b/>
                <w:bCs/>
                <w:sz w:val="20"/>
                <w:szCs w:val="20"/>
                <w:lang w:val="en-GB"/>
              </w:rPr>
              <w:t>AREAS FOR POSSIBLE POLICY INTERVENTION</w:t>
            </w:r>
          </w:p>
        </w:tc>
        <w:tc>
          <w:tcPr>
            <w:tcW w:w="7710" w:type="dxa"/>
            <w:tcBorders>
              <w:top w:val="single" w:sz="4" w:space="0" w:color="auto"/>
              <w:left w:val="single" w:sz="4" w:space="0" w:color="auto"/>
              <w:bottom w:val="single" w:sz="4" w:space="0" w:color="auto"/>
              <w:right w:val="single" w:sz="4" w:space="0" w:color="auto"/>
            </w:tcBorders>
          </w:tcPr>
          <w:p w14:paraId="72645FB8" w14:textId="77777777" w:rsidR="00BB1D90" w:rsidRPr="002F515A" w:rsidRDefault="00BB1D90" w:rsidP="00BB1D90">
            <w:pPr>
              <w:numPr>
                <w:ilvl w:val="0"/>
                <w:numId w:val="20"/>
              </w:numPr>
              <w:contextualSpacing/>
              <w:jc w:val="both"/>
              <w:rPr>
                <w:rFonts w:ascii="Calibri" w:eastAsia="Calibri" w:hAnsi="Calibri" w:cs="Calibri"/>
                <w:sz w:val="20"/>
                <w:szCs w:val="20"/>
                <w:lang w:val="en-GB"/>
              </w:rPr>
            </w:pPr>
            <w:r w:rsidRPr="002F515A">
              <w:rPr>
                <w:rFonts w:ascii="Calibri" w:eastAsia="Calibri" w:hAnsi="Calibri" w:cs="Calibri"/>
                <w:sz w:val="20"/>
                <w:szCs w:val="20"/>
                <w:lang w:val="en-GB"/>
              </w:rPr>
              <w:t>Jobs in renewable energy are important beyond the energy sector: incomes spent on food or consumer goods and services stimulate many different industries in local, national, and global economies.</w:t>
            </w:r>
          </w:p>
          <w:p w14:paraId="0FB9039E" w14:textId="77777777" w:rsidR="00BB1D90" w:rsidRPr="002F515A" w:rsidRDefault="00BB1D90" w:rsidP="00BB1D90">
            <w:pPr>
              <w:numPr>
                <w:ilvl w:val="0"/>
                <w:numId w:val="20"/>
              </w:numPr>
              <w:contextualSpacing/>
              <w:jc w:val="both"/>
              <w:rPr>
                <w:rFonts w:ascii="Calibri" w:eastAsia="Calibri" w:hAnsi="Calibri" w:cs="Calibri"/>
                <w:sz w:val="20"/>
                <w:szCs w:val="20"/>
                <w:lang w:val="en-GB"/>
              </w:rPr>
            </w:pPr>
            <w:r w:rsidRPr="002F515A">
              <w:rPr>
                <w:rFonts w:ascii="Calibri" w:eastAsia="Calibri" w:hAnsi="Calibri" w:cs="Calibri"/>
                <w:sz w:val="20"/>
                <w:szCs w:val="20"/>
                <w:lang w:val="en-GB"/>
              </w:rPr>
              <w:t>Available evidence suggests that renewable energy employs more people than do fossil fuels. And it represents a real opportunity for women. A specific policy of care must be needed.</w:t>
            </w:r>
          </w:p>
        </w:tc>
      </w:tr>
    </w:tbl>
    <w:p w14:paraId="2F14E0F0" w14:textId="73722509" w:rsidR="002450DA" w:rsidRDefault="002450DA" w:rsidP="00A65B9B">
      <w:pPr>
        <w:spacing w:after="160" w:line="276" w:lineRule="auto"/>
        <w:rPr>
          <w:rFonts w:cstheme="minorHAnsi"/>
          <w:sz w:val="22"/>
          <w:szCs w:val="22"/>
        </w:rPr>
      </w:pPr>
    </w:p>
    <w:p w14:paraId="7D03CBA1" w14:textId="77777777" w:rsidR="002450DA" w:rsidRDefault="002450DA">
      <w:pPr>
        <w:rPr>
          <w:rFonts w:cstheme="minorHAnsi"/>
          <w:sz w:val="22"/>
          <w:szCs w:val="22"/>
        </w:rPr>
      </w:pPr>
      <w:r>
        <w:rPr>
          <w:rFonts w:cstheme="minorHAnsi"/>
          <w:sz w:val="22"/>
          <w:szCs w:val="22"/>
        </w:rPr>
        <w:br w:type="page"/>
      </w:r>
    </w:p>
    <w:p w14:paraId="564D69BE" w14:textId="6361FBF7" w:rsidR="00AC1A29" w:rsidRPr="002971D4" w:rsidRDefault="002971D4" w:rsidP="001C1D9B">
      <w:pPr>
        <w:pStyle w:val="Heading1"/>
      </w:pPr>
      <w:bookmarkStart w:id="26" w:name="_Toc118121249"/>
      <w:r w:rsidRPr="002971D4">
        <w:lastRenderedPageBreak/>
        <w:t xml:space="preserve">8. </w:t>
      </w:r>
      <w:r w:rsidR="008837A1" w:rsidRPr="002971D4">
        <w:t>BIBLIOGRAPHY</w:t>
      </w:r>
      <w:bookmarkEnd w:id="26"/>
    </w:p>
    <w:p w14:paraId="72DE777C" w14:textId="1EA80955" w:rsidR="00AC1A29" w:rsidRPr="00DB6A3C" w:rsidRDefault="00AC1A29" w:rsidP="003A7BFE">
      <w:pPr>
        <w:pStyle w:val="ListParagraph"/>
        <w:numPr>
          <w:ilvl w:val="0"/>
          <w:numId w:val="15"/>
        </w:numPr>
        <w:spacing w:after="160" w:line="259" w:lineRule="auto"/>
        <w:rPr>
          <w:b/>
          <w:bCs/>
          <w:sz w:val="20"/>
          <w:szCs w:val="20"/>
        </w:rPr>
      </w:pPr>
      <w:r w:rsidRPr="00DB6A3C">
        <w:rPr>
          <w:b/>
          <w:bCs/>
          <w:sz w:val="20"/>
          <w:szCs w:val="20"/>
        </w:rPr>
        <w:t>Resources</w:t>
      </w:r>
    </w:p>
    <w:p w14:paraId="5B9ACB9A" w14:textId="233B746E" w:rsidR="00AC1A29" w:rsidRPr="00DB6A3C" w:rsidRDefault="00AC1A29" w:rsidP="003A7BFE">
      <w:pPr>
        <w:pStyle w:val="ListParagraph"/>
        <w:numPr>
          <w:ilvl w:val="0"/>
          <w:numId w:val="14"/>
        </w:numPr>
        <w:spacing w:after="160" w:line="259" w:lineRule="auto"/>
        <w:rPr>
          <w:sz w:val="20"/>
          <w:szCs w:val="20"/>
        </w:rPr>
      </w:pPr>
      <w:r w:rsidRPr="00DB6A3C">
        <w:rPr>
          <w:sz w:val="20"/>
          <w:szCs w:val="20"/>
        </w:rPr>
        <w:t xml:space="preserve">Aksoy, A. Integrated model for renewable energy planning in </w:t>
      </w:r>
      <w:r w:rsidR="007745AE">
        <w:rPr>
          <w:sz w:val="20"/>
          <w:szCs w:val="20"/>
        </w:rPr>
        <w:t>Türkiye</w:t>
      </w:r>
      <w:r w:rsidRPr="00DB6A3C">
        <w:rPr>
          <w:sz w:val="20"/>
          <w:szCs w:val="20"/>
        </w:rPr>
        <w:t xml:space="preserve">. Int. J. Green Energy 2019, 16, 34–48. </w:t>
      </w:r>
    </w:p>
    <w:p w14:paraId="5C81C103" w14:textId="63E702A7" w:rsidR="00AC1A29" w:rsidRPr="00DB6A3C" w:rsidRDefault="00AC1A29" w:rsidP="003A7BFE">
      <w:pPr>
        <w:pStyle w:val="ListParagraph"/>
        <w:numPr>
          <w:ilvl w:val="0"/>
          <w:numId w:val="14"/>
        </w:numPr>
        <w:spacing w:after="160" w:line="259" w:lineRule="auto"/>
        <w:rPr>
          <w:sz w:val="20"/>
          <w:szCs w:val="20"/>
          <w:u w:val="single"/>
        </w:rPr>
      </w:pPr>
      <w:proofErr w:type="spellStart"/>
      <w:r w:rsidRPr="00DB6A3C">
        <w:rPr>
          <w:b/>
          <w:bCs/>
          <w:sz w:val="20"/>
          <w:szCs w:val="20"/>
        </w:rPr>
        <w:t>Balcıoğlu</w:t>
      </w:r>
      <w:proofErr w:type="spellEnd"/>
      <w:r w:rsidRPr="00DB6A3C">
        <w:rPr>
          <w:b/>
          <w:bCs/>
          <w:sz w:val="20"/>
          <w:szCs w:val="20"/>
        </w:rPr>
        <w:t xml:space="preserve"> </w:t>
      </w:r>
      <w:proofErr w:type="spellStart"/>
      <w:r w:rsidRPr="00DB6A3C">
        <w:rPr>
          <w:b/>
          <w:bCs/>
          <w:sz w:val="20"/>
          <w:szCs w:val="20"/>
        </w:rPr>
        <w:t>Selçuk</w:t>
      </w:r>
      <w:proofErr w:type="spellEnd"/>
      <w:r w:rsidRPr="00DB6A3C">
        <w:rPr>
          <w:b/>
          <w:bCs/>
          <w:sz w:val="20"/>
          <w:szCs w:val="20"/>
        </w:rPr>
        <w:t xml:space="preserve"> </w:t>
      </w:r>
      <w:proofErr w:type="spellStart"/>
      <w:r w:rsidRPr="00DB6A3C">
        <w:rPr>
          <w:b/>
          <w:bCs/>
          <w:sz w:val="20"/>
          <w:szCs w:val="20"/>
        </w:rPr>
        <w:t>Ardıyok</w:t>
      </w:r>
      <w:proofErr w:type="spellEnd"/>
      <w:r w:rsidRPr="00DB6A3C">
        <w:rPr>
          <w:b/>
          <w:bCs/>
          <w:sz w:val="20"/>
          <w:szCs w:val="20"/>
        </w:rPr>
        <w:t xml:space="preserve"> </w:t>
      </w:r>
      <w:proofErr w:type="spellStart"/>
      <w:r w:rsidRPr="00DB6A3C">
        <w:rPr>
          <w:b/>
          <w:bCs/>
          <w:sz w:val="20"/>
          <w:szCs w:val="20"/>
        </w:rPr>
        <w:t>Keki</w:t>
      </w:r>
      <w:proofErr w:type="spellEnd"/>
      <w:r w:rsidRPr="00DB6A3C">
        <w:rPr>
          <w:b/>
          <w:bCs/>
          <w:sz w:val="20"/>
          <w:szCs w:val="20"/>
        </w:rPr>
        <w:t xml:space="preserve"> (BASEAK)</w:t>
      </w:r>
      <w:r w:rsidRPr="00DB6A3C">
        <w:rPr>
          <w:sz w:val="20"/>
          <w:szCs w:val="20"/>
        </w:rPr>
        <w:t xml:space="preserve"> (2020) </w:t>
      </w:r>
      <w:r w:rsidR="007745AE">
        <w:rPr>
          <w:sz w:val="20"/>
          <w:szCs w:val="20"/>
        </w:rPr>
        <w:t>Türkiye</w:t>
      </w:r>
      <w:r w:rsidRPr="00DB6A3C">
        <w:rPr>
          <w:sz w:val="20"/>
          <w:szCs w:val="20"/>
        </w:rPr>
        <w:t xml:space="preserve"> Renewable Energy, available at:  </w:t>
      </w:r>
      <w:r w:rsidRPr="00DB6A3C">
        <w:rPr>
          <w:sz w:val="20"/>
          <w:szCs w:val="20"/>
          <w:u w:val="single"/>
        </w:rPr>
        <w:t xml:space="preserve"> </w:t>
      </w:r>
      <w:hyperlink r:id="rId29" w:history="1">
        <w:r w:rsidRPr="00DB6A3C">
          <w:rPr>
            <w:color w:val="0563C1"/>
            <w:sz w:val="20"/>
            <w:szCs w:val="20"/>
            <w:u w:val="single"/>
          </w:rPr>
          <w:t>https://www.bcct.org.tr/news/the-turkish-renewable-energy-sector-significant-regulatory-developments-in-2020/70620</w:t>
        </w:r>
      </w:hyperlink>
    </w:p>
    <w:p w14:paraId="78D689C5" w14:textId="77777777" w:rsidR="00AC1A29" w:rsidRPr="00DB6A3C" w:rsidRDefault="00AC1A29" w:rsidP="003A7BFE">
      <w:pPr>
        <w:pStyle w:val="ListParagraph"/>
        <w:numPr>
          <w:ilvl w:val="0"/>
          <w:numId w:val="14"/>
        </w:numPr>
        <w:spacing w:after="160" w:line="259" w:lineRule="auto"/>
        <w:rPr>
          <w:sz w:val="20"/>
          <w:szCs w:val="20"/>
        </w:rPr>
      </w:pPr>
      <w:r w:rsidRPr="00DB6A3C">
        <w:rPr>
          <w:sz w:val="20"/>
          <w:szCs w:val="20"/>
        </w:rPr>
        <w:t xml:space="preserve">BNEF (Bloomberg New Energy Finance) and BCSE (Business Council for Sustainable Energy) (2020), 2020 Sustainable Energy in America Factbook, BNEF and BCSE, Washington, DC. </w:t>
      </w:r>
    </w:p>
    <w:p w14:paraId="59704A2B" w14:textId="77777777" w:rsidR="00AC1A29" w:rsidRPr="00DB6A3C" w:rsidRDefault="00AC1A29" w:rsidP="003A7BFE">
      <w:pPr>
        <w:pStyle w:val="ListParagraph"/>
        <w:numPr>
          <w:ilvl w:val="0"/>
          <w:numId w:val="14"/>
        </w:numPr>
        <w:spacing w:after="160" w:line="259" w:lineRule="auto"/>
        <w:rPr>
          <w:sz w:val="20"/>
          <w:szCs w:val="20"/>
        </w:rPr>
      </w:pPr>
      <w:r w:rsidRPr="00DB6A3C">
        <w:rPr>
          <w:sz w:val="20"/>
          <w:szCs w:val="20"/>
        </w:rPr>
        <w:t xml:space="preserve">CEC (Clean Energy Council) (2020), Clean Energy at Work, June, https:// assets.cleanenergycouncil.org.au/ documents/resources/reports/CleanEnergy-at-Work/Clean-Energy-atWork-The-Clean-Energy-Council.pdf. </w:t>
      </w:r>
    </w:p>
    <w:p w14:paraId="43DA3A59" w14:textId="77777777" w:rsidR="00AC1A29" w:rsidRPr="00DB6A3C" w:rsidRDefault="00AC1A29" w:rsidP="003A7BFE">
      <w:pPr>
        <w:pStyle w:val="ListParagraph"/>
        <w:numPr>
          <w:ilvl w:val="0"/>
          <w:numId w:val="14"/>
        </w:numPr>
        <w:spacing w:after="160" w:line="259" w:lineRule="auto"/>
        <w:rPr>
          <w:sz w:val="20"/>
          <w:szCs w:val="20"/>
        </w:rPr>
      </w:pPr>
      <w:r w:rsidRPr="00DB6A3C">
        <w:rPr>
          <w:sz w:val="20"/>
          <w:szCs w:val="20"/>
        </w:rPr>
        <w:t>Chatterjee, A. (2020), “Solar cells import may get costlier; Govt pushes domestic buying amid India-China clash”, The Financial Express, 23 June, www.financialexpress.com/economy/ govt-to-soon-impose-customs-</w:t>
      </w:r>
      <w:proofErr w:type="spellStart"/>
      <w:r w:rsidRPr="00DB6A3C">
        <w:rPr>
          <w:sz w:val="20"/>
          <w:szCs w:val="20"/>
        </w:rPr>
        <w:t>dutyon</w:t>
      </w:r>
      <w:proofErr w:type="spellEnd"/>
      <w:r w:rsidRPr="00DB6A3C">
        <w:rPr>
          <w:sz w:val="20"/>
          <w:szCs w:val="20"/>
        </w:rPr>
        <w:t xml:space="preserve">-solar-cells/2000149/. </w:t>
      </w:r>
    </w:p>
    <w:p w14:paraId="25FD434C" w14:textId="77777777" w:rsidR="00AC1A29" w:rsidRPr="00DB6A3C" w:rsidRDefault="00AC1A29" w:rsidP="003A7BFE">
      <w:pPr>
        <w:pStyle w:val="ListParagraph"/>
        <w:numPr>
          <w:ilvl w:val="0"/>
          <w:numId w:val="14"/>
        </w:numPr>
        <w:spacing w:after="160" w:line="259" w:lineRule="auto"/>
        <w:rPr>
          <w:sz w:val="20"/>
          <w:szCs w:val="20"/>
        </w:rPr>
      </w:pPr>
      <w:r w:rsidRPr="00DB6A3C">
        <w:rPr>
          <w:sz w:val="20"/>
          <w:szCs w:val="20"/>
        </w:rPr>
        <w:t xml:space="preserve">Deloitte (2018) </w:t>
      </w:r>
      <w:proofErr w:type="spellStart"/>
      <w:r w:rsidRPr="00DB6A3C">
        <w:rPr>
          <w:sz w:val="20"/>
          <w:szCs w:val="20"/>
        </w:rPr>
        <w:t>Enerji</w:t>
      </w:r>
      <w:proofErr w:type="spellEnd"/>
      <w:r w:rsidRPr="00DB6A3C">
        <w:rPr>
          <w:sz w:val="20"/>
          <w:szCs w:val="20"/>
        </w:rPr>
        <w:t xml:space="preserve"> </w:t>
      </w:r>
      <w:proofErr w:type="spellStart"/>
      <w:r w:rsidRPr="00DB6A3C">
        <w:rPr>
          <w:sz w:val="20"/>
          <w:szCs w:val="20"/>
        </w:rPr>
        <w:t>sektöründe</w:t>
      </w:r>
      <w:proofErr w:type="spellEnd"/>
      <w:r w:rsidRPr="00DB6A3C">
        <w:rPr>
          <w:sz w:val="20"/>
          <w:szCs w:val="20"/>
        </w:rPr>
        <w:t xml:space="preserve"> </w:t>
      </w:r>
      <w:proofErr w:type="spellStart"/>
      <w:r w:rsidRPr="00DB6A3C">
        <w:rPr>
          <w:sz w:val="20"/>
          <w:szCs w:val="20"/>
        </w:rPr>
        <w:t>kadın</w:t>
      </w:r>
      <w:proofErr w:type="spellEnd"/>
      <w:r w:rsidRPr="00DB6A3C">
        <w:rPr>
          <w:sz w:val="20"/>
          <w:szCs w:val="20"/>
        </w:rPr>
        <w:t xml:space="preserve"> </w:t>
      </w:r>
      <w:proofErr w:type="spellStart"/>
      <w:r w:rsidRPr="00DB6A3C">
        <w:rPr>
          <w:sz w:val="20"/>
          <w:szCs w:val="20"/>
        </w:rPr>
        <w:t>Türkiye’de</w:t>
      </w:r>
      <w:proofErr w:type="spellEnd"/>
      <w:r w:rsidRPr="00DB6A3C">
        <w:rPr>
          <w:sz w:val="20"/>
          <w:szCs w:val="20"/>
        </w:rPr>
        <w:t xml:space="preserve"> </w:t>
      </w:r>
      <w:proofErr w:type="spellStart"/>
      <w:r w:rsidRPr="00DB6A3C">
        <w:rPr>
          <w:sz w:val="20"/>
          <w:szCs w:val="20"/>
        </w:rPr>
        <w:t>kadınları</w:t>
      </w:r>
      <w:proofErr w:type="spellEnd"/>
      <w:r w:rsidRPr="00DB6A3C">
        <w:rPr>
          <w:sz w:val="20"/>
          <w:szCs w:val="20"/>
        </w:rPr>
        <w:t xml:space="preserve"> </w:t>
      </w:r>
      <w:proofErr w:type="spellStart"/>
      <w:r w:rsidRPr="00DB6A3C">
        <w:rPr>
          <w:sz w:val="20"/>
          <w:szCs w:val="20"/>
        </w:rPr>
        <w:t>enerji</w:t>
      </w:r>
      <w:proofErr w:type="spellEnd"/>
      <w:r w:rsidRPr="00DB6A3C">
        <w:rPr>
          <w:sz w:val="20"/>
          <w:szCs w:val="20"/>
        </w:rPr>
        <w:t xml:space="preserve"> </w:t>
      </w:r>
      <w:proofErr w:type="spellStart"/>
      <w:r w:rsidRPr="00DB6A3C">
        <w:rPr>
          <w:sz w:val="20"/>
          <w:szCs w:val="20"/>
        </w:rPr>
        <w:t>sektörüne</w:t>
      </w:r>
      <w:proofErr w:type="spellEnd"/>
      <w:r w:rsidRPr="00DB6A3C">
        <w:rPr>
          <w:sz w:val="20"/>
          <w:szCs w:val="20"/>
        </w:rPr>
        <w:t xml:space="preserve"> </w:t>
      </w:r>
      <w:proofErr w:type="spellStart"/>
      <w:r w:rsidRPr="00DB6A3C">
        <w:rPr>
          <w:sz w:val="20"/>
          <w:szCs w:val="20"/>
        </w:rPr>
        <w:t>çekmek</w:t>
      </w:r>
      <w:proofErr w:type="spellEnd"/>
      <w:r w:rsidRPr="00DB6A3C">
        <w:rPr>
          <w:sz w:val="20"/>
          <w:szCs w:val="20"/>
        </w:rPr>
        <w:t xml:space="preserve"> </w:t>
      </w:r>
      <w:proofErr w:type="spellStart"/>
      <w:r w:rsidRPr="00DB6A3C">
        <w:rPr>
          <w:sz w:val="20"/>
          <w:szCs w:val="20"/>
        </w:rPr>
        <w:t>ve</w:t>
      </w:r>
      <w:proofErr w:type="spellEnd"/>
      <w:r w:rsidRPr="00DB6A3C">
        <w:rPr>
          <w:sz w:val="20"/>
          <w:szCs w:val="20"/>
        </w:rPr>
        <w:t xml:space="preserve"> </w:t>
      </w:r>
      <w:proofErr w:type="spellStart"/>
      <w:r w:rsidRPr="00DB6A3C">
        <w:rPr>
          <w:sz w:val="20"/>
          <w:szCs w:val="20"/>
        </w:rPr>
        <w:t>kariyer</w:t>
      </w:r>
      <w:proofErr w:type="spellEnd"/>
      <w:r w:rsidRPr="00DB6A3C">
        <w:rPr>
          <w:sz w:val="20"/>
          <w:szCs w:val="20"/>
        </w:rPr>
        <w:t xml:space="preserve"> </w:t>
      </w:r>
      <w:proofErr w:type="spellStart"/>
      <w:r w:rsidRPr="00DB6A3C">
        <w:rPr>
          <w:sz w:val="20"/>
          <w:szCs w:val="20"/>
        </w:rPr>
        <w:t>yolunda</w:t>
      </w:r>
      <w:proofErr w:type="spellEnd"/>
      <w:r w:rsidRPr="00DB6A3C">
        <w:rPr>
          <w:sz w:val="20"/>
          <w:szCs w:val="20"/>
        </w:rPr>
        <w:t xml:space="preserve"> </w:t>
      </w:r>
      <w:proofErr w:type="spellStart"/>
      <w:r w:rsidRPr="00DB6A3C">
        <w:rPr>
          <w:sz w:val="20"/>
          <w:szCs w:val="20"/>
        </w:rPr>
        <w:t>desteklemek</w:t>
      </w:r>
      <w:proofErr w:type="spellEnd"/>
      <w:r w:rsidRPr="00DB6A3C">
        <w:rPr>
          <w:sz w:val="20"/>
          <w:szCs w:val="20"/>
        </w:rPr>
        <w:t xml:space="preserve"> Mart 2018 </w:t>
      </w:r>
      <w:hyperlink r:id="rId30" w:history="1">
        <w:r w:rsidRPr="00DB6A3C">
          <w:rPr>
            <w:color w:val="0563C1"/>
            <w:sz w:val="20"/>
            <w:szCs w:val="20"/>
            <w:u w:val="single"/>
          </w:rPr>
          <w:t>file:///C:/Users/sandra%20bustamante/Downloads/enerji-sektorunde-kadin-2018.pdf</w:t>
        </w:r>
      </w:hyperlink>
    </w:p>
    <w:p w14:paraId="000B81B8" w14:textId="77777777" w:rsidR="00AC1A29" w:rsidRPr="00DB6A3C" w:rsidRDefault="00AC1A29" w:rsidP="003A7BFE">
      <w:pPr>
        <w:pStyle w:val="ListParagraph"/>
        <w:numPr>
          <w:ilvl w:val="0"/>
          <w:numId w:val="14"/>
        </w:numPr>
        <w:spacing w:after="160" w:line="259" w:lineRule="auto"/>
        <w:rPr>
          <w:sz w:val="20"/>
          <w:szCs w:val="20"/>
        </w:rPr>
      </w:pPr>
      <w:r w:rsidRPr="00DB6A3C">
        <w:rPr>
          <w:sz w:val="20"/>
          <w:szCs w:val="20"/>
        </w:rPr>
        <w:t>Dunbar, M. (2013), “Engaging the private sector in skills development”, Health and Education Advice and Resource Team, Oxford Policy Management, Oxford, UK.</w:t>
      </w:r>
    </w:p>
    <w:p w14:paraId="547C31C8" w14:textId="77777777" w:rsidR="00AC1A29" w:rsidRPr="00DB6A3C" w:rsidRDefault="00AC1A29" w:rsidP="003A7BFE">
      <w:pPr>
        <w:pStyle w:val="ListParagraph"/>
        <w:numPr>
          <w:ilvl w:val="0"/>
          <w:numId w:val="14"/>
        </w:numPr>
        <w:spacing w:after="160" w:line="259" w:lineRule="auto"/>
        <w:rPr>
          <w:color w:val="0563C1"/>
          <w:sz w:val="20"/>
          <w:szCs w:val="20"/>
          <w:u w:val="single"/>
        </w:rPr>
      </w:pPr>
      <w:r w:rsidRPr="00DB6A3C">
        <w:rPr>
          <w:sz w:val="20"/>
          <w:szCs w:val="20"/>
        </w:rPr>
        <w:t xml:space="preserve">IRENA, Renewable Energy and Jobs Annual Review 2020 </w:t>
      </w:r>
      <w:hyperlink r:id="rId31" w:history="1">
        <w:r w:rsidRPr="00DB6A3C">
          <w:rPr>
            <w:color w:val="0563C1"/>
            <w:sz w:val="20"/>
            <w:szCs w:val="20"/>
            <w:u w:val="single"/>
          </w:rPr>
          <w:t>file:///C:/Users/sandra%20bustamante/Downloads/IRENA_RE_Jobs_2020.pdf</w:t>
        </w:r>
      </w:hyperlink>
    </w:p>
    <w:p w14:paraId="3B8E9981" w14:textId="77777777" w:rsidR="00AC1A29" w:rsidRPr="00DB6A3C" w:rsidRDefault="00AC1A29" w:rsidP="003A7BFE">
      <w:pPr>
        <w:pStyle w:val="ListParagraph"/>
        <w:numPr>
          <w:ilvl w:val="0"/>
          <w:numId w:val="14"/>
        </w:numPr>
        <w:spacing w:after="160" w:line="259" w:lineRule="auto"/>
        <w:rPr>
          <w:sz w:val="20"/>
          <w:szCs w:val="20"/>
        </w:rPr>
      </w:pPr>
      <w:r w:rsidRPr="00DB6A3C">
        <w:rPr>
          <w:sz w:val="20"/>
          <w:szCs w:val="20"/>
        </w:rPr>
        <w:t xml:space="preserve">IRENA (2020)   Wind energy: A gender perspective, available at: </w:t>
      </w:r>
      <w:hyperlink r:id="rId32" w:history="1">
        <w:r w:rsidRPr="00DB6A3C">
          <w:rPr>
            <w:color w:val="0563C1"/>
            <w:sz w:val="20"/>
            <w:szCs w:val="20"/>
            <w:u w:val="single"/>
          </w:rPr>
          <w:t>https://www.irena.org/publications/2020/Jan/Wind-energy-A-gender-perspective</w:t>
        </w:r>
      </w:hyperlink>
    </w:p>
    <w:p w14:paraId="68A3B4CA" w14:textId="77777777" w:rsidR="00AC1A29" w:rsidRPr="00DB6A3C" w:rsidRDefault="00AC1A29" w:rsidP="003A7BFE">
      <w:pPr>
        <w:pStyle w:val="ListParagraph"/>
        <w:numPr>
          <w:ilvl w:val="0"/>
          <w:numId w:val="14"/>
        </w:numPr>
        <w:spacing w:after="160" w:line="259" w:lineRule="auto"/>
        <w:rPr>
          <w:sz w:val="20"/>
          <w:szCs w:val="20"/>
        </w:rPr>
      </w:pPr>
      <w:r w:rsidRPr="00DB6A3C">
        <w:rPr>
          <w:sz w:val="20"/>
          <w:szCs w:val="20"/>
        </w:rPr>
        <w:t xml:space="preserve">MENR. Strategic Plan. Available online: www.enerji.gov.tr/tr-TR/Stratejik-Plan </w:t>
      </w:r>
    </w:p>
    <w:p w14:paraId="6B5B9BCC" w14:textId="12593AC3" w:rsidR="00AC1A29" w:rsidRPr="00DB6A3C" w:rsidRDefault="00AC1A29" w:rsidP="003A7BFE">
      <w:pPr>
        <w:pStyle w:val="ListParagraph"/>
        <w:numPr>
          <w:ilvl w:val="0"/>
          <w:numId w:val="14"/>
        </w:numPr>
        <w:spacing w:after="160" w:line="259" w:lineRule="auto"/>
        <w:rPr>
          <w:sz w:val="20"/>
          <w:szCs w:val="20"/>
        </w:rPr>
      </w:pPr>
      <w:r w:rsidRPr="00DB6A3C">
        <w:rPr>
          <w:sz w:val="20"/>
          <w:szCs w:val="20"/>
        </w:rPr>
        <w:t xml:space="preserve">OECD (February 2019). OECD Environmental Performance Reviews: </w:t>
      </w:r>
      <w:r w:rsidR="007745AE">
        <w:rPr>
          <w:sz w:val="20"/>
          <w:szCs w:val="20"/>
        </w:rPr>
        <w:t>Türkiye</w:t>
      </w:r>
      <w:r w:rsidRPr="00DB6A3C">
        <w:rPr>
          <w:sz w:val="20"/>
          <w:szCs w:val="20"/>
        </w:rPr>
        <w:t xml:space="preserve"> 2019 (Report). OECD Environmental Performance Reviews. OECD Publishing.  </w:t>
      </w:r>
    </w:p>
    <w:p w14:paraId="3474C8F6" w14:textId="4366D6A1" w:rsidR="00AC1A29" w:rsidRPr="00DB6A3C" w:rsidRDefault="00AC1A29" w:rsidP="003A7BFE">
      <w:pPr>
        <w:pStyle w:val="ListParagraph"/>
        <w:numPr>
          <w:ilvl w:val="0"/>
          <w:numId w:val="14"/>
        </w:numPr>
        <w:spacing w:after="160" w:line="259" w:lineRule="auto"/>
        <w:rPr>
          <w:sz w:val="20"/>
          <w:szCs w:val="20"/>
        </w:rPr>
      </w:pPr>
      <w:proofErr w:type="spellStart"/>
      <w:r w:rsidRPr="00DB6A3C">
        <w:rPr>
          <w:sz w:val="20"/>
          <w:szCs w:val="20"/>
        </w:rPr>
        <w:t>Petform</w:t>
      </w:r>
      <w:proofErr w:type="spellEnd"/>
      <w:r w:rsidRPr="00DB6A3C">
        <w:rPr>
          <w:sz w:val="20"/>
          <w:szCs w:val="20"/>
        </w:rPr>
        <w:t xml:space="preserve"> website, (2020) Oil production in </w:t>
      </w:r>
      <w:r w:rsidR="007745AE">
        <w:rPr>
          <w:sz w:val="20"/>
          <w:szCs w:val="20"/>
        </w:rPr>
        <w:t>Türkiye</w:t>
      </w:r>
      <w:r w:rsidRPr="00DB6A3C">
        <w:rPr>
          <w:sz w:val="20"/>
          <w:szCs w:val="20"/>
        </w:rPr>
        <w:t>, available at: https://www.petform.org.tr/en/arama-uretim-sektoru/turkiyede-petrol-uretimi/</w:t>
      </w:r>
    </w:p>
    <w:p w14:paraId="7F4E55E9" w14:textId="77777777" w:rsidR="00AC1A29" w:rsidRPr="00DB6A3C" w:rsidRDefault="00AC1A29" w:rsidP="003A7BFE">
      <w:pPr>
        <w:pStyle w:val="ListParagraph"/>
        <w:numPr>
          <w:ilvl w:val="0"/>
          <w:numId w:val="14"/>
        </w:numPr>
        <w:spacing w:after="160" w:line="259" w:lineRule="auto"/>
        <w:rPr>
          <w:sz w:val="20"/>
          <w:szCs w:val="20"/>
        </w:rPr>
      </w:pPr>
      <w:r w:rsidRPr="00DB6A3C">
        <w:rPr>
          <w:sz w:val="20"/>
          <w:szCs w:val="20"/>
        </w:rPr>
        <w:t>SCGJ (Skill Council for Green Jobs) (n.d.), “Certified participants”, http://sscgj.in/affiliation/certifiedparticipants/, accessed 30 July</w:t>
      </w:r>
    </w:p>
    <w:p w14:paraId="7B42D5F5" w14:textId="77777777" w:rsidR="00AC1A29" w:rsidRPr="00DB6A3C" w:rsidRDefault="00AC1A29" w:rsidP="003A7BFE">
      <w:pPr>
        <w:pStyle w:val="ListParagraph"/>
        <w:numPr>
          <w:ilvl w:val="0"/>
          <w:numId w:val="14"/>
        </w:numPr>
        <w:spacing w:after="160" w:line="259" w:lineRule="auto"/>
        <w:rPr>
          <w:sz w:val="20"/>
          <w:szCs w:val="20"/>
        </w:rPr>
      </w:pPr>
      <w:proofErr w:type="spellStart"/>
      <w:r w:rsidRPr="00DB6A3C">
        <w:rPr>
          <w:sz w:val="20"/>
          <w:szCs w:val="20"/>
        </w:rPr>
        <w:t>Simas</w:t>
      </w:r>
      <w:proofErr w:type="spellEnd"/>
      <w:r w:rsidRPr="00DB6A3C">
        <w:rPr>
          <w:sz w:val="20"/>
          <w:szCs w:val="20"/>
        </w:rPr>
        <w:t>, M., and S. Pacca (2014), “Assessing employment in renewable energy technologies: A case study for wind power in Brazil”, Renewable and Sustainable Energy Reviews, Vol. 31/ March, pp. 83 90. Skills Development Scotland (2019), “Transition Training Fund”, https:// transitiontrainingfund.co.uk/.</w:t>
      </w:r>
    </w:p>
    <w:p w14:paraId="4E172432" w14:textId="294195B0" w:rsidR="00AC1A29" w:rsidRPr="00DB6A3C" w:rsidRDefault="00AC1A29" w:rsidP="003A7BFE">
      <w:pPr>
        <w:pStyle w:val="ListParagraph"/>
        <w:numPr>
          <w:ilvl w:val="0"/>
          <w:numId w:val="14"/>
        </w:numPr>
        <w:spacing w:after="160" w:line="259" w:lineRule="auto"/>
        <w:rPr>
          <w:sz w:val="20"/>
          <w:szCs w:val="20"/>
        </w:rPr>
      </w:pPr>
      <w:r w:rsidRPr="00DB6A3C">
        <w:rPr>
          <w:sz w:val="20"/>
          <w:szCs w:val="20"/>
        </w:rPr>
        <w:t xml:space="preserve">UNION OF CHAMBERS OF TURKISH ENGINEERS AND ARCHITECTS (UCTAE) CHAMBER OF MECHANICAL ENGINEERS (CME) ENERGY COMMISSION, </w:t>
      </w:r>
      <w:r w:rsidR="007745AE">
        <w:rPr>
          <w:sz w:val="20"/>
          <w:szCs w:val="20"/>
        </w:rPr>
        <w:t>Türkiye</w:t>
      </w:r>
      <w:r w:rsidRPr="00DB6A3C">
        <w:rPr>
          <w:sz w:val="20"/>
          <w:szCs w:val="20"/>
        </w:rPr>
        <w:t xml:space="preserve"> Energy Outlook 2020, available at: </w:t>
      </w:r>
      <w:hyperlink r:id="rId33" w:history="1">
        <w:r w:rsidRPr="00DB6A3C">
          <w:rPr>
            <w:color w:val="0563C1"/>
            <w:sz w:val="20"/>
            <w:szCs w:val="20"/>
            <w:u w:val="single"/>
          </w:rPr>
          <w:t>https://www.mmo.org.tr/sites/default/files/gonderi_dosya_ekleri/</w:t>
        </w:r>
        <w:r w:rsidR="007745AE">
          <w:rPr>
            <w:color w:val="0563C1"/>
            <w:sz w:val="20"/>
            <w:szCs w:val="20"/>
            <w:u w:val="single"/>
          </w:rPr>
          <w:t>TÜRKIYE</w:t>
        </w:r>
        <w:r w:rsidRPr="00DB6A3C">
          <w:rPr>
            <w:color w:val="0563C1"/>
            <w:sz w:val="20"/>
            <w:szCs w:val="20"/>
            <w:u w:val="single"/>
          </w:rPr>
          <w:t>%20ENERGY%20OUTLOOK_%202020_%2813.7.2020_A%29.pdf</w:t>
        </w:r>
      </w:hyperlink>
    </w:p>
    <w:p w14:paraId="68D4664E" w14:textId="7288AFA9" w:rsidR="00AC1A29" w:rsidRDefault="00AC1A29" w:rsidP="003A7BFE">
      <w:pPr>
        <w:pStyle w:val="ListParagraph"/>
        <w:numPr>
          <w:ilvl w:val="0"/>
          <w:numId w:val="14"/>
        </w:numPr>
        <w:spacing w:after="160" w:line="259" w:lineRule="auto"/>
        <w:rPr>
          <w:sz w:val="20"/>
          <w:szCs w:val="20"/>
        </w:rPr>
      </w:pPr>
      <w:r w:rsidRPr="00DB6A3C">
        <w:rPr>
          <w:sz w:val="20"/>
          <w:szCs w:val="20"/>
        </w:rPr>
        <w:t xml:space="preserve">World Data. </w:t>
      </w:r>
      <w:r w:rsidR="007745AE">
        <w:rPr>
          <w:sz w:val="20"/>
          <w:szCs w:val="20"/>
        </w:rPr>
        <w:t>Türkiye</w:t>
      </w:r>
      <w:r w:rsidRPr="00DB6A3C">
        <w:rPr>
          <w:sz w:val="20"/>
          <w:szCs w:val="20"/>
        </w:rPr>
        <w:t xml:space="preserve"> Energy Consumption. Available online: https://www.worlddata.info/asia/</w:t>
      </w:r>
      <w:r w:rsidR="007745AE">
        <w:rPr>
          <w:sz w:val="20"/>
          <w:szCs w:val="20"/>
        </w:rPr>
        <w:t>Türkiye</w:t>
      </w:r>
      <w:r w:rsidRPr="00DB6A3C">
        <w:rPr>
          <w:sz w:val="20"/>
          <w:szCs w:val="20"/>
        </w:rPr>
        <w:t>/ energy-</w:t>
      </w:r>
      <w:proofErr w:type="spellStart"/>
      <w:r w:rsidRPr="00DB6A3C">
        <w:rPr>
          <w:sz w:val="20"/>
          <w:szCs w:val="20"/>
        </w:rPr>
        <w:t>consumption.php</w:t>
      </w:r>
      <w:proofErr w:type="spellEnd"/>
      <w:r w:rsidRPr="00DB6A3C">
        <w:rPr>
          <w:sz w:val="20"/>
          <w:szCs w:val="20"/>
        </w:rPr>
        <w:t xml:space="preserve">  </w:t>
      </w:r>
    </w:p>
    <w:p w14:paraId="0FA1D899" w14:textId="77777777" w:rsidR="003A7BFE" w:rsidRPr="00DB6A3C" w:rsidRDefault="003A7BFE" w:rsidP="003A7BFE">
      <w:pPr>
        <w:pStyle w:val="ListParagraph"/>
        <w:spacing w:after="160" w:line="259" w:lineRule="auto"/>
        <w:jc w:val="both"/>
        <w:rPr>
          <w:sz w:val="20"/>
          <w:szCs w:val="20"/>
        </w:rPr>
      </w:pPr>
    </w:p>
    <w:p w14:paraId="5531A6F8" w14:textId="0DB6807F" w:rsidR="00AC1A29" w:rsidRPr="003A7BFE" w:rsidRDefault="00AC1A29" w:rsidP="003A7BFE">
      <w:pPr>
        <w:pStyle w:val="ListParagraph"/>
        <w:numPr>
          <w:ilvl w:val="0"/>
          <w:numId w:val="15"/>
        </w:numPr>
        <w:spacing w:after="160" w:line="259" w:lineRule="auto"/>
        <w:jc w:val="both"/>
        <w:rPr>
          <w:b/>
          <w:bCs/>
          <w:sz w:val="20"/>
          <w:szCs w:val="20"/>
        </w:rPr>
      </w:pPr>
      <w:r w:rsidRPr="003A7BFE">
        <w:rPr>
          <w:b/>
          <w:bCs/>
          <w:sz w:val="20"/>
          <w:szCs w:val="20"/>
        </w:rPr>
        <w:t xml:space="preserve">Websites: </w:t>
      </w:r>
    </w:p>
    <w:p w14:paraId="6CDF5035" w14:textId="77777777" w:rsidR="00AC1A29" w:rsidRPr="00DB6A3C" w:rsidRDefault="00736CB4" w:rsidP="003A7BFE">
      <w:pPr>
        <w:pStyle w:val="ListParagraph"/>
        <w:numPr>
          <w:ilvl w:val="0"/>
          <w:numId w:val="12"/>
        </w:numPr>
        <w:spacing w:after="160" w:line="259" w:lineRule="auto"/>
        <w:rPr>
          <w:sz w:val="20"/>
          <w:szCs w:val="20"/>
        </w:rPr>
      </w:pPr>
      <w:hyperlink r:id="rId34" w:history="1">
        <w:r w:rsidR="00AC1A29" w:rsidRPr="00DB6A3C">
          <w:rPr>
            <w:color w:val="0563C1"/>
            <w:sz w:val="20"/>
            <w:szCs w:val="20"/>
            <w:u w:val="single"/>
          </w:rPr>
          <w:t>http://www.enerji.gov.tr/en-US/Mainpage </w:t>
        </w:r>
      </w:hyperlink>
    </w:p>
    <w:p w14:paraId="4E14F278" w14:textId="77777777" w:rsidR="00AC1A29" w:rsidRPr="00DB6A3C" w:rsidRDefault="00736CB4" w:rsidP="003A7BFE">
      <w:pPr>
        <w:pStyle w:val="ListParagraph"/>
        <w:numPr>
          <w:ilvl w:val="0"/>
          <w:numId w:val="12"/>
        </w:numPr>
        <w:spacing w:after="160" w:line="259" w:lineRule="auto"/>
        <w:rPr>
          <w:sz w:val="20"/>
          <w:szCs w:val="20"/>
        </w:rPr>
      </w:pPr>
      <w:hyperlink r:id="rId35" w:history="1">
        <w:r w:rsidR="00AC1A29" w:rsidRPr="00DB6A3C">
          <w:rPr>
            <w:color w:val="0563C1"/>
            <w:sz w:val="20"/>
            <w:szCs w:val="20"/>
            <w:u w:val="single"/>
          </w:rPr>
          <w:t>http://www.enerji.gov.tr/en-US/Pages/Bio-Fuels</w:t>
        </w:r>
      </w:hyperlink>
    </w:p>
    <w:p w14:paraId="14A6D11E" w14:textId="77777777" w:rsidR="00AC1A29" w:rsidRPr="00DB6A3C" w:rsidRDefault="00736CB4" w:rsidP="003A7BFE">
      <w:pPr>
        <w:pStyle w:val="ListParagraph"/>
        <w:numPr>
          <w:ilvl w:val="0"/>
          <w:numId w:val="12"/>
        </w:numPr>
        <w:spacing w:after="160" w:line="259" w:lineRule="auto"/>
        <w:rPr>
          <w:sz w:val="20"/>
          <w:szCs w:val="20"/>
        </w:rPr>
      </w:pPr>
      <w:hyperlink r:id="rId36" w:history="1">
        <w:r w:rsidR="00AC1A29" w:rsidRPr="00DB6A3C">
          <w:rPr>
            <w:color w:val="0563C1"/>
            <w:sz w:val="20"/>
            <w:szCs w:val="20"/>
            <w:u w:val="single"/>
          </w:rPr>
          <w:t>http://www.enerji.gov.tr/en-US/Pages/Coal</w:t>
        </w:r>
      </w:hyperlink>
    </w:p>
    <w:p w14:paraId="5EB13879" w14:textId="77777777" w:rsidR="00AC1A29" w:rsidRPr="00DB6A3C" w:rsidRDefault="00736CB4" w:rsidP="003A7BFE">
      <w:pPr>
        <w:pStyle w:val="ListParagraph"/>
        <w:numPr>
          <w:ilvl w:val="0"/>
          <w:numId w:val="12"/>
        </w:numPr>
        <w:spacing w:after="160" w:line="259" w:lineRule="auto"/>
        <w:rPr>
          <w:sz w:val="20"/>
          <w:szCs w:val="20"/>
        </w:rPr>
      </w:pPr>
      <w:hyperlink r:id="rId37" w:history="1">
        <w:r w:rsidR="00AC1A29" w:rsidRPr="00DB6A3C">
          <w:rPr>
            <w:color w:val="0563C1"/>
            <w:sz w:val="20"/>
            <w:szCs w:val="20"/>
            <w:u w:val="single"/>
          </w:rPr>
          <w:t>http://www.enerji.gov.tr/en-US/Pages/Electricity</w:t>
        </w:r>
      </w:hyperlink>
    </w:p>
    <w:p w14:paraId="4FD06C39" w14:textId="77777777" w:rsidR="00AC1A29" w:rsidRPr="00DB6A3C" w:rsidRDefault="00AC1A29" w:rsidP="003A7BFE">
      <w:pPr>
        <w:pStyle w:val="ListParagraph"/>
        <w:numPr>
          <w:ilvl w:val="0"/>
          <w:numId w:val="12"/>
        </w:numPr>
        <w:spacing w:after="160" w:line="259" w:lineRule="auto"/>
        <w:rPr>
          <w:sz w:val="20"/>
          <w:szCs w:val="20"/>
        </w:rPr>
      </w:pPr>
      <w:bookmarkStart w:id="27" w:name="_Hlk67382325"/>
      <w:r w:rsidRPr="00DB6A3C">
        <w:rPr>
          <w:color w:val="0563C1"/>
          <w:sz w:val="20"/>
          <w:szCs w:val="20"/>
          <w:u w:val="single"/>
        </w:rPr>
        <w:t>http://www.enerji.gov.tr/en-US/Pages/Geothermal</w:t>
      </w:r>
    </w:p>
    <w:p w14:paraId="09D4A0A0" w14:textId="77777777" w:rsidR="00AC1A29" w:rsidRPr="00DB6A3C" w:rsidRDefault="00736CB4" w:rsidP="003A7BFE">
      <w:pPr>
        <w:pStyle w:val="ListParagraph"/>
        <w:numPr>
          <w:ilvl w:val="0"/>
          <w:numId w:val="12"/>
        </w:numPr>
        <w:spacing w:after="160" w:line="259" w:lineRule="auto"/>
        <w:rPr>
          <w:sz w:val="20"/>
          <w:szCs w:val="20"/>
        </w:rPr>
      </w:pPr>
      <w:hyperlink r:id="rId38" w:history="1">
        <w:r w:rsidR="00AC1A29" w:rsidRPr="00DB6A3C">
          <w:rPr>
            <w:color w:val="0563C1"/>
            <w:sz w:val="20"/>
            <w:szCs w:val="20"/>
            <w:u w:val="single"/>
          </w:rPr>
          <w:t>http://www.enerji.gov.tr/en-US/Pages/Hydraulics</w:t>
        </w:r>
      </w:hyperlink>
    </w:p>
    <w:p w14:paraId="3D22CC67" w14:textId="77777777" w:rsidR="00AC1A29" w:rsidRPr="00DB6A3C" w:rsidRDefault="00736CB4" w:rsidP="003A7BFE">
      <w:pPr>
        <w:pStyle w:val="ListParagraph"/>
        <w:numPr>
          <w:ilvl w:val="0"/>
          <w:numId w:val="12"/>
        </w:numPr>
        <w:spacing w:after="160" w:line="259" w:lineRule="auto"/>
        <w:rPr>
          <w:sz w:val="20"/>
          <w:szCs w:val="20"/>
        </w:rPr>
      </w:pPr>
      <w:hyperlink r:id="rId39" w:history="1">
        <w:r w:rsidR="00AC1A29" w:rsidRPr="00DB6A3C">
          <w:rPr>
            <w:color w:val="0563C1"/>
            <w:sz w:val="20"/>
            <w:szCs w:val="20"/>
            <w:u w:val="single"/>
          </w:rPr>
          <w:t>http://www.enerji.gov.tr/en-US/Pages/Natural-Gas</w:t>
        </w:r>
      </w:hyperlink>
    </w:p>
    <w:p w14:paraId="7B0860AF" w14:textId="77777777" w:rsidR="00AC1A29" w:rsidRPr="00DB6A3C" w:rsidRDefault="00736CB4" w:rsidP="003A7BFE">
      <w:pPr>
        <w:pStyle w:val="ListParagraph"/>
        <w:numPr>
          <w:ilvl w:val="0"/>
          <w:numId w:val="12"/>
        </w:numPr>
        <w:spacing w:after="160" w:line="259" w:lineRule="auto"/>
        <w:rPr>
          <w:sz w:val="20"/>
          <w:szCs w:val="20"/>
        </w:rPr>
      </w:pPr>
      <w:hyperlink r:id="rId40" w:history="1">
        <w:r w:rsidR="00AC1A29" w:rsidRPr="00DB6A3C">
          <w:rPr>
            <w:color w:val="0563C1"/>
            <w:sz w:val="20"/>
            <w:szCs w:val="20"/>
            <w:u w:val="single"/>
          </w:rPr>
          <w:t>http://www.enerji.gov.tr/en-US/Pages/Nuclear</w:t>
        </w:r>
      </w:hyperlink>
    </w:p>
    <w:p w14:paraId="0B720E8A" w14:textId="77777777" w:rsidR="00AC1A29" w:rsidRPr="00DB6A3C" w:rsidRDefault="00736CB4" w:rsidP="003A7BFE">
      <w:pPr>
        <w:pStyle w:val="ListParagraph"/>
        <w:numPr>
          <w:ilvl w:val="0"/>
          <w:numId w:val="12"/>
        </w:numPr>
        <w:spacing w:after="160" w:line="259" w:lineRule="auto"/>
        <w:rPr>
          <w:sz w:val="20"/>
          <w:szCs w:val="20"/>
        </w:rPr>
      </w:pPr>
      <w:hyperlink r:id="rId41" w:history="1">
        <w:r w:rsidR="00AC1A29" w:rsidRPr="00DB6A3C">
          <w:rPr>
            <w:color w:val="0563C1"/>
            <w:sz w:val="20"/>
            <w:szCs w:val="20"/>
            <w:u w:val="single"/>
          </w:rPr>
          <w:t>http://www.enerji.gov.tr/en-US/Pages/Petrol</w:t>
        </w:r>
      </w:hyperlink>
    </w:p>
    <w:p w14:paraId="31A48C71" w14:textId="77777777" w:rsidR="00AC1A29" w:rsidRPr="00DB6A3C" w:rsidRDefault="00736CB4" w:rsidP="003A7BFE">
      <w:pPr>
        <w:pStyle w:val="ListParagraph"/>
        <w:numPr>
          <w:ilvl w:val="0"/>
          <w:numId w:val="12"/>
        </w:numPr>
        <w:spacing w:after="160" w:line="259" w:lineRule="auto"/>
        <w:rPr>
          <w:sz w:val="20"/>
          <w:szCs w:val="20"/>
        </w:rPr>
      </w:pPr>
      <w:hyperlink r:id="rId42" w:history="1">
        <w:r w:rsidR="00AC1A29" w:rsidRPr="00DB6A3C">
          <w:rPr>
            <w:color w:val="0563C1"/>
            <w:sz w:val="20"/>
            <w:szCs w:val="20"/>
            <w:u w:val="single"/>
          </w:rPr>
          <w:t>http://www.enerji.gov.tr/en-US/Pages/Solar</w:t>
        </w:r>
      </w:hyperlink>
    </w:p>
    <w:p w14:paraId="10AC8965" w14:textId="77777777" w:rsidR="00AC1A29" w:rsidRPr="00DB6A3C" w:rsidRDefault="00736CB4" w:rsidP="003A7BFE">
      <w:pPr>
        <w:pStyle w:val="ListParagraph"/>
        <w:numPr>
          <w:ilvl w:val="0"/>
          <w:numId w:val="12"/>
        </w:numPr>
        <w:spacing w:after="160" w:line="259" w:lineRule="auto"/>
        <w:rPr>
          <w:sz w:val="20"/>
          <w:szCs w:val="20"/>
        </w:rPr>
      </w:pPr>
      <w:hyperlink r:id="rId43" w:history="1">
        <w:r w:rsidR="00AC1A29" w:rsidRPr="00DB6A3C">
          <w:rPr>
            <w:color w:val="0563C1"/>
            <w:sz w:val="20"/>
            <w:szCs w:val="20"/>
            <w:u w:val="single"/>
          </w:rPr>
          <w:t>http://www.enerji.gov.tr/en-US/Pages/Wind</w:t>
        </w:r>
      </w:hyperlink>
    </w:p>
    <w:p w14:paraId="461F9FF6" w14:textId="77777777" w:rsidR="00AC1A29" w:rsidRPr="00DB6A3C" w:rsidRDefault="00736CB4" w:rsidP="003A7BFE">
      <w:pPr>
        <w:pStyle w:val="ListParagraph"/>
        <w:numPr>
          <w:ilvl w:val="0"/>
          <w:numId w:val="12"/>
        </w:numPr>
        <w:spacing w:after="160" w:line="259" w:lineRule="auto"/>
        <w:rPr>
          <w:sz w:val="20"/>
          <w:szCs w:val="20"/>
        </w:rPr>
      </w:pPr>
      <w:hyperlink r:id="rId44" w:history="1">
        <w:r w:rsidR="00AC1A29" w:rsidRPr="00DB6A3C">
          <w:rPr>
            <w:color w:val="0563C1"/>
            <w:sz w:val="20"/>
            <w:szCs w:val="20"/>
            <w:u w:val="single"/>
          </w:rPr>
          <w:t>https://data.tuik.gov.tr/</w:t>
        </w:r>
      </w:hyperlink>
    </w:p>
    <w:p w14:paraId="46488A04" w14:textId="77777777" w:rsidR="00AC1A29" w:rsidRPr="00DB6A3C" w:rsidRDefault="00736CB4" w:rsidP="003A7BFE">
      <w:pPr>
        <w:pStyle w:val="ListParagraph"/>
        <w:numPr>
          <w:ilvl w:val="0"/>
          <w:numId w:val="12"/>
        </w:numPr>
        <w:spacing w:after="160" w:line="259" w:lineRule="auto"/>
        <w:rPr>
          <w:sz w:val="20"/>
          <w:szCs w:val="20"/>
        </w:rPr>
      </w:pPr>
      <w:hyperlink r:id="rId45" w:history="1">
        <w:r w:rsidR="00AC1A29" w:rsidRPr="00DB6A3C">
          <w:rPr>
            <w:color w:val="0563C1"/>
            <w:sz w:val="20"/>
            <w:szCs w:val="20"/>
            <w:u w:val="single"/>
          </w:rPr>
          <w:t>https://enerji.gov.tr/en-US/Pages/Natural-Gas-Pipelines-and-Projects</w:t>
        </w:r>
      </w:hyperlink>
    </w:p>
    <w:p w14:paraId="67E399A3" w14:textId="77777777" w:rsidR="00AC1A29" w:rsidRPr="00DB6A3C" w:rsidRDefault="00736CB4" w:rsidP="003A7BFE">
      <w:pPr>
        <w:pStyle w:val="ListParagraph"/>
        <w:numPr>
          <w:ilvl w:val="0"/>
          <w:numId w:val="12"/>
        </w:numPr>
        <w:spacing w:after="160" w:line="259" w:lineRule="auto"/>
        <w:rPr>
          <w:sz w:val="20"/>
          <w:szCs w:val="20"/>
        </w:rPr>
      </w:pPr>
      <w:hyperlink r:id="rId46" w:history="1">
        <w:r w:rsidR="00AC1A29" w:rsidRPr="00DB6A3C">
          <w:rPr>
            <w:color w:val="0563C1"/>
            <w:sz w:val="20"/>
            <w:szCs w:val="20"/>
            <w:u w:val="single"/>
          </w:rPr>
          <w:t>https://enerji.gov.tr/en-US/Pages/Oil-Pipelines</w:t>
        </w:r>
      </w:hyperlink>
    </w:p>
    <w:p w14:paraId="2189E86B" w14:textId="0BDE5BAF" w:rsidR="00AC1A29" w:rsidRPr="00DB6A3C" w:rsidRDefault="00736CB4" w:rsidP="003A7BFE">
      <w:pPr>
        <w:pStyle w:val="ListParagraph"/>
        <w:numPr>
          <w:ilvl w:val="0"/>
          <w:numId w:val="12"/>
        </w:numPr>
        <w:spacing w:after="160" w:line="259" w:lineRule="auto"/>
        <w:rPr>
          <w:sz w:val="20"/>
          <w:szCs w:val="20"/>
        </w:rPr>
      </w:pPr>
      <w:hyperlink r:id="rId47" w:history="1">
        <w:r w:rsidR="00AC1A29" w:rsidRPr="00DB6A3C">
          <w:rPr>
            <w:color w:val="0563C1"/>
            <w:sz w:val="20"/>
            <w:szCs w:val="20"/>
            <w:u w:val="single"/>
          </w:rPr>
          <w:t>https://www.climate-transparency.org/media/</w:t>
        </w:r>
        <w:r w:rsidR="007745AE">
          <w:rPr>
            <w:color w:val="0563C1"/>
            <w:sz w:val="20"/>
            <w:szCs w:val="20"/>
            <w:u w:val="single"/>
          </w:rPr>
          <w:t>Türkiye</w:t>
        </w:r>
        <w:r w:rsidR="00AC1A29" w:rsidRPr="00DB6A3C">
          <w:rPr>
            <w:color w:val="0563C1"/>
            <w:sz w:val="20"/>
            <w:szCs w:val="20"/>
            <w:u w:val="single"/>
          </w:rPr>
          <w:t>-country-profile-2020</w:t>
        </w:r>
      </w:hyperlink>
    </w:p>
    <w:p w14:paraId="42A6216B" w14:textId="77777777" w:rsidR="00AC1A29" w:rsidRPr="00DB6A3C" w:rsidRDefault="00736CB4" w:rsidP="003A7BFE">
      <w:pPr>
        <w:pStyle w:val="ListParagraph"/>
        <w:numPr>
          <w:ilvl w:val="0"/>
          <w:numId w:val="12"/>
        </w:numPr>
        <w:spacing w:after="160" w:line="259" w:lineRule="auto"/>
        <w:rPr>
          <w:sz w:val="20"/>
          <w:szCs w:val="20"/>
        </w:rPr>
      </w:pPr>
      <w:hyperlink r:id="rId48" w:history="1">
        <w:r w:rsidR="00AC1A29" w:rsidRPr="00DB6A3C">
          <w:rPr>
            <w:color w:val="0563C1"/>
            <w:sz w:val="20"/>
            <w:szCs w:val="20"/>
            <w:u w:val="single"/>
          </w:rPr>
          <w:t>https://www.enerji.gov.tr/en-US/Mainpage</w:t>
        </w:r>
      </w:hyperlink>
    </w:p>
    <w:p w14:paraId="7A5CE9D2" w14:textId="77777777" w:rsidR="00AC1A29" w:rsidRPr="00DB6A3C" w:rsidRDefault="00736CB4" w:rsidP="003A7BFE">
      <w:pPr>
        <w:pStyle w:val="ListParagraph"/>
        <w:numPr>
          <w:ilvl w:val="0"/>
          <w:numId w:val="12"/>
        </w:numPr>
        <w:spacing w:after="160" w:line="259" w:lineRule="auto"/>
        <w:rPr>
          <w:sz w:val="20"/>
          <w:szCs w:val="20"/>
        </w:rPr>
      </w:pPr>
      <w:hyperlink r:id="rId49" w:history="1">
        <w:r w:rsidR="00AC1A29" w:rsidRPr="00DB6A3C">
          <w:rPr>
            <w:color w:val="0563C1"/>
            <w:sz w:val="20"/>
            <w:szCs w:val="20"/>
            <w:u w:val="single"/>
          </w:rPr>
          <w:t>https://www.epdk.org.tr/Home/En</w:t>
        </w:r>
      </w:hyperlink>
    </w:p>
    <w:p w14:paraId="59832954" w14:textId="2252D74D" w:rsidR="00AC1A29" w:rsidRPr="00DB6A3C" w:rsidRDefault="00736CB4" w:rsidP="003A7BFE">
      <w:pPr>
        <w:pStyle w:val="ListParagraph"/>
        <w:numPr>
          <w:ilvl w:val="0"/>
          <w:numId w:val="12"/>
        </w:numPr>
        <w:spacing w:after="160" w:line="259" w:lineRule="auto"/>
        <w:rPr>
          <w:sz w:val="20"/>
          <w:szCs w:val="20"/>
        </w:rPr>
      </w:pPr>
      <w:hyperlink r:id="rId50" w:history="1">
        <w:r w:rsidR="00AC1A29" w:rsidRPr="00DB6A3C">
          <w:rPr>
            <w:color w:val="0563C1"/>
            <w:sz w:val="20"/>
            <w:szCs w:val="20"/>
            <w:u w:val="single"/>
          </w:rPr>
          <w:t>https://www.iea.org/countries/</w:t>
        </w:r>
        <w:r w:rsidR="007745AE">
          <w:rPr>
            <w:color w:val="0563C1"/>
            <w:sz w:val="20"/>
            <w:szCs w:val="20"/>
            <w:u w:val="single"/>
          </w:rPr>
          <w:t>Türkiye</w:t>
        </w:r>
      </w:hyperlink>
    </w:p>
    <w:p w14:paraId="17D56817" w14:textId="77777777" w:rsidR="00AC1A29" w:rsidRPr="00DB6A3C" w:rsidRDefault="00736CB4" w:rsidP="003A7BFE">
      <w:pPr>
        <w:pStyle w:val="ListParagraph"/>
        <w:numPr>
          <w:ilvl w:val="0"/>
          <w:numId w:val="12"/>
        </w:numPr>
        <w:spacing w:after="160" w:line="259" w:lineRule="auto"/>
        <w:rPr>
          <w:sz w:val="20"/>
          <w:szCs w:val="20"/>
        </w:rPr>
      </w:pPr>
      <w:hyperlink r:id="rId51" w:history="1">
        <w:r w:rsidR="00AC1A29" w:rsidRPr="00DB6A3C">
          <w:rPr>
            <w:color w:val="0563C1"/>
            <w:sz w:val="20"/>
            <w:szCs w:val="20"/>
            <w:u w:val="single"/>
          </w:rPr>
          <w:t>https://www.invest.gov.tr/en/library/publications/lists/investpublications/energy-industry.pdf</w:t>
        </w:r>
      </w:hyperlink>
    </w:p>
    <w:p w14:paraId="7106F565" w14:textId="77777777" w:rsidR="00AC1A29" w:rsidRPr="00DB6A3C" w:rsidRDefault="00736CB4" w:rsidP="003A7BFE">
      <w:pPr>
        <w:pStyle w:val="ListParagraph"/>
        <w:numPr>
          <w:ilvl w:val="0"/>
          <w:numId w:val="12"/>
        </w:numPr>
        <w:spacing w:after="160" w:line="259" w:lineRule="auto"/>
        <w:rPr>
          <w:sz w:val="20"/>
          <w:szCs w:val="20"/>
        </w:rPr>
      </w:pPr>
      <w:hyperlink r:id="rId52" w:history="1">
        <w:r w:rsidR="00AC1A29" w:rsidRPr="00DB6A3C">
          <w:rPr>
            <w:color w:val="0563C1"/>
            <w:sz w:val="20"/>
            <w:szCs w:val="20"/>
            <w:u w:val="single"/>
          </w:rPr>
          <w:t>https://www.invest.gov.tr/en/sectors/pages/energy.aspx</w:t>
        </w:r>
      </w:hyperlink>
    </w:p>
    <w:bookmarkEnd w:id="27"/>
    <w:p w14:paraId="330128FD" w14:textId="7D0832C0" w:rsidR="00AC1A29" w:rsidRPr="00DB6A3C" w:rsidRDefault="00AC1A29" w:rsidP="003A7BFE">
      <w:pPr>
        <w:pStyle w:val="ListParagraph"/>
        <w:numPr>
          <w:ilvl w:val="0"/>
          <w:numId w:val="12"/>
        </w:numPr>
        <w:spacing w:after="160" w:line="259" w:lineRule="auto"/>
        <w:rPr>
          <w:sz w:val="20"/>
          <w:szCs w:val="20"/>
        </w:rPr>
      </w:pPr>
      <w:r w:rsidRPr="00DB6A3C">
        <w:rPr>
          <w:sz w:val="20"/>
          <w:szCs w:val="20"/>
        </w:rPr>
        <w:t xml:space="preserve">Presidency of </w:t>
      </w:r>
      <w:r w:rsidR="007745AE">
        <w:rPr>
          <w:sz w:val="20"/>
          <w:szCs w:val="20"/>
        </w:rPr>
        <w:t>Türkiye</w:t>
      </w:r>
      <w:r w:rsidRPr="00DB6A3C">
        <w:rPr>
          <w:sz w:val="20"/>
          <w:szCs w:val="20"/>
        </w:rPr>
        <w:t xml:space="preserve">. Ministry of Investment. </w:t>
      </w:r>
      <w:proofErr w:type="spellStart"/>
      <w:r w:rsidRPr="00DB6A3C">
        <w:rPr>
          <w:sz w:val="20"/>
          <w:szCs w:val="20"/>
        </w:rPr>
        <w:t>Yeka</w:t>
      </w:r>
      <w:proofErr w:type="spellEnd"/>
      <w:r w:rsidRPr="00DB6A3C">
        <w:rPr>
          <w:sz w:val="20"/>
          <w:szCs w:val="20"/>
        </w:rPr>
        <w:t xml:space="preserve"> Projects, available at </w:t>
      </w:r>
      <w:hyperlink r:id="rId53" w:history="1">
        <w:r w:rsidRPr="00DB6A3C">
          <w:rPr>
            <w:color w:val="0563C1"/>
            <w:sz w:val="20"/>
            <w:szCs w:val="20"/>
            <w:u w:val="single"/>
          </w:rPr>
          <w:t>https://www.invest.gov.tr/en/library/publications/lists/investpublications/yeka-projects.pdf</w:t>
        </w:r>
      </w:hyperlink>
    </w:p>
    <w:p w14:paraId="4E8E5125" w14:textId="77777777" w:rsidR="00AC1A29" w:rsidRPr="00DB6A3C" w:rsidRDefault="00AC1A29" w:rsidP="003A7BFE">
      <w:pPr>
        <w:pStyle w:val="ListParagraph"/>
        <w:numPr>
          <w:ilvl w:val="0"/>
          <w:numId w:val="12"/>
        </w:numPr>
        <w:spacing w:after="0" w:line="240" w:lineRule="auto"/>
        <w:rPr>
          <w:sz w:val="20"/>
          <w:szCs w:val="20"/>
        </w:rPr>
      </w:pPr>
      <w:r w:rsidRPr="00DB6A3C">
        <w:rPr>
          <w:sz w:val="20"/>
          <w:szCs w:val="20"/>
        </w:rPr>
        <w:t xml:space="preserve">Sector Overview Energy January 2019, available at: </w:t>
      </w:r>
      <w:hyperlink r:id="rId54" w:history="1">
        <w:r w:rsidRPr="00DB6A3C">
          <w:rPr>
            <w:color w:val="0563C1"/>
            <w:sz w:val="20"/>
            <w:szCs w:val="20"/>
            <w:u w:val="single"/>
          </w:rPr>
          <w:t>https://www.tskb.com.tr/i/assets/document/pdf/sector-overview-energy-2018-12-low-resolution-final.pdf</w:t>
        </w:r>
      </w:hyperlink>
    </w:p>
    <w:p w14:paraId="1617DB3F" w14:textId="77777777" w:rsidR="00642B27" w:rsidRDefault="00736CB4" w:rsidP="00642B27">
      <w:pPr>
        <w:pStyle w:val="ListParagraph"/>
        <w:numPr>
          <w:ilvl w:val="0"/>
          <w:numId w:val="12"/>
        </w:numPr>
        <w:spacing w:after="0" w:line="240" w:lineRule="auto"/>
        <w:ind w:left="714" w:hanging="357"/>
        <w:rPr>
          <w:color w:val="0563C1"/>
          <w:sz w:val="20"/>
          <w:szCs w:val="20"/>
          <w:u w:val="single"/>
        </w:rPr>
      </w:pPr>
      <w:hyperlink r:id="rId55" w:history="1">
        <w:r w:rsidR="00AC1A29" w:rsidRPr="00DB6A3C">
          <w:rPr>
            <w:color w:val="0563C1"/>
            <w:sz w:val="20"/>
            <w:szCs w:val="20"/>
            <w:u w:val="single"/>
          </w:rPr>
          <w:t>www.iskur.org.tr</w:t>
        </w:r>
      </w:hyperlink>
    </w:p>
    <w:p w14:paraId="6C86A1BB" w14:textId="2B4F23A9" w:rsidR="004573C7" w:rsidRPr="00642B27" w:rsidRDefault="00736CB4" w:rsidP="00642B27">
      <w:pPr>
        <w:pStyle w:val="ListParagraph"/>
        <w:numPr>
          <w:ilvl w:val="0"/>
          <w:numId w:val="12"/>
        </w:numPr>
        <w:spacing w:after="0" w:line="240" w:lineRule="auto"/>
        <w:ind w:left="714" w:hanging="357"/>
        <w:rPr>
          <w:color w:val="0563C1"/>
          <w:sz w:val="20"/>
          <w:szCs w:val="20"/>
          <w:u w:val="single"/>
        </w:rPr>
      </w:pPr>
      <w:hyperlink r:id="rId56" w:history="1">
        <w:r w:rsidR="00AC1A29" w:rsidRPr="00642B27">
          <w:rPr>
            <w:color w:val="0563C1"/>
            <w:sz w:val="20"/>
            <w:szCs w:val="20"/>
            <w:u w:val="single"/>
          </w:rPr>
          <w:t>www.tuik.org.tr</w:t>
        </w:r>
      </w:hyperlink>
    </w:p>
    <w:p w14:paraId="03F77F65" w14:textId="77687A29" w:rsidR="004573C7" w:rsidRDefault="004573C7" w:rsidP="003A7BFE">
      <w:pPr>
        <w:spacing w:after="160" w:line="276" w:lineRule="auto"/>
        <w:rPr>
          <w:rFonts w:cstheme="minorHAnsi"/>
          <w:sz w:val="22"/>
          <w:szCs w:val="22"/>
          <w:lang w:val="en-US"/>
        </w:rPr>
      </w:pPr>
    </w:p>
    <w:p w14:paraId="7E236CFA" w14:textId="483B4476" w:rsidR="007F6F86" w:rsidRDefault="007F6F86" w:rsidP="003A7BFE">
      <w:pPr>
        <w:spacing w:after="160" w:line="276" w:lineRule="auto"/>
        <w:rPr>
          <w:rFonts w:cstheme="minorHAnsi"/>
          <w:sz w:val="22"/>
          <w:szCs w:val="22"/>
          <w:lang w:val="en-US"/>
        </w:rPr>
      </w:pPr>
    </w:p>
    <w:p w14:paraId="24BE4B9E" w14:textId="233C6787" w:rsidR="008837A1" w:rsidRDefault="008837A1" w:rsidP="003A7BFE">
      <w:pPr>
        <w:rPr>
          <w:rFonts w:cstheme="minorHAnsi"/>
          <w:sz w:val="22"/>
          <w:szCs w:val="22"/>
          <w:lang w:val="en-US"/>
        </w:rPr>
      </w:pPr>
      <w:r>
        <w:rPr>
          <w:rFonts w:cstheme="minorHAnsi"/>
          <w:sz w:val="22"/>
          <w:szCs w:val="22"/>
          <w:lang w:val="en-US"/>
        </w:rPr>
        <w:br w:type="page"/>
      </w:r>
    </w:p>
    <w:p w14:paraId="08B40C62" w14:textId="5D990A0A" w:rsidR="00755C8F" w:rsidRPr="00755C8F" w:rsidRDefault="00E03337" w:rsidP="00755C8F">
      <w:pPr>
        <w:spacing w:after="160" w:line="276" w:lineRule="auto"/>
        <w:rPr>
          <w:rFonts w:cstheme="minorHAnsi"/>
          <w:sz w:val="22"/>
          <w:szCs w:val="22"/>
        </w:rPr>
      </w:pPr>
      <w:r w:rsidRPr="00541471">
        <w:rPr>
          <w:rFonts w:cstheme="minorHAnsi"/>
          <w:b/>
          <w:bCs/>
          <w:noProof/>
          <w:sz w:val="22"/>
          <w:szCs w:val="22"/>
          <w:lang w:eastAsia="en-GB"/>
        </w:rPr>
        <w:lastRenderedPageBreak/>
        <w:drawing>
          <wp:anchor distT="0" distB="0" distL="114300" distR="114300" simplePos="0" relativeHeight="251709440" behindDoc="1" locked="0" layoutInCell="1" allowOverlap="1" wp14:anchorId="38CE2B83" wp14:editId="00821473">
            <wp:simplePos x="0" y="0"/>
            <wp:positionH relativeFrom="page">
              <wp:align>right</wp:align>
            </wp:positionH>
            <wp:positionV relativeFrom="page">
              <wp:align>bottom</wp:align>
            </wp:positionV>
            <wp:extent cx="7560000" cy="10699200"/>
            <wp:effectExtent l="0" t="0" r="3175" b="6985"/>
            <wp:wrapNone/>
            <wp:docPr id="9"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755C8F" w:rsidRPr="00755C8F">
        <w:rPr>
          <w:rFonts w:cstheme="minorHAnsi"/>
          <w:sz w:val="22"/>
          <w:szCs w:val="22"/>
        </w:rPr>
        <w:br w:type="page"/>
      </w:r>
    </w:p>
    <w:p w14:paraId="7C815238" w14:textId="50998369" w:rsidR="001C522F" w:rsidRDefault="00E03337" w:rsidP="004573C7">
      <w:pPr>
        <w:spacing w:after="160" w:line="276" w:lineRule="auto"/>
        <w:rPr>
          <w:rFonts w:cstheme="minorHAnsi"/>
          <w:sz w:val="22"/>
          <w:szCs w:val="22"/>
          <w:lang w:val="en-US"/>
        </w:rPr>
      </w:pPr>
      <w:r w:rsidRPr="00541471">
        <w:rPr>
          <w:rFonts w:cstheme="minorHAnsi"/>
          <w:noProof/>
          <w:sz w:val="22"/>
          <w:szCs w:val="22"/>
          <w:lang w:eastAsia="en-GB"/>
        </w:rPr>
        <w:lastRenderedPageBreak/>
        <w:drawing>
          <wp:anchor distT="0" distB="0" distL="114300" distR="114300" simplePos="0" relativeHeight="251711488" behindDoc="1" locked="0" layoutInCell="1" allowOverlap="1" wp14:anchorId="4E5F145E" wp14:editId="71A0F24C">
            <wp:simplePos x="0" y="0"/>
            <wp:positionH relativeFrom="page">
              <wp:align>right</wp:align>
            </wp:positionH>
            <wp:positionV relativeFrom="page">
              <wp:align>bottom</wp:align>
            </wp:positionV>
            <wp:extent cx="7560000" cy="10699200"/>
            <wp:effectExtent l="0" t="0" r="3175" b="6985"/>
            <wp:wrapNone/>
            <wp:docPr id="11"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p w14:paraId="04C4B153" w14:textId="1AED9D91" w:rsidR="001C522F" w:rsidRDefault="001C522F" w:rsidP="004573C7">
      <w:pPr>
        <w:spacing w:after="160" w:line="276" w:lineRule="auto"/>
        <w:rPr>
          <w:rFonts w:cstheme="minorHAnsi"/>
          <w:sz w:val="22"/>
          <w:szCs w:val="22"/>
          <w:lang w:val="en-US"/>
        </w:rPr>
      </w:pPr>
    </w:p>
    <w:p w14:paraId="34A86A3C" w14:textId="68A889E5" w:rsidR="001C522F" w:rsidRDefault="001C522F" w:rsidP="004573C7">
      <w:pPr>
        <w:spacing w:after="160" w:line="276" w:lineRule="auto"/>
        <w:rPr>
          <w:rFonts w:cstheme="minorHAnsi"/>
          <w:sz w:val="22"/>
          <w:szCs w:val="22"/>
          <w:lang w:val="en-US"/>
        </w:rPr>
      </w:pPr>
    </w:p>
    <w:p w14:paraId="75252C41" w14:textId="06CF9632" w:rsidR="001C522F" w:rsidRDefault="001C522F" w:rsidP="004573C7">
      <w:pPr>
        <w:spacing w:after="160" w:line="276" w:lineRule="auto"/>
        <w:rPr>
          <w:rFonts w:cstheme="minorHAnsi"/>
          <w:sz w:val="22"/>
          <w:szCs w:val="22"/>
          <w:lang w:val="en-US"/>
        </w:rPr>
      </w:pPr>
    </w:p>
    <w:p w14:paraId="1025CFC0" w14:textId="0A5CB088" w:rsidR="001C522F" w:rsidRDefault="001C522F" w:rsidP="004573C7">
      <w:pPr>
        <w:spacing w:after="160" w:line="276" w:lineRule="auto"/>
        <w:rPr>
          <w:rFonts w:cstheme="minorHAnsi"/>
          <w:sz w:val="22"/>
          <w:szCs w:val="22"/>
          <w:lang w:val="en-US"/>
        </w:rPr>
      </w:pPr>
    </w:p>
    <w:p w14:paraId="2ADE1063" w14:textId="066DA218" w:rsidR="001C522F" w:rsidRDefault="001C522F" w:rsidP="004573C7">
      <w:pPr>
        <w:spacing w:after="160" w:line="276" w:lineRule="auto"/>
        <w:rPr>
          <w:rFonts w:cstheme="minorHAnsi"/>
          <w:sz w:val="22"/>
          <w:szCs w:val="22"/>
          <w:lang w:val="en-US"/>
        </w:rPr>
      </w:pPr>
    </w:p>
    <w:p w14:paraId="1ABDAF3E" w14:textId="79F8A201" w:rsidR="001C522F" w:rsidRDefault="001C522F" w:rsidP="004573C7">
      <w:pPr>
        <w:spacing w:after="160" w:line="276" w:lineRule="auto"/>
        <w:rPr>
          <w:rFonts w:cstheme="minorHAnsi"/>
          <w:sz w:val="22"/>
          <w:szCs w:val="22"/>
          <w:lang w:val="en-US"/>
        </w:rPr>
      </w:pPr>
    </w:p>
    <w:p w14:paraId="526C0150" w14:textId="22C522CC" w:rsidR="001C522F" w:rsidRDefault="001C522F" w:rsidP="004573C7">
      <w:pPr>
        <w:spacing w:after="160" w:line="276" w:lineRule="auto"/>
        <w:rPr>
          <w:rFonts w:cstheme="minorHAnsi"/>
          <w:sz w:val="22"/>
          <w:szCs w:val="22"/>
          <w:lang w:val="en-US"/>
        </w:rPr>
      </w:pPr>
    </w:p>
    <w:p w14:paraId="58FE0E7F" w14:textId="3CEA4AF3" w:rsidR="001C522F" w:rsidRDefault="001C522F" w:rsidP="004573C7">
      <w:pPr>
        <w:spacing w:after="160" w:line="276" w:lineRule="auto"/>
        <w:rPr>
          <w:rFonts w:cstheme="minorHAnsi"/>
          <w:sz w:val="22"/>
          <w:szCs w:val="22"/>
          <w:lang w:val="en-US"/>
        </w:rPr>
      </w:pPr>
    </w:p>
    <w:p w14:paraId="16EFD5F9" w14:textId="77777777" w:rsidR="001C522F" w:rsidRDefault="001C522F" w:rsidP="004573C7">
      <w:pPr>
        <w:spacing w:after="160" w:line="276" w:lineRule="auto"/>
        <w:rPr>
          <w:rFonts w:cstheme="minorHAnsi"/>
          <w:sz w:val="22"/>
          <w:szCs w:val="22"/>
          <w:lang w:val="en-US"/>
        </w:rPr>
      </w:pPr>
    </w:p>
    <w:p w14:paraId="0D9DA858" w14:textId="51E59288" w:rsidR="007F6F86" w:rsidRDefault="007F6F86" w:rsidP="004573C7">
      <w:pPr>
        <w:spacing w:after="160" w:line="276" w:lineRule="auto"/>
        <w:rPr>
          <w:rFonts w:cstheme="minorHAnsi"/>
          <w:sz w:val="22"/>
          <w:szCs w:val="22"/>
          <w:lang w:val="en-US"/>
        </w:rPr>
      </w:pPr>
    </w:p>
    <w:p w14:paraId="2DFFDA5B" w14:textId="520093BF" w:rsidR="007F6F86" w:rsidRDefault="007F6F86" w:rsidP="004573C7">
      <w:pPr>
        <w:spacing w:after="160" w:line="276" w:lineRule="auto"/>
        <w:rPr>
          <w:rFonts w:cstheme="minorHAnsi"/>
          <w:sz w:val="22"/>
          <w:szCs w:val="22"/>
          <w:lang w:val="en-US"/>
        </w:rPr>
      </w:pPr>
    </w:p>
    <w:p w14:paraId="57595037" w14:textId="03CDFF95" w:rsidR="007F6F86" w:rsidRDefault="007F6F86" w:rsidP="004573C7">
      <w:pPr>
        <w:spacing w:after="160" w:line="276" w:lineRule="auto"/>
        <w:rPr>
          <w:rFonts w:cstheme="minorHAnsi"/>
          <w:sz w:val="22"/>
          <w:szCs w:val="22"/>
          <w:lang w:val="en-US"/>
        </w:rPr>
      </w:pPr>
    </w:p>
    <w:p w14:paraId="703E0490" w14:textId="22C648D3" w:rsidR="007F6F86" w:rsidRDefault="007F6F86" w:rsidP="004573C7">
      <w:pPr>
        <w:spacing w:after="160" w:line="276" w:lineRule="auto"/>
        <w:rPr>
          <w:rFonts w:cstheme="minorHAnsi"/>
          <w:sz w:val="22"/>
          <w:szCs w:val="22"/>
          <w:lang w:val="en-US"/>
        </w:rPr>
      </w:pPr>
    </w:p>
    <w:p w14:paraId="2DBC2EFA" w14:textId="5A2A6D97" w:rsidR="007F6F86" w:rsidRDefault="007F6F86" w:rsidP="004573C7">
      <w:pPr>
        <w:spacing w:after="160" w:line="276" w:lineRule="auto"/>
        <w:rPr>
          <w:rFonts w:cstheme="minorHAnsi"/>
          <w:sz w:val="22"/>
          <w:szCs w:val="22"/>
          <w:lang w:val="en-US"/>
        </w:rPr>
      </w:pPr>
    </w:p>
    <w:p w14:paraId="28BB3198" w14:textId="1C87AE84" w:rsidR="007F6F86" w:rsidRDefault="007F6F86" w:rsidP="004573C7">
      <w:pPr>
        <w:spacing w:after="160" w:line="276" w:lineRule="auto"/>
        <w:rPr>
          <w:rFonts w:cstheme="minorHAnsi"/>
          <w:sz w:val="22"/>
          <w:szCs w:val="22"/>
          <w:lang w:val="en-US"/>
        </w:rPr>
      </w:pPr>
    </w:p>
    <w:p w14:paraId="6B83AD83" w14:textId="0127AD07" w:rsidR="007F6F86" w:rsidRDefault="007F6F86" w:rsidP="004573C7">
      <w:pPr>
        <w:spacing w:after="160" w:line="276" w:lineRule="auto"/>
        <w:rPr>
          <w:rFonts w:cstheme="minorHAnsi"/>
          <w:sz w:val="22"/>
          <w:szCs w:val="22"/>
          <w:lang w:val="en-US"/>
        </w:rPr>
      </w:pPr>
    </w:p>
    <w:p w14:paraId="436FD7EB" w14:textId="0528603E" w:rsidR="007F6F86" w:rsidRPr="00DC2ADB" w:rsidRDefault="007F6F86" w:rsidP="004573C7">
      <w:pPr>
        <w:spacing w:after="160" w:line="276" w:lineRule="auto"/>
        <w:rPr>
          <w:rFonts w:cstheme="minorHAnsi"/>
          <w:sz w:val="22"/>
          <w:szCs w:val="22"/>
          <w:lang w:val="en-US"/>
        </w:rPr>
      </w:pPr>
    </w:p>
    <w:p w14:paraId="0B374BF7" w14:textId="22859F61" w:rsidR="004573C7" w:rsidRDefault="004573C7" w:rsidP="00F36B48">
      <w:pPr>
        <w:rPr>
          <w:rFonts w:cstheme="minorHAnsi"/>
          <w:lang w:val="tr-TR"/>
        </w:rPr>
      </w:pPr>
    </w:p>
    <w:p w14:paraId="00704F8F" w14:textId="341D355B" w:rsidR="00F44CCA" w:rsidRDefault="00F44CCA" w:rsidP="00F36B48">
      <w:pPr>
        <w:rPr>
          <w:rFonts w:cstheme="minorHAnsi"/>
          <w:lang w:val="tr-TR"/>
        </w:rPr>
      </w:pPr>
    </w:p>
    <w:p w14:paraId="486B4934" w14:textId="3180EC33" w:rsidR="00F44CCA" w:rsidRDefault="00F44CCA" w:rsidP="00F36B48">
      <w:pPr>
        <w:rPr>
          <w:rFonts w:cstheme="minorHAnsi"/>
          <w:lang w:val="tr-TR"/>
        </w:rPr>
      </w:pPr>
    </w:p>
    <w:p w14:paraId="39F229F5" w14:textId="66B33307" w:rsidR="00F44CCA" w:rsidRDefault="00F44CCA" w:rsidP="00F36B48">
      <w:pPr>
        <w:rPr>
          <w:rFonts w:cstheme="minorHAnsi"/>
          <w:lang w:val="tr-TR"/>
        </w:rPr>
      </w:pPr>
    </w:p>
    <w:p w14:paraId="76376DA3" w14:textId="18B96A6E" w:rsidR="00F44CCA" w:rsidRPr="00DC2ADB" w:rsidRDefault="00F44CCA" w:rsidP="00F36B48">
      <w:pPr>
        <w:rPr>
          <w:rFonts w:cstheme="minorHAnsi"/>
          <w:lang w:val="tr-TR"/>
        </w:rPr>
      </w:pPr>
    </w:p>
    <w:p w14:paraId="4CD7C764" w14:textId="10D296AD" w:rsidR="004573C7" w:rsidRPr="00DC2ADB" w:rsidRDefault="00E03337" w:rsidP="00F36B48">
      <w:pPr>
        <w:rPr>
          <w:rFonts w:cstheme="minorHAnsi"/>
          <w:lang w:val="tr-TR"/>
        </w:rPr>
      </w:pPr>
      <w:r w:rsidRPr="00541471">
        <w:rPr>
          <w:rFonts w:ascii="Times New Roman" w:hAnsi="Times New Roman" w:cs="Times New Roman"/>
          <w:noProof/>
          <w:sz w:val="22"/>
          <w:szCs w:val="22"/>
          <w:lang w:eastAsia="en-GB"/>
        </w:rPr>
        <mc:AlternateContent>
          <mc:Choice Requires="wps">
            <w:drawing>
              <wp:anchor distT="0" distB="0" distL="114300" distR="114300" simplePos="0" relativeHeight="251713536" behindDoc="0" locked="0" layoutInCell="1" allowOverlap="1" wp14:anchorId="0EBD167F" wp14:editId="340952C5">
                <wp:simplePos x="0" y="0"/>
                <wp:positionH relativeFrom="margin">
                  <wp:align>center</wp:align>
                </wp:positionH>
                <wp:positionV relativeFrom="paragraph">
                  <wp:posOffset>2089785</wp:posOffset>
                </wp:positionV>
                <wp:extent cx="7170420" cy="601980"/>
                <wp:effectExtent l="0" t="0" r="11430" b="7620"/>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FC65B5" w14:textId="77777777" w:rsidR="00E03337" w:rsidRPr="00DD0D61" w:rsidRDefault="00E03337" w:rsidP="00E03337">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xml:space="preserve">. Its contents are the sole responsibility of the consortium led by WEglobal A.Ş. in consortium with WEglobal Italy, </w:t>
                            </w:r>
                            <w:proofErr w:type="spellStart"/>
                            <w:r w:rsidRPr="00DD0D61">
                              <w:rPr>
                                <w:bCs/>
                                <w:iCs/>
                                <w:color w:val="002060"/>
                                <w:sz w:val="20"/>
                              </w:rPr>
                              <w:t>Archidata</w:t>
                            </w:r>
                            <w:proofErr w:type="spellEnd"/>
                            <w:r w:rsidRPr="00DD0D61">
                              <w:rPr>
                                <w:bCs/>
                                <w:iCs/>
                                <w:color w:val="002060"/>
                                <w:sz w:val="20"/>
                              </w:rPr>
                              <w:t xml:space="preserve"> </w:t>
                            </w:r>
                            <w:proofErr w:type="spellStart"/>
                            <w:r w:rsidRPr="00DD0D61">
                              <w:rPr>
                                <w:bCs/>
                                <w:iCs/>
                                <w:color w:val="002060"/>
                                <w:sz w:val="20"/>
                              </w:rPr>
                              <w:t>Srl</w:t>
                            </w:r>
                            <w:proofErr w:type="spellEnd"/>
                            <w:r w:rsidRPr="00DD0D61">
                              <w:rPr>
                                <w:bCs/>
                                <w:iCs/>
                                <w:color w:val="002060"/>
                                <w:sz w:val="20"/>
                              </w:rPr>
                              <w:t xml:space="preserve">, and Federation of </w:t>
                            </w:r>
                            <w:proofErr w:type="spellStart"/>
                            <w:r w:rsidRPr="00DD0D61">
                              <w:rPr>
                                <w:bCs/>
                                <w:iCs/>
                                <w:color w:val="002060"/>
                                <w:sz w:val="20"/>
                              </w:rPr>
                              <w:t>Trentina</w:t>
                            </w:r>
                            <w:proofErr w:type="spellEnd"/>
                            <w:r w:rsidRPr="00DD0D61">
                              <w:rPr>
                                <w:bCs/>
                                <w:iCs/>
                                <w:color w:val="002060"/>
                                <w:sz w:val="20"/>
                              </w:rPr>
                              <w:t xml:space="preserve"> Cooperatives (FTC) and do not necessarily reflect the views of the European Union and the Republic of </w:t>
                            </w:r>
                            <w:r>
                              <w:rPr>
                                <w:bCs/>
                                <w:iCs/>
                                <w:color w:val="002060"/>
                                <w:sz w:val="20"/>
                              </w:rPr>
                              <w:t>Türkiye</w:t>
                            </w:r>
                            <w:r w:rsidRPr="00DD0D61">
                              <w:rPr>
                                <w:bCs/>
                                <w:iCs/>
                                <w:color w:val="00206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BD167F" id="Text Box 13" o:spid="_x0000_s1027" type="#_x0000_t202" style="position:absolute;margin-left:0;margin-top:164.55pt;width:564.6pt;height:47.4pt;z-index:25171353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" filled="f" stroked="f">
                <v:path arrowok="t"/>
                <v:textbox inset="0,0,0,0">
                  <w:txbxContent>
                    <w:p w14:paraId="37FC65B5" w14:textId="77777777" w:rsidR="00E03337" w:rsidRPr="00DD0D61" w:rsidRDefault="00E03337" w:rsidP="00E03337">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xml:space="preserve">. Its contents are the sole responsibility of the consortium led by WEglobal A.Ş. in consortium with WEglobal Italy, Archidata Srl, and Federation of Trentina Cooperatives (FTC) and do not necessarily reflect the views of the European Union and the Republic of </w:t>
                      </w:r>
                      <w:r>
                        <w:rPr>
                          <w:bCs/>
                          <w:iCs/>
                          <w:color w:val="002060"/>
                          <w:sz w:val="20"/>
                        </w:rPr>
                        <w:t>Türkiye</w:t>
                      </w:r>
                      <w:r w:rsidRPr="00DD0D61">
                        <w:rPr>
                          <w:bCs/>
                          <w:iCs/>
                          <w:color w:val="002060"/>
                          <w:sz w:val="20"/>
                        </w:rPr>
                        <w:t>.</w:t>
                      </w:r>
                    </w:p>
                  </w:txbxContent>
                </v:textbox>
                <w10:wrap anchorx="margin"/>
              </v:shape>
            </w:pict>
          </mc:Fallback>
        </mc:AlternateContent>
      </w:r>
      <w:r w:rsidR="00206F8D" w:rsidRPr="00734A32">
        <w:rPr>
          <w:rFonts w:eastAsia="Times New Roman" w:cstheme="minorHAnsi"/>
          <w:b/>
          <w:noProof/>
          <w:color w:val="000000"/>
          <w:sz w:val="20"/>
          <w:szCs w:val="20"/>
          <w:lang w:eastAsia="en-GB"/>
        </w:rPr>
        <mc:AlternateContent>
          <mc:Choice Requires="wps">
            <w:drawing>
              <wp:anchor distT="0" distB="0" distL="114300" distR="114300" simplePos="0" relativeHeight="251700224" behindDoc="0" locked="0" layoutInCell="1" allowOverlap="1" wp14:anchorId="5C124310" wp14:editId="60486E36">
                <wp:simplePos x="0" y="0"/>
                <wp:positionH relativeFrom="margin">
                  <wp:posOffset>-373380</wp:posOffset>
                </wp:positionH>
                <wp:positionV relativeFrom="paragraph">
                  <wp:posOffset>8206105</wp:posOffset>
                </wp:positionV>
                <wp:extent cx="6537532" cy="555477"/>
                <wp:effectExtent l="0" t="0" r="3175" b="3810"/>
                <wp:wrapNone/>
                <wp:docPr id="17"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6537532" cy="555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53AF8" w14:textId="77777777" w:rsidR="00AC1A29" w:rsidRPr="00804833" w:rsidRDefault="00AC1A29" w:rsidP="00206F8D">
                            <w:pPr>
                              <w:spacing w:line="288" w:lineRule="auto"/>
                              <w:jc w:val="center"/>
                              <w:rPr>
                                <w:bCs/>
                                <w:iCs/>
                                <w:color w:val="FFFFFF"/>
                                <w:sz w:val="20"/>
                              </w:rPr>
                            </w:pPr>
                            <w:r w:rsidRPr="00AF7FC7">
                              <w:rPr>
                                <w:bCs/>
                                <w:iCs/>
                                <w:color w:val="FFFFFF"/>
                                <w:sz w:val="20"/>
                              </w:rPr>
                              <w:t xml:space="preserve">This publication was prepared with the ﬁnancial support of the European Union. The content is totally under the responsibility of the consortium </w:t>
                            </w:r>
                            <w:proofErr w:type="spellStart"/>
                            <w:r w:rsidRPr="00AF7FC7">
                              <w:rPr>
                                <w:bCs/>
                                <w:iCs/>
                                <w:color w:val="FFFFFF"/>
                                <w:sz w:val="20"/>
                              </w:rPr>
                              <w:t>lead</w:t>
                            </w:r>
                            <w:proofErr w:type="spellEnd"/>
                            <w:r w:rsidRPr="00AF7FC7">
                              <w:rPr>
                                <w:bCs/>
                                <w:iCs/>
                                <w:color w:val="FFFFFF"/>
                                <w:sz w:val="20"/>
                              </w:rPr>
                              <w:t xml:space="preserve"> by WEglobal Consultancy Inc. and does not necessarily reﬂect the opinions of the European Union.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124310" id="Text Box 16" o:spid="_x0000_s1028" type="#_x0000_t202" style="position:absolute;margin-left:-29.4pt;margin-top:646.15pt;width:514.75pt;height:43.75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" filled="f" stroked="f">
                <v:path arrowok="t"/>
                <v:textbox inset="0,0,0,0">
                  <w:txbxContent>
                    <w:p w14:paraId="3CA53AF8" w14:textId="77777777" w:rsidR="00AC1A29" w:rsidRPr="00804833" w:rsidRDefault="00AC1A29" w:rsidP="00206F8D">
                      <w:pPr>
                        <w:spacing w:line="288" w:lineRule="auto"/>
                        <w:jc w:val="center"/>
                        <w:rPr>
                          <w:bCs/>
                          <w:iCs/>
                          <w:color w:val="FFFFFF"/>
                          <w:sz w:val="20"/>
                        </w:rPr>
                      </w:pPr>
                      <w:r w:rsidRPr="00AF7FC7">
                        <w:rPr>
                          <w:bCs/>
                          <w:iCs/>
                          <w:color w:val="FFFFFF"/>
                          <w:sz w:val="20"/>
                        </w:rPr>
                        <w:t>This publication was prepared with the ﬁnancial support of the European Union. The content is totally under the responsibility of the consortium lead by WEglobal Consultancy Inc. and does not necessarily reﬂect the opinions of the European Union.</w:t>
                      </w:r>
                    </w:p>
                  </w:txbxContent>
                </v:textbox>
                <w10:wrap anchorx="margin"/>
              </v:shape>
            </w:pict>
          </mc:Fallback>
        </mc:AlternateContent>
      </w:r>
    </w:p>
    <w:sectPr w:rsidR="004573C7" w:rsidRPr="00DC2ADB" w:rsidSect="008F6744">
      <w:headerReference w:type="default" r:id="rId59"/>
      <w:footerReference w:type="default" r:id="rId60"/>
      <w:pgSz w:w="11900" w:h="16840"/>
      <w:pgMar w:top="1985" w:right="1418" w:bottom="1418" w:left="1418" w:header="709" w:footer="709" w:gutter="0"/>
      <w:pgNumType w:start="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BFCB8C" w14:textId="77777777" w:rsidR="00736CB4" w:rsidRDefault="00736CB4" w:rsidP="001A26F1">
      <w:r>
        <w:separator/>
      </w:r>
    </w:p>
  </w:endnote>
  <w:endnote w:type="continuationSeparator" w:id="0">
    <w:p w14:paraId="29FA44B8" w14:textId="77777777" w:rsidR="00736CB4" w:rsidRDefault="00736CB4"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58088632"/>
      <w:docPartObj>
        <w:docPartGallery w:val="Page Numbers (Bottom of Page)"/>
        <w:docPartUnique/>
      </w:docPartObj>
    </w:sdtPr>
    <w:sdtEndPr>
      <w:rPr>
        <w:rStyle w:val="PageNumber"/>
      </w:rPr>
    </w:sdtEndPr>
    <w:sdtContent>
      <w:p w14:paraId="0F4737C6" w14:textId="5F091A7C" w:rsidR="008F6744" w:rsidRDefault="008F6744" w:rsidP="00ED44C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0588730" w14:textId="77777777" w:rsidR="008F6744" w:rsidRDefault="008F674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1DB5F7" w14:textId="4B5C5485" w:rsidR="00AC1A29" w:rsidRPr="00C617FE" w:rsidRDefault="00AC1A29" w:rsidP="00ED1618">
    <w:pPr>
      <w:pStyle w:val="Footer"/>
      <w:tabs>
        <w:tab w:val="clear" w:pos="4680"/>
      </w:tabs>
      <w:ind w:right="-790"/>
      <w:jc w:val="right"/>
      <w:rPr>
        <w:sz w:val="18"/>
        <w:szCs w:val="18"/>
      </w:rPr>
    </w:pPr>
  </w:p>
  <w:p w14:paraId="23C1F3DE" w14:textId="66F03A91" w:rsidR="00AC1A29" w:rsidRDefault="00AC1A2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15523650"/>
      <w:docPartObj>
        <w:docPartGallery w:val="Page Numbers (Bottom of Page)"/>
        <w:docPartUnique/>
      </w:docPartObj>
    </w:sdtPr>
    <w:sdtEndPr>
      <w:rPr>
        <w:rStyle w:val="PageNumber"/>
      </w:rPr>
    </w:sdtEndPr>
    <w:sdtContent>
      <w:p w14:paraId="599A3AA7" w14:textId="444252B9" w:rsidR="008F6744" w:rsidRDefault="008F6744" w:rsidP="00ED44C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65565D">
          <w:rPr>
            <w:rStyle w:val="PageNumber"/>
            <w:noProof/>
          </w:rPr>
          <w:t>33</w:t>
        </w:r>
        <w:r>
          <w:rPr>
            <w:rStyle w:val="PageNumber"/>
          </w:rPr>
          <w:fldChar w:fldCharType="end"/>
        </w:r>
      </w:p>
    </w:sdtContent>
  </w:sdt>
  <w:p w14:paraId="479254D4" w14:textId="5328037B" w:rsidR="002971D4" w:rsidRPr="00C617FE" w:rsidRDefault="002971D4" w:rsidP="00ED1618">
    <w:pPr>
      <w:pStyle w:val="Footer"/>
      <w:tabs>
        <w:tab w:val="clear" w:pos="4680"/>
      </w:tabs>
      <w:ind w:right="-790"/>
      <w:jc w:val="right"/>
      <w:rPr>
        <w:sz w:val="18"/>
        <w:szCs w:val="18"/>
      </w:rPr>
    </w:pPr>
  </w:p>
  <w:p w14:paraId="53CD31C4" w14:textId="4CBDAC37" w:rsidR="002971D4" w:rsidRDefault="002971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979AF0" w14:textId="77777777" w:rsidR="00736CB4" w:rsidRDefault="00736CB4" w:rsidP="001A26F1">
      <w:r>
        <w:separator/>
      </w:r>
    </w:p>
  </w:footnote>
  <w:footnote w:type="continuationSeparator" w:id="0">
    <w:p w14:paraId="5AB5ACD3" w14:textId="77777777" w:rsidR="00736CB4" w:rsidRDefault="00736CB4" w:rsidP="001A26F1">
      <w:r>
        <w:continuationSeparator/>
      </w:r>
    </w:p>
  </w:footnote>
  <w:footnote w:id="1">
    <w:p w14:paraId="4BFECFED" w14:textId="7C961A86" w:rsidR="00AC1A29" w:rsidRPr="00DB6A3C" w:rsidRDefault="00AC1A29" w:rsidP="00AC1A29">
      <w:pPr>
        <w:pStyle w:val="FootnoteText"/>
        <w:rPr>
          <w:sz w:val="16"/>
          <w:szCs w:val="16"/>
        </w:rPr>
      </w:pPr>
      <w:r>
        <w:rPr>
          <w:rStyle w:val="FootnoteReference"/>
        </w:rPr>
        <w:footnoteRef/>
      </w:r>
      <w:r>
        <w:t xml:space="preserve"> </w:t>
      </w:r>
      <w:r w:rsidRPr="00DB6A3C">
        <w:rPr>
          <w:sz w:val="16"/>
          <w:szCs w:val="16"/>
        </w:rPr>
        <w:t xml:space="preserve">The data is from Presidency of </w:t>
      </w:r>
      <w:r w:rsidR="007745AE">
        <w:rPr>
          <w:sz w:val="16"/>
          <w:szCs w:val="16"/>
        </w:rPr>
        <w:t>Türkiye</w:t>
      </w:r>
      <w:r w:rsidRPr="00DB6A3C">
        <w:rPr>
          <w:sz w:val="16"/>
          <w:szCs w:val="16"/>
        </w:rPr>
        <w:t xml:space="preserve">. Ministry of Energy and Natural Resources, available at: </w:t>
      </w:r>
    </w:p>
    <w:p w14:paraId="097B8C4B" w14:textId="77777777" w:rsidR="00AC1A29" w:rsidRPr="00DB6A3C" w:rsidRDefault="00736CB4" w:rsidP="00AC1A29">
      <w:pPr>
        <w:pStyle w:val="FootnoteText"/>
        <w:ind w:left="0" w:firstLine="0"/>
        <w:rPr>
          <w:sz w:val="16"/>
          <w:szCs w:val="16"/>
        </w:rPr>
      </w:pPr>
      <w:hyperlink r:id="rId1" w:history="1">
        <w:r w:rsidR="00AC1A29" w:rsidRPr="00DB6A3C">
          <w:rPr>
            <w:rStyle w:val="Hyperlink"/>
            <w:sz w:val="16"/>
            <w:szCs w:val="16"/>
          </w:rPr>
          <w:t>http://www.enerji.gov.tr/en-US/Mainpage </w:t>
        </w:r>
      </w:hyperlink>
      <w:r w:rsidR="00AC1A29" w:rsidRPr="00DB6A3C">
        <w:rPr>
          <w:sz w:val="16"/>
          <w:szCs w:val="16"/>
        </w:rPr>
        <w:t>- Info Bank</w:t>
      </w:r>
    </w:p>
    <w:p w14:paraId="63C1E0E0" w14:textId="77777777" w:rsidR="00AC1A29" w:rsidRPr="00DB6A3C" w:rsidRDefault="00736CB4" w:rsidP="00AC1A29">
      <w:pPr>
        <w:pStyle w:val="FootnoteText"/>
        <w:ind w:left="0" w:firstLine="0"/>
        <w:rPr>
          <w:sz w:val="16"/>
          <w:szCs w:val="16"/>
        </w:rPr>
      </w:pPr>
      <w:hyperlink r:id="rId2" w:history="1">
        <w:r w:rsidR="00AC1A29" w:rsidRPr="00DB6A3C">
          <w:rPr>
            <w:rStyle w:val="Hyperlink"/>
            <w:sz w:val="16"/>
            <w:szCs w:val="16"/>
          </w:rPr>
          <w:t>http://www.enerji.gov.tr/en-US/Pages/Electricity</w:t>
        </w:r>
      </w:hyperlink>
    </w:p>
    <w:p w14:paraId="1FDCE418" w14:textId="77777777" w:rsidR="00AC1A29" w:rsidRPr="00DB6A3C" w:rsidRDefault="00736CB4" w:rsidP="00AC1A29">
      <w:pPr>
        <w:pStyle w:val="FootnoteText"/>
        <w:ind w:left="0" w:firstLine="0"/>
        <w:rPr>
          <w:sz w:val="16"/>
          <w:szCs w:val="16"/>
        </w:rPr>
      </w:pPr>
      <w:hyperlink r:id="rId3" w:history="1">
        <w:r w:rsidR="00AC1A29" w:rsidRPr="00DB6A3C">
          <w:rPr>
            <w:rStyle w:val="Hyperlink"/>
            <w:sz w:val="16"/>
            <w:szCs w:val="16"/>
          </w:rPr>
          <w:t>http://www.enerji.gov.tr/en-US/Pages/Petrol</w:t>
        </w:r>
      </w:hyperlink>
    </w:p>
    <w:p w14:paraId="782723B7" w14:textId="77777777" w:rsidR="00AC1A29" w:rsidRPr="00DB6A3C" w:rsidRDefault="00736CB4" w:rsidP="00AC1A29">
      <w:pPr>
        <w:pStyle w:val="FootnoteText"/>
        <w:ind w:left="0" w:firstLine="0"/>
        <w:rPr>
          <w:sz w:val="16"/>
          <w:szCs w:val="16"/>
        </w:rPr>
      </w:pPr>
      <w:hyperlink r:id="rId4" w:history="1">
        <w:r w:rsidR="00AC1A29" w:rsidRPr="00DB6A3C">
          <w:rPr>
            <w:rStyle w:val="Hyperlink"/>
            <w:sz w:val="16"/>
            <w:szCs w:val="16"/>
          </w:rPr>
          <w:t>http://www.enerji.gov.tr/en-US/Pages/Natural-Gas</w:t>
        </w:r>
      </w:hyperlink>
    </w:p>
    <w:p w14:paraId="109209C3" w14:textId="77777777" w:rsidR="00AC1A29" w:rsidRPr="00DB6A3C" w:rsidRDefault="00736CB4" w:rsidP="00AC1A29">
      <w:pPr>
        <w:pStyle w:val="FootnoteText"/>
        <w:ind w:left="0" w:firstLine="0"/>
        <w:rPr>
          <w:sz w:val="16"/>
          <w:szCs w:val="16"/>
        </w:rPr>
      </w:pPr>
      <w:hyperlink r:id="rId5" w:history="1">
        <w:r w:rsidR="00AC1A29" w:rsidRPr="00DB6A3C">
          <w:rPr>
            <w:rStyle w:val="Hyperlink"/>
            <w:sz w:val="16"/>
            <w:szCs w:val="16"/>
          </w:rPr>
          <w:t>http://www.enerji.gov.tr/en-US/Pages/Coal</w:t>
        </w:r>
      </w:hyperlink>
    </w:p>
  </w:footnote>
  <w:footnote w:id="2">
    <w:p w14:paraId="4D8D2F11" w14:textId="69AFECFB" w:rsidR="00AC1A29" w:rsidRPr="00DB6A3C" w:rsidRDefault="00AC1A29" w:rsidP="00AC1A29">
      <w:pPr>
        <w:pStyle w:val="FootnoteText"/>
        <w:rPr>
          <w:sz w:val="16"/>
          <w:szCs w:val="16"/>
        </w:rPr>
      </w:pPr>
      <w:r w:rsidRPr="00DB6A3C">
        <w:rPr>
          <w:rStyle w:val="FootnoteReference"/>
          <w:szCs w:val="16"/>
        </w:rPr>
        <w:footnoteRef/>
      </w:r>
      <w:r w:rsidRPr="00DB6A3C">
        <w:rPr>
          <w:sz w:val="16"/>
          <w:szCs w:val="16"/>
        </w:rPr>
        <w:t xml:space="preserve"> OECD (February 2019). OECD Environmental Performance Reviews: </w:t>
      </w:r>
      <w:r w:rsidR="007745AE">
        <w:rPr>
          <w:sz w:val="16"/>
          <w:szCs w:val="16"/>
        </w:rPr>
        <w:t>Türkiye</w:t>
      </w:r>
      <w:r w:rsidRPr="00DB6A3C">
        <w:rPr>
          <w:sz w:val="16"/>
          <w:szCs w:val="16"/>
        </w:rPr>
        <w:t xml:space="preserve"> 2019 (Report). OECD Environmental Performance Reviews. OECD Publishing.  </w:t>
      </w:r>
    </w:p>
  </w:footnote>
  <w:footnote w:id="3">
    <w:p w14:paraId="3C5385FA" w14:textId="6C044C5B" w:rsidR="00AC1A29" w:rsidRPr="00DB6A3C" w:rsidRDefault="00AC1A29" w:rsidP="00AC1A29">
      <w:pPr>
        <w:pStyle w:val="FootnoteText"/>
        <w:rPr>
          <w:sz w:val="16"/>
          <w:szCs w:val="16"/>
        </w:rPr>
      </w:pPr>
      <w:r w:rsidRPr="00DB6A3C">
        <w:rPr>
          <w:rStyle w:val="FootnoteReference"/>
          <w:szCs w:val="16"/>
        </w:rPr>
        <w:footnoteRef/>
      </w:r>
      <w:r w:rsidRPr="00DB6A3C">
        <w:rPr>
          <w:sz w:val="16"/>
          <w:szCs w:val="16"/>
        </w:rPr>
        <w:t xml:space="preserve"> https://www.climate-transparency.org/media/</w:t>
      </w:r>
      <w:r w:rsidR="007745AE">
        <w:rPr>
          <w:sz w:val="16"/>
          <w:szCs w:val="16"/>
        </w:rPr>
        <w:t>Türkiye</w:t>
      </w:r>
      <w:r w:rsidRPr="00DB6A3C">
        <w:rPr>
          <w:sz w:val="16"/>
          <w:szCs w:val="16"/>
        </w:rPr>
        <w:t>-country-profile-2020</w:t>
      </w:r>
    </w:p>
  </w:footnote>
  <w:footnote w:id="4">
    <w:p w14:paraId="6B47A9C0" w14:textId="77777777" w:rsidR="00AC1A29" w:rsidRPr="00DB6A3C" w:rsidRDefault="00AC1A29" w:rsidP="00AC1A29">
      <w:pPr>
        <w:pStyle w:val="FootnoteText"/>
        <w:rPr>
          <w:sz w:val="16"/>
          <w:szCs w:val="16"/>
        </w:rPr>
      </w:pPr>
      <w:r>
        <w:rPr>
          <w:rStyle w:val="FootnoteReference"/>
        </w:rPr>
        <w:footnoteRef/>
      </w:r>
      <w:r>
        <w:t xml:space="preserve"> </w:t>
      </w:r>
      <w:hyperlink r:id="rId6" w:history="1">
        <w:r w:rsidRPr="00DB6A3C">
          <w:rPr>
            <w:rStyle w:val="Hyperlink"/>
            <w:sz w:val="16"/>
            <w:szCs w:val="16"/>
          </w:rPr>
          <w:t>http://www.enerji.gov.tr/en-US/Pages/Nuclear</w:t>
        </w:r>
      </w:hyperlink>
    </w:p>
  </w:footnote>
  <w:footnote w:id="5">
    <w:p w14:paraId="3748141A" w14:textId="77777777" w:rsidR="00AC1A29" w:rsidRPr="00DB6A3C" w:rsidRDefault="00AC1A29" w:rsidP="00AC1A29">
      <w:pPr>
        <w:pStyle w:val="FootnoteText"/>
        <w:rPr>
          <w:sz w:val="16"/>
          <w:szCs w:val="16"/>
        </w:rPr>
      </w:pPr>
      <w:r w:rsidRPr="00DB6A3C">
        <w:rPr>
          <w:rStyle w:val="FootnoteReference"/>
          <w:szCs w:val="16"/>
        </w:rPr>
        <w:footnoteRef/>
      </w:r>
      <w:r w:rsidRPr="00DB6A3C">
        <w:rPr>
          <w:sz w:val="16"/>
          <w:szCs w:val="16"/>
        </w:rPr>
        <w:t xml:space="preserve"> </w:t>
      </w:r>
      <w:hyperlink r:id="rId7" w:history="1">
        <w:r w:rsidRPr="00DB6A3C">
          <w:rPr>
            <w:rStyle w:val="Hyperlink"/>
            <w:sz w:val="16"/>
            <w:szCs w:val="16"/>
          </w:rPr>
          <w:t>http://www.enerji.gov.tr/en-US/Pages/Hydraulics</w:t>
        </w:r>
      </w:hyperlink>
    </w:p>
    <w:p w14:paraId="6337EBE8" w14:textId="77777777" w:rsidR="00AC1A29" w:rsidRPr="00DB6A3C" w:rsidRDefault="00736CB4" w:rsidP="00AC1A29">
      <w:pPr>
        <w:pStyle w:val="FootnoteText"/>
        <w:rPr>
          <w:sz w:val="16"/>
          <w:szCs w:val="16"/>
        </w:rPr>
      </w:pPr>
      <w:hyperlink r:id="rId8" w:history="1">
        <w:r w:rsidR="00AC1A29" w:rsidRPr="00DB6A3C">
          <w:rPr>
            <w:rStyle w:val="Hyperlink"/>
            <w:sz w:val="16"/>
            <w:szCs w:val="16"/>
          </w:rPr>
          <w:t>http://www.enerji.gov.tr/en-US/Pages/Wind</w:t>
        </w:r>
      </w:hyperlink>
    </w:p>
    <w:p w14:paraId="7362018A" w14:textId="77777777" w:rsidR="00AC1A29" w:rsidRPr="00DB6A3C" w:rsidRDefault="00736CB4" w:rsidP="00AC1A29">
      <w:pPr>
        <w:pStyle w:val="FootnoteText"/>
        <w:rPr>
          <w:sz w:val="16"/>
          <w:szCs w:val="16"/>
        </w:rPr>
      </w:pPr>
      <w:hyperlink r:id="rId9" w:history="1">
        <w:r w:rsidR="00AC1A29" w:rsidRPr="00DB6A3C">
          <w:rPr>
            <w:rStyle w:val="Hyperlink"/>
            <w:sz w:val="16"/>
            <w:szCs w:val="16"/>
          </w:rPr>
          <w:t>http://www.enerji.gov.tr/en-US/Pages/Solar</w:t>
        </w:r>
      </w:hyperlink>
    </w:p>
    <w:p w14:paraId="11E1F84E" w14:textId="77777777" w:rsidR="00AC1A29" w:rsidRPr="00DB6A3C" w:rsidRDefault="00736CB4" w:rsidP="00AC1A29">
      <w:pPr>
        <w:pStyle w:val="FootnoteText"/>
        <w:rPr>
          <w:sz w:val="16"/>
          <w:szCs w:val="16"/>
        </w:rPr>
      </w:pPr>
      <w:hyperlink r:id="rId10" w:history="1">
        <w:r w:rsidR="00AC1A29" w:rsidRPr="00DB6A3C">
          <w:rPr>
            <w:rStyle w:val="Hyperlink"/>
            <w:sz w:val="16"/>
            <w:szCs w:val="16"/>
          </w:rPr>
          <w:t>http://www.enerji.gov.tr/en-US/Pages/Geothermal</w:t>
        </w:r>
      </w:hyperlink>
    </w:p>
    <w:p w14:paraId="7BFDC109" w14:textId="4EF6CC9E" w:rsidR="00AC1A29" w:rsidRPr="00DB6A3C" w:rsidRDefault="00736CB4" w:rsidP="00AC1A29">
      <w:pPr>
        <w:pStyle w:val="FootnoteText"/>
        <w:rPr>
          <w:sz w:val="16"/>
          <w:szCs w:val="16"/>
        </w:rPr>
      </w:pPr>
      <w:hyperlink r:id="rId11" w:history="1">
        <w:r w:rsidR="00AC1A29" w:rsidRPr="00DB6A3C">
          <w:rPr>
            <w:rStyle w:val="Hyperlink"/>
            <w:sz w:val="16"/>
            <w:szCs w:val="16"/>
          </w:rPr>
          <w:t>http://www.enerji.gov.tr/en-US/Pages/Bio-Fuels</w:t>
        </w:r>
      </w:hyperlink>
    </w:p>
  </w:footnote>
  <w:footnote w:id="6">
    <w:p w14:paraId="50E37AAB" w14:textId="37046864" w:rsidR="00AC1A29" w:rsidRPr="00DB6A3C" w:rsidRDefault="00AC1A29" w:rsidP="00AC1A29">
      <w:pPr>
        <w:pStyle w:val="FootnoteText"/>
        <w:rPr>
          <w:sz w:val="16"/>
          <w:szCs w:val="16"/>
        </w:rPr>
      </w:pPr>
      <w:r w:rsidRPr="00DB6A3C">
        <w:rPr>
          <w:rStyle w:val="FootnoteReference"/>
          <w:szCs w:val="16"/>
        </w:rPr>
        <w:footnoteRef/>
      </w:r>
      <w:hyperlink r:id="rId12" w:history="1">
        <w:r w:rsidRPr="00DB6A3C">
          <w:rPr>
            <w:rStyle w:val="Hyperlink"/>
            <w:sz w:val="16"/>
            <w:szCs w:val="16"/>
          </w:rPr>
          <w:t>https://www.bcct.org.tr/news/the-turkish-renewable-energy-sector-significant-regulatory-developments-in-2020/70620</w:t>
        </w:r>
      </w:hyperlink>
    </w:p>
  </w:footnote>
  <w:footnote w:id="7">
    <w:p w14:paraId="17E00936" w14:textId="6CB5BA30" w:rsidR="00AC1A29" w:rsidRPr="00DB6A3C" w:rsidRDefault="00AC1A29" w:rsidP="00AC1A29">
      <w:pPr>
        <w:pStyle w:val="FootnoteText"/>
        <w:rPr>
          <w:sz w:val="16"/>
          <w:szCs w:val="16"/>
        </w:rPr>
      </w:pPr>
      <w:r w:rsidRPr="00DB6A3C">
        <w:rPr>
          <w:rStyle w:val="FootnoteReference"/>
          <w:szCs w:val="16"/>
        </w:rPr>
        <w:footnoteRef/>
      </w:r>
      <w:r w:rsidRPr="00DB6A3C">
        <w:rPr>
          <w:sz w:val="16"/>
          <w:szCs w:val="16"/>
        </w:rPr>
        <w:t xml:space="preserve"> </w:t>
      </w:r>
      <w:hyperlink r:id="rId13" w:history="1">
        <w:r w:rsidRPr="00DB6A3C">
          <w:rPr>
            <w:rStyle w:val="Hyperlink"/>
            <w:sz w:val="16"/>
            <w:szCs w:val="16"/>
          </w:rPr>
          <w:t>https://enerji.gov.tr/en-US/Pages/Oil-Pipelines</w:t>
        </w:r>
      </w:hyperlink>
    </w:p>
  </w:footnote>
  <w:footnote w:id="8">
    <w:p w14:paraId="08CE235A" w14:textId="77777777" w:rsidR="00AC1A29" w:rsidRPr="00DB6A3C" w:rsidRDefault="00AC1A29" w:rsidP="00AC1A29">
      <w:pPr>
        <w:pStyle w:val="FootnoteText"/>
        <w:rPr>
          <w:sz w:val="16"/>
          <w:szCs w:val="16"/>
        </w:rPr>
      </w:pPr>
      <w:r w:rsidRPr="00DB6A3C">
        <w:rPr>
          <w:rStyle w:val="FootnoteReference"/>
          <w:szCs w:val="16"/>
        </w:rPr>
        <w:footnoteRef/>
      </w:r>
      <w:r w:rsidRPr="00DB6A3C">
        <w:rPr>
          <w:sz w:val="16"/>
          <w:szCs w:val="16"/>
        </w:rPr>
        <w:t xml:space="preserve"> </w:t>
      </w:r>
      <w:hyperlink r:id="rId14" w:history="1">
        <w:r w:rsidRPr="00DB6A3C">
          <w:rPr>
            <w:rStyle w:val="Hyperlink"/>
            <w:sz w:val="16"/>
            <w:szCs w:val="16"/>
          </w:rPr>
          <w:t>https://enerji.gov.tr/en-US/Pages/Natural-Gas-Pipelines-and-Projects</w:t>
        </w:r>
      </w:hyperlink>
    </w:p>
    <w:p w14:paraId="672EF927" w14:textId="77777777" w:rsidR="00AC1A29" w:rsidRPr="00DB6A3C" w:rsidRDefault="00AC1A29" w:rsidP="00AC1A29">
      <w:pPr>
        <w:pStyle w:val="FootnoteText"/>
        <w:rPr>
          <w:sz w:val="16"/>
          <w:szCs w:val="16"/>
        </w:rPr>
      </w:pPr>
    </w:p>
  </w:footnote>
  <w:footnote w:id="9">
    <w:p w14:paraId="1019359F" w14:textId="77777777" w:rsidR="00AC1A29" w:rsidRPr="00DB6A3C" w:rsidRDefault="00AC1A29" w:rsidP="00AC1A29">
      <w:pPr>
        <w:pStyle w:val="FootnoteText"/>
        <w:rPr>
          <w:sz w:val="16"/>
          <w:szCs w:val="16"/>
        </w:rPr>
      </w:pPr>
      <w:r w:rsidRPr="00DB6A3C">
        <w:rPr>
          <w:rStyle w:val="FootnoteReference"/>
          <w:szCs w:val="16"/>
        </w:rPr>
        <w:footnoteRef/>
      </w:r>
      <w:r w:rsidRPr="00DB6A3C">
        <w:rPr>
          <w:sz w:val="16"/>
          <w:szCs w:val="16"/>
        </w:rPr>
        <w:t xml:space="preserve"> </w:t>
      </w:r>
      <w:r w:rsidRPr="00DB6A3C">
        <w:rPr>
          <w:b/>
          <w:bCs/>
          <w:sz w:val="16"/>
          <w:szCs w:val="16"/>
        </w:rPr>
        <w:t>Hydropower</w:t>
      </w:r>
      <w:r w:rsidRPr="00DB6A3C">
        <w:rPr>
          <w:sz w:val="16"/>
          <w:szCs w:val="16"/>
        </w:rPr>
        <w:t> or </w:t>
      </w:r>
      <w:r w:rsidRPr="00DB6A3C">
        <w:rPr>
          <w:b/>
          <w:bCs/>
          <w:sz w:val="16"/>
          <w:szCs w:val="16"/>
        </w:rPr>
        <w:t>waterpower</w:t>
      </w:r>
      <w:r w:rsidRPr="00DB6A3C">
        <w:rPr>
          <w:sz w:val="16"/>
          <w:szCs w:val="16"/>
        </w:rPr>
        <w:t xml:space="preserve"> is power derived from the energy of falling or fast-running water, which may be harnessed for useful purposes. Since ancient times, hydropower from many kinds of watermills has been used number of times as a renewable energy source for irrigation and the operation of different mechanical devices. In the late 19th century, hydropower became a source for generating electricity and it start talking about hydroelectricity. </w:t>
      </w:r>
    </w:p>
    <w:p w14:paraId="322AD02E" w14:textId="77777777" w:rsidR="00AC1A29" w:rsidRPr="00DB6A3C" w:rsidRDefault="00AC1A29" w:rsidP="00AC1A29">
      <w:pPr>
        <w:pStyle w:val="FootnoteText"/>
        <w:rPr>
          <w:sz w:val="16"/>
          <w:szCs w:val="16"/>
        </w:rPr>
      </w:pPr>
      <w:r w:rsidRPr="00DB6A3C">
        <w:rPr>
          <w:sz w:val="16"/>
          <w:szCs w:val="16"/>
        </w:rPr>
        <w:t>Since the early 20th century, the term has been used almost exclusively in conjunction with the modern development of hydroelectric power. International institutions such as the World Bank view hydropower as a means for economic development without adding substantial amounts of carbon to the atmosphere, but dams can have significant negative social and environmental impacts. It starts using the word Hydraulics. It is a technology and applied science using engineering, chemistry, and other sciences involving the mechanical properties and use of liquids. In its fluid power applications, </w:t>
      </w:r>
      <w:r w:rsidRPr="00DB6A3C">
        <w:rPr>
          <w:b/>
          <w:bCs/>
          <w:sz w:val="16"/>
          <w:szCs w:val="16"/>
        </w:rPr>
        <w:t>hydraulics</w:t>
      </w:r>
      <w:r w:rsidRPr="00DB6A3C">
        <w:rPr>
          <w:sz w:val="16"/>
          <w:szCs w:val="16"/>
        </w:rPr>
        <w:t> is used for the generation, control, and transmission of power using pressurized liquids.</w:t>
      </w:r>
    </w:p>
  </w:footnote>
  <w:footnote w:id="10">
    <w:p w14:paraId="2F815020" w14:textId="77777777" w:rsidR="00AC1A29" w:rsidRPr="00DB6A3C" w:rsidRDefault="00AC1A29" w:rsidP="00AC1A29">
      <w:pPr>
        <w:pStyle w:val="FootnoteText"/>
        <w:rPr>
          <w:rFonts w:asciiTheme="minorHAnsi" w:hAnsiTheme="minorHAnsi" w:cstheme="minorHAnsi"/>
          <w:sz w:val="16"/>
          <w:szCs w:val="16"/>
        </w:rPr>
      </w:pPr>
      <w:r>
        <w:rPr>
          <w:rStyle w:val="FootnoteReference"/>
        </w:rPr>
        <w:footnoteRef/>
      </w:r>
      <w:r>
        <w:t xml:space="preserve"> </w:t>
      </w:r>
      <w:r w:rsidRPr="00DB6A3C">
        <w:rPr>
          <w:rFonts w:asciiTheme="minorHAnsi" w:hAnsiTheme="minorHAnsi" w:cstheme="minorHAnsi"/>
          <w:sz w:val="16"/>
          <w:szCs w:val="16"/>
        </w:rPr>
        <w:t>Wind turbines are only able to start generating electricity energy at a specific wind speed. A wind turbine will generate energy in between the cut-in and cut-out speeds. The cut-in speeds of modern wind turbines are between 2-4 m/s, their nominal speeds are between 10-15 m/s, and their cut-out speeds are between 25-35 m/s. Each wind turbine reaches the maximum power value which can be obtained from the system at a specific wind speed. This maximum power is known as nominal power and the wind speed at this level is known as the nominal speed. Wind turbines automatically stop after a certain wind speed has been exceeded, to ensure that the system is not damaged. This maximum speed is known as the system cut-out speed.</w:t>
      </w:r>
    </w:p>
    <w:p w14:paraId="0EEBA62F" w14:textId="77777777" w:rsidR="00AC1A29" w:rsidRPr="00D61C09" w:rsidRDefault="00AC1A29" w:rsidP="00AC1A29">
      <w:pPr>
        <w:pStyle w:val="FootnoteText"/>
      </w:pPr>
    </w:p>
  </w:footnote>
  <w:footnote w:id="11">
    <w:p w14:paraId="0153024A" w14:textId="77777777" w:rsidR="00AC1A29" w:rsidRPr="00DB6A3C" w:rsidRDefault="00AC1A29" w:rsidP="00AC1A29">
      <w:pPr>
        <w:pStyle w:val="FootnoteText"/>
        <w:rPr>
          <w:rFonts w:asciiTheme="minorHAnsi" w:hAnsiTheme="minorHAnsi" w:cstheme="minorHAnsi"/>
          <w:sz w:val="16"/>
          <w:szCs w:val="16"/>
        </w:rPr>
      </w:pPr>
      <w:r>
        <w:rPr>
          <w:rStyle w:val="FootnoteReference"/>
        </w:rPr>
        <w:footnoteRef/>
      </w:r>
      <w:r>
        <w:t xml:space="preserve"> </w:t>
      </w:r>
      <w:r w:rsidRPr="00DB6A3C">
        <w:rPr>
          <w:rFonts w:asciiTheme="minorHAnsi" w:hAnsiTheme="minorHAnsi" w:cstheme="minorHAnsi"/>
          <w:sz w:val="16"/>
          <w:szCs w:val="16"/>
        </w:rPr>
        <w:t>Nowadays, two different technologies used quite different forms and areas for production electrical energy from solar energy. Though solar energy technologies vary in terms of method, material, and technological level, they can be divided in two major groups:  </w:t>
      </w:r>
    </w:p>
    <w:p w14:paraId="688B809C" w14:textId="77777777" w:rsidR="00AC1A29" w:rsidRPr="00DB6A3C" w:rsidRDefault="00AC1A29" w:rsidP="00AC1A29">
      <w:pPr>
        <w:pStyle w:val="FootnoteText"/>
        <w:rPr>
          <w:rFonts w:asciiTheme="minorHAnsi" w:hAnsiTheme="minorHAnsi" w:cstheme="minorHAnsi"/>
          <w:sz w:val="16"/>
          <w:szCs w:val="16"/>
        </w:rPr>
      </w:pPr>
      <w:r w:rsidRPr="00DB6A3C">
        <w:rPr>
          <w:rFonts w:asciiTheme="minorHAnsi" w:hAnsiTheme="minorHAnsi" w:cstheme="minorHAnsi"/>
          <w:b/>
          <w:bCs/>
          <w:sz w:val="16"/>
          <w:szCs w:val="16"/>
        </w:rPr>
        <w:t>Photovoltaic Technology: </w:t>
      </w:r>
      <w:r w:rsidRPr="00DB6A3C">
        <w:rPr>
          <w:rFonts w:asciiTheme="minorHAnsi" w:hAnsiTheme="minorHAnsi" w:cstheme="minorHAnsi"/>
          <w:sz w:val="16"/>
          <w:szCs w:val="16"/>
        </w:rPr>
        <w:t>Semi-conducting materials, which are also known as photovoltaic solar energy systems, convert the sunlight directly into electricity.</w:t>
      </w:r>
    </w:p>
    <w:p w14:paraId="4AD1D590" w14:textId="77777777" w:rsidR="00AC1A29" w:rsidRPr="00DB6A3C" w:rsidRDefault="00AC1A29" w:rsidP="00AC1A29">
      <w:pPr>
        <w:pStyle w:val="FootnoteText"/>
        <w:rPr>
          <w:rFonts w:asciiTheme="minorHAnsi" w:hAnsiTheme="minorHAnsi" w:cstheme="minorHAnsi"/>
          <w:sz w:val="16"/>
          <w:szCs w:val="16"/>
        </w:rPr>
      </w:pPr>
      <w:r w:rsidRPr="00DB6A3C">
        <w:rPr>
          <w:rFonts w:asciiTheme="minorHAnsi" w:hAnsiTheme="minorHAnsi" w:cstheme="minorHAnsi"/>
          <w:b/>
          <w:bCs/>
          <w:sz w:val="16"/>
          <w:szCs w:val="16"/>
        </w:rPr>
        <w:t>Photo-emissive Solar Technologies and Concentrated Solar Power (CSP): </w:t>
      </w:r>
      <w:r w:rsidRPr="00DB6A3C">
        <w:rPr>
          <w:rFonts w:asciiTheme="minorHAnsi" w:hAnsiTheme="minorHAnsi" w:cstheme="minorHAnsi"/>
          <w:sz w:val="16"/>
          <w:szCs w:val="16"/>
        </w:rPr>
        <w:t>In this system heat is obtained from solar energy and can be used either directly or in the generation of electricity.</w:t>
      </w:r>
    </w:p>
  </w:footnote>
  <w:footnote w:id="12">
    <w:p w14:paraId="6EFAC209" w14:textId="77777777" w:rsidR="00AC1A29" w:rsidRPr="00DB6A3C" w:rsidRDefault="00AC1A29" w:rsidP="00AC1A29">
      <w:pPr>
        <w:pStyle w:val="FootnoteText"/>
        <w:rPr>
          <w:rFonts w:asciiTheme="minorHAnsi" w:hAnsiTheme="minorHAnsi" w:cstheme="minorHAnsi"/>
          <w:sz w:val="16"/>
          <w:szCs w:val="16"/>
        </w:rPr>
      </w:pPr>
      <w:r w:rsidRPr="00DB6A3C">
        <w:rPr>
          <w:rStyle w:val="FootnoteReference"/>
          <w:rFonts w:asciiTheme="minorHAnsi" w:hAnsiTheme="minorHAnsi" w:cstheme="minorHAnsi"/>
          <w:szCs w:val="16"/>
        </w:rPr>
        <w:footnoteRef/>
      </w:r>
      <w:r w:rsidRPr="00DB6A3C">
        <w:rPr>
          <w:rFonts w:asciiTheme="minorHAnsi" w:hAnsiTheme="minorHAnsi" w:cstheme="minorHAnsi"/>
          <w:sz w:val="16"/>
          <w:szCs w:val="16"/>
        </w:rPr>
        <w:t xml:space="preserve"> </w:t>
      </w:r>
      <w:r w:rsidRPr="00DB6A3C">
        <w:rPr>
          <w:rFonts w:asciiTheme="minorHAnsi" w:hAnsiTheme="minorHAnsi" w:cstheme="minorHAnsi"/>
          <w:b/>
          <w:bCs/>
          <w:sz w:val="16"/>
          <w:szCs w:val="16"/>
        </w:rPr>
        <w:t>Utilization areas of geothermal energy.</w:t>
      </w:r>
    </w:p>
    <w:p w14:paraId="24F2D379" w14:textId="77777777" w:rsidR="00AC1A29" w:rsidRPr="00DB6A3C" w:rsidRDefault="00AC1A29" w:rsidP="00AC1A29">
      <w:pPr>
        <w:pStyle w:val="FootnoteText"/>
        <w:rPr>
          <w:rFonts w:asciiTheme="minorHAnsi" w:hAnsiTheme="minorHAnsi" w:cstheme="minorHAnsi"/>
          <w:sz w:val="16"/>
          <w:szCs w:val="16"/>
        </w:rPr>
      </w:pPr>
      <w:r w:rsidRPr="00DB6A3C">
        <w:rPr>
          <w:rFonts w:asciiTheme="minorHAnsi" w:hAnsiTheme="minorHAnsi" w:cstheme="minorHAnsi"/>
          <w:sz w:val="16"/>
          <w:szCs w:val="16"/>
        </w:rPr>
        <w:t>For electricity generation, after the separation of steam and water in fluid separators produced from wells drilled in geothermal fields, electricity is generated by turbine and generator. As heat, geothermal resources at low temperature are evaluated to meet greenhouse, organic agriculture, crop drying and regional heat needs. At spas, minerals into low temperature geothermal waters are used useful for human health.</w:t>
      </w:r>
    </w:p>
  </w:footnote>
  <w:footnote w:id="13">
    <w:p w14:paraId="12A79AB5" w14:textId="154CB7B7" w:rsidR="00AC1A29" w:rsidRPr="00DB6A3C" w:rsidRDefault="00AC1A29" w:rsidP="00AC1A29">
      <w:pPr>
        <w:pStyle w:val="FootnoteText"/>
        <w:rPr>
          <w:rFonts w:asciiTheme="minorHAnsi" w:hAnsiTheme="minorHAnsi" w:cstheme="minorHAnsi"/>
          <w:b/>
          <w:bCs/>
          <w:sz w:val="16"/>
          <w:szCs w:val="16"/>
        </w:rPr>
      </w:pPr>
      <w:r w:rsidRPr="00DB6A3C">
        <w:rPr>
          <w:rStyle w:val="FootnoteReference"/>
          <w:rFonts w:asciiTheme="minorHAnsi" w:hAnsiTheme="minorHAnsi" w:cstheme="minorHAnsi"/>
          <w:szCs w:val="16"/>
        </w:rPr>
        <w:footnoteRef/>
      </w:r>
      <w:r w:rsidRPr="00DB6A3C">
        <w:rPr>
          <w:rFonts w:asciiTheme="minorHAnsi" w:hAnsiTheme="minorHAnsi" w:cstheme="minorHAnsi"/>
          <w:sz w:val="16"/>
          <w:szCs w:val="16"/>
        </w:rPr>
        <w:t xml:space="preserve"> </w:t>
      </w:r>
      <w:r w:rsidRPr="00DB6A3C">
        <w:rPr>
          <w:rFonts w:asciiTheme="minorHAnsi" w:hAnsiTheme="minorHAnsi" w:cstheme="minorHAnsi"/>
          <w:b/>
          <w:bCs/>
          <w:sz w:val="16"/>
          <w:szCs w:val="16"/>
        </w:rPr>
        <w:t xml:space="preserve">Geothermal energy in </w:t>
      </w:r>
      <w:r w:rsidR="007745AE">
        <w:rPr>
          <w:rFonts w:asciiTheme="minorHAnsi" w:hAnsiTheme="minorHAnsi" w:cstheme="minorHAnsi"/>
          <w:b/>
          <w:bCs/>
          <w:sz w:val="16"/>
          <w:szCs w:val="16"/>
        </w:rPr>
        <w:t>Türkiye</w:t>
      </w:r>
      <w:r w:rsidRPr="00DB6A3C">
        <w:rPr>
          <w:rFonts w:asciiTheme="minorHAnsi" w:hAnsiTheme="minorHAnsi" w:cstheme="minorHAnsi"/>
          <w:b/>
          <w:bCs/>
          <w:sz w:val="16"/>
          <w:szCs w:val="16"/>
        </w:rPr>
        <w:t xml:space="preserve">: the sustainable future, available at: </w:t>
      </w:r>
      <w:r w:rsidRPr="00DB6A3C">
        <w:rPr>
          <w:rFonts w:asciiTheme="minorHAnsi" w:hAnsiTheme="minorHAnsi" w:cstheme="minorHAnsi"/>
          <w:sz w:val="16"/>
          <w:szCs w:val="16"/>
        </w:rPr>
        <w:t>https://www.sciencedirect.com/science/article/abs/pii/S1364032104000176</w:t>
      </w:r>
    </w:p>
    <w:p w14:paraId="42E6CBC0" w14:textId="77777777" w:rsidR="00AC1A29" w:rsidRPr="00DB6A3C" w:rsidRDefault="00AC1A29" w:rsidP="00AC1A29">
      <w:pPr>
        <w:pStyle w:val="FootnoteText"/>
        <w:rPr>
          <w:rFonts w:asciiTheme="minorHAnsi" w:hAnsiTheme="minorHAnsi" w:cstheme="minorHAnsi"/>
          <w:sz w:val="16"/>
          <w:szCs w:val="16"/>
        </w:rPr>
      </w:pPr>
    </w:p>
    <w:p w14:paraId="2B234EDB" w14:textId="77777777" w:rsidR="00AC1A29" w:rsidRPr="001678B9" w:rsidRDefault="00AC1A29" w:rsidP="00AC1A29">
      <w:pPr>
        <w:pStyle w:val="FootnoteText"/>
      </w:pPr>
    </w:p>
  </w:footnote>
  <w:footnote w:id="14">
    <w:p w14:paraId="0494F3B1" w14:textId="77777777" w:rsidR="00AC1A29" w:rsidRPr="00DB6A3C" w:rsidRDefault="00AC1A29" w:rsidP="00AC1A29">
      <w:pPr>
        <w:pStyle w:val="FootnoteText"/>
        <w:rPr>
          <w:rFonts w:asciiTheme="minorHAnsi" w:hAnsiTheme="minorHAnsi" w:cstheme="minorHAnsi"/>
          <w:sz w:val="16"/>
          <w:szCs w:val="16"/>
        </w:rPr>
      </w:pPr>
      <w:r>
        <w:rPr>
          <w:rStyle w:val="FootnoteReference"/>
        </w:rPr>
        <w:footnoteRef/>
      </w:r>
      <w:r>
        <w:t xml:space="preserve"> </w:t>
      </w:r>
      <w:r w:rsidRPr="00DB6A3C">
        <w:rPr>
          <w:rFonts w:asciiTheme="minorHAnsi" w:hAnsiTheme="minorHAnsi" w:cstheme="minorHAnsi"/>
          <w:sz w:val="16"/>
          <w:szCs w:val="16"/>
        </w:rPr>
        <w:t>Oil-bearing crops (canola, sunflower, soybean, etc.); Sugar and starch crops (potatoes, wheat, corn, sugar beets, etc.); Staple crops (flax, kenaf, hemp, sorghum, miscanthus, etc.); Protein crops (peas, beans, etc.); Herbal and agricultural residues (branches, stalk, straw, root, bark, etc.)</w:t>
      </w:r>
    </w:p>
  </w:footnote>
  <w:footnote w:id="15">
    <w:p w14:paraId="61556F64" w14:textId="77777777" w:rsidR="00AC1A29" w:rsidRPr="00DB6A3C" w:rsidRDefault="00AC1A29" w:rsidP="00AC1A29">
      <w:pPr>
        <w:pStyle w:val="FootnoteText"/>
        <w:rPr>
          <w:rFonts w:asciiTheme="minorHAnsi" w:hAnsiTheme="minorHAnsi" w:cstheme="minorHAnsi"/>
          <w:sz w:val="16"/>
          <w:szCs w:val="16"/>
        </w:rPr>
      </w:pPr>
      <w:r w:rsidRPr="00DB6A3C">
        <w:rPr>
          <w:rStyle w:val="FootnoteReference"/>
          <w:rFonts w:asciiTheme="minorHAnsi" w:hAnsiTheme="minorHAnsi" w:cstheme="minorHAnsi"/>
          <w:szCs w:val="16"/>
        </w:rPr>
        <w:footnoteRef/>
      </w:r>
      <w:r w:rsidRPr="00DB6A3C">
        <w:rPr>
          <w:rFonts w:asciiTheme="minorHAnsi" w:hAnsiTheme="minorHAnsi" w:cstheme="minorHAnsi"/>
          <w:sz w:val="16"/>
          <w:szCs w:val="16"/>
        </w:rPr>
        <w:t xml:space="preserve"> Wood and forestry waste (energy forest, energy crops, various trees)</w:t>
      </w:r>
    </w:p>
  </w:footnote>
  <w:footnote w:id="16">
    <w:p w14:paraId="259F41F8" w14:textId="77777777" w:rsidR="00AC1A29" w:rsidRPr="00DB6A3C" w:rsidRDefault="00AC1A29" w:rsidP="00AC1A29">
      <w:pPr>
        <w:pStyle w:val="FootnoteText"/>
        <w:rPr>
          <w:rFonts w:asciiTheme="minorHAnsi" w:hAnsiTheme="minorHAnsi" w:cstheme="minorHAnsi"/>
          <w:sz w:val="16"/>
          <w:szCs w:val="16"/>
        </w:rPr>
      </w:pPr>
      <w:r w:rsidRPr="00DB6A3C">
        <w:rPr>
          <w:rStyle w:val="FootnoteReference"/>
          <w:rFonts w:asciiTheme="minorHAnsi" w:hAnsiTheme="minorHAnsi" w:cstheme="minorHAnsi"/>
          <w:szCs w:val="16"/>
        </w:rPr>
        <w:footnoteRef/>
      </w:r>
      <w:r w:rsidRPr="00DB6A3C">
        <w:rPr>
          <w:rFonts w:asciiTheme="minorHAnsi" w:hAnsiTheme="minorHAnsi" w:cstheme="minorHAnsi"/>
          <w:sz w:val="16"/>
          <w:szCs w:val="16"/>
        </w:rPr>
        <w:t xml:space="preserve"> Cattle, horses, sheep, chickens waste, slaughterhouse waste and animal wastes that arise during the processing of products</w:t>
      </w:r>
    </w:p>
  </w:footnote>
  <w:footnote w:id="17">
    <w:p w14:paraId="69B29D7C" w14:textId="77777777" w:rsidR="00AC1A29" w:rsidRPr="00DB6A3C" w:rsidRDefault="00AC1A29" w:rsidP="00AC1A29">
      <w:pPr>
        <w:pStyle w:val="FootnoteText"/>
        <w:rPr>
          <w:rFonts w:asciiTheme="minorHAnsi" w:hAnsiTheme="minorHAnsi" w:cstheme="minorHAnsi"/>
          <w:sz w:val="16"/>
          <w:szCs w:val="16"/>
        </w:rPr>
      </w:pPr>
      <w:r w:rsidRPr="00DB6A3C">
        <w:rPr>
          <w:rStyle w:val="FootnoteReference"/>
          <w:rFonts w:asciiTheme="minorHAnsi" w:hAnsiTheme="minorHAnsi" w:cstheme="minorHAnsi"/>
          <w:szCs w:val="16"/>
        </w:rPr>
        <w:footnoteRef/>
      </w:r>
      <w:r w:rsidRPr="00DB6A3C">
        <w:rPr>
          <w:rFonts w:asciiTheme="minorHAnsi" w:hAnsiTheme="minorHAnsi" w:cstheme="minorHAnsi"/>
          <w:sz w:val="16"/>
          <w:szCs w:val="16"/>
        </w:rPr>
        <w:t xml:space="preserve"> Sewage sludge, paper industry and food industry wastes, industrial and domestic wastewater, municipal waste, and large industrial facilities waste</w:t>
      </w:r>
    </w:p>
  </w:footnote>
  <w:footnote w:id="18">
    <w:p w14:paraId="04508873" w14:textId="77777777" w:rsidR="00AC1A29" w:rsidRPr="00DB6A3C" w:rsidRDefault="00AC1A29" w:rsidP="00AC1A29">
      <w:pPr>
        <w:pStyle w:val="FootnoteText"/>
        <w:rPr>
          <w:rFonts w:asciiTheme="minorHAnsi" w:hAnsiTheme="minorHAnsi" w:cstheme="minorHAnsi"/>
          <w:sz w:val="16"/>
          <w:szCs w:val="16"/>
        </w:rPr>
      </w:pPr>
      <w:r w:rsidRPr="00DB6A3C">
        <w:rPr>
          <w:rStyle w:val="FootnoteReference"/>
          <w:rFonts w:asciiTheme="minorHAnsi" w:hAnsiTheme="minorHAnsi" w:cstheme="minorHAnsi"/>
          <w:szCs w:val="16"/>
        </w:rPr>
        <w:footnoteRef/>
      </w:r>
      <w:r w:rsidRPr="00DB6A3C">
        <w:rPr>
          <w:rFonts w:asciiTheme="minorHAnsi" w:hAnsiTheme="minorHAnsi" w:cstheme="minorHAnsi"/>
          <w:sz w:val="16"/>
          <w:szCs w:val="16"/>
        </w:rPr>
        <w:t xml:space="preserve"> Nuclear power plants produce continuously electricity generation without being affected by climate conditions. Capacity factor of any nuclear power plant is about %90; Nuclear power plants do not release greenhouse gases during operation. For this reason, they are an important alternative to prevent global warming; The cost of fuel in electricity unit cost pricing is exceptionally low compared to other sources. Therefore, the possible fluctuations in fuel prices can not affect the electricity production costs; Uranium, which is nuclear fuel raw material, has spread to different geographies in the world; The installation area of nuclear power plants is exceedingly small compared to all other power plants. For this reason, agriculture, inhabiting, and natural life are affected slightly. </w:t>
      </w:r>
    </w:p>
  </w:footnote>
  <w:footnote w:id="19">
    <w:p w14:paraId="208F548F" w14:textId="77777777" w:rsidR="00AC1A29" w:rsidRPr="00DB6A3C" w:rsidRDefault="00AC1A29" w:rsidP="00AC1A29">
      <w:pPr>
        <w:pStyle w:val="FootnoteText"/>
        <w:rPr>
          <w:rFonts w:asciiTheme="minorHAnsi" w:hAnsiTheme="minorHAnsi" w:cstheme="minorHAnsi"/>
          <w:sz w:val="16"/>
          <w:szCs w:val="16"/>
        </w:rPr>
      </w:pPr>
      <w:r w:rsidRPr="00DB6A3C">
        <w:rPr>
          <w:rStyle w:val="FootnoteReference"/>
          <w:rFonts w:asciiTheme="minorHAnsi" w:hAnsiTheme="minorHAnsi" w:cstheme="minorHAnsi"/>
          <w:szCs w:val="16"/>
        </w:rPr>
        <w:footnoteRef/>
      </w:r>
      <w:r w:rsidRPr="00DB6A3C">
        <w:rPr>
          <w:rFonts w:asciiTheme="minorHAnsi" w:hAnsiTheme="minorHAnsi" w:cstheme="minorHAnsi"/>
          <w:sz w:val="16"/>
          <w:szCs w:val="16"/>
        </w:rPr>
        <w:t xml:space="preserve"> Nuclear plants established today considering the experiences, good practices and developing technology that have been experienced for about 70 years are referred to as 3rd (+) Generation. Cooling for 72 hours without external human intervention, airplane crash protection, passive safety systems, digital control rooms, compact equipment and system designs and other vital advancements made it possible for nuclear power plants to have a safer design.</w:t>
      </w:r>
    </w:p>
    <w:p w14:paraId="35ABAEF1" w14:textId="77777777" w:rsidR="00AC1A29" w:rsidRPr="00DB6A3C" w:rsidRDefault="00AC1A29" w:rsidP="00AC1A29">
      <w:pPr>
        <w:pStyle w:val="FootnoteText"/>
        <w:rPr>
          <w:rFonts w:asciiTheme="minorHAnsi" w:hAnsiTheme="minorHAnsi" w:cstheme="minorHAnsi"/>
          <w:sz w:val="16"/>
          <w:szCs w:val="16"/>
        </w:rPr>
      </w:pPr>
      <w:r w:rsidRPr="00DB6A3C">
        <w:rPr>
          <w:rFonts w:asciiTheme="minorHAnsi" w:hAnsiTheme="minorHAnsi" w:cstheme="minorHAnsi"/>
          <w:sz w:val="16"/>
          <w:szCs w:val="16"/>
        </w:rPr>
        <w:t>By August 2019, 450 nuclear reactors have been operating in 31 countries and 52 nuclear reactors are being built in 19 countries. These reactors account for 10% of the world's electricity supply. On a country-by-country basis, By nuclear energy; France supplies about 72%, Ukraine 53%, Sweden 40%, Belgium 39%, European Union 28%, South Korea 24%, and USA 19% of their electricity demand.</w:t>
      </w:r>
    </w:p>
    <w:p w14:paraId="166327D9" w14:textId="55A0D90D" w:rsidR="00AC1A29" w:rsidRPr="00DB6A3C" w:rsidRDefault="00AC1A29" w:rsidP="00AC1A29">
      <w:pPr>
        <w:pStyle w:val="FootnoteText"/>
        <w:rPr>
          <w:rFonts w:asciiTheme="minorHAnsi" w:hAnsiTheme="minorHAnsi" w:cstheme="minorHAnsi"/>
          <w:sz w:val="16"/>
          <w:szCs w:val="16"/>
        </w:rPr>
      </w:pPr>
      <w:r w:rsidRPr="00DB6A3C">
        <w:rPr>
          <w:rFonts w:asciiTheme="minorHAnsi" w:hAnsiTheme="minorHAnsi" w:cstheme="minorHAnsi"/>
          <w:sz w:val="16"/>
          <w:szCs w:val="16"/>
        </w:rPr>
        <w:t xml:space="preserve">There are 9 nuclear reactors that are being built in China, 7 in India and 6 in Russia. In addition, there are 2 nuclear reactors which are being built in the United States, 4 in the United Arab Emirates, 4 in South Korea, 1 in France and 1 in </w:t>
      </w:r>
      <w:r w:rsidR="007745AE">
        <w:rPr>
          <w:rFonts w:asciiTheme="minorHAnsi" w:hAnsiTheme="minorHAnsi" w:cstheme="minorHAnsi"/>
          <w:sz w:val="16"/>
          <w:szCs w:val="16"/>
        </w:rPr>
        <w:t>Türkiye</w:t>
      </w:r>
      <w:r w:rsidRPr="00DB6A3C">
        <w:rPr>
          <w:rFonts w:asciiTheme="minorHAnsi" w:hAnsiTheme="minorHAnsi" w:cstheme="minorHAnsi"/>
          <w:sz w:val="16"/>
          <w:szCs w:val="16"/>
        </w:rPr>
        <w:t>.</w:t>
      </w:r>
    </w:p>
    <w:p w14:paraId="74FC7091" w14:textId="77777777" w:rsidR="00AC1A29" w:rsidRPr="00BE7DA6" w:rsidRDefault="00AC1A29" w:rsidP="00AC1A29">
      <w:pPr>
        <w:pStyle w:val="FootnoteText"/>
      </w:pPr>
    </w:p>
  </w:footnote>
  <w:footnote w:id="20">
    <w:p w14:paraId="1377687C" w14:textId="77777777" w:rsidR="00AC1A29" w:rsidRPr="00DB6A3C" w:rsidRDefault="00AC1A29" w:rsidP="00AC1A29">
      <w:pPr>
        <w:pStyle w:val="FootnoteText"/>
        <w:rPr>
          <w:rFonts w:asciiTheme="minorHAnsi" w:hAnsiTheme="minorHAnsi" w:cstheme="minorHAnsi"/>
          <w:sz w:val="16"/>
          <w:szCs w:val="16"/>
        </w:rPr>
      </w:pPr>
      <w:r>
        <w:rPr>
          <w:rStyle w:val="FootnoteReference"/>
        </w:rPr>
        <w:footnoteRef/>
      </w:r>
      <w:r>
        <w:t xml:space="preserve"> </w:t>
      </w:r>
      <w:r w:rsidRPr="00DB6A3C">
        <w:rPr>
          <w:rFonts w:asciiTheme="minorHAnsi" w:hAnsiTheme="minorHAnsi" w:cstheme="minorHAnsi"/>
          <w:sz w:val="16"/>
          <w:szCs w:val="16"/>
        </w:rPr>
        <w:t>Although solar energy technologies started in an experimental and narrow scope at the beginning, today it has become a new commercial sector, especially in terms of residential technologies. Especially being a clean energy source and working at almost zero cost after installation increases the importance of solar energy. Solar energy is used today as an alternative solution in developed countries to alleviate the environmental problems caused by fossil fuels. It is not possible to provide the energy requirement needed for industry, residences, or individual uses, directly from the sun as in plants. For this reason, solar energy can be used in various ways. Many technologies have been developed to take advantage of the sun's rays. Although solar energy technologies vary widely in terms of method, material, and technological level, some of them use solar energy directly as light or heat energy, while other technologies are used to obtain electricity from solar energy. Areas of use of solar energy include direct or indirect electricity generation, obtaining hot water, space heating and cooling, process heat energy for industrial organizations and greenhouse heating. </w:t>
      </w:r>
    </w:p>
    <w:p w14:paraId="66F00F9F" w14:textId="77777777" w:rsidR="00AC1A29" w:rsidRPr="00DB6A3C" w:rsidRDefault="00AC1A29" w:rsidP="00AC1A29">
      <w:pPr>
        <w:pStyle w:val="FootnoteText"/>
        <w:rPr>
          <w:rFonts w:asciiTheme="minorHAnsi" w:hAnsiTheme="minorHAnsi" w:cstheme="minorHAnsi"/>
          <w:sz w:val="16"/>
          <w:szCs w:val="16"/>
        </w:rPr>
      </w:pPr>
    </w:p>
  </w:footnote>
  <w:footnote w:id="21">
    <w:p w14:paraId="229437E8" w14:textId="04A01F1C" w:rsidR="00AC1A29" w:rsidRPr="00DB6A3C" w:rsidRDefault="00AC1A29" w:rsidP="00AC1A29">
      <w:pPr>
        <w:pStyle w:val="FootnoteText"/>
        <w:rPr>
          <w:rFonts w:asciiTheme="minorHAnsi" w:hAnsiTheme="minorHAnsi" w:cstheme="minorHAnsi"/>
          <w:sz w:val="16"/>
          <w:szCs w:val="16"/>
        </w:rPr>
      </w:pPr>
      <w:r w:rsidRPr="00DB6A3C">
        <w:rPr>
          <w:rStyle w:val="FootnoteReference"/>
          <w:rFonts w:asciiTheme="minorHAnsi" w:hAnsiTheme="minorHAnsi" w:cstheme="minorHAnsi"/>
          <w:szCs w:val="16"/>
        </w:rPr>
        <w:footnoteRef/>
      </w:r>
      <w:r w:rsidRPr="00DB6A3C">
        <w:rPr>
          <w:rFonts w:asciiTheme="minorHAnsi" w:hAnsiTheme="minorHAnsi" w:cstheme="minorHAnsi"/>
          <w:sz w:val="16"/>
          <w:szCs w:val="16"/>
        </w:rPr>
        <w:t xml:space="preserve"> </w:t>
      </w:r>
      <w:bookmarkStart w:id="15" w:name="_Hlk67390257"/>
      <w:bookmarkStart w:id="16" w:name="_Hlk67390258"/>
      <w:r w:rsidRPr="00DB6A3C">
        <w:rPr>
          <w:rFonts w:asciiTheme="minorHAnsi" w:hAnsiTheme="minorHAnsi" w:cstheme="minorHAnsi"/>
          <w:sz w:val="16"/>
          <w:szCs w:val="16"/>
        </w:rPr>
        <w:t xml:space="preserve">Republic of </w:t>
      </w:r>
      <w:r w:rsidR="007745AE">
        <w:rPr>
          <w:rFonts w:asciiTheme="minorHAnsi" w:hAnsiTheme="minorHAnsi" w:cstheme="minorHAnsi"/>
          <w:sz w:val="16"/>
          <w:szCs w:val="16"/>
        </w:rPr>
        <w:t>Türkiye</w:t>
      </w:r>
      <w:r w:rsidRPr="00DB6A3C">
        <w:rPr>
          <w:rFonts w:asciiTheme="minorHAnsi" w:hAnsiTheme="minorHAnsi" w:cstheme="minorHAnsi"/>
          <w:sz w:val="16"/>
          <w:szCs w:val="16"/>
        </w:rPr>
        <w:t>, Ministry of Investment</w:t>
      </w:r>
      <w:bookmarkEnd w:id="15"/>
      <w:bookmarkEnd w:id="16"/>
    </w:p>
  </w:footnote>
  <w:footnote w:id="22">
    <w:p w14:paraId="2B317D66" w14:textId="77777777" w:rsidR="00AC1A29" w:rsidRPr="00F763A6" w:rsidRDefault="00AC1A29" w:rsidP="00AC1A29">
      <w:pPr>
        <w:pStyle w:val="FootnoteText"/>
      </w:pPr>
      <w:r w:rsidRPr="00DB6A3C">
        <w:rPr>
          <w:rStyle w:val="FootnoteReference"/>
          <w:rFonts w:asciiTheme="minorHAnsi" w:hAnsiTheme="minorHAnsi" w:cstheme="minorHAnsi"/>
          <w:szCs w:val="16"/>
        </w:rPr>
        <w:footnoteRef/>
      </w:r>
      <w:r w:rsidRPr="00DB6A3C">
        <w:rPr>
          <w:rFonts w:asciiTheme="minorHAnsi" w:hAnsiTheme="minorHAnsi" w:cstheme="minorHAnsi"/>
          <w:sz w:val="16"/>
          <w:szCs w:val="16"/>
        </w:rPr>
        <w:t xml:space="preserve"> Technology-based learning, however, can result in greater inequality in areas where low-income communities lack access to the requisite equipment and infrastructure</w:t>
      </w:r>
      <w:r w:rsidRPr="00770985">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0ABE49" w14:textId="68CB1866" w:rsidR="008F6744" w:rsidRDefault="00C93819">
    <w:pPr>
      <w:pStyle w:val="Header"/>
    </w:pPr>
    <w:r>
      <w:rPr>
        <w:noProof/>
        <w:lang w:eastAsia="en-GB"/>
      </w:rPr>
      <w:drawing>
        <wp:anchor distT="0" distB="0" distL="114300" distR="114300" simplePos="0" relativeHeight="251663360" behindDoc="1" locked="0" layoutInCell="1" allowOverlap="1" wp14:anchorId="5273FFAF" wp14:editId="7B7A671C">
          <wp:simplePos x="0" y="0"/>
          <wp:positionH relativeFrom="page">
            <wp:align>right</wp:align>
          </wp:positionH>
          <wp:positionV relativeFrom="paragraph">
            <wp:posOffset>-533573</wp:posOffset>
          </wp:positionV>
          <wp:extent cx="7577229" cy="10710000"/>
          <wp:effectExtent l="0" t="0" r="508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7577229" cy="10710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FD8CF5" w14:textId="78900682" w:rsidR="002971D4" w:rsidRDefault="0065565D">
    <w:pPr>
      <w:pStyle w:val="Header"/>
    </w:pPr>
    <w:r>
      <w:rPr>
        <w:noProof/>
        <w:lang w:eastAsia="en-GB"/>
      </w:rPr>
      <w:drawing>
        <wp:anchor distT="0" distB="0" distL="114300" distR="114300" simplePos="0" relativeHeight="251665408" behindDoc="1" locked="0" layoutInCell="1" allowOverlap="1" wp14:anchorId="4856A3A9" wp14:editId="547CC8BF">
          <wp:simplePos x="0" y="0"/>
          <wp:positionH relativeFrom="page">
            <wp:align>left</wp:align>
          </wp:positionH>
          <wp:positionV relativeFrom="paragraph">
            <wp:posOffset>-480695</wp:posOffset>
          </wp:positionV>
          <wp:extent cx="7577229" cy="10710000"/>
          <wp:effectExtent l="0" t="0" r="508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7577229" cy="10710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D32294"/>
    <w:multiLevelType w:val="hybridMultilevel"/>
    <w:tmpl w:val="6F4C31B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 w15:restartNumberingAfterBreak="0">
    <w:nsid w:val="03B42E1A"/>
    <w:multiLevelType w:val="hybridMultilevel"/>
    <w:tmpl w:val="CBFE747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 w15:restartNumberingAfterBreak="0">
    <w:nsid w:val="0A150106"/>
    <w:multiLevelType w:val="multilevel"/>
    <w:tmpl w:val="B118691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BCE101C"/>
    <w:multiLevelType w:val="hybridMultilevel"/>
    <w:tmpl w:val="49EC769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0CED22B6"/>
    <w:multiLevelType w:val="hybridMultilevel"/>
    <w:tmpl w:val="974833EE"/>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5" w15:restartNumberingAfterBreak="0">
    <w:nsid w:val="11EE1267"/>
    <w:multiLevelType w:val="hybridMultilevel"/>
    <w:tmpl w:val="7CD2E3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24F02D0"/>
    <w:multiLevelType w:val="hybridMultilevel"/>
    <w:tmpl w:val="BD807748"/>
    <w:lvl w:ilvl="0" w:tplc="37F8A44A">
      <w:start w:val="1"/>
      <w:numFmt w:val="decimal"/>
      <w:lvlText w:val="%1."/>
      <w:lvlJc w:val="left"/>
      <w:pPr>
        <w:ind w:left="801" w:hanging="375"/>
      </w:pPr>
      <w:rPr>
        <w:rFonts w:hint="default"/>
        <w:b/>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7" w15:restartNumberingAfterBreak="0">
    <w:nsid w:val="136F2D52"/>
    <w:multiLevelType w:val="hybridMultilevel"/>
    <w:tmpl w:val="D2689E7C"/>
    <w:lvl w:ilvl="0" w:tplc="2C0A000F">
      <w:start w:val="1"/>
      <w:numFmt w:val="decimal"/>
      <w:lvlText w:val="%1."/>
      <w:lvlJc w:val="left"/>
      <w:pPr>
        <w:ind w:left="720" w:hanging="360"/>
      </w:pPr>
      <w:rPr>
        <w:rFonts w:hint="default"/>
      </w:rPr>
    </w:lvl>
    <w:lvl w:ilvl="1" w:tplc="2C0A0019">
      <w:start w:val="1"/>
      <w:numFmt w:val="lowerLetter"/>
      <w:lvlText w:val="%2."/>
      <w:lvlJc w:val="left"/>
      <w:pPr>
        <w:ind w:left="1440" w:hanging="360"/>
      </w:pPr>
    </w:lvl>
    <w:lvl w:ilvl="2" w:tplc="2C0A001B">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8" w15:restartNumberingAfterBreak="0">
    <w:nsid w:val="17DC7E6F"/>
    <w:multiLevelType w:val="hybridMultilevel"/>
    <w:tmpl w:val="637636B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 w15:restartNumberingAfterBreak="0">
    <w:nsid w:val="2F7A128E"/>
    <w:multiLevelType w:val="hybridMultilevel"/>
    <w:tmpl w:val="EFC883E2"/>
    <w:lvl w:ilvl="0" w:tplc="2C0A0015">
      <w:start w:val="1"/>
      <w:numFmt w:val="upp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0" w15:restartNumberingAfterBreak="0">
    <w:nsid w:val="323378EA"/>
    <w:multiLevelType w:val="hybridMultilevel"/>
    <w:tmpl w:val="8CDC4AE0"/>
    <w:lvl w:ilvl="0" w:tplc="2C0A000F">
      <w:start w:val="8"/>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1" w15:restartNumberingAfterBreak="0">
    <w:nsid w:val="36B923B8"/>
    <w:multiLevelType w:val="hybridMultilevel"/>
    <w:tmpl w:val="974833EE"/>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2" w15:restartNumberingAfterBreak="0">
    <w:nsid w:val="3AC37B90"/>
    <w:multiLevelType w:val="hybridMultilevel"/>
    <w:tmpl w:val="974833EE"/>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3" w15:restartNumberingAfterBreak="0">
    <w:nsid w:val="3B557564"/>
    <w:multiLevelType w:val="hybridMultilevel"/>
    <w:tmpl w:val="9FE483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5" w15:restartNumberingAfterBreak="0">
    <w:nsid w:val="442C0911"/>
    <w:multiLevelType w:val="hybridMultilevel"/>
    <w:tmpl w:val="1D9A11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97E2114"/>
    <w:multiLevelType w:val="hybridMultilevel"/>
    <w:tmpl w:val="560C69B4"/>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7" w15:restartNumberingAfterBreak="0">
    <w:nsid w:val="4B401F06"/>
    <w:multiLevelType w:val="hybridMultilevel"/>
    <w:tmpl w:val="BF42EE9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8" w15:restartNumberingAfterBreak="0">
    <w:nsid w:val="54DB2903"/>
    <w:multiLevelType w:val="hybridMultilevel"/>
    <w:tmpl w:val="2D78AC62"/>
    <w:lvl w:ilvl="0" w:tplc="2C0A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65D6B98"/>
    <w:multiLevelType w:val="hybridMultilevel"/>
    <w:tmpl w:val="FB4C385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0" w15:restartNumberingAfterBreak="0">
    <w:nsid w:val="5AB21FD1"/>
    <w:multiLevelType w:val="hybridMultilevel"/>
    <w:tmpl w:val="B0065F0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1" w15:restartNumberingAfterBreak="0">
    <w:nsid w:val="60A27875"/>
    <w:multiLevelType w:val="hybridMultilevel"/>
    <w:tmpl w:val="53F2D32A"/>
    <w:lvl w:ilvl="0" w:tplc="2C0A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70C740F"/>
    <w:multiLevelType w:val="hybridMultilevel"/>
    <w:tmpl w:val="F658245C"/>
    <w:lvl w:ilvl="0" w:tplc="2C0A0019">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3" w15:restartNumberingAfterBreak="0">
    <w:nsid w:val="67FC0C0D"/>
    <w:multiLevelType w:val="hybridMultilevel"/>
    <w:tmpl w:val="F2CAB452"/>
    <w:lvl w:ilvl="0" w:tplc="04090011">
      <w:start w:val="1"/>
      <w:numFmt w:val="decimal"/>
      <w:lvlText w:val="%1)"/>
      <w:lvlJc w:val="left"/>
      <w:pPr>
        <w:ind w:left="720" w:hanging="360"/>
      </w:pPr>
      <w:rPr>
        <w:rFonts w:hint="default"/>
      </w:rPr>
    </w:lvl>
    <w:lvl w:ilvl="1" w:tplc="2C0A0019">
      <w:start w:val="1"/>
      <w:numFmt w:val="lowerLetter"/>
      <w:lvlText w:val="%2."/>
      <w:lvlJc w:val="left"/>
      <w:pPr>
        <w:ind w:left="1440" w:hanging="360"/>
      </w:pPr>
    </w:lvl>
    <w:lvl w:ilvl="2" w:tplc="2C0A001B">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4" w15:restartNumberingAfterBreak="0">
    <w:nsid w:val="6D1A4FDC"/>
    <w:multiLevelType w:val="hybridMultilevel"/>
    <w:tmpl w:val="DF601FEA"/>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5" w15:restartNumberingAfterBreak="0">
    <w:nsid w:val="72BA1A43"/>
    <w:multiLevelType w:val="hybridMultilevel"/>
    <w:tmpl w:val="48FA0A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73537E05"/>
    <w:multiLevelType w:val="hybridMultilevel"/>
    <w:tmpl w:val="E8BE5CFA"/>
    <w:lvl w:ilvl="0" w:tplc="7CD80568">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7" w15:restartNumberingAfterBreak="0">
    <w:nsid w:val="7EF96F70"/>
    <w:multiLevelType w:val="hybridMultilevel"/>
    <w:tmpl w:val="822C6312"/>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14"/>
  </w:num>
  <w:num w:numId="2">
    <w:abstractNumId w:val="0"/>
  </w:num>
  <w:num w:numId="3">
    <w:abstractNumId w:val="3"/>
  </w:num>
  <w:num w:numId="4">
    <w:abstractNumId w:val="8"/>
  </w:num>
  <w:num w:numId="5">
    <w:abstractNumId w:val="19"/>
  </w:num>
  <w:num w:numId="6">
    <w:abstractNumId w:val="22"/>
  </w:num>
  <w:num w:numId="7">
    <w:abstractNumId w:val="7"/>
  </w:num>
  <w:num w:numId="8">
    <w:abstractNumId w:val="6"/>
  </w:num>
  <w:num w:numId="9">
    <w:abstractNumId w:val="16"/>
  </w:num>
  <w:num w:numId="10">
    <w:abstractNumId w:val="20"/>
  </w:num>
  <w:num w:numId="11">
    <w:abstractNumId w:val="11"/>
  </w:num>
  <w:num w:numId="12">
    <w:abstractNumId w:val="1"/>
  </w:num>
  <w:num w:numId="13">
    <w:abstractNumId w:val="10"/>
  </w:num>
  <w:num w:numId="14">
    <w:abstractNumId w:val="17"/>
  </w:num>
  <w:num w:numId="15">
    <w:abstractNumId w:val="9"/>
  </w:num>
  <w:num w:numId="16">
    <w:abstractNumId w:val="26"/>
  </w:num>
  <w:num w:numId="17">
    <w:abstractNumId w:val="15"/>
  </w:num>
  <w:num w:numId="18">
    <w:abstractNumId w:val="5"/>
  </w:num>
  <w:num w:numId="19">
    <w:abstractNumId w:val="13"/>
  </w:num>
  <w:num w:numId="20">
    <w:abstractNumId w:val="25"/>
  </w:num>
  <w:num w:numId="21">
    <w:abstractNumId w:val="2"/>
  </w:num>
  <w:num w:numId="22">
    <w:abstractNumId w:val="4"/>
  </w:num>
  <w:num w:numId="23">
    <w:abstractNumId w:val="12"/>
  </w:num>
  <w:num w:numId="24">
    <w:abstractNumId w:val="21"/>
  </w:num>
  <w:num w:numId="25">
    <w:abstractNumId w:val="18"/>
  </w:num>
  <w:num w:numId="26">
    <w:abstractNumId w:val="27"/>
  </w:num>
  <w:num w:numId="27">
    <w:abstractNumId w:val="24"/>
  </w:num>
  <w:num w:numId="28">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es-AR" w:vendorID="64" w:dllVersion="6" w:nlCheck="1" w:checkStyle="0"/>
  <w:activeWritingStyle w:appName="MSWord" w:lang="en-GB" w:vendorID="64" w:dllVersion="6" w:nlCheck="1" w:checkStyle="1"/>
  <w:activeWritingStyle w:appName="MSWord" w:lang="en-US"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es-AR" w:vendorID="64" w:dllVersion="4096"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TA3tDAztbA0s7Q0NzFW0lEKTi0uzszPAykwrAUAneZa/SwAAAA="/>
  </w:docVars>
  <w:rsids>
    <w:rsidRoot w:val="006339F7"/>
    <w:rsid w:val="00006330"/>
    <w:rsid w:val="0001054A"/>
    <w:rsid w:val="000150B4"/>
    <w:rsid w:val="00021F3A"/>
    <w:rsid w:val="00026EA0"/>
    <w:rsid w:val="000348D7"/>
    <w:rsid w:val="000363AE"/>
    <w:rsid w:val="00037366"/>
    <w:rsid w:val="00073864"/>
    <w:rsid w:val="00096D82"/>
    <w:rsid w:val="000E1C9C"/>
    <w:rsid w:val="000E38E4"/>
    <w:rsid w:val="00102F65"/>
    <w:rsid w:val="001365AE"/>
    <w:rsid w:val="0014646B"/>
    <w:rsid w:val="00163DD1"/>
    <w:rsid w:val="00182602"/>
    <w:rsid w:val="001931F0"/>
    <w:rsid w:val="001A26F1"/>
    <w:rsid w:val="001B60EE"/>
    <w:rsid w:val="001C1D9B"/>
    <w:rsid w:val="001C251A"/>
    <w:rsid w:val="001C522F"/>
    <w:rsid w:val="001E33A3"/>
    <w:rsid w:val="001E475A"/>
    <w:rsid w:val="001E586D"/>
    <w:rsid w:val="001F059C"/>
    <w:rsid w:val="00206F8D"/>
    <w:rsid w:val="002254FC"/>
    <w:rsid w:val="00225AD5"/>
    <w:rsid w:val="00232F6B"/>
    <w:rsid w:val="00237483"/>
    <w:rsid w:val="002450DA"/>
    <w:rsid w:val="00281A86"/>
    <w:rsid w:val="002971D4"/>
    <w:rsid w:val="002B5BDC"/>
    <w:rsid w:val="002C70D9"/>
    <w:rsid w:val="002D18CC"/>
    <w:rsid w:val="002E530A"/>
    <w:rsid w:val="002E6C35"/>
    <w:rsid w:val="002F515A"/>
    <w:rsid w:val="00306EAD"/>
    <w:rsid w:val="00307FCE"/>
    <w:rsid w:val="00337CA0"/>
    <w:rsid w:val="00356B55"/>
    <w:rsid w:val="003574D1"/>
    <w:rsid w:val="003A7BFE"/>
    <w:rsid w:val="003B2C11"/>
    <w:rsid w:val="003D06F6"/>
    <w:rsid w:val="003D1DA0"/>
    <w:rsid w:val="004114AB"/>
    <w:rsid w:val="004332F0"/>
    <w:rsid w:val="00451890"/>
    <w:rsid w:val="004573C7"/>
    <w:rsid w:val="004705D3"/>
    <w:rsid w:val="00484548"/>
    <w:rsid w:val="00492D25"/>
    <w:rsid w:val="004D2215"/>
    <w:rsid w:val="004D7366"/>
    <w:rsid w:val="00527E57"/>
    <w:rsid w:val="005468D7"/>
    <w:rsid w:val="00563D05"/>
    <w:rsid w:val="00571E4B"/>
    <w:rsid w:val="00577835"/>
    <w:rsid w:val="00582BE3"/>
    <w:rsid w:val="005B3748"/>
    <w:rsid w:val="005F332B"/>
    <w:rsid w:val="005F7AAF"/>
    <w:rsid w:val="006339F7"/>
    <w:rsid w:val="00636610"/>
    <w:rsid w:val="00642322"/>
    <w:rsid w:val="00642B27"/>
    <w:rsid w:val="00654F9C"/>
    <w:rsid w:val="0065565D"/>
    <w:rsid w:val="00677CDD"/>
    <w:rsid w:val="006817F9"/>
    <w:rsid w:val="006F7600"/>
    <w:rsid w:val="0071250D"/>
    <w:rsid w:val="00721499"/>
    <w:rsid w:val="0072580A"/>
    <w:rsid w:val="007277EB"/>
    <w:rsid w:val="00734677"/>
    <w:rsid w:val="00736CB4"/>
    <w:rsid w:val="00755C8F"/>
    <w:rsid w:val="007608F0"/>
    <w:rsid w:val="007745AE"/>
    <w:rsid w:val="007A52E6"/>
    <w:rsid w:val="007B538C"/>
    <w:rsid w:val="007F6DD8"/>
    <w:rsid w:val="007F6F86"/>
    <w:rsid w:val="0080040B"/>
    <w:rsid w:val="0084203C"/>
    <w:rsid w:val="00864189"/>
    <w:rsid w:val="00864E79"/>
    <w:rsid w:val="008837A1"/>
    <w:rsid w:val="00887C44"/>
    <w:rsid w:val="00890ED5"/>
    <w:rsid w:val="008B6144"/>
    <w:rsid w:val="008D0BC4"/>
    <w:rsid w:val="008F6744"/>
    <w:rsid w:val="0090522F"/>
    <w:rsid w:val="009224A9"/>
    <w:rsid w:val="009622A0"/>
    <w:rsid w:val="009672D6"/>
    <w:rsid w:val="00967C18"/>
    <w:rsid w:val="009A1653"/>
    <w:rsid w:val="009A18C2"/>
    <w:rsid w:val="009B4B23"/>
    <w:rsid w:val="009B7B61"/>
    <w:rsid w:val="009D67EC"/>
    <w:rsid w:val="009E2FCD"/>
    <w:rsid w:val="009F0857"/>
    <w:rsid w:val="00A322D0"/>
    <w:rsid w:val="00A40442"/>
    <w:rsid w:val="00A5117A"/>
    <w:rsid w:val="00A65B9B"/>
    <w:rsid w:val="00AA022D"/>
    <w:rsid w:val="00AB7ED7"/>
    <w:rsid w:val="00AC1A29"/>
    <w:rsid w:val="00AC7EBE"/>
    <w:rsid w:val="00AD3248"/>
    <w:rsid w:val="00AD41F3"/>
    <w:rsid w:val="00B01124"/>
    <w:rsid w:val="00B2201C"/>
    <w:rsid w:val="00B2205E"/>
    <w:rsid w:val="00B22655"/>
    <w:rsid w:val="00B3511E"/>
    <w:rsid w:val="00B6544E"/>
    <w:rsid w:val="00B6640B"/>
    <w:rsid w:val="00B96ED4"/>
    <w:rsid w:val="00B975FB"/>
    <w:rsid w:val="00BA57A4"/>
    <w:rsid w:val="00BB1D90"/>
    <w:rsid w:val="00BB30CC"/>
    <w:rsid w:val="00BB3E43"/>
    <w:rsid w:val="00BD13FA"/>
    <w:rsid w:val="00BD3BDE"/>
    <w:rsid w:val="00BE7139"/>
    <w:rsid w:val="00BF59E8"/>
    <w:rsid w:val="00C145DE"/>
    <w:rsid w:val="00C257A1"/>
    <w:rsid w:val="00C543E0"/>
    <w:rsid w:val="00C615B5"/>
    <w:rsid w:val="00C617FE"/>
    <w:rsid w:val="00C634E8"/>
    <w:rsid w:val="00C7375E"/>
    <w:rsid w:val="00C741F6"/>
    <w:rsid w:val="00C75E95"/>
    <w:rsid w:val="00C93819"/>
    <w:rsid w:val="00CF5CF8"/>
    <w:rsid w:val="00D15EBF"/>
    <w:rsid w:val="00D31B8A"/>
    <w:rsid w:val="00D34B20"/>
    <w:rsid w:val="00D35339"/>
    <w:rsid w:val="00D67090"/>
    <w:rsid w:val="00D8068A"/>
    <w:rsid w:val="00D97C77"/>
    <w:rsid w:val="00DA44C8"/>
    <w:rsid w:val="00DA4E77"/>
    <w:rsid w:val="00DB6A3C"/>
    <w:rsid w:val="00DC09BD"/>
    <w:rsid w:val="00DC2ADB"/>
    <w:rsid w:val="00DE0487"/>
    <w:rsid w:val="00DE524D"/>
    <w:rsid w:val="00DF5104"/>
    <w:rsid w:val="00DF7D77"/>
    <w:rsid w:val="00E03337"/>
    <w:rsid w:val="00E0495D"/>
    <w:rsid w:val="00E16B1B"/>
    <w:rsid w:val="00E2183E"/>
    <w:rsid w:val="00E3238F"/>
    <w:rsid w:val="00E35CF0"/>
    <w:rsid w:val="00E5224F"/>
    <w:rsid w:val="00E63FAB"/>
    <w:rsid w:val="00E84F18"/>
    <w:rsid w:val="00E90F91"/>
    <w:rsid w:val="00EB2B90"/>
    <w:rsid w:val="00EC6A16"/>
    <w:rsid w:val="00ED1618"/>
    <w:rsid w:val="00ED1B62"/>
    <w:rsid w:val="00ED5491"/>
    <w:rsid w:val="00F001DF"/>
    <w:rsid w:val="00F23059"/>
    <w:rsid w:val="00F34430"/>
    <w:rsid w:val="00F36B48"/>
    <w:rsid w:val="00F44CCA"/>
    <w:rsid w:val="00F52001"/>
    <w:rsid w:val="00F612F1"/>
    <w:rsid w:val="00F75489"/>
    <w:rsid w:val="00F7604C"/>
    <w:rsid w:val="00FA03CC"/>
    <w:rsid w:val="00FB629E"/>
    <w:rsid w:val="00FC52A9"/>
    <w:rsid w:val="00FE42AE"/>
    <w:rsid w:val="00FF0F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chartTrackingRefBased/>
  <w15:docId w15:val="{5A808E77-D478-6D4C-9AB4-6B408DCAA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573C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B4B2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B4B23"/>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character" w:customStyle="1" w:styleId="Heading1Char">
    <w:name w:val="Heading 1 Char"/>
    <w:basedOn w:val="DefaultParagraphFont"/>
    <w:link w:val="Heading1"/>
    <w:uiPriority w:val="9"/>
    <w:rsid w:val="004573C7"/>
    <w:rPr>
      <w:rFonts w:asciiTheme="majorHAnsi" w:eastAsiaTheme="majorEastAsia" w:hAnsiTheme="majorHAnsi" w:cstheme="majorBidi"/>
      <w:color w:val="2F5496" w:themeColor="accent1" w:themeShade="BF"/>
      <w:sz w:val="32"/>
      <w:szCs w:val="32"/>
      <w:lang w:val="en-GB"/>
    </w:rPr>
  </w:style>
  <w:style w:type="numbering" w:customStyle="1" w:styleId="NoList1">
    <w:name w:val="No List1"/>
    <w:next w:val="NoList"/>
    <w:uiPriority w:val="99"/>
    <w:semiHidden/>
    <w:unhideWhenUsed/>
    <w:rsid w:val="004573C7"/>
  </w:style>
  <w:style w:type="paragraph" w:customStyle="1" w:styleId="Default">
    <w:name w:val="Default"/>
    <w:rsid w:val="004573C7"/>
    <w:pPr>
      <w:autoSpaceDE w:val="0"/>
      <w:autoSpaceDN w:val="0"/>
      <w:adjustRightInd w:val="0"/>
    </w:pPr>
    <w:rPr>
      <w:rFonts w:ascii="Arial" w:eastAsia="Times New Roman" w:hAnsi="Arial" w:cs="Arial"/>
      <w:color w:val="000000"/>
      <w:lang w:val="el-GR" w:eastAsia="el-GR"/>
    </w:rPr>
  </w:style>
  <w:style w:type="paragraph" w:styleId="ListParagraph">
    <w:name w:val="List Paragraph"/>
    <w:aliases w:val="Bullet Points,Listenabsatz1,Llista Nivell1,Lista de nivel 1,Paragraphe de liste PBLH,Normal bullet 2,Graph &amp; Table tite,Table of contents numbered,Bullet list,Liststycke SKL,List Paragraph2,Foot note,UEDAŞ Bullet"/>
    <w:basedOn w:val="Normal"/>
    <w:link w:val="ListParagraphChar"/>
    <w:uiPriority w:val="34"/>
    <w:qFormat/>
    <w:rsid w:val="004573C7"/>
    <w:pPr>
      <w:spacing w:after="200" w:line="276" w:lineRule="auto"/>
      <w:ind w:left="720"/>
      <w:contextualSpacing/>
    </w:pPr>
    <w:rPr>
      <w:rFonts w:ascii="Calibri" w:eastAsia="Calibri" w:hAnsi="Calibri" w:cs="Times New Roman"/>
      <w:sz w:val="22"/>
      <w:szCs w:val="22"/>
    </w:rPr>
  </w:style>
  <w:style w:type="character" w:customStyle="1" w:styleId="ListParagraphChar">
    <w:name w:val="List Paragraph Char"/>
    <w:aliases w:val="Bullet Points Char,Listenabsatz1 Char,Llista Nivell1 Char,Lista de nivel 1 Char,Paragraphe de liste PBLH Char,Normal bullet 2 Char,Graph &amp; Table tite Char,Table of contents numbered Char,Bullet list Char,Liststycke SKL Char"/>
    <w:link w:val="ListParagraph"/>
    <w:uiPriority w:val="34"/>
    <w:qFormat/>
    <w:locked/>
    <w:rsid w:val="004573C7"/>
    <w:rPr>
      <w:rFonts w:ascii="Calibri" w:eastAsia="Calibri" w:hAnsi="Calibri" w:cs="Times New Roman"/>
      <w:sz w:val="22"/>
      <w:szCs w:val="22"/>
      <w:lang w:val="en-GB"/>
    </w:rPr>
  </w:style>
  <w:style w:type="paragraph" w:styleId="ListBullet">
    <w:name w:val="List Bullet"/>
    <w:basedOn w:val="Normal"/>
    <w:rsid w:val="004573C7"/>
    <w:pPr>
      <w:numPr>
        <w:numId w:val="1"/>
      </w:numPr>
      <w:spacing w:after="240"/>
      <w:jc w:val="both"/>
    </w:pPr>
    <w:rPr>
      <w:rFonts w:ascii="Times New Roman" w:eastAsia="Times New Roman" w:hAnsi="Times New Roman" w:cs="Times New Roman"/>
      <w:szCs w:val="20"/>
    </w:rPr>
  </w:style>
  <w:style w:type="character" w:styleId="Hyperlink">
    <w:name w:val="Hyperlink"/>
    <w:uiPriority w:val="99"/>
    <w:rsid w:val="004573C7"/>
    <w:rPr>
      <w:u w:val="single"/>
    </w:rPr>
  </w:style>
  <w:style w:type="table" w:styleId="TableGrid">
    <w:name w:val="Table Grid"/>
    <w:basedOn w:val="TableNormal"/>
    <w:uiPriority w:val="39"/>
    <w:rsid w:val="004573C7"/>
    <w:rPr>
      <w:lang w:val="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573C7"/>
    <w:pPr>
      <w:widowControl w:val="0"/>
      <w:autoSpaceDE w:val="0"/>
      <w:autoSpaceDN w:val="0"/>
    </w:pPr>
    <w:rPr>
      <w:rFonts w:ascii="Segoe UI" w:eastAsia="Segoe UI" w:hAnsi="Segoe UI" w:cs="Segoe UI"/>
      <w:sz w:val="22"/>
      <w:szCs w:val="22"/>
      <w:lang w:val="en-US"/>
    </w:rPr>
  </w:style>
  <w:style w:type="paragraph" w:customStyle="1" w:styleId="Text2">
    <w:name w:val="Text 2"/>
    <w:basedOn w:val="Normal"/>
    <w:rsid w:val="004573C7"/>
    <w:pPr>
      <w:tabs>
        <w:tab w:val="left" w:pos="2161"/>
      </w:tabs>
      <w:spacing w:after="120"/>
      <w:ind w:left="1202"/>
      <w:jc w:val="both"/>
    </w:pPr>
    <w:rPr>
      <w:rFonts w:ascii="Arial" w:eastAsia="Times New Roman" w:hAnsi="Arial" w:cs="Times New Roman"/>
      <w:sz w:val="20"/>
      <w:szCs w:val="20"/>
      <w:lang w:eastAsia="en-GB"/>
    </w:rPr>
  </w:style>
  <w:style w:type="paragraph" w:styleId="FootnoteText">
    <w:name w:val="footnote text"/>
    <w:aliases w:val="Fußnote,Fußnotentextf,Podrozdział,Footnote Text Char Char,single space,FOOTNOTES,fn,stile 1,Footnote,Footnote1,Footnote2,Footnote3,Footnote4,Footnote5,Footnote6,Footnote7,Footnote8,Footnote9,Footnote10"/>
    <w:basedOn w:val="Normal"/>
    <w:link w:val="FootnoteTextChar"/>
    <w:uiPriority w:val="99"/>
    <w:rsid w:val="004573C7"/>
    <w:pPr>
      <w:spacing w:after="120"/>
      <w:ind w:left="357" w:hanging="357"/>
      <w:jc w:val="both"/>
    </w:pPr>
    <w:rPr>
      <w:rFonts w:ascii="Arial" w:eastAsia="Times New Roman" w:hAnsi="Arial" w:cs="Times New Roman"/>
      <w:sz w:val="20"/>
      <w:szCs w:val="20"/>
      <w:lang w:eastAsia="en-GB"/>
    </w:rPr>
  </w:style>
  <w:style w:type="character" w:customStyle="1" w:styleId="FootnoteTextChar">
    <w:name w:val="Footnote Text Char"/>
    <w:aliases w:val="Fußnote Char,Fußnotentextf Char,Podrozdział Char,Footnote Text Char Char Char,single space Char,FOOTNOTES Char,fn Char,stile 1 Char,Footnote Char,Footnote1 Char,Footnote2 Char,Footnote3 Char,Footnote4 Char,Footnote5 Char"/>
    <w:basedOn w:val="DefaultParagraphFont"/>
    <w:link w:val="FootnoteText"/>
    <w:uiPriority w:val="99"/>
    <w:rsid w:val="004573C7"/>
    <w:rPr>
      <w:rFonts w:ascii="Arial" w:eastAsia="Times New Roman" w:hAnsi="Arial" w:cs="Times New Roman"/>
      <w:sz w:val="20"/>
      <w:szCs w:val="20"/>
      <w:lang w:val="en-GB" w:eastAsia="en-GB"/>
    </w:rPr>
  </w:style>
  <w:style w:type="character" w:styleId="FootnoteReference">
    <w:name w:val="footnote reference"/>
    <w:aliases w:val="Überschrift 4 Zchn1,Título 4 Car Zchn,Heading 4 Char1 Car Zchn,no vale 2 Zchn,no vale 2 Car Zchn,Footnote Reference Superscript"/>
    <w:uiPriority w:val="99"/>
    <w:rsid w:val="004573C7"/>
    <w:rPr>
      <w:rFonts w:ascii="TimesNewRomanPS" w:hAnsi="TimesNewRomanPS"/>
      <w:position w:val="6"/>
      <w:sz w:val="16"/>
    </w:rPr>
  </w:style>
  <w:style w:type="paragraph" w:styleId="BodyText">
    <w:name w:val="Body Text"/>
    <w:basedOn w:val="Normal"/>
    <w:link w:val="BodyTextChar"/>
    <w:uiPriority w:val="1"/>
    <w:qFormat/>
    <w:rsid w:val="004573C7"/>
    <w:pPr>
      <w:widowControl w:val="0"/>
      <w:autoSpaceDE w:val="0"/>
      <w:autoSpaceDN w:val="0"/>
    </w:pPr>
    <w:rPr>
      <w:rFonts w:ascii="Segoe UI" w:eastAsia="Segoe UI" w:hAnsi="Segoe UI" w:cs="Segoe UI"/>
      <w:sz w:val="20"/>
      <w:szCs w:val="20"/>
      <w:lang w:val="en-US"/>
    </w:rPr>
  </w:style>
  <w:style w:type="character" w:customStyle="1" w:styleId="BodyTextChar">
    <w:name w:val="Body Text Char"/>
    <w:basedOn w:val="DefaultParagraphFont"/>
    <w:link w:val="BodyText"/>
    <w:uiPriority w:val="1"/>
    <w:rsid w:val="004573C7"/>
    <w:rPr>
      <w:rFonts w:ascii="Segoe UI" w:eastAsia="Segoe UI" w:hAnsi="Segoe UI" w:cs="Segoe UI"/>
      <w:sz w:val="20"/>
      <w:szCs w:val="20"/>
      <w:lang w:val="en-US"/>
    </w:rPr>
  </w:style>
  <w:style w:type="paragraph" w:styleId="BalloonText">
    <w:name w:val="Balloon Text"/>
    <w:basedOn w:val="Normal"/>
    <w:link w:val="BalloonTextChar"/>
    <w:uiPriority w:val="99"/>
    <w:semiHidden/>
    <w:unhideWhenUsed/>
    <w:rsid w:val="004573C7"/>
    <w:rPr>
      <w:rFonts w:ascii="Segoe UI" w:hAnsi="Segoe UI" w:cs="Segoe UI"/>
      <w:sz w:val="18"/>
      <w:szCs w:val="18"/>
      <w:lang w:val="en-US"/>
    </w:rPr>
  </w:style>
  <w:style w:type="character" w:customStyle="1" w:styleId="BalloonTextChar">
    <w:name w:val="Balloon Text Char"/>
    <w:basedOn w:val="DefaultParagraphFont"/>
    <w:link w:val="BalloonText"/>
    <w:uiPriority w:val="99"/>
    <w:semiHidden/>
    <w:rsid w:val="004573C7"/>
    <w:rPr>
      <w:rFonts w:ascii="Segoe UI" w:hAnsi="Segoe UI" w:cs="Segoe UI"/>
      <w:sz w:val="18"/>
      <w:szCs w:val="18"/>
      <w:lang w:val="en-US"/>
    </w:rPr>
  </w:style>
  <w:style w:type="character" w:customStyle="1" w:styleId="UnresolvedMention1">
    <w:name w:val="Unresolved Mention1"/>
    <w:basedOn w:val="DefaultParagraphFont"/>
    <w:uiPriority w:val="99"/>
    <w:semiHidden/>
    <w:unhideWhenUsed/>
    <w:rsid w:val="004573C7"/>
    <w:rPr>
      <w:color w:val="605E5C"/>
      <w:shd w:val="clear" w:color="auto" w:fill="E1DFDD"/>
    </w:rPr>
  </w:style>
  <w:style w:type="paragraph" w:styleId="NormalWeb">
    <w:name w:val="Normal (Web)"/>
    <w:basedOn w:val="Normal"/>
    <w:uiPriority w:val="99"/>
    <w:unhideWhenUsed/>
    <w:rsid w:val="004573C7"/>
    <w:pPr>
      <w:spacing w:before="100" w:beforeAutospacing="1" w:after="100" w:afterAutospacing="1"/>
    </w:pPr>
    <w:rPr>
      <w:rFonts w:ascii="Times New Roman" w:eastAsia="Times New Roman" w:hAnsi="Times New Roman" w:cs="Times New Roman"/>
      <w:lang w:eastAsia="en-GB"/>
    </w:rPr>
  </w:style>
  <w:style w:type="paragraph" w:styleId="TOCHeading">
    <w:name w:val="TOC Heading"/>
    <w:basedOn w:val="Heading1"/>
    <w:next w:val="Normal"/>
    <w:uiPriority w:val="39"/>
    <w:unhideWhenUsed/>
    <w:qFormat/>
    <w:rsid w:val="004573C7"/>
    <w:pPr>
      <w:spacing w:line="259" w:lineRule="auto"/>
      <w:outlineLvl w:val="9"/>
    </w:pPr>
    <w:rPr>
      <w:lang w:val="en-US"/>
    </w:rPr>
  </w:style>
  <w:style w:type="paragraph" w:styleId="TOC2">
    <w:name w:val="toc 2"/>
    <w:basedOn w:val="Normal"/>
    <w:next w:val="Normal"/>
    <w:autoRedefine/>
    <w:uiPriority w:val="39"/>
    <w:unhideWhenUsed/>
    <w:rsid w:val="004573C7"/>
    <w:pPr>
      <w:spacing w:before="120"/>
      <w:ind w:left="240"/>
    </w:pPr>
    <w:rPr>
      <w:rFonts w:cstheme="minorHAnsi"/>
      <w:i/>
      <w:iCs/>
      <w:sz w:val="20"/>
      <w:szCs w:val="20"/>
    </w:rPr>
  </w:style>
  <w:style w:type="paragraph" w:styleId="TOC1">
    <w:name w:val="toc 1"/>
    <w:basedOn w:val="Normal"/>
    <w:next w:val="Normal"/>
    <w:autoRedefine/>
    <w:uiPriority w:val="39"/>
    <w:unhideWhenUsed/>
    <w:rsid w:val="007B538C"/>
    <w:pPr>
      <w:spacing w:before="240" w:after="120"/>
    </w:pPr>
    <w:rPr>
      <w:rFonts w:cstheme="minorHAnsi"/>
      <w:b/>
      <w:bCs/>
      <w:sz w:val="20"/>
      <w:szCs w:val="20"/>
    </w:rPr>
  </w:style>
  <w:style w:type="paragraph" w:styleId="TOC3">
    <w:name w:val="toc 3"/>
    <w:basedOn w:val="Normal"/>
    <w:next w:val="Normal"/>
    <w:autoRedefine/>
    <w:uiPriority w:val="39"/>
    <w:unhideWhenUsed/>
    <w:rsid w:val="004573C7"/>
    <w:pPr>
      <w:ind w:left="480"/>
    </w:pPr>
    <w:rPr>
      <w:rFonts w:cstheme="minorHAnsi"/>
      <w:sz w:val="20"/>
      <w:szCs w:val="20"/>
    </w:rPr>
  </w:style>
  <w:style w:type="character" w:customStyle="1" w:styleId="Heading2Char">
    <w:name w:val="Heading 2 Char"/>
    <w:basedOn w:val="DefaultParagraphFont"/>
    <w:link w:val="Heading2"/>
    <w:uiPriority w:val="9"/>
    <w:rsid w:val="009B4B23"/>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9B4B23"/>
    <w:rPr>
      <w:rFonts w:asciiTheme="majorHAnsi" w:eastAsiaTheme="majorEastAsia" w:hAnsiTheme="majorHAnsi" w:cstheme="majorBidi"/>
      <w:color w:val="1F3763" w:themeColor="accent1" w:themeShade="7F"/>
    </w:rPr>
  </w:style>
  <w:style w:type="paragraph" w:styleId="Revision">
    <w:name w:val="Revision"/>
    <w:hidden/>
    <w:uiPriority w:val="99"/>
    <w:semiHidden/>
    <w:rsid w:val="0014646B"/>
  </w:style>
  <w:style w:type="character" w:customStyle="1" w:styleId="Mencinsinresolver1">
    <w:name w:val="Mención sin resolver1"/>
    <w:basedOn w:val="DefaultParagraphFont"/>
    <w:uiPriority w:val="99"/>
    <w:semiHidden/>
    <w:unhideWhenUsed/>
    <w:rsid w:val="00AC1A29"/>
    <w:rPr>
      <w:color w:val="605E5C"/>
      <w:shd w:val="clear" w:color="auto" w:fill="E1DFDD"/>
    </w:rPr>
  </w:style>
  <w:style w:type="table" w:customStyle="1" w:styleId="Tablaconcuadrcula1">
    <w:name w:val="Tabla con cuadrícula1"/>
    <w:basedOn w:val="TableNormal"/>
    <w:next w:val="TableGrid"/>
    <w:uiPriority w:val="39"/>
    <w:rsid w:val="00BB1D90"/>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2">
    <w:name w:val="Mención sin resolver2"/>
    <w:basedOn w:val="DefaultParagraphFont"/>
    <w:uiPriority w:val="99"/>
    <w:semiHidden/>
    <w:unhideWhenUsed/>
    <w:rsid w:val="007B538C"/>
    <w:rPr>
      <w:color w:val="605E5C"/>
      <w:shd w:val="clear" w:color="auto" w:fill="E1DFDD"/>
    </w:rPr>
  </w:style>
  <w:style w:type="character" w:styleId="PageNumber">
    <w:name w:val="page number"/>
    <w:basedOn w:val="DefaultParagraphFont"/>
    <w:uiPriority w:val="99"/>
    <w:semiHidden/>
    <w:unhideWhenUsed/>
    <w:rsid w:val="007B538C"/>
  </w:style>
  <w:style w:type="paragraph" w:styleId="TOC4">
    <w:name w:val="toc 4"/>
    <w:basedOn w:val="Normal"/>
    <w:next w:val="Normal"/>
    <w:autoRedefine/>
    <w:uiPriority w:val="39"/>
    <w:unhideWhenUsed/>
    <w:rsid w:val="002971D4"/>
    <w:pPr>
      <w:ind w:left="720"/>
    </w:pPr>
    <w:rPr>
      <w:rFonts w:cstheme="minorHAnsi"/>
      <w:sz w:val="20"/>
      <w:szCs w:val="20"/>
    </w:rPr>
  </w:style>
  <w:style w:type="paragraph" w:styleId="TOC5">
    <w:name w:val="toc 5"/>
    <w:basedOn w:val="Normal"/>
    <w:next w:val="Normal"/>
    <w:autoRedefine/>
    <w:uiPriority w:val="39"/>
    <w:unhideWhenUsed/>
    <w:rsid w:val="002971D4"/>
    <w:pPr>
      <w:ind w:left="960"/>
    </w:pPr>
    <w:rPr>
      <w:rFonts w:cstheme="minorHAnsi"/>
      <w:sz w:val="20"/>
      <w:szCs w:val="20"/>
    </w:rPr>
  </w:style>
  <w:style w:type="paragraph" w:styleId="TOC6">
    <w:name w:val="toc 6"/>
    <w:basedOn w:val="Normal"/>
    <w:next w:val="Normal"/>
    <w:autoRedefine/>
    <w:uiPriority w:val="39"/>
    <w:unhideWhenUsed/>
    <w:rsid w:val="002971D4"/>
    <w:pPr>
      <w:ind w:left="1200"/>
    </w:pPr>
    <w:rPr>
      <w:rFonts w:cstheme="minorHAnsi"/>
      <w:sz w:val="20"/>
      <w:szCs w:val="20"/>
    </w:rPr>
  </w:style>
  <w:style w:type="paragraph" w:styleId="TOC7">
    <w:name w:val="toc 7"/>
    <w:basedOn w:val="Normal"/>
    <w:next w:val="Normal"/>
    <w:autoRedefine/>
    <w:uiPriority w:val="39"/>
    <w:unhideWhenUsed/>
    <w:rsid w:val="002971D4"/>
    <w:pPr>
      <w:ind w:left="1440"/>
    </w:pPr>
    <w:rPr>
      <w:rFonts w:cstheme="minorHAnsi"/>
      <w:sz w:val="20"/>
      <w:szCs w:val="20"/>
    </w:rPr>
  </w:style>
  <w:style w:type="paragraph" w:styleId="TOC8">
    <w:name w:val="toc 8"/>
    <w:basedOn w:val="Normal"/>
    <w:next w:val="Normal"/>
    <w:autoRedefine/>
    <w:uiPriority w:val="39"/>
    <w:unhideWhenUsed/>
    <w:rsid w:val="002971D4"/>
    <w:pPr>
      <w:ind w:left="1680"/>
    </w:pPr>
    <w:rPr>
      <w:rFonts w:cstheme="minorHAnsi"/>
      <w:sz w:val="20"/>
      <w:szCs w:val="20"/>
    </w:rPr>
  </w:style>
  <w:style w:type="paragraph" w:styleId="TOC9">
    <w:name w:val="toc 9"/>
    <w:basedOn w:val="Normal"/>
    <w:next w:val="Normal"/>
    <w:autoRedefine/>
    <w:uiPriority w:val="39"/>
    <w:unhideWhenUsed/>
    <w:rsid w:val="002971D4"/>
    <w:pPr>
      <w:ind w:left="1920"/>
    </w:pPr>
    <w:rPr>
      <w:rFonts w:cstheme="minorHAnsi"/>
      <w:sz w:val="20"/>
      <w:szCs w:val="20"/>
    </w:rPr>
  </w:style>
  <w:style w:type="character" w:styleId="FollowedHyperlink">
    <w:name w:val="FollowedHyperlink"/>
    <w:basedOn w:val="DefaultParagraphFont"/>
    <w:uiPriority w:val="99"/>
    <w:semiHidden/>
    <w:unhideWhenUsed/>
    <w:rsid w:val="008F674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6886810">
      <w:bodyDiv w:val="1"/>
      <w:marLeft w:val="0"/>
      <w:marRight w:val="0"/>
      <w:marTop w:val="0"/>
      <w:marBottom w:val="0"/>
      <w:divBdr>
        <w:top w:val="none" w:sz="0" w:space="0" w:color="auto"/>
        <w:left w:val="none" w:sz="0" w:space="0" w:color="auto"/>
        <w:bottom w:val="none" w:sz="0" w:space="0" w:color="auto"/>
        <w:right w:val="none" w:sz="0" w:space="0" w:color="auto"/>
      </w:divBdr>
    </w:div>
    <w:div w:id="634413150">
      <w:bodyDiv w:val="1"/>
      <w:marLeft w:val="0"/>
      <w:marRight w:val="0"/>
      <w:marTop w:val="0"/>
      <w:marBottom w:val="0"/>
      <w:divBdr>
        <w:top w:val="none" w:sz="0" w:space="0" w:color="auto"/>
        <w:left w:val="none" w:sz="0" w:space="0" w:color="auto"/>
        <w:bottom w:val="none" w:sz="0" w:space="0" w:color="auto"/>
        <w:right w:val="none" w:sz="0" w:space="0" w:color="auto"/>
      </w:divBdr>
    </w:div>
    <w:div w:id="1117991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hyperlink" Target="about:blank" TargetMode="External"/><Relationship Id="rId21" Type="http://schemas.openxmlformats.org/officeDocument/2006/relationships/image" Target="media/image9.png"/><Relationship Id="rId34" Type="http://schemas.openxmlformats.org/officeDocument/2006/relationships/hyperlink" Target="about:blank" TargetMode="External"/><Relationship Id="rId42" Type="http://schemas.openxmlformats.org/officeDocument/2006/relationships/hyperlink" Target="about:blank" TargetMode="External"/><Relationship Id="rId47" Type="http://schemas.openxmlformats.org/officeDocument/2006/relationships/hyperlink" Target="about:blank" TargetMode="External"/><Relationship Id="rId50" Type="http://schemas.openxmlformats.org/officeDocument/2006/relationships/hyperlink" Target="about:blank" TargetMode="External"/><Relationship Id="rId55" Type="http://schemas.openxmlformats.org/officeDocument/2006/relationships/hyperlink" Target="about:blank"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8.png"/><Relationship Id="rId29" Type="http://schemas.openxmlformats.org/officeDocument/2006/relationships/hyperlink" Target="about:blank" TargetMode="External"/><Relationship Id="rId41" Type="http://schemas.openxmlformats.org/officeDocument/2006/relationships/hyperlink" Target="about:blank" TargetMode="External"/><Relationship Id="rId54" Type="http://schemas.openxmlformats.org/officeDocument/2006/relationships/hyperlink" Target="about:blank"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2.png"/><Relationship Id="rId32" Type="http://schemas.openxmlformats.org/officeDocument/2006/relationships/hyperlink" Target="about:blank" TargetMode="External"/><Relationship Id="rId37" Type="http://schemas.openxmlformats.org/officeDocument/2006/relationships/hyperlink" Target="about:blank" TargetMode="External"/><Relationship Id="rId40" Type="http://schemas.openxmlformats.org/officeDocument/2006/relationships/hyperlink" Target="about:blank" TargetMode="External"/><Relationship Id="rId45" Type="http://schemas.openxmlformats.org/officeDocument/2006/relationships/hyperlink" Target="about:blank" TargetMode="External"/><Relationship Id="rId53" Type="http://schemas.openxmlformats.org/officeDocument/2006/relationships/hyperlink" Target="about:blank" TargetMode="External"/><Relationship Id="rId58" Type="http://schemas.openxmlformats.org/officeDocument/2006/relationships/image" Target="media/image18.svg"/><Relationship Id="rId5" Type="http://schemas.openxmlformats.org/officeDocument/2006/relationships/webSettings" Target="webSettings.xml"/><Relationship Id="rId15" Type="http://schemas.openxmlformats.org/officeDocument/2006/relationships/hyperlink" Target="about:blank"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yperlink" Target="about:blank" TargetMode="External"/><Relationship Id="rId49" Type="http://schemas.openxmlformats.org/officeDocument/2006/relationships/hyperlink" Target="about:blank" TargetMode="External"/><Relationship Id="rId57" Type="http://schemas.openxmlformats.org/officeDocument/2006/relationships/image" Target="media/image17.png"/><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yperlink" Target="about:blank" TargetMode="External"/><Relationship Id="rId31" Type="http://schemas.openxmlformats.org/officeDocument/2006/relationships/hyperlink" Target="about:blank" TargetMode="External"/><Relationship Id="rId44" Type="http://schemas.openxmlformats.org/officeDocument/2006/relationships/hyperlink" Target="about:blank" TargetMode="External"/><Relationship Id="rId52" Type="http://schemas.openxmlformats.org/officeDocument/2006/relationships/hyperlink" Target="about:blank" TargetMode="External"/><Relationship Id="rId6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footer" Target="footer2.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hyperlink" Target="about:blank" TargetMode="External"/><Relationship Id="rId35" Type="http://schemas.openxmlformats.org/officeDocument/2006/relationships/hyperlink" Target="about:blank" TargetMode="External"/><Relationship Id="rId43" Type="http://schemas.openxmlformats.org/officeDocument/2006/relationships/hyperlink" Target="about:blank" TargetMode="External"/><Relationship Id="rId48" Type="http://schemas.openxmlformats.org/officeDocument/2006/relationships/hyperlink" Target="about:blank" TargetMode="External"/><Relationship Id="rId56" Type="http://schemas.openxmlformats.org/officeDocument/2006/relationships/hyperlink" Target="about:blank" TargetMode="External"/><Relationship Id="rId8" Type="http://schemas.openxmlformats.org/officeDocument/2006/relationships/image" Target="media/image1.png"/><Relationship Id="rId51" Type="http://schemas.openxmlformats.org/officeDocument/2006/relationships/hyperlink" Target="about:blank" TargetMode="Externa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about:blank" TargetMode="External"/><Relationship Id="rId25" Type="http://schemas.openxmlformats.org/officeDocument/2006/relationships/image" Target="media/image13.emf"/><Relationship Id="rId33" Type="http://schemas.openxmlformats.org/officeDocument/2006/relationships/hyperlink" Target="about:blank" TargetMode="External"/><Relationship Id="rId38" Type="http://schemas.openxmlformats.org/officeDocument/2006/relationships/hyperlink" Target="about:blank" TargetMode="External"/><Relationship Id="rId46" Type="http://schemas.openxmlformats.org/officeDocument/2006/relationships/hyperlink" Target="about:blank" TargetMode="External"/><Relationship Id="rId59" Type="http://schemas.openxmlformats.org/officeDocument/2006/relationships/header" Target="header2.xml"/></Relationships>
</file>

<file path=word/_rels/footnotes.xml.rels><?xml version="1.0" encoding="UTF-8" standalone="yes"?>
<Relationships xmlns="http://schemas.openxmlformats.org/package/2006/relationships"><Relationship Id="rId8" Type="http://schemas.openxmlformats.org/officeDocument/2006/relationships/hyperlink" Target="about:blank" TargetMode="External"/><Relationship Id="rId13" Type="http://schemas.openxmlformats.org/officeDocument/2006/relationships/hyperlink" Target="about:blank" TargetMode="External"/><Relationship Id="rId3" Type="http://schemas.openxmlformats.org/officeDocument/2006/relationships/hyperlink" Target="about:blank" TargetMode="External"/><Relationship Id="rId7" Type="http://schemas.openxmlformats.org/officeDocument/2006/relationships/hyperlink" Target="about:blank" TargetMode="External"/><Relationship Id="rId12" Type="http://schemas.openxmlformats.org/officeDocument/2006/relationships/hyperlink" Target="about:blank" TargetMode="External"/><Relationship Id="rId2" Type="http://schemas.openxmlformats.org/officeDocument/2006/relationships/hyperlink" Target="about:blank" TargetMode="External"/><Relationship Id="rId1" Type="http://schemas.openxmlformats.org/officeDocument/2006/relationships/hyperlink" Target="about:blank" TargetMode="External"/><Relationship Id="rId6" Type="http://schemas.openxmlformats.org/officeDocument/2006/relationships/hyperlink" Target="about:blank" TargetMode="External"/><Relationship Id="rId11" Type="http://schemas.openxmlformats.org/officeDocument/2006/relationships/hyperlink" Target="about:blank" TargetMode="External"/><Relationship Id="rId5" Type="http://schemas.openxmlformats.org/officeDocument/2006/relationships/hyperlink" Target="about:blank" TargetMode="External"/><Relationship Id="rId10" Type="http://schemas.openxmlformats.org/officeDocument/2006/relationships/hyperlink" Target="about:blank" TargetMode="External"/><Relationship Id="rId4" Type="http://schemas.openxmlformats.org/officeDocument/2006/relationships/hyperlink" Target="about:blank" TargetMode="External"/><Relationship Id="rId9" Type="http://schemas.openxmlformats.org/officeDocument/2006/relationships/hyperlink" Target="about:blank" TargetMode="External"/><Relationship Id="rId14" Type="http://schemas.openxmlformats.org/officeDocument/2006/relationships/hyperlink" Target="about:blan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D5D316-919F-4F95-862B-C310AABC3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36</Pages>
  <Words>9266</Words>
  <Characters>52820</Characters>
  <Application>Microsoft Office Word</Application>
  <DocSecurity>0</DocSecurity>
  <Lines>440</Lines>
  <Paragraphs>123</Paragraphs>
  <ScaleCrop>false</ScaleCrop>
  <HeadingPairs>
    <vt:vector size="6" baseType="variant">
      <vt:variant>
        <vt:lpstr>Title</vt:lpstr>
      </vt:variant>
      <vt:variant>
        <vt:i4>1</vt:i4>
      </vt:variant>
      <vt:variant>
        <vt:lpstr>Título</vt:lpstr>
      </vt:variant>
      <vt:variant>
        <vt:i4>1</vt:i4>
      </vt:variant>
      <vt:variant>
        <vt:lpstr>Konu Başlığı</vt:lpstr>
      </vt:variant>
      <vt:variant>
        <vt:i4>1</vt:i4>
      </vt:variant>
    </vt:vector>
  </HeadingPairs>
  <TitlesOfParts>
    <vt:vector size="3" baseType="lpstr">
      <vt:lpstr/>
      <vt:lpstr/>
      <vt:lpstr/>
    </vt:vector>
  </TitlesOfParts>
  <Company/>
  <LinksUpToDate>false</LinksUpToDate>
  <CharactersWithSpaces>61963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İpek Çetin</dc:creator>
  <cp:keywords/>
  <dc:description/>
  <cp:lastModifiedBy>Michael Chambers</cp:lastModifiedBy>
  <cp:revision>16</cp:revision>
  <cp:lastPrinted>2021-03-03T13:39:00Z</cp:lastPrinted>
  <dcterms:created xsi:type="dcterms:W3CDTF">2021-07-14T13:14:00Z</dcterms:created>
  <dcterms:modified xsi:type="dcterms:W3CDTF">2022-11-01T10:25:00Z</dcterms:modified>
</cp:coreProperties>
</file>