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93B942" w14:textId="77777777" w:rsidR="00BB44E1" w:rsidRDefault="00230B49">
      <w:pPr>
        <w:rPr>
          <w:sz w:val="22"/>
          <w:szCs w:val="22"/>
        </w:rPr>
      </w:pPr>
      <w:r>
        <w:rPr>
          <w:noProof/>
          <w:sz w:val="22"/>
          <w:szCs w:val="22"/>
        </w:rPr>
        <w:drawing>
          <wp:anchor distT="0" distB="0" distL="0" distR="0" simplePos="0" relativeHeight="251658240" behindDoc="1" locked="0" layoutInCell="1" hidden="0" allowOverlap="1" wp14:anchorId="4788EF4A" wp14:editId="6B50B6E8">
            <wp:simplePos x="0" y="0"/>
            <wp:positionH relativeFrom="margin">
              <wp:align>center</wp:align>
            </wp:positionH>
            <wp:positionV relativeFrom="page">
              <wp:posOffset>411480</wp:posOffset>
            </wp:positionV>
            <wp:extent cx="1990725" cy="1071880"/>
            <wp:effectExtent l="0" t="0" r="0" b="0"/>
            <wp:wrapNone/>
            <wp:docPr id="5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9"/>
                    <a:srcRect/>
                    <a:stretch>
                      <a:fillRect/>
                    </a:stretch>
                  </pic:blipFill>
                  <pic:spPr>
                    <a:xfrm>
                      <a:off x="0" y="0"/>
                      <a:ext cx="1990725" cy="1071880"/>
                    </a:xfrm>
                    <a:prstGeom prst="rect">
                      <a:avLst/>
                    </a:prstGeom>
                    <a:ln/>
                  </pic:spPr>
                </pic:pic>
              </a:graphicData>
            </a:graphic>
          </wp:anchor>
        </w:drawing>
      </w:r>
      <w:r>
        <w:rPr>
          <w:noProof/>
          <w:sz w:val="22"/>
          <w:szCs w:val="22"/>
        </w:rPr>
        <w:drawing>
          <wp:anchor distT="0" distB="0" distL="0" distR="0" simplePos="0" relativeHeight="251659264" behindDoc="1" locked="0" layoutInCell="1" hidden="0" allowOverlap="1" wp14:anchorId="1285D7FF" wp14:editId="33BC12E6">
            <wp:simplePos x="0" y="0"/>
            <wp:positionH relativeFrom="page">
              <wp:align>left</wp:align>
            </wp:positionH>
            <wp:positionV relativeFrom="margin">
              <wp:posOffset>-1322704</wp:posOffset>
            </wp:positionV>
            <wp:extent cx="7560000" cy="10698601"/>
            <wp:effectExtent l="0" t="0" r="0" b="0"/>
            <wp:wrapNone/>
            <wp:docPr id="44"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0"/>
                    <a:srcRect/>
                    <a:stretch>
                      <a:fillRect/>
                    </a:stretch>
                  </pic:blipFill>
                  <pic:spPr>
                    <a:xfrm>
                      <a:off x="0" y="0"/>
                      <a:ext cx="7560000" cy="10698601"/>
                    </a:xfrm>
                    <a:prstGeom prst="rect">
                      <a:avLst/>
                    </a:prstGeom>
                    <a:ln/>
                  </pic:spPr>
                </pic:pic>
              </a:graphicData>
            </a:graphic>
          </wp:anchor>
        </w:drawing>
      </w:r>
      <w:r>
        <w:rPr>
          <w:sz w:val="22"/>
          <w:szCs w:val="22"/>
        </w:rPr>
        <w:t xml:space="preserve">                                          </w:t>
      </w:r>
    </w:p>
    <w:p w14:paraId="1B36C590" w14:textId="77777777" w:rsidR="00BB44E1" w:rsidRDefault="00BB44E1">
      <w:pPr>
        <w:rPr>
          <w:sz w:val="22"/>
          <w:szCs w:val="22"/>
        </w:rPr>
      </w:pPr>
    </w:p>
    <w:p w14:paraId="1F45DBB7" w14:textId="4E8D08BC" w:rsidR="00BB44E1" w:rsidRDefault="00BF6983">
      <w:pPr>
        <w:rPr>
          <w:b/>
          <w:sz w:val="22"/>
          <w:szCs w:val="22"/>
        </w:rPr>
      </w:pPr>
      <w:r>
        <w:rPr>
          <w:noProof/>
        </w:rPr>
        <mc:AlternateContent>
          <mc:Choice Requires="wps">
            <w:drawing>
              <wp:anchor distT="45720" distB="45720" distL="114300" distR="114300" simplePos="0" relativeHeight="251661312" behindDoc="0" locked="0" layoutInCell="1" hidden="0" allowOverlap="1" wp14:anchorId="2E98A27A" wp14:editId="6B86DD2B">
                <wp:simplePos x="0" y="0"/>
                <wp:positionH relativeFrom="column">
                  <wp:posOffset>-558800</wp:posOffset>
                </wp:positionH>
                <wp:positionV relativeFrom="paragraph">
                  <wp:posOffset>1589405</wp:posOffset>
                </wp:positionV>
                <wp:extent cx="6918960" cy="6059805"/>
                <wp:effectExtent l="0" t="0" r="0" b="0"/>
                <wp:wrapSquare wrapText="bothSides" distT="45720" distB="45720" distL="114300" distR="114300"/>
                <wp:docPr id="42" name="Rectangle 42"/>
                <wp:cNvGraphicFramePr/>
                <a:graphic xmlns:a="http://schemas.openxmlformats.org/drawingml/2006/main">
                  <a:graphicData uri="http://schemas.microsoft.com/office/word/2010/wordprocessingShape">
                    <wps:wsp>
                      <wps:cNvSpPr/>
                      <wps:spPr>
                        <a:xfrm>
                          <a:off x="0" y="0"/>
                          <a:ext cx="6918960" cy="6059805"/>
                        </a:xfrm>
                        <a:prstGeom prst="rect">
                          <a:avLst/>
                        </a:prstGeom>
                        <a:noFill/>
                        <a:ln>
                          <a:noFill/>
                        </a:ln>
                      </wps:spPr>
                      <wps:txbx>
                        <w:txbxContent>
                          <w:p w14:paraId="1D5E81D9" w14:textId="77777777" w:rsidR="00BF6983" w:rsidRDefault="00BF6983">
                            <w:pPr>
                              <w:spacing w:after="160" w:line="258" w:lineRule="auto"/>
                              <w:textDirection w:val="btLr"/>
                            </w:pPr>
                            <w:r>
                              <w:rPr>
                                <w:rFonts w:ascii="Tahoma" w:eastAsia="Tahoma" w:hAnsi="Tahoma" w:cs="Tahoma"/>
                                <w:b/>
                                <w:color w:val="234B7D"/>
                                <w:sz w:val="40"/>
                              </w:rPr>
                              <w:t>TECHNICAL ASSISTANCE FOR PROMOTING</w:t>
                            </w:r>
                            <w:r>
                              <w:rPr>
                                <w:rFonts w:ascii="Tahoma" w:eastAsia="Tahoma" w:hAnsi="Tahoma" w:cs="Tahoma"/>
                                <w:b/>
                                <w:color w:val="234B7D"/>
                                <w:sz w:val="40"/>
                              </w:rPr>
                              <w:br/>
                              <w:t>DECENT FUTURE OF WORK APPROACH WITH</w:t>
                            </w:r>
                            <w:r>
                              <w:rPr>
                                <w:rFonts w:ascii="Tahoma" w:eastAsia="Tahoma" w:hAnsi="Tahoma" w:cs="Tahoma"/>
                                <w:b/>
                                <w:color w:val="234B7D"/>
                                <w:sz w:val="40"/>
                              </w:rPr>
                              <w:br/>
                              <w:t>A FOCUS ON GENDER EQUALITY</w:t>
                            </w:r>
                            <w:r>
                              <w:rPr>
                                <w:rFonts w:ascii="Tahoma" w:eastAsia="Tahoma" w:hAnsi="Tahoma" w:cs="Tahoma"/>
                                <w:b/>
                                <w:color w:val="234B7D"/>
                                <w:sz w:val="20"/>
                              </w:rPr>
                              <w:br/>
                            </w:r>
                            <w:r>
                              <w:rPr>
                                <w:rFonts w:ascii="Tahoma" w:eastAsia="Tahoma" w:hAnsi="Tahoma" w:cs="Tahoma"/>
                                <w:b/>
                                <w:color w:val="234B7D"/>
                                <w:sz w:val="20"/>
                              </w:rPr>
                              <w:br/>
                            </w:r>
                            <w:r>
                              <w:rPr>
                                <w:rFonts w:ascii="Tahoma" w:eastAsia="Tahoma" w:hAnsi="Tahoma" w:cs="Tahoma"/>
                                <w:b/>
                                <w:color w:val="234B7D"/>
                                <w:sz w:val="32"/>
                              </w:rPr>
                              <w:t>(TREESP1.3. FoW/P-01)</w:t>
                            </w:r>
                          </w:p>
                          <w:p w14:paraId="4DA82F15" w14:textId="6904BA20" w:rsidR="00BF6983" w:rsidRDefault="00BF6983">
                            <w:pPr>
                              <w:spacing w:after="160" w:line="258" w:lineRule="auto"/>
                              <w:textDirection w:val="btLr"/>
                            </w:pPr>
                            <w:r>
                              <w:rPr>
                                <w:rFonts w:ascii="Tahoma" w:eastAsia="Tahoma" w:hAnsi="Tahoma" w:cs="Tahoma"/>
                                <w:b/>
                                <w:color w:val="234B7D"/>
                                <w:sz w:val="32"/>
                              </w:rPr>
                              <w:t>TÜRKIYE</w:t>
                            </w:r>
                          </w:p>
                          <w:p w14:paraId="51DCD944" w14:textId="77777777" w:rsidR="00BF6983" w:rsidRDefault="00BF6983">
                            <w:pPr>
                              <w:spacing w:after="160" w:line="258" w:lineRule="auto"/>
                              <w:textDirection w:val="btLr"/>
                              <w:rPr>
                                <w:rFonts w:ascii="Tahoma" w:eastAsia="Tahoma" w:hAnsi="Tahoma" w:cs="Tahoma"/>
                                <w:b/>
                                <w:color w:val="234B7D"/>
                              </w:rPr>
                            </w:pPr>
                          </w:p>
                          <w:p w14:paraId="48231CE2" w14:textId="16151BB7" w:rsidR="00BF6983" w:rsidRPr="00BF6983" w:rsidRDefault="00BF6983">
                            <w:pPr>
                              <w:spacing w:after="160" w:line="258" w:lineRule="auto"/>
                              <w:textDirection w:val="btLr"/>
                              <w:rPr>
                                <w:sz w:val="28"/>
                                <w:szCs w:val="28"/>
                              </w:rPr>
                            </w:pPr>
                            <w:r w:rsidRPr="00BF6983">
                              <w:rPr>
                                <w:rFonts w:ascii="Tahoma" w:eastAsia="Tahoma" w:hAnsi="Tahoma" w:cs="Tahoma"/>
                                <w:b/>
                                <w:color w:val="234B7D"/>
                                <w:sz w:val="28"/>
                                <w:szCs w:val="28"/>
                              </w:rPr>
                              <w:t>CATEGORY 3: SCIENTIFIC AND TECHNICAL STUDIES</w:t>
                            </w:r>
                          </w:p>
                          <w:p w14:paraId="0617E54B" w14:textId="7EBD4940" w:rsidR="00BF6983" w:rsidRPr="00BF6983" w:rsidRDefault="00BF6983">
                            <w:pPr>
                              <w:spacing w:line="258" w:lineRule="auto"/>
                              <w:textDirection w:val="btLr"/>
                              <w:rPr>
                                <w:rFonts w:ascii="Tahoma" w:eastAsia="Tahoma" w:hAnsi="Tahoma" w:cs="Tahoma"/>
                                <w:b/>
                                <w:color w:val="234B7D"/>
                                <w:sz w:val="28"/>
                                <w:szCs w:val="28"/>
                              </w:rPr>
                            </w:pPr>
                            <w:r w:rsidRPr="00BF6983">
                              <w:rPr>
                                <w:rFonts w:ascii="Tahoma" w:eastAsia="Tahoma" w:hAnsi="Tahoma" w:cs="Tahoma"/>
                                <w:b/>
                                <w:color w:val="234B7D"/>
                                <w:sz w:val="28"/>
                                <w:szCs w:val="28"/>
                              </w:rPr>
                              <w:t>INTERVENTION 11: IMPACT ASSESMENT</w:t>
                            </w:r>
                          </w:p>
                          <w:p w14:paraId="3EB01B24" w14:textId="050E121E" w:rsidR="00BF6983" w:rsidRDefault="00BF6983">
                            <w:pPr>
                              <w:spacing w:line="258" w:lineRule="auto"/>
                              <w:textDirection w:val="btLr"/>
                              <w:rPr>
                                <w:rFonts w:ascii="Tahoma" w:eastAsia="Tahoma" w:hAnsi="Tahoma" w:cs="Tahoma"/>
                                <w:b/>
                                <w:color w:val="234B7D"/>
                              </w:rPr>
                            </w:pPr>
                          </w:p>
                          <w:p w14:paraId="07D9BACE" w14:textId="130561A0" w:rsidR="00BF6983" w:rsidRPr="00BF6983" w:rsidRDefault="00BF6983">
                            <w:pPr>
                              <w:spacing w:line="258" w:lineRule="auto"/>
                              <w:textDirection w:val="btLr"/>
                              <w:rPr>
                                <w:rFonts w:ascii="Tahoma" w:eastAsia="Tahoma" w:hAnsi="Tahoma" w:cs="Tahoma"/>
                                <w:b/>
                                <w:color w:val="234B7D"/>
                                <w:sz w:val="32"/>
                                <w:szCs w:val="32"/>
                              </w:rPr>
                            </w:pPr>
                            <w:r w:rsidRPr="00BF6983">
                              <w:rPr>
                                <w:rFonts w:ascii="Tahoma" w:eastAsia="Tahoma" w:hAnsi="Tahoma" w:cs="Tahoma"/>
                                <w:b/>
                                <w:color w:val="234B7D"/>
                                <w:sz w:val="32"/>
                                <w:szCs w:val="32"/>
                              </w:rPr>
                              <w:t>ANNEX 1 TO EXECUTIVE SUMMARY REPORT</w:t>
                            </w:r>
                          </w:p>
                          <w:p w14:paraId="507EEE7F" w14:textId="309060E5" w:rsidR="00BF6983" w:rsidRPr="00BF6983" w:rsidRDefault="00BF6983">
                            <w:pPr>
                              <w:spacing w:line="258" w:lineRule="auto"/>
                              <w:textDirection w:val="btLr"/>
                              <w:rPr>
                                <w:rFonts w:ascii="Tahoma" w:eastAsia="Tahoma" w:hAnsi="Tahoma" w:cs="Tahoma"/>
                                <w:b/>
                                <w:color w:val="234B7D"/>
                                <w:sz w:val="32"/>
                                <w:szCs w:val="32"/>
                              </w:rPr>
                            </w:pPr>
                          </w:p>
                          <w:p w14:paraId="2DE1F41B" w14:textId="2DBDB9F7" w:rsidR="00BF6983" w:rsidRPr="00BF6983" w:rsidRDefault="00BF6983">
                            <w:pPr>
                              <w:spacing w:line="258" w:lineRule="auto"/>
                              <w:textDirection w:val="btLr"/>
                              <w:rPr>
                                <w:sz w:val="32"/>
                                <w:szCs w:val="32"/>
                              </w:rPr>
                            </w:pPr>
                            <w:r w:rsidRPr="00BF6983">
                              <w:rPr>
                                <w:rFonts w:ascii="Tahoma" w:eastAsia="Tahoma" w:hAnsi="Tahoma" w:cs="Tahoma"/>
                                <w:b/>
                                <w:color w:val="234B7D"/>
                                <w:sz w:val="32"/>
                                <w:szCs w:val="32"/>
                              </w:rPr>
                              <w:t>DESK RESEARCH REPORT</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2E98A27A" id="Rectangle 42" o:spid="_x0000_s1026" style="position:absolute;margin-left:-44pt;margin-top:125.15pt;width:544.8pt;height:477.1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" filled="f" stroked="f">
                <v:textbox inset="2.53958mm,1.2694mm,2.53958mm,1.2694mm">
                  <w:txbxContent>
                    <w:p w14:paraId="1D5E81D9" w14:textId="77777777" w:rsidR="00BF6983" w:rsidRDefault="00BF6983">
                      <w:pPr>
                        <w:spacing w:after="160" w:line="258" w:lineRule="auto"/>
                        <w:textDirection w:val="btLr"/>
                      </w:pPr>
                      <w:r>
                        <w:rPr>
                          <w:rFonts w:ascii="Tahoma" w:eastAsia="Tahoma" w:hAnsi="Tahoma" w:cs="Tahoma"/>
                          <w:b/>
                          <w:color w:val="234B7D"/>
                          <w:sz w:val="40"/>
                        </w:rPr>
                        <w:t>TECHNICAL ASSISTANCE FOR PROMOTING</w:t>
                      </w:r>
                      <w:r>
                        <w:rPr>
                          <w:rFonts w:ascii="Tahoma" w:eastAsia="Tahoma" w:hAnsi="Tahoma" w:cs="Tahoma"/>
                          <w:b/>
                          <w:color w:val="234B7D"/>
                          <w:sz w:val="40"/>
                        </w:rPr>
                        <w:br/>
                        <w:t>DECENT FUTURE OF WORK APPROACH WITH</w:t>
                      </w:r>
                      <w:r>
                        <w:rPr>
                          <w:rFonts w:ascii="Tahoma" w:eastAsia="Tahoma" w:hAnsi="Tahoma" w:cs="Tahoma"/>
                          <w:b/>
                          <w:color w:val="234B7D"/>
                          <w:sz w:val="40"/>
                        </w:rPr>
                        <w:br/>
                        <w:t>A FOCUS ON GENDER EQUALITY</w:t>
                      </w:r>
                      <w:r>
                        <w:rPr>
                          <w:rFonts w:ascii="Tahoma" w:eastAsia="Tahoma" w:hAnsi="Tahoma" w:cs="Tahoma"/>
                          <w:b/>
                          <w:color w:val="234B7D"/>
                          <w:sz w:val="20"/>
                        </w:rPr>
                        <w:br/>
                      </w:r>
                      <w:r>
                        <w:rPr>
                          <w:rFonts w:ascii="Tahoma" w:eastAsia="Tahoma" w:hAnsi="Tahoma" w:cs="Tahoma"/>
                          <w:b/>
                          <w:color w:val="234B7D"/>
                          <w:sz w:val="20"/>
                        </w:rPr>
                        <w:br/>
                      </w:r>
                      <w:r>
                        <w:rPr>
                          <w:rFonts w:ascii="Tahoma" w:eastAsia="Tahoma" w:hAnsi="Tahoma" w:cs="Tahoma"/>
                          <w:b/>
                          <w:color w:val="234B7D"/>
                          <w:sz w:val="32"/>
                        </w:rPr>
                        <w:t>(TREESP1.3. FoW/P-01)</w:t>
                      </w:r>
                    </w:p>
                    <w:p w14:paraId="4DA82F15" w14:textId="6904BA20" w:rsidR="00BF6983" w:rsidRDefault="00BF6983">
                      <w:pPr>
                        <w:spacing w:after="160" w:line="258" w:lineRule="auto"/>
                        <w:textDirection w:val="btLr"/>
                      </w:pPr>
                      <w:r>
                        <w:rPr>
                          <w:rFonts w:ascii="Tahoma" w:eastAsia="Tahoma" w:hAnsi="Tahoma" w:cs="Tahoma"/>
                          <w:b/>
                          <w:color w:val="234B7D"/>
                          <w:sz w:val="32"/>
                        </w:rPr>
                        <w:t>TÜRKIYE</w:t>
                      </w:r>
                    </w:p>
                    <w:p w14:paraId="51DCD944" w14:textId="77777777" w:rsidR="00BF6983" w:rsidRDefault="00BF6983">
                      <w:pPr>
                        <w:spacing w:after="160" w:line="258" w:lineRule="auto"/>
                        <w:textDirection w:val="btLr"/>
                        <w:rPr>
                          <w:rFonts w:ascii="Tahoma" w:eastAsia="Tahoma" w:hAnsi="Tahoma" w:cs="Tahoma"/>
                          <w:b/>
                          <w:color w:val="234B7D"/>
                        </w:rPr>
                      </w:pPr>
                    </w:p>
                    <w:p w14:paraId="48231CE2" w14:textId="16151BB7" w:rsidR="00BF6983" w:rsidRPr="00BF6983" w:rsidRDefault="00BF6983">
                      <w:pPr>
                        <w:spacing w:after="160" w:line="258" w:lineRule="auto"/>
                        <w:textDirection w:val="btLr"/>
                        <w:rPr>
                          <w:sz w:val="28"/>
                          <w:szCs w:val="28"/>
                        </w:rPr>
                      </w:pPr>
                      <w:r w:rsidRPr="00BF6983">
                        <w:rPr>
                          <w:rFonts w:ascii="Tahoma" w:eastAsia="Tahoma" w:hAnsi="Tahoma" w:cs="Tahoma"/>
                          <w:b/>
                          <w:color w:val="234B7D"/>
                          <w:sz w:val="28"/>
                          <w:szCs w:val="28"/>
                        </w:rPr>
                        <w:t>CATEGORY 3: SCIENTIFIC AND TECHNICAL STUDIES</w:t>
                      </w:r>
                    </w:p>
                    <w:p w14:paraId="0617E54B" w14:textId="7EBD4940" w:rsidR="00BF6983" w:rsidRPr="00BF6983" w:rsidRDefault="00BF6983">
                      <w:pPr>
                        <w:spacing w:line="258" w:lineRule="auto"/>
                        <w:textDirection w:val="btLr"/>
                        <w:rPr>
                          <w:rFonts w:ascii="Tahoma" w:eastAsia="Tahoma" w:hAnsi="Tahoma" w:cs="Tahoma"/>
                          <w:b/>
                          <w:color w:val="234B7D"/>
                          <w:sz w:val="28"/>
                          <w:szCs w:val="28"/>
                        </w:rPr>
                      </w:pPr>
                      <w:r w:rsidRPr="00BF6983">
                        <w:rPr>
                          <w:rFonts w:ascii="Tahoma" w:eastAsia="Tahoma" w:hAnsi="Tahoma" w:cs="Tahoma"/>
                          <w:b/>
                          <w:color w:val="234B7D"/>
                          <w:sz w:val="28"/>
                          <w:szCs w:val="28"/>
                        </w:rPr>
                        <w:t>INTERVENTION 11: IMPACT ASSESMENT</w:t>
                      </w:r>
                    </w:p>
                    <w:p w14:paraId="3EB01B24" w14:textId="050E121E" w:rsidR="00BF6983" w:rsidRDefault="00BF6983">
                      <w:pPr>
                        <w:spacing w:line="258" w:lineRule="auto"/>
                        <w:textDirection w:val="btLr"/>
                        <w:rPr>
                          <w:rFonts w:ascii="Tahoma" w:eastAsia="Tahoma" w:hAnsi="Tahoma" w:cs="Tahoma"/>
                          <w:b/>
                          <w:color w:val="234B7D"/>
                        </w:rPr>
                      </w:pPr>
                    </w:p>
                    <w:p w14:paraId="07D9BACE" w14:textId="130561A0" w:rsidR="00BF6983" w:rsidRPr="00BF6983" w:rsidRDefault="00BF6983">
                      <w:pPr>
                        <w:spacing w:line="258" w:lineRule="auto"/>
                        <w:textDirection w:val="btLr"/>
                        <w:rPr>
                          <w:rFonts w:ascii="Tahoma" w:eastAsia="Tahoma" w:hAnsi="Tahoma" w:cs="Tahoma"/>
                          <w:b/>
                          <w:color w:val="234B7D"/>
                          <w:sz w:val="32"/>
                          <w:szCs w:val="32"/>
                        </w:rPr>
                      </w:pPr>
                      <w:r w:rsidRPr="00BF6983">
                        <w:rPr>
                          <w:rFonts w:ascii="Tahoma" w:eastAsia="Tahoma" w:hAnsi="Tahoma" w:cs="Tahoma"/>
                          <w:b/>
                          <w:color w:val="234B7D"/>
                          <w:sz w:val="32"/>
                          <w:szCs w:val="32"/>
                        </w:rPr>
                        <w:t>ANNEX 1 TO EXECUTIVE SUMMARY REPORT</w:t>
                      </w:r>
                    </w:p>
                    <w:p w14:paraId="507EEE7F" w14:textId="309060E5" w:rsidR="00BF6983" w:rsidRPr="00BF6983" w:rsidRDefault="00BF6983">
                      <w:pPr>
                        <w:spacing w:line="258" w:lineRule="auto"/>
                        <w:textDirection w:val="btLr"/>
                        <w:rPr>
                          <w:rFonts w:ascii="Tahoma" w:eastAsia="Tahoma" w:hAnsi="Tahoma" w:cs="Tahoma"/>
                          <w:b/>
                          <w:color w:val="234B7D"/>
                          <w:sz w:val="32"/>
                          <w:szCs w:val="32"/>
                        </w:rPr>
                      </w:pPr>
                    </w:p>
                    <w:p w14:paraId="2DE1F41B" w14:textId="2DBDB9F7" w:rsidR="00BF6983" w:rsidRPr="00BF6983" w:rsidRDefault="00BF6983">
                      <w:pPr>
                        <w:spacing w:line="258" w:lineRule="auto"/>
                        <w:textDirection w:val="btLr"/>
                        <w:rPr>
                          <w:sz w:val="32"/>
                          <w:szCs w:val="32"/>
                        </w:rPr>
                      </w:pPr>
                      <w:r w:rsidRPr="00BF6983">
                        <w:rPr>
                          <w:rFonts w:ascii="Tahoma" w:eastAsia="Tahoma" w:hAnsi="Tahoma" w:cs="Tahoma"/>
                          <w:b/>
                          <w:color w:val="234B7D"/>
                          <w:sz w:val="32"/>
                          <w:szCs w:val="32"/>
                        </w:rPr>
                        <w:t>DESK RESEARCH REPORT</w:t>
                      </w:r>
                    </w:p>
                  </w:txbxContent>
                </v:textbox>
                <w10:wrap type="square"/>
              </v:rect>
            </w:pict>
          </mc:Fallback>
        </mc:AlternateContent>
      </w:r>
      <w:r w:rsidR="00230B49">
        <w:rPr>
          <w:noProof/>
          <w:sz w:val="22"/>
          <w:szCs w:val="22"/>
        </w:rPr>
        <w:drawing>
          <wp:anchor distT="0" distB="0" distL="0" distR="0" simplePos="0" relativeHeight="251660288" behindDoc="1" locked="0" layoutInCell="1" hidden="0" allowOverlap="1" wp14:anchorId="512DE369" wp14:editId="687A1586">
            <wp:simplePos x="0" y="0"/>
            <wp:positionH relativeFrom="margin">
              <wp:posOffset>-290829</wp:posOffset>
            </wp:positionH>
            <wp:positionV relativeFrom="bottomMargin">
              <wp:align>top</wp:align>
            </wp:positionV>
            <wp:extent cx="6479540" cy="644525"/>
            <wp:effectExtent l="0" t="0" r="0" b="0"/>
            <wp:wrapNone/>
            <wp:docPr id="5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6479540" cy="644525"/>
                    </a:xfrm>
                    <a:prstGeom prst="rect">
                      <a:avLst/>
                    </a:prstGeom>
                    <a:ln/>
                  </pic:spPr>
                </pic:pic>
              </a:graphicData>
            </a:graphic>
          </wp:anchor>
        </w:drawing>
      </w:r>
      <w:r w:rsidR="00230B49">
        <w:br w:type="page"/>
      </w:r>
    </w:p>
    <w:p w14:paraId="560AB583" w14:textId="77777777" w:rsidR="00BB44E1" w:rsidRDefault="00230B49">
      <w:pPr>
        <w:rPr>
          <w:b/>
          <w:sz w:val="22"/>
          <w:szCs w:val="22"/>
        </w:rPr>
      </w:pPr>
      <w:r>
        <w:rPr>
          <w:b/>
          <w:noProof/>
          <w:sz w:val="22"/>
          <w:szCs w:val="22"/>
        </w:rPr>
        <w:lastRenderedPageBreak/>
        <w:drawing>
          <wp:anchor distT="0" distB="0" distL="0" distR="0" simplePos="0" relativeHeight="251662336" behindDoc="1" locked="0" layoutInCell="1" hidden="0" allowOverlap="1" wp14:anchorId="366413A3" wp14:editId="38523480">
            <wp:simplePos x="0" y="0"/>
            <wp:positionH relativeFrom="page">
              <wp:posOffset>8890</wp:posOffset>
            </wp:positionH>
            <wp:positionV relativeFrom="page">
              <wp:align>bottom</wp:align>
            </wp:positionV>
            <wp:extent cx="7560000" cy="10699362"/>
            <wp:effectExtent l="0" t="0" r="0" b="0"/>
            <wp:wrapNone/>
            <wp:docPr id="4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2"/>
                    <a:srcRect/>
                    <a:stretch>
                      <a:fillRect/>
                    </a:stretch>
                  </pic:blipFill>
                  <pic:spPr>
                    <a:xfrm>
                      <a:off x="0" y="0"/>
                      <a:ext cx="7560000" cy="10699362"/>
                    </a:xfrm>
                    <a:prstGeom prst="rect">
                      <a:avLst/>
                    </a:prstGeom>
                    <a:ln/>
                  </pic:spPr>
                </pic:pic>
              </a:graphicData>
            </a:graphic>
          </wp:anchor>
        </w:drawing>
      </w:r>
      <w:r>
        <w:br w:type="page"/>
      </w:r>
    </w:p>
    <w:p w14:paraId="73E2435B" w14:textId="77777777" w:rsidR="00BB44E1" w:rsidRDefault="00230B49">
      <w:pPr>
        <w:keepNext/>
        <w:keepLines/>
        <w:pBdr>
          <w:top w:val="nil"/>
          <w:left w:val="nil"/>
          <w:bottom w:val="nil"/>
          <w:right w:val="nil"/>
          <w:between w:val="nil"/>
        </w:pBdr>
        <w:spacing w:before="240" w:after="120" w:line="259" w:lineRule="auto"/>
        <w:rPr>
          <w:color w:val="2F5496"/>
          <w:sz w:val="32"/>
          <w:szCs w:val="32"/>
        </w:rPr>
      </w:pPr>
      <w:r>
        <w:rPr>
          <w:color w:val="2F5496"/>
          <w:sz w:val="32"/>
          <w:szCs w:val="32"/>
        </w:rPr>
        <w:lastRenderedPageBreak/>
        <w:t>Table of Contents</w:t>
      </w:r>
    </w:p>
    <w:p w14:paraId="4A3EFDA2" w14:textId="77777777" w:rsidR="00BB44E1" w:rsidRDefault="00BB44E1"/>
    <w:p w14:paraId="19371A8C" w14:textId="77777777" w:rsidR="00B93B70" w:rsidRPr="00DB0C40" w:rsidRDefault="00B93B70" w:rsidP="00B93B70">
      <w:pPr>
        <w:spacing w:after="160" w:line="259" w:lineRule="auto"/>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List of Abbreviations</w:t>
      </w:r>
    </w:p>
    <w:p w14:paraId="720223C7" w14:textId="77777777" w:rsidR="00B93B70" w:rsidRPr="00DB0C40" w:rsidRDefault="00B93B70" w:rsidP="00B93B70">
      <w:pPr>
        <w:spacing w:after="160" w:line="259" w:lineRule="auto"/>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Executive Summary</w:t>
      </w:r>
    </w:p>
    <w:p w14:paraId="57238EF7" w14:textId="28CEE5AC" w:rsidR="00B93B70" w:rsidRPr="00DB0C40" w:rsidRDefault="00B93B70" w:rsidP="00B93B70">
      <w:pPr>
        <w:numPr>
          <w:ilvl w:val="0"/>
          <w:numId w:val="9"/>
        </w:numPr>
        <w:spacing w:after="160" w:line="259" w:lineRule="auto"/>
        <w:rPr>
          <w:rFonts w:asciiTheme="minorHAnsi" w:eastAsiaTheme="minorHAnsi" w:hAnsiTheme="minorHAnsi" w:cstheme="minorHAnsi"/>
          <w:sz w:val="22"/>
          <w:szCs w:val="22"/>
        </w:rPr>
      </w:pPr>
      <w:bookmarkStart w:id="0" w:name="_Hlk118279846"/>
      <w:r w:rsidRPr="00DB0C40">
        <w:rPr>
          <w:rFonts w:asciiTheme="minorHAnsi" w:eastAsiaTheme="minorHAnsi" w:hAnsiTheme="minorHAnsi" w:cstheme="minorHAnsi"/>
          <w:sz w:val="22"/>
          <w:szCs w:val="22"/>
        </w:rPr>
        <w:t xml:space="preserve">Introduction  </w:t>
      </w:r>
    </w:p>
    <w:p w14:paraId="0A30755F" w14:textId="77777777" w:rsidR="00B93B70" w:rsidRPr="00DB0C40" w:rsidRDefault="00B93B70" w:rsidP="00B93B70">
      <w:pPr>
        <w:numPr>
          <w:ilvl w:val="0"/>
          <w:numId w:val="9"/>
        </w:numPr>
        <w:spacing w:after="160" w:line="259" w:lineRule="auto"/>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Context</w:t>
      </w:r>
    </w:p>
    <w:p w14:paraId="0013769C" w14:textId="244DB168" w:rsidR="00B93B70" w:rsidRPr="00DB0C40" w:rsidRDefault="00B93B70" w:rsidP="00B93B70">
      <w:pPr>
        <w:numPr>
          <w:ilvl w:val="0"/>
          <w:numId w:val="9"/>
        </w:numPr>
        <w:spacing w:after="160" w:line="259" w:lineRule="auto"/>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Impact of legislation on women’s participation in labour force and women’s employment</w:t>
      </w:r>
    </w:p>
    <w:p w14:paraId="05BA01E3" w14:textId="77777777" w:rsidR="00B93B70" w:rsidRPr="00DB0C40" w:rsidRDefault="00B93B70" w:rsidP="00B93B70">
      <w:pPr>
        <w:numPr>
          <w:ilvl w:val="1"/>
          <w:numId w:val="9"/>
        </w:numPr>
        <w:spacing w:after="160" w:line="259" w:lineRule="auto"/>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International Legal Frameworks to Promote Gender Equality at Work</w:t>
      </w:r>
    </w:p>
    <w:p w14:paraId="4BE71252"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Normative International instruments - ILO conventions and recommendations on gender equality at work</w:t>
      </w:r>
    </w:p>
    <w:p w14:paraId="7AB6A567" w14:textId="77777777" w:rsidR="00B93B70" w:rsidRPr="00DB0C40" w:rsidRDefault="00B93B70" w:rsidP="00B93B70">
      <w:pPr>
        <w:keepNext/>
        <w:keepLines/>
        <w:numPr>
          <w:ilvl w:val="3"/>
          <w:numId w:val="9"/>
        </w:numPr>
        <w:spacing w:before="40" w:after="160" w:line="259" w:lineRule="auto"/>
        <w:contextualSpacing/>
        <w:outlineLvl w:val="2"/>
        <w:rPr>
          <w:rFonts w:asciiTheme="minorHAnsi" w:eastAsiaTheme="majorEastAsia" w:hAnsiTheme="minorHAnsi" w:cstheme="minorHAnsi"/>
          <w:sz w:val="22"/>
          <w:szCs w:val="22"/>
        </w:rPr>
      </w:pPr>
      <w:r w:rsidRPr="00DB0C40">
        <w:rPr>
          <w:rFonts w:asciiTheme="minorHAnsi" w:eastAsiaTheme="majorEastAsia" w:hAnsiTheme="minorHAnsi" w:cstheme="minorHAnsi"/>
          <w:sz w:val="22"/>
          <w:szCs w:val="22"/>
        </w:rPr>
        <w:t>Convention on the Elimination of all Forms of Discrimination against Women (CEDAW)</w:t>
      </w:r>
    </w:p>
    <w:p w14:paraId="4BF45156" w14:textId="77777777" w:rsidR="00B93B70" w:rsidRPr="00DB0C40" w:rsidRDefault="00B93B70" w:rsidP="00B93B70">
      <w:pPr>
        <w:keepNext/>
        <w:keepLines/>
        <w:numPr>
          <w:ilvl w:val="3"/>
          <w:numId w:val="9"/>
        </w:numPr>
        <w:spacing w:before="40" w:after="160" w:line="259" w:lineRule="auto"/>
        <w:contextualSpacing/>
        <w:outlineLvl w:val="2"/>
        <w:rPr>
          <w:rFonts w:asciiTheme="minorHAnsi" w:eastAsiaTheme="majorEastAsia" w:hAnsiTheme="minorHAnsi" w:cstheme="minorHAnsi"/>
          <w:sz w:val="22"/>
          <w:szCs w:val="22"/>
        </w:rPr>
      </w:pPr>
      <w:r w:rsidRPr="00DB0C40">
        <w:rPr>
          <w:rFonts w:asciiTheme="minorHAnsi" w:eastAsiaTheme="majorEastAsia" w:hAnsiTheme="minorHAnsi" w:cstheme="minorHAnsi"/>
          <w:sz w:val="22"/>
          <w:szCs w:val="22"/>
        </w:rPr>
        <w:t>ILO Declaration for the Future of Work</w:t>
      </w:r>
    </w:p>
    <w:p w14:paraId="76E11FE3" w14:textId="77777777" w:rsidR="00B93B70" w:rsidRPr="00DB0C40" w:rsidRDefault="00B93B70" w:rsidP="00B93B70">
      <w:pPr>
        <w:keepNext/>
        <w:keepLines/>
        <w:numPr>
          <w:ilvl w:val="3"/>
          <w:numId w:val="9"/>
        </w:numPr>
        <w:spacing w:before="40" w:after="160" w:line="259" w:lineRule="auto"/>
        <w:contextualSpacing/>
        <w:outlineLvl w:val="2"/>
        <w:rPr>
          <w:rFonts w:asciiTheme="minorHAnsi" w:eastAsiaTheme="majorEastAsia" w:hAnsiTheme="minorHAnsi" w:cstheme="minorHAnsi"/>
          <w:sz w:val="22"/>
          <w:szCs w:val="22"/>
        </w:rPr>
      </w:pPr>
      <w:r w:rsidRPr="00DB0C40">
        <w:rPr>
          <w:rFonts w:asciiTheme="minorHAnsi" w:eastAsiaTheme="majorEastAsia" w:hAnsiTheme="minorHAnsi" w:cstheme="minorHAnsi"/>
          <w:sz w:val="22"/>
          <w:szCs w:val="22"/>
        </w:rPr>
        <w:t>ILO Declaration on Fundamental Principles and Rights at Work</w:t>
      </w:r>
    </w:p>
    <w:p w14:paraId="35914AE4" w14:textId="77777777" w:rsidR="00B93B70" w:rsidRPr="00DB0C40" w:rsidRDefault="00B93B70" w:rsidP="00B93B70">
      <w:pPr>
        <w:keepNext/>
        <w:keepLines/>
        <w:numPr>
          <w:ilvl w:val="3"/>
          <w:numId w:val="9"/>
        </w:numPr>
        <w:spacing w:before="40" w:after="160" w:line="259" w:lineRule="auto"/>
        <w:contextualSpacing/>
        <w:outlineLvl w:val="2"/>
        <w:rPr>
          <w:rFonts w:asciiTheme="minorHAnsi" w:eastAsiaTheme="majorEastAsia" w:hAnsiTheme="minorHAnsi" w:cstheme="minorHAnsi"/>
          <w:sz w:val="22"/>
          <w:szCs w:val="22"/>
        </w:rPr>
      </w:pPr>
      <w:r w:rsidRPr="00DB0C40">
        <w:rPr>
          <w:rFonts w:asciiTheme="minorHAnsi" w:eastAsiaTheme="majorEastAsia" w:hAnsiTheme="minorHAnsi" w:cstheme="minorHAnsi"/>
          <w:sz w:val="22"/>
          <w:szCs w:val="22"/>
        </w:rPr>
        <w:t>ILO Tripartite Declaration of Principles concerning Multinational Enterprises and Social Policy (MNE Declaration)</w:t>
      </w:r>
    </w:p>
    <w:p w14:paraId="21F2D762" w14:textId="77777777" w:rsidR="00B93B70" w:rsidRPr="00DB0C40" w:rsidRDefault="00B93B70" w:rsidP="00B93B70">
      <w:pPr>
        <w:numPr>
          <w:ilvl w:val="1"/>
          <w:numId w:val="9"/>
        </w:numPr>
        <w:spacing w:after="160" w:line="259" w:lineRule="auto"/>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Oher International initiatives </w:t>
      </w:r>
    </w:p>
    <w:p w14:paraId="7C3D9A2C"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2030 Agenda for Sustainable Development (SDGs)</w:t>
      </w:r>
    </w:p>
    <w:p w14:paraId="62508670"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Beijing Declaration and Platform for Action for Equality, Development and Peace (</w:t>
      </w:r>
      <w:proofErr w:type="spellStart"/>
      <w:r w:rsidRPr="00DB0C40">
        <w:rPr>
          <w:rFonts w:asciiTheme="minorHAnsi" w:eastAsiaTheme="minorHAnsi" w:hAnsiTheme="minorHAnsi" w:cstheme="minorHAnsi"/>
          <w:sz w:val="22"/>
          <w:szCs w:val="22"/>
        </w:rPr>
        <w:t>BDPfA</w:t>
      </w:r>
      <w:proofErr w:type="spellEnd"/>
      <w:r w:rsidRPr="00DB0C40">
        <w:rPr>
          <w:rFonts w:asciiTheme="minorHAnsi" w:eastAsiaTheme="minorHAnsi" w:hAnsiTheme="minorHAnsi" w:cstheme="minorHAnsi"/>
          <w:sz w:val="22"/>
          <w:szCs w:val="22"/>
        </w:rPr>
        <w:t>)</w:t>
      </w:r>
    </w:p>
    <w:p w14:paraId="46426BA7"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61st Commission on the Status of Women</w:t>
      </w:r>
    </w:p>
    <w:p w14:paraId="7D28ADE5"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UN Secretary-General’s High-Level Panel on Women’s Economic Empowerment</w:t>
      </w:r>
    </w:p>
    <w:p w14:paraId="1CA42E4B"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UN Women’s Empowerment Principles (WEPs)</w:t>
      </w:r>
    </w:p>
    <w:p w14:paraId="6190AFB6"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Equal Pay International Coalition (EPIC)</w:t>
      </w:r>
    </w:p>
    <w:p w14:paraId="1538F89F" w14:textId="77777777" w:rsidR="00372C2F" w:rsidRDefault="00372C2F" w:rsidP="00372C2F">
      <w:pPr>
        <w:spacing w:after="160" w:line="259" w:lineRule="auto"/>
        <w:ind w:left="1080"/>
        <w:rPr>
          <w:rFonts w:asciiTheme="minorHAnsi" w:eastAsiaTheme="minorHAnsi" w:hAnsiTheme="minorHAnsi" w:cstheme="minorHAnsi"/>
          <w:sz w:val="22"/>
          <w:szCs w:val="22"/>
        </w:rPr>
      </w:pPr>
    </w:p>
    <w:p w14:paraId="06B1C95D" w14:textId="539BA5EB" w:rsidR="00B93B70" w:rsidRPr="00DB0C40" w:rsidRDefault="00B93B70" w:rsidP="00B93B70">
      <w:pPr>
        <w:numPr>
          <w:ilvl w:val="1"/>
          <w:numId w:val="9"/>
        </w:numPr>
        <w:spacing w:after="160" w:line="259" w:lineRule="auto"/>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G7 and EU policy frameworks</w:t>
      </w:r>
    </w:p>
    <w:p w14:paraId="6D86AC01"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G7 recommendations on gender equality at work</w:t>
      </w:r>
    </w:p>
    <w:p w14:paraId="62819D8B"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European Union frameworks</w:t>
      </w:r>
    </w:p>
    <w:p w14:paraId="2185CF04" w14:textId="77777777" w:rsidR="00B93B70" w:rsidRPr="00DB0C40" w:rsidRDefault="00B93B70" w:rsidP="00B93B70">
      <w:pPr>
        <w:numPr>
          <w:ilvl w:val="3"/>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Main European legislation</w:t>
      </w:r>
    </w:p>
    <w:p w14:paraId="2563870D" w14:textId="77777777" w:rsidR="00B93B70" w:rsidRPr="00DB0C40" w:rsidRDefault="00B93B70" w:rsidP="00B93B70">
      <w:pPr>
        <w:numPr>
          <w:ilvl w:val="3"/>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Progress in case-law of the European Court of Justice (ECJ)</w:t>
      </w:r>
    </w:p>
    <w:p w14:paraId="7640B2D8" w14:textId="7E5E5CB2" w:rsidR="00B93B70" w:rsidRDefault="00B93B70" w:rsidP="00B93B70">
      <w:pPr>
        <w:numPr>
          <w:ilvl w:val="3"/>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Latest developments</w:t>
      </w:r>
    </w:p>
    <w:p w14:paraId="0517278E" w14:textId="77777777" w:rsidR="00372C2F" w:rsidRPr="00DB0C40" w:rsidRDefault="00372C2F" w:rsidP="00372C2F">
      <w:pPr>
        <w:spacing w:after="160" w:line="259" w:lineRule="auto"/>
        <w:ind w:left="2160"/>
        <w:contextualSpacing/>
        <w:rPr>
          <w:rFonts w:asciiTheme="minorHAnsi" w:eastAsiaTheme="minorHAnsi" w:hAnsiTheme="minorHAnsi" w:cstheme="minorHAnsi"/>
          <w:sz w:val="22"/>
          <w:szCs w:val="22"/>
        </w:rPr>
      </w:pPr>
    </w:p>
    <w:p w14:paraId="2B1A005B" w14:textId="274E3545" w:rsidR="00B93B70" w:rsidRPr="00DB0C40" w:rsidRDefault="00B93B70" w:rsidP="00B93B70">
      <w:pPr>
        <w:numPr>
          <w:ilvl w:val="1"/>
          <w:numId w:val="9"/>
        </w:numPr>
        <w:spacing w:after="160" w:line="259" w:lineRule="auto"/>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Main Actions </w:t>
      </w:r>
      <w:r w:rsidR="00372C2F">
        <w:rPr>
          <w:rFonts w:asciiTheme="minorHAnsi" w:eastAsiaTheme="minorHAnsi" w:hAnsiTheme="minorHAnsi" w:cstheme="minorHAnsi"/>
          <w:sz w:val="22"/>
          <w:szCs w:val="22"/>
        </w:rPr>
        <w:t>f</w:t>
      </w:r>
      <w:r w:rsidRPr="00DB0C40">
        <w:rPr>
          <w:rFonts w:asciiTheme="minorHAnsi" w:eastAsiaTheme="minorHAnsi" w:hAnsiTheme="minorHAnsi" w:cstheme="minorHAnsi"/>
          <w:sz w:val="22"/>
          <w:szCs w:val="22"/>
        </w:rPr>
        <w:t>or Gender Equality In The World Of Work</w:t>
      </w:r>
    </w:p>
    <w:p w14:paraId="1F8C6E84"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Achieving equal pay for work of equal value</w:t>
      </w:r>
    </w:p>
    <w:p w14:paraId="69786E0E" w14:textId="77777777" w:rsidR="00B93B70" w:rsidRPr="00DB0C40" w:rsidRDefault="00B93B70" w:rsidP="00B93B70">
      <w:pPr>
        <w:numPr>
          <w:ilvl w:val="3"/>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International Labour Standards and other key instruments</w:t>
      </w:r>
    </w:p>
    <w:p w14:paraId="4C230074" w14:textId="77777777" w:rsidR="00B93B70" w:rsidRPr="00DB0C40" w:rsidRDefault="00B93B70" w:rsidP="00B93B70">
      <w:pPr>
        <w:numPr>
          <w:ilvl w:val="3"/>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Some examples of national legal framework in European countries (France and Spain)</w:t>
      </w:r>
    </w:p>
    <w:p w14:paraId="75D53529" w14:textId="1B4D6895" w:rsidR="00B93B70" w:rsidRPr="00DB0C40" w:rsidRDefault="00B93B70" w:rsidP="00B93B70">
      <w:pPr>
        <w:numPr>
          <w:ilvl w:val="3"/>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Laws and policies during the COVID</w:t>
      </w:r>
      <w:r w:rsidR="000A4570">
        <w:rPr>
          <w:rFonts w:asciiTheme="minorHAnsi" w:eastAsiaTheme="minorHAnsi" w:hAnsiTheme="minorHAnsi" w:cstheme="minorHAnsi"/>
          <w:sz w:val="22"/>
          <w:szCs w:val="22"/>
        </w:rPr>
        <w:t xml:space="preserve"> related to </w:t>
      </w:r>
      <w:r w:rsidR="000A4570" w:rsidRPr="000A4570">
        <w:rPr>
          <w:rFonts w:asciiTheme="minorHAnsi" w:eastAsiaTheme="minorHAnsi" w:hAnsiTheme="minorHAnsi" w:cstheme="minorHAnsi"/>
          <w:sz w:val="22"/>
          <w:szCs w:val="22"/>
        </w:rPr>
        <w:t>equal pay for work of equal value</w:t>
      </w:r>
    </w:p>
    <w:p w14:paraId="0F6549A1"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lastRenderedPageBreak/>
        <w:t>Preventing and ending mobbing, gender-based violence and harassment in the world of work</w:t>
      </w:r>
    </w:p>
    <w:p w14:paraId="3BC64FF9" w14:textId="77777777" w:rsidR="00B93B70" w:rsidRPr="00DB0C40" w:rsidRDefault="00B93B70" w:rsidP="00B93B70">
      <w:pPr>
        <w:numPr>
          <w:ilvl w:val="3"/>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International Labour Standards and other key instruments</w:t>
      </w:r>
    </w:p>
    <w:p w14:paraId="41F6DCEC" w14:textId="77777777" w:rsidR="00B93B70" w:rsidRPr="00DB0C40" w:rsidRDefault="00B93B70" w:rsidP="00B93B70">
      <w:pPr>
        <w:numPr>
          <w:ilvl w:val="3"/>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Some examples of national legal framework in European countries (EU and Finland)</w:t>
      </w:r>
    </w:p>
    <w:p w14:paraId="36861EEE" w14:textId="6455350C" w:rsidR="00B93B70" w:rsidRDefault="00B93B70" w:rsidP="00B93B70">
      <w:pPr>
        <w:numPr>
          <w:ilvl w:val="3"/>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Laws and policies during the COVID</w:t>
      </w:r>
    </w:p>
    <w:p w14:paraId="04622278" w14:textId="77777777" w:rsidR="00372C2F" w:rsidRDefault="00372C2F" w:rsidP="00372C2F">
      <w:pPr>
        <w:spacing w:after="160" w:line="259" w:lineRule="auto"/>
        <w:ind w:left="1800"/>
        <w:contextualSpacing/>
        <w:rPr>
          <w:rFonts w:asciiTheme="minorHAnsi" w:eastAsiaTheme="minorHAnsi" w:hAnsiTheme="minorHAnsi" w:cstheme="minorHAnsi"/>
          <w:sz w:val="22"/>
          <w:szCs w:val="22"/>
        </w:rPr>
      </w:pPr>
    </w:p>
    <w:p w14:paraId="525D5817" w14:textId="56BBF991"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Promoting work – life balance and equal sharing of care responsibilities</w:t>
      </w:r>
    </w:p>
    <w:p w14:paraId="62095D12" w14:textId="77777777" w:rsidR="00B93B70" w:rsidRPr="00DB0C40" w:rsidRDefault="00B93B70" w:rsidP="00B93B70">
      <w:pPr>
        <w:numPr>
          <w:ilvl w:val="3"/>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International Labour Standards and other key instruments</w:t>
      </w:r>
    </w:p>
    <w:p w14:paraId="6FAD3105" w14:textId="77777777" w:rsidR="000A4570" w:rsidRDefault="00B93B70" w:rsidP="00BF6983">
      <w:pPr>
        <w:numPr>
          <w:ilvl w:val="3"/>
          <w:numId w:val="9"/>
        </w:numPr>
        <w:spacing w:after="160" w:line="259" w:lineRule="auto"/>
        <w:contextualSpacing/>
        <w:rPr>
          <w:rFonts w:asciiTheme="minorHAnsi" w:eastAsiaTheme="minorHAnsi" w:hAnsiTheme="minorHAnsi" w:cstheme="minorHAnsi"/>
          <w:sz w:val="22"/>
          <w:szCs w:val="22"/>
        </w:rPr>
      </w:pPr>
      <w:r w:rsidRPr="000A4570">
        <w:rPr>
          <w:rFonts w:asciiTheme="minorHAnsi" w:eastAsiaTheme="minorHAnsi" w:hAnsiTheme="minorHAnsi" w:cstheme="minorHAnsi"/>
          <w:sz w:val="22"/>
          <w:szCs w:val="22"/>
        </w:rPr>
        <w:t>Some examples of national legal framework in European (Germany and Norway)</w:t>
      </w:r>
    </w:p>
    <w:p w14:paraId="16F97558" w14:textId="43D1138F" w:rsidR="000A4570" w:rsidRDefault="00B93B70" w:rsidP="00BF6983">
      <w:pPr>
        <w:numPr>
          <w:ilvl w:val="3"/>
          <w:numId w:val="9"/>
        </w:numPr>
        <w:spacing w:after="160" w:line="259" w:lineRule="auto"/>
        <w:contextualSpacing/>
        <w:rPr>
          <w:rFonts w:asciiTheme="minorHAnsi" w:eastAsiaTheme="minorHAnsi" w:hAnsiTheme="minorHAnsi" w:cstheme="minorHAnsi"/>
          <w:sz w:val="22"/>
          <w:szCs w:val="22"/>
        </w:rPr>
      </w:pPr>
      <w:r w:rsidRPr="000A4570">
        <w:rPr>
          <w:rFonts w:asciiTheme="minorHAnsi" w:eastAsiaTheme="minorHAnsi" w:hAnsiTheme="minorHAnsi" w:cstheme="minorHAnsi"/>
          <w:sz w:val="22"/>
          <w:szCs w:val="22"/>
        </w:rPr>
        <w:t>Laws and policies during the COVID</w:t>
      </w:r>
      <w:r w:rsidR="000A4570" w:rsidRPr="000A4570">
        <w:t xml:space="preserve"> </w:t>
      </w:r>
      <w:r w:rsidR="000A4570">
        <w:t>related to p</w:t>
      </w:r>
      <w:r w:rsidR="000A4570" w:rsidRPr="000A4570">
        <w:rPr>
          <w:rFonts w:asciiTheme="minorHAnsi" w:eastAsiaTheme="minorHAnsi" w:hAnsiTheme="minorHAnsi" w:cstheme="minorHAnsi"/>
          <w:sz w:val="22"/>
          <w:szCs w:val="22"/>
        </w:rPr>
        <w:t>romoting work – life balance and equal sharing of care responsibilities</w:t>
      </w:r>
    </w:p>
    <w:p w14:paraId="46E8371B" w14:textId="77777777" w:rsidR="00372C2F" w:rsidRPr="000A4570" w:rsidRDefault="00372C2F" w:rsidP="00372C2F">
      <w:pPr>
        <w:spacing w:after="160" w:line="259" w:lineRule="auto"/>
        <w:ind w:left="2160"/>
        <w:contextualSpacing/>
        <w:rPr>
          <w:rFonts w:asciiTheme="minorHAnsi" w:eastAsiaTheme="minorHAnsi" w:hAnsiTheme="minorHAnsi" w:cstheme="minorHAnsi"/>
          <w:sz w:val="22"/>
          <w:szCs w:val="22"/>
        </w:rPr>
      </w:pPr>
    </w:p>
    <w:p w14:paraId="51D0A3E5" w14:textId="77777777" w:rsidR="00B93B70" w:rsidRPr="00DB0C40" w:rsidRDefault="00B93B70" w:rsidP="00B93B70">
      <w:pPr>
        <w:numPr>
          <w:ilvl w:val="1"/>
          <w:numId w:val="9"/>
        </w:numPr>
        <w:spacing w:after="160" w:line="259" w:lineRule="auto"/>
        <w:contextualSpacing/>
        <w:rPr>
          <w:rFonts w:asciiTheme="minorHAnsi" w:eastAsiaTheme="minorHAnsi" w:hAnsiTheme="minorHAnsi" w:cstheme="minorHAnsi"/>
          <w:sz w:val="22"/>
          <w:szCs w:val="22"/>
        </w:rPr>
      </w:pPr>
      <w:bookmarkStart w:id="1" w:name="_Hlk109835015"/>
      <w:r w:rsidRPr="00DB0C40">
        <w:rPr>
          <w:rFonts w:asciiTheme="minorHAnsi" w:eastAsiaTheme="minorHAnsi" w:hAnsiTheme="minorHAnsi" w:cstheme="minorHAnsi"/>
          <w:sz w:val="22"/>
          <w:szCs w:val="22"/>
        </w:rPr>
        <w:t>Supporting women´s equal participation in decision-making in the world of work</w:t>
      </w:r>
    </w:p>
    <w:bookmarkEnd w:id="1"/>
    <w:p w14:paraId="4C2C6806"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International labour standards and other key instruments</w:t>
      </w:r>
    </w:p>
    <w:p w14:paraId="0404C1A4" w14:textId="77777777" w:rsidR="000A4570" w:rsidRDefault="00B93B70" w:rsidP="00BF6983">
      <w:pPr>
        <w:numPr>
          <w:ilvl w:val="2"/>
          <w:numId w:val="9"/>
        </w:numPr>
        <w:spacing w:after="160" w:line="259" w:lineRule="auto"/>
        <w:contextualSpacing/>
        <w:rPr>
          <w:rFonts w:asciiTheme="minorHAnsi" w:eastAsiaTheme="minorHAnsi" w:hAnsiTheme="minorHAnsi" w:cstheme="minorHAnsi"/>
          <w:sz w:val="22"/>
          <w:szCs w:val="22"/>
        </w:rPr>
      </w:pPr>
      <w:r w:rsidRPr="000A4570">
        <w:rPr>
          <w:rFonts w:asciiTheme="minorHAnsi" w:eastAsiaTheme="minorHAnsi" w:hAnsiTheme="minorHAnsi" w:cstheme="minorHAnsi"/>
          <w:sz w:val="22"/>
          <w:szCs w:val="22"/>
        </w:rPr>
        <w:t xml:space="preserve">Some examples of national legal framework in European (France and Italy) </w:t>
      </w:r>
    </w:p>
    <w:p w14:paraId="351BA397" w14:textId="4CE4E3D2" w:rsidR="000A4570" w:rsidRPr="000A4570" w:rsidRDefault="00B93B70" w:rsidP="00BF6983">
      <w:pPr>
        <w:numPr>
          <w:ilvl w:val="2"/>
          <w:numId w:val="9"/>
        </w:numPr>
        <w:spacing w:after="160" w:line="259" w:lineRule="auto"/>
        <w:contextualSpacing/>
        <w:rPr>
          <w:rFonts w:asciiTheme="minorHAnsi" w:eastAsiaTheme="minorHAnsi" w:hAnsiTheme="minorHAnsi" w:cstheme="minorHAnsi"/>
          <w:sz w:val="22"/>
          <w:szCs w:val="22"/>
        </w:rPr>
      </w:pPr>
      <w:r w:rsidRPr="000A4570">
        <w:rPr>
          <w:rFonts w:asciiTheme="minorHAnsi" w:eastAsiaTheme="minorHAnsi" w:hAnsiTheme="minorHAnsi" w:cstheme="minorHAnsi"/>
          <w:sz w:val="22"/>
          <w:szCs w:val="22"/>
        </w:rPr>
        <w:t>Laws and policies during the COVID</w:t>
      </w:r>
      <w:r w:rsidR="000A4570" w:rsidRPr="000A4570">
        <w:rPr>
          <w:rFonts w:asciiTheme="minorHAnsi" w:eastAsiaTheme="minorHAnsi" w:hAnsiTheme="minorHAnsi" w:cstheme="minorHAnsi"/>
          <w:sz w:val="22"/>
          <w:szCs w:val="22"/>
        </w:rPr>
        <w:t xml:space="preserve"> related to Supporting women´s equal participation in decision-making in the world of work</w:t>
      </w:r>
    </w:p>
    <w:p w14:paraId="341275FB" w14:textId="77777777" w:rsidR="00B93B70" w:rsidRPr="00DB0C40" w:rsidRDefault="00B93B70" w:rsidP="00B93B70">
      <w:pPr>
        <w:numPr>
          <w:ilvl w:val="1"/>
          <w:numId w:val="9"/>
        </w:numPr>
        <w:spacing w:after="160" w:line="259" w:lineRule="auto"/>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Building a future of work that works for women</w:t>
      </w:r>
    </w:p>
    <w:p w14:paraId="4344DCC0"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International Labour Standards and other key instruments</w:t>
      </w:r>
    </w:p>
    <w:p w14:paraId="43D57EED" w14:textId="5596DEB3" w:rsidR="00B93B70" w:rsidRDefault="00B93B70" w:rsidP="00B93B70">
      <w:pPr>
        <w:numPr>
          <w:ilvl w:val="2"/>
          <w:numId w:val="9"/>
        </w:numPr>
        <w:spacing w:after="160" w:line="259" w:lineRule="auto"/>
        <w:contextualSpacing/>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Some examples of national legal framework in European countries (Belgium and Denmark)</w:t>
      </w:r>
    </w:p>
    <w:p w14:paraId="17EA5557" w14:textId="77777777" w:rsidR="00372C2F" w:rsidRPr="00DB0C40" w:rsidRDefault="00372C2F" w:rsidP="00372C2F">
      <w:pPr>
        <w:spacing w:after="160" w:line="259" w:lineRule="auto"/>
        <w:ind w:left="1800"/>
        <w:contextualSpacing/>
        <w:rPr>
          <w:rFonts w:asciiTheme="minorHAnsi" w:eastAsiaTheme="minorHAnsi" w:hAnsiTheme="minorHAnsi" w:cstheme="minorHAnsi"/>
          <w:sz w:val="22"/>
          <w:szCs w:val="22"/>
        </w:rPr>
      </w:pPr>
    </w:p>
    <w:p w14:paraId="70732761" w14:textId="0940BF2B" w:rsidR="00B93B70" w:rsidRPr="00DB0C40" w:rsidRDefault="00B93B70" w:rsidP="00B93B70">
      <w:pPr>
        <w:numPr>
          <w:ilvl w:val="1"/>
          <w:numId w:val="9"/>
        </w:numPr>
        <w:spacing w:after="160" w:line="259" w:lineRule="auto"/>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 xml:space="preserve">Review of National Legislation in </w:t>
      </w:r>
      <w:r w:rsidR="00AC20EA">
        <w:rPr>
          <w:rFonts w:asciiTheme="minorHAnsi" w:eastAsiaTheme="minorHAnsi" w:hAnsiTheme="minorHAnsi" w:cstheme="minorBidi"/>
          <w:sz w:val="22"/>
          <w:szCs w:val="22"/>
        </w:rPr>
        <w:t>Türkiye</w:t>
      </w:r>
      <w:r w:rsidRPr="00DB0C40">
        <w:rPr>
          <w:rFonts w:asciiTheme="minorHAnsi" w:eastAsiaTheme="minorHAnsi" w:hAnsiTheme="minorHAnsi" w:cstheme="minorBidi"/>
          <w:sz w:val="22"/>
          <w:szCs w:val="22"/>
        </w:rPr>
        <w:t xml:space="preserve"> in terms of Women Employment</w:t>
      </w:r>
    </w:p>
    <w:p w14:paraId="0CBAB9EA" w14:textId="77777777" w:rsidR="00B93B70" w:rsidRPr="00DB0C40" w:rsidRDefault="00B93B70" w:rsidP="00B93B70">
      <w:pPr>
        <w:numPr>
          <w:ilvl w:val="1"/>
          <w:numId w:val="9"/>
        </w:numPr>
        <w:spacing w:after="160" w:line="259" w:lineRule="auto"/>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The Impact of Labour Law on Women Employment In Türkiye. A Brief Comparison Study.</w:t>
      </w:r>
    </w:p>
    <w:p w14:paraId="727AFB47"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An Introduction to the Main Impacts of Laws and Policies on Female Labour Participation</w:t>
      </w:r>
    </w:p>
    <w:p w14:paraId="7306D89D"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A Comparison of Türkiye with Other Countries</w:t>
      </w:r>
    </w:p>
    <w:p w14:paraId="68B0E8C2" w14:textId="77777777" w:rsidR="00B93B70" w:rsidRPr="00DB0C40" w:rsidRDefault="00B93B70" w:rsidP="00B93B70">
      <w:pPr>
        <w:numPr>
          <w:ilvl w:val="3"/>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 xml:space="preserve">A Brief Analysis of G20 Countries </w:t>
      </w:r>
    </w:p>
    <w:p w14:paraId="65DE3FB4" w14:textId="77777777" w:rsidR="00B93B70" w:rsidRPr="00DB0C40" w:rsidRDefault="00B93B70" w:rsidP="00B93B70">
      <w:pPr>
        <w:numPr>
          <w:ilvl w:val="3"/>
          <w:numId w:val="9"/>
        </w:numPr>
        <w:spacing w:after="160" w:line="259" w:lineRule="auto"/>
        <w:contextualSpacing/>
        <w:rPr>
          <w:rFonts w:asciiTheme="minorHAnsi" w:eastAsiaTheme="minorHAnsi" w:hAnsiTheme="minorHAnsi" w:cstheme="minorBidi"/>
          <w:sz w:val="22"/>
          <w:szCs w:val="22"/>
        </w:rPr>
      </w:pPr>
    </w:p>
    <w:p w14:paraId="1A3EC571"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Some Indicators for Türkiye</w:t>
      </w:r>
    </w:p>
    <w:p w14:paraId="75294CD9" w14:textId="77777777" w:rsidR="00B93B70" w:rsidRPr="00DB0C40" w:rsidRDefault="00B93B70" w:rsidP="00B93B70">
      <w:pPr>
        <w:numPr>
          <w:ilvl w:val="3"/>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Analysis of Data Gender Employment in Türkiye during the Period 2015 – 2021</w:t>
      </w:r>
    </w:p>
    <w:p w14:paraId="4C762801" w14:textId="77777777" w:rsidR="00B93B70" w:rsidRPr="00DB0C40" w:rsidRDefault="00B93B70" w:rsidP="00B93B70">
      <w:pPr>
        <w:numPr>
          <w:ilvl w:val="4"/>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 xml:space="preserve">Female Employment Rate (2015 – 2021) </w:t>
      </w:r>
    </w:p>
    <w:p w14:paraId="6BE97BE9" w14:textId="77777777" w:rsidR="00B93B70" w:rsidRPr="00DB0C40" w:rsidRDefault="00B93B70" w:rsidP="00B93B70">
      <w:pPr>
        <w:numPr>
          <w:ilvl w:val="4"/>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Gender Employment Gap (2015 – 2021)</w:t>
      </w:r>
    </w:p>
    <w:p w14:paraId="774399C5"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 xml:space="preserve">On Part-Time Work </w:t>
      </w:r>
    </w:p>
    <w:p w14:paraId="776F0BC8" w14:textId="004EA0A2" w:rsidR="00B93B70" w:rsidRPr="00DB0C40" w:rsidRDefault="00B93B70" w:rsidP="00B93B70">
      <w:pPr>
        <w:numPr>
          <w:ilvl w:val="2"/>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On Gender Pay (2015 – 2018)</w:t>
      </w:r>
    </w:p>
    <w:p w14:paraId="7A23E32D"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 xml:space="preserve">Educational Attainment and The Gender Wage Gap </w:t>
      </w:r>
    </w:p>
    <w:p w14:paraId="4DCF285D"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Perspectives on working life</w:t>
      </w:r>
    </w:p>
    <w:p w14:paraId="1F4C4ABC"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 xml:space="preserve">Self-Employed Women Workers </w:t>
      </w:r>
    </w:p>
    <w:p w14:paraId="4CDBC4B2"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Some Social indicators</w:t>
      </w:r>
    </w:p>
    <w:p w14:paraId="2615B58F" w14:textId="77777777" w:rsidR="00B93B70" w:rsidRPr="00DB0C40" w:rsidRDefault="00B93B70" w:rsidP="00B93B70">
      <w:pPr>
        <w:numPr>
          <w:ilvl w:val="2"/>
          <w:numId w:val="9"/>
        </w:numPr>
        <w:spacing w:after="160" w:line="259" w:lineRule="auto"/>
        <w:contextualSpacing/>
        <w:rPr>
          <w:rFonts w:asciiTheme="minorHAnsi" w:eastAsiaTheme="minorHAnsi" w:hAnsiTheme="minorHAnsi" w:cstheme="minorBidi"/>
          <w:sz w:val="22"/>
          <w:szCs w:val="22"/>
        </w:rPr>
      </w:pPr>
      <w:r w:rsidRPr="00DB0C40">
        <w:rPr>
          <w:rFonts w:asciiTheme="minorHAnsi" w:eastAsiaTheme="minorHAnsi" w:hAnsiTheme="minorHAnsi" w:cstheme="minorBidi"/>
          <w:sz w:val="22"/>
          <w:szCs w:val="22"/>
        </w:rPr>
        <w:t>Information from ISKUR and Social Security Institutions</w:t>
      </w:r>
    </w:p>
    <w:bookmarkEnd w:id="0"/>
    <w:p w14:paraId="03449474" w14:textId="77777777" w:rsidR="004C7A7B" w:rsidRPr="00DB0C40" w:rsidRDefault="004C7A7B" w:rsidP="00372C2F">
      <w:pPr>
        <w:spacing w:after="160" w:line="259" w:lineRule="auto"/>
        <w:contextualSpacing/>
        <w:rPr>
          <w:rFonts w:asciiTheme="minorHAnsi" w:eastAsiaTheme="minorHAnsi" w:hAnsiTheme="minorHAnsi" w:cstheme="minorBidi"/>
          <w:sz w:val="22"/>
          <w:szCs w:val="22"/>
        </w:rPr>
      </w:pPr>
    </w:p>
    <w:p w14:paraId="2AB30032" w14:textId="78FFC8C1" w:rsidR="00BB44E1" w:rsidRPr="00DB0C40" w:rsidRDefault="004C7A7B">
      <w:pPr>
        <w:pStyle w:val="Heading1"/>
        <w:rPr>
          <w:sz w:val="28"/>
          <w:szCs w:val="28"/>
        </w:rPr>
      </w:pPr>
      <w:bookmarkStart w:id="2" w:name="_heading=h.gjdgxs" w:colFirst="0" w:colLast="0"/>
      <w:bookmarkStart w:id="3" w:name="_heading=h.30j0zll" w:colFirst="0" w:colLast="0"/>
      <w:bookmarkEnd w:id="2"/>
      <w:bookmarkEnd w:id="3"/>
      <w:r>
        <w:rPr>
          <w:sz w:val="28"/>
          <w:szCs w:val="28"/>
        </w:rPr>
        <w:lastRenderedPageBreak/>
        <w:t>A</w:t>
      </w:r>
      <w:r w:rsidR="00230B49" w:rsidRPr="00DB0C40">
        <w:rPr>
          <w:sz w:val="28"/>
          <w:szCs w:val="28"/>
        </w:rPr>
        <w:t>BBREVIATIONS</w:t>
      </w:r>
    </w:p>
    <w:p w14:paraId="301B4A38" w14:textId="77777777" w:rsidR="00BB44E1" w:rsidRPr="00DB0C40" w:rsidRDefault="00BB44E1"/>
    <w:tbl>
      <w:tblPr>
        <w:tblStyle w:val="a0"/>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98"/>
        <w:gridCol w:w="6874"/>
      </w:tblGrid>
      <w:tr w:rsidR="00BB44E1" w:rsidRPr="00DB0C40" w14:paraId="5970164F" w14:textId="77777777">
        <w:trPr>
          <w:trHeight w:val="138"/>
        </w:trPr>
        <w:tc>
          <w:tcPr>
            <w:tcW w:w="2198" w:type="dxa"/>
            <w:shd w:val="clear" w:color="auto" w:fill="4F81BD"/>
          </w:tcPr>
          <w:p w14:paraId="21FB07D5" w14:textId="77777777" w:rsidR="00BB44E1" w:rsidRPr="00DB0C40" w:rsidRDefault="00230B49">
            <w:pPr>
              <w:spacing w:line="276" w:lineRule="auto"/>
              <w:jc w:val="both"/>
              <w:rPr>
                <w:sz w:val="20"/>
                <w:szCs w:val="20"/>
              </w:rPr>
            </w:pPr>
            <w:r w:rsidRPr="00DB0C40">
              <w:rPr>
                <w:b/>
                <w:sz w:val="20"/>
                <w:szCs w:val="20"/>
              </w:rPr>
              <w:t xml:space="preserve">Abbreviation </w:t>
            </w:r>
          </w:p>
        </w:tc>
        <w:tc>
          <w:tcPr>
            <w:tcW w:w="6874" w:type="dxa"/>
            <w:shd w:val="clear" w:color="auto" w:fill="4F81BD"/>
          </w:tcPr>
          <w:p w14:paraId="366846C7" w14:textId="77777777" w:rsidR="00BB44E1" w:rsidRPr="00DB0C40" w:rsidRDefault="00230B49">
            <w:pPr>
              <w:spacing w:line="276" w:lineRule="auto"/>
              <w:jc w:val="both"/>
              <w:rPr>
                <w:sz w:val="20"/>
                <w:szCs w:val="20"/>
              </w:rPr>
            </w:pPr>
            <w:r w:rsidRPr="00DB0C40">
              <w:rPr>
                <w:b/>
                <w:sz w:val="20"/>
                <w:szCs w:val="20"/>
              </w:rPr>
              <w:t xml:space="preserve">Meaning </w:t>
            </w:r>
          </w:p>
        </w:tc>
      </w:tr>
      <w:tr w:rsidR="00BB44E1" w:rsidRPr="00DB0C40" w14:paraId="239A53ED" w14:textId="77777777">
        <w:trPr>
          <w:trHeight w:val="138"/>
        </w:trPr>
        <w:tc>
          <w:tcPr>
            <w:tcW w:w="2198" w:type="dxa"/>
            <w:shd w:val="clear" w:color="auto" w:fill="D9E2F3"/>
          </w:tcPr>
          <w:p w14:paraId="3C14C29F" w14:textId="77777777" w:rsidR="00BB44E1" w:rsidRPr="00DB0C40" w:rsidRDefault="00230B49">
            <w:pPr>
              <w:spacing w:before="40" w:after="40" w:line="276" w:lineRule="auto"/>
              <w:jc w:val="both"/>
              <w:rPr>
                <w:b/>
                <w:sz w:val="18"/>
                <w:szCs w:val="18"/>
              </w:rPr>
            </w:pPr>
            <w:proofErr w:type="spellStart"/>
            <w:r w:rsidRPr="00DB0C40">
              <w:rPr>
                <w:b/>
                <w:sz w:val="18"/>
                <w:szCs w:val="18"/>
              </w:rPr>
              <w:t>BDPfA</w:t>
            </w:r>
            <w:proofErr w:type="spellEnd"/>
            <w:r w:rsidRPr="00DB0C40">
              <w:rPr>
                <w:b/>
                <w:sz w:val="18"/>
                <w:szCs w:val="18"/>
              </w:rPr>
              <w:tab/>
            </w:r>
          </w:p>
        </w:tc>
        <w:tc>
          <w:tcPr>
            <w:tcW w:w="6874" w:type="dxa"/>
          </w:tcPr>
          <w:p w14:paraId="037B1326" w14:textId="77777777" w:rsidR="00BB44E1" w:rsidRPr="00DB0C40" w:rsidRDefault="00230B49">
            <w:pPr>
              <w:spacing w:before="40" w:after="40" w:line="276" w:lineRule="auto"/>
              <w:jc w:val="both"/>
              <w:rPr>
                <w:sz w:val="20"/>
                <w:szCs w:val="20"/>
              </w:rPr>
            </w:pPr>
            <w:r w:rsidRPr="00DB0C40">
              <w:rPr>
                <w:sz w:val="22"/>
                <w:szCs w:val="22"/>
              </w:rPr>
              <w:t>Beijing Declaration and Platform for Action</w:t>
            </w:r>
          </w:p>
        </w:tc>
      </w:tr>
      <w:tr w:rsidR="00BB44E1" w:rsidRPr="00DB0C40" w14:paraId="2388EDC4" w14:textId="77777777">
        <w:trPr>
          <w:trHeight w:val="138"/>
        </w:trPr>
        <w:tc>
          <w:tcPr>
            <w:tcW w:w="2198" w:type="dxa"/>
            <w:shd w:val="clear" w:color="auto" w:fill="D9E2F3"/>
          </w:tcPr>
          <w:p w14:paraId="72926AA2" w14:textId="77777777" w:rsidR="00BB44E1" w:rsidRPr="00DB0C40" w:rsidRDefault="00230B49">
            <w:pPr>
              <w:spacing w:before="40" w:after="40" w:line="276" w:lineRule="auto"/>
              <w:jc w:val="both"/>
              <w:rPr>
                <w:b/>
                <w:sz w:val="18"/>
                <w:szCs w:val="18"/>
              </w:rPr>
            </w:pPr>
            <w:r w:rsidRPr="00DB0C40">
              <w:rPr>
                <w:b/>
                <w:sz w:val="18"/>
                <w:szCs w:val="18"/>
              </w:rPr>
              <w:t>CEDAW</w:t>
            </w:r>
          </w:p>
        </w:tc>
        <w:tc>
          <w:tcPr>
            <w:tcW w:w="6874" w:type="dxa"/>
          </w:tcPr>
          <w:p w14:paraId="7611CA40" w14:textId="77777777" w:rsidR="00BB44E1" w:rsidRPr="00DB0C40" w:rsidRDefault="00230B49">
            <w:pPr>
              <w:spacing w:before="40" w:after="40" w:line="276" w:lineRule="auto"/>
              <w:jc w:val="both"/>
              <w:rPr>
                <w:sz w:val="20"/>
                <w:szCs w:val="20"/>
              </w:rPr>
            </w:pPr>
            <w:r w:rsidRPr="00DB0C40">
              <w:rPr>
                <w:sz w:val="22"/>
                <w:szCs w:val="22"/>
              </w:rPr>
              <w:t>Convention on the Elimination of Discrimination against Women</w:t>
            </w:r>
          </w:p>
        </w:tc>
      </w:tr>
      <w:tr w:rsidR="00BB44E1" w:rsidRPr="00DB0C40" w14:paraId="011E4521" w14:textId="77777777">
        <w:trPr>
          <w:trHeight w:val="138"/>
        </w:trPr>
        <w:tc>
          <w:tcPr>
            <w:tcW w:w="2198" w:type="dxa"/>
            <w:shd w:val="clear" w:color="auto" w:fill="D9E2F3"/>
          </w:tcPr>
          <w:p w14:paraId="57163D10" w14:textId="77777777" w:rsidR="00BB44E1" w:rsidRPr="00DB0C40" w:rsidRDefault="00230B49">
            <w:pPr>
              <w:spacing w:before="40" w:after="40" w:line="276" w:lineRule="auto"/>
              <w:jc w:val="both"/>
              <w:rPr>
                <w:b/>
                <w:sz w:val="18"/>
                <w:szCs w:val="18"/>
              </w:rPr>
            </w:pPr>
            <w:r w:rsidRPr="00DB0C40">
              <w:rPr>
                <w:b/>
                <w:sz w:val="18"/>
                <w:szCs w:val="18"/>
              </w:rPr>
              <w:t>CJEU</w:t>
            </w:r>
          </w:p>
        </w:tc>
        <w:tc>
          <w:tcPr>
            <w:tcW w:w="6874" w:type="dxa"/>
          </w:tcPr>
          <w:p w14:paraId="0B3165E2" w14:textId="77777777" w:rsidR="00BB44E1" w:rsidRPr="00DB0C40" w:rsidRDefault="00230B49">
            <w:pPr>
              <w:rPr>
                <w:sz w:val="20"/>
                <w:szCs w:val="20"/>
              </w:rPr>
            </w:pPr>
            <w:r w:rsidRPr="00DB0C40">
              <w:rPr>
                <w:sz w:val="22"/>
                <w:szCs w:val="22"/>
              </w:rPr>
              <w:t>Court of Justice of the European Union</w:t>
            </w:r>
          </w:p>
        </w:tc>
      </w:tr>
      <w:tr w:rsidR="00BB44E1" w:rsidRPr="00DB0C40" w14:paraId="3FE6DAE2" w14:textId="77777777">
        <w:trPr>
          <w:trHeight w:val="138"/>
        </w:trPr>
        <w:tc>
          <w:tcPr>
            <w:tcW w:w="2198" w:type="dxa"/>
            <w:shd w:val="clear" w:color="auto" w:fill="D9E2F3"/>
          </w:tcPr>
          <w:p w14:paraId="014EB50B" w14:textId="77777777" w:rsidR="00BB44E1" w:rsidRPr="00DB0C40" w:rsidRDefault="00230B49">
            <w:pPr>
              <w:spacing w:before="40" w:after="40" w:line="276" w:lineRule="auto"/>
              <w:jc w:val="both"/>
              <w:rPr>
                <w:b/>
                <w:sz w:val="18"/>
                <w:szCs w:val="18"/>
              </w:rPr>
            </w:pPr>
            <w:r w:rsidRPr="00DB0C40">
              <w:rPr>
                <w:b/>
                <w:sz w:val="18"/>
                <w:szCs w:val="18"/>
              </w:rPr>
              <w:t>COVID-19</w:t>
            </w:r>
          </w:p>
        </w:tc>
        <w:tc>
          <w:tcPr>
            <w:tcW w:w="6874" w:type="dxa"/>
          </w:tcPr>
          <w:p w14:paraId="4384275C" w14:textId="77777777" w:rsidR="00BB44E1" w:rsidRPr="00DB0C40" w:rsidRDefault="00230B49">
            <w:pPr>
              <w:spacing w:before="40" w:after="40" w:line="276" w:lineRule="auto"/>
              <w:jc w:val="both"/>
              <w:rPr>
                <w:sz w:val="20"/>
                <w:szCs w:val="20"/>
              </w:rPr>
            </w:pPr>
            <w:r w:rsidRPr="00DB0C40">
              <w:rPr>
                <w:sz w:val="22"/>
                <w:szCs w:val="22"/>
              </w:rPr>
              <w:t>Corona virus disease 2019</w:t>
            </w:r>
          </w:p>
        </w:tc>
      </w:tr>
      <w:tr w:rsidR="00BB44E1" w:rsidRPr="00DB0C40" w14:paraId="70799D96" w14:textId="77777777">
        <w:trPr>
          <w:trHeight w:val="138"/>
        </w:trPr>
        <w:tc>
          <w:tcPr>
            <w:tcW w:w="2198" w:type="dxa"/>
            <w:shd w:val="clear" w:color="auto" w:fill="D9E2F3"/>
          </w:tcPr>
          <w:p w14:paraId="1667F542" w14:textId="77777777" w:rsidR="00BB44E1" w:rsidRPr="00DB0C40" w:rsidRDefault="00230B49">
            <w:pPr>
              <w:spacing w:before="40" w:after="40" w:line="276" w:lineRule="auto"/>
              <w:jc w:val="both"/>
              <w:rPr>
                <w:b/>
                <w:sz w:val="18"/>
                <w:szCs w:val="18"/>
              </w:rPr>
            </w:pPr>
            <w:r w:rsidRPr="00DB0C40">
              <w:rPr>
                <w:b/>
                <w:sz w:val="18"/>
                <w:szCs w:val="18"/>
              </w:rPr>
              <w:t>CSA</w:t>
            </w:r>
          </w:p>
        </w:tc>
        <w:tc>
          <w:tcPr>
            <w:tcW w:w="6874" w:type="dxa"/>
          </w:tcPr>
          <w:p w14:paraId="2D38A0B2" w14:textId="77777777" w:rsidR="00BB44E1" w:rsidRPr="00DB0C40" w:rsidRDefault="00230B49">
            <w:pPr>
              <w:spacing w:before="40" w:after="40" w:line="276" w:lineRule="auto"/>
              <w:jc w:val="both"/>
              <w:rPr>
                <w:sz w:val="20"/>
                <w:szCs w:val="20"/>
              </w:rPr>
            </w:pPr>
            <w:r w:rsidRPr="00DB0C40">
              <w:rPr>
                <w:sz w:val="22"/>
                <w:szCs w:val="22"/>
              </w:rPr>
              <w:t>Civil Servants Act of 1965</w:t>
            </w:r>
          </w:p>
        </w:tc>
      </w:tr>
      <w:tr w:rsidR="00BB44E1" w:rsidRPr="00DB0C40" w14:paraId="527EDBDC" w14:textId="77777777">
        <w:trPr>
          <w:trHeight w:val="138"/>
        </w:trPr>
        <w:tc>
          <w:tcPr>
            <w:tcW w:w="2198" w:type="dxa"/>
            <w:shd w:val="clear" w:color="auto" w:fill="D9E2F3"/>
          </w:tcPr>
          <w:p w14:paraId="049F63EE" w14:textId="77777777" w:rsidR="00BB44E1" w:rsidRPr="00DB0C40" w:rsidRDefault="00230B49">
            <w:pPr>
              <w:spacing w:before="40" w:after="40" w:line="276" w:lineRule="auto"/>
              <w:jc w:val="both"/>
              <w:rPr>
                <w:b/>
                <w:sz w:val="18"/>
                <w:szCs w:val="18"/>
              </w:rPr>
            </w:pPr>
            <w:r w:rsidRPr="00DB0C40">
              <w:rPr>
                <w:b/>
                <w:sz w:val="18"/>
                <w:szCs w:val="18"/>
              </w:rPr>
              <w:t>DV</w:t>
            </w:r>
          </w:p>
        </w:tc>
        <w:tc>
          <w:tcPr>
            <w:tcW w:w="6874" w:type="dxa"/>
          </w:tcPr>
          <w:p w14:paraId="71C94C3E" w14:textId="77777777" w:rsidR="00BB44E1" w:rsidRPr="00DB0C40" w:rsidRDefault="00230B49">
            <w:pPr>
              <w:spacing w:before="40" w:after="40" w:line="276" w:lineRule="auto"/>
              <w:jc w:val="both"/>
              <w:rPr>
                <w:sz w:val="20"/>
                <w:szCs w:val="20"/>
              </w:rPr>
            </w:pPr>
            <w:r w:rsidRPr="00DB0C40">
              <w:rPr>
                <w:sz w:val="22"/>
                <w:szCs w:val="22"/>
              </w:rPr>
              <w:t>Domestic violence</w:t>
            </w:r>
          </w:p>
        </w:tc>
      </w:tr>
      <w:tr w:rsidR="00BB44E1" w:rsidRPr="00DB0C40" w14:paraId="788A739C" w14:textId="77777777">
        <w:trPr>
          <w:trHeight w:val="138"/>
        </w:trPr>
        <w:tc>
          <w:tcPr>
            <w:tcW w:w="2198" w:type="dxa"/>
            <w:shd w:val="clear" w:color="auto" w:fill="D9E2F3"/>
          </w:tcPr>
          <w:p w14:paraId="67C57224" w14:textId="77777777" w:rsidR="00BB44E1" w:rsidRPr="00DB0C40" w:rsidRDefault="00230B49">
            <w:pPr>
              <w:spacing w:before="40" w:after="40" w:line="276" w:lineRule="auto"/>
              <w:jc w:val="both"/>
              <w:rPr>
                <w:b/>
                <w:sz w:val="18"/>
                <w:szCs w:val="18"/>
              </w:rPr>
            </w:pPr>
            <w:r w:rsidRPr="00DB0C40">
              <w:rPr>
                <w:sz w:val="22"/>
                <w:szCs w:val="22"/>
              </w:rPr>
              <w:t xml:space="preserve">EA  </w:t>
            </w:r>
          </w:p>
        </w:tc>
        <w:tc>
          <w:tcPr>
            <w:tcW w:w="6874" w:type="dxa"/>
          </w:tcPr>
          <w:p w14:paraId="1CB8CC83" w14:textId="77777777" w:rsidR="00BB44E1" w:rsidRPr="00DB0C40" w:rsidRDefault="00230B49">
            <w:pPr>
              <w:spacing w:before="40" w:after="40" w:line="276" w:lineRule="auto"/>
              <w:jc w:val="both"/>
              <w:rPr>
                <w:sz w:val="20"/>
                <w:szCs w:val="20"/>
              </w:rPr>
            </w:pPr>
            <w:r w:rsidRPr="00DB0C40">
              <w:rPr>
                <w:sz w:val="22"/>
                <w:szCs w:val="22"/>
              </w:rPr>
              <w:t>Employment Act</w:t>
            </w:r>
          </w:p>
        </w:tc>
      </w:tr>
      <w:tr w:rsidR="00BB44E1" w:rsidRPr="00DB0C40" w14:paraId="465C5FE7" w14:textId="77777777">
        <w:trPr>
          <w:trHeight w:val="138"/>
        </w:trPr>
        <w:tc>
          <w:tcPr>
            <w:tcW w:w="2198" w:type="dxa"/>
            <w:shd w:val="clear" w:color="auto" w:fill="D9E2F3"/>
          </w:tcPr>
          <w:p w14:paraId="72822673" w14:textId="77777777" w:rsidR="00BB44E1" w:rsidRPr="00DB0C40" w:rsidRDefault="00230B49">
            <w:pPr>
              <w:spacing w:before="40" w:after="40" w:line="276" w:lineRule="auto"/>
              <w:jc w:val="both"/>
              <w:rPr>
                <w:b/>
                <w:sz w:val="18"/>
                <w:szCs w:val="18"/>
              </w:rPr>
            </w:pPr>
            <w:r w:rsidRPr="00DB0C40">
              <w:rPr>
                <w:sz w:val="22"/>
                <w:szCs w:val="22"/>
              </w:rPr>
              <w:t>EBMOs</w:t>
            </w:r>
          </w:p>
        </w:tc>
        <w:tc>
          <w:tcPr>
            <w:tcW w:w="6874" w:type="dxa"/>
          </w:tcPr>
          <w:p w14:paraId="0609F082" w14:textId="77777777" w:rsidR="00BB44E1" w:rsidRPr="00DB0C40" w:rsidRDefault="00230B49">
            <w:pPr>
              <w:spacing w:before="40" w:after="40" w:line="276" w:lineRule="auto"/>
              <w:jc w:val="both"/>
              <w:rPr>
                <w:sz w:val="20"/>
                <w:szCs w:val="20"/>
              </w:rPr>
            </w:pPr>
            <w:r w:rsidRPr="00DB0C40">
              <w:rPr>
                <w:sz w:val="22"/>
                <w:szCs w:val="22"/>
              </w:rPr>
              <w:t>Employer and business membership organisations</w:t>
            </w:r>
          </w:p>
        </w:tc>
      </w:tr>
      <w:tr w:rsidR="00BB44E1" w:rsidRPr="00DB0C40" w14:paraId="1318B85D" w14:textId="77777777">
        <w:trPr>
          <w:trHeight w:val="138"/>
        </w:trPr>
        <w:tc>
          <w:tcPr>
            <w:tcW w:w="2198" w:type="dxa"/>
            <w:shd w:val="clear" w:color="auto" w:fill="D9E2F3"/>
          </w:tcPr>
          <w:p w14:paraId="60D7EEFE" w14:textId="77777777" w:rsidR="00BB44E1" w:rsidRPr="00DB0C40" w:rsidRDefault="00230B49">
            <w:pPr>
              <w:spacing w:before="40" w:after="40" w:line="276" w:lineRule="auto"/>
              <w:jc w:val="both"/>
              <w:rPr>
                <w:b/>
                <w:sz w:val="18"/>
                <w:szCs w:val="18"/>
              </w:rPr>
            </w:pPr>
            <w:r w:rsidRPr="00DB0C40">
              <w:rPr>
                <w:sz w:val="22"/>
                <w:szCs w:val="22"/>
              </w:rPr>
              <w:t>ECCE</w:t>
            </w:r>
          </w:p>
        </w:tc>
        <w:tc>
          <w:tcPr>
            <w:tcW w:w="6874" w:type="dxa"/>
          </w:tcPr>
          <w:p w14:paraId="56F86A74" w14:textId="77777777" w:rsidR="00BB44E1" w:rsidRPr="00DB0C40" w:rsidRDefault="00230B49">
            <w:pPr>
              <w:spacing w:before="40" w:after="40" w:line="276" w:lineRule="auto"/>
              <w:jc w:val="both"/>
              <w:rPr>
                <w:sz w:val="20"/>
                <w:szCs w:val="20"/>
              </w:rPr>
            </w:pPr>
            <w:r w:rsidRPr="00DB0C40">
              <w:rPr>
                <w:sz w:val="22"/>
                <w:szCs w:val="22"/>
              </w:rPr>
              <w:t>Early childhood care and education</w:t>
            </w:r>
          </w:p>
        </w:tc>
      </w:tr>
      <w:tr w:rsidR="00BB44E1" w:rsidRPr="00DB0C40" w14:paraId="6C9A8A4B" w14:textId="77777777">
        <w:trPr>
          <w:trHeight w:val="138"/>
        </w:trPr>
        <w:tc>
          <w:tcPr>
            <w:tcW w:w="2198" w:type="dxa"/>
            <w:shd w:val="clear" w:color="auto" w:fill="D9E2F3"/>
          </w:tcPr>
          <w:p w14:paraId="3665818E" w14:textId="77777777" w:rsidR="00BB44E1" w:rsidRPr="00DB0C40" w:rsidRDefault="00230B49">
            <w:pPr>
              <w:spacing w:before="40" w:after="40" w:line="276" w:lineRule="auto"/>
              <w:jc w:val="both"/>
              <w:rPr>
                <w:b/>
                <w:sz w:val="18"/>
                <w:szCs w:val="18"/>
              </w:rPr>
            </w:pPr>
            <w:r w:rsidRPr="00DB0C40">
              <w:rPr>
                <w:sz w:val="22"/>
                <w:szCs w:val="22"/>
              </w:rPr>
              <w:t>EC</w:t>
            </w:r>
          </w:p>
        </w:tc>
        <w:tc>
          <w:tcPr>
            <w:tcW w:w="6874" w:type="dxa"/>
          </w:tcPr>
          <w:p w14:paraId="6F280025" w14:textId="77777777" w:rsidR="00BB44E1" w:rsidRPr="00DB0C40" w:rsidRDefault="00230B49">
            <w:pPr>
              <w:spacing w:before="40" w:after="40" w:line="276" w:lineRule="auto"/>
              <w:jc w:val="both"/>
              <w:rPr>
                <w:sz w:val="20"/>
                <w:szCs w:val="20"/>
              </w:rPr>
            </w:pPr>
            <w:r w:rsidRPr="00DB0C40">
              <w:rPr>
                <w:sz w:val="22"/>
                <w:szCs w:val="22"/>
              </w:rPr>
              <w:t>European Commission</w:t>
            </w:r>
          </w:p>
        </w:tc>
      </w:tr>
      <w:tr w:rsidR="00BB44E1" w:rsidRPr="00DB0C40" w14:paraId="3A358403" w14:textId="77777777">
        <w:trPr>
          <w:trHeight w:val="138"/>
        </w:trPr>
        <w:tc>
          <w:tcPr>
            <w:tcW w:w="2198" w:type="dxa"/>
            <w:shd w:val="clear" w:color="auto" w:fill="D9E2F3"/>
          </w:tcPr>
          <w:p w14:paraId="7FB84D03" w14:textId="77777777" w:rsidR="00BB44E1" w:rsidRPr="00DB0C40" w:rsidRDefault="00230B49">
            <w:pPr>
              <w:spacing w:before="40" w:after="40" w:line="276" w:lineRule="auto"/>
              <w:jc w:val="both"/>
              <w:rPr>
                <w:b/>
                <w:sz w:val="18"/>
                <w:szCs w:val="18"/>
              </w:rPr>
            </w:pPr>
            <w:r w:rsidRPr="00DB0C40">
              <w:rPr>
                <w:sz w:val="22"/>
                <w:szCs w:val="22"/>
              </w:rPr>
              <w:t>EIGE</w:t>
            </w:r>
          </w:p>
        </w:tc>
        <w:tc>
          <w:tcPr>
            <w:tcW w:w="6874" w:type="dxa"/>
          </w:tcPr>
          <w:p w14:paraId="5C6F7056" w14:textId="77777777" w:rsidR="00BB44E1" w:rsidRPr="00DB0C40" w:rsidRDefault="00230B49">
            <w:pPr>
              <w:spacing w:before="40" w:after="40" w:line="276" w:lineRule="auto"/>
              <w:jc w:val="both"/>
              <w:rPr>
                <w:sz w:val="20"/>
                <w:szCs w:val="20"/>
              </w:rPr>
            </w:pPr>
            <w:r w:rsidRPr="00DB0C40">
              <w:rPr>
                <w:sz w:val="22"/>
                <w:szCs w:val="22"/>
              </w:rPr>
              <w:t>European Institute for Gender Equality</w:t>
            </w:r>
          </w:p>
        </w:tc>
      </w:tr>
      <w:tr w:rsidR="00BB44E1" w:rsidRPr="00DB0C40" w14:paraId="0BF7A30F" w14:textId="77777777">
        <w:trPr>
          <w:trHeight w:val="138"/>
        </w:trPr>
        <w:tc>
          <w:tcPr>
            <w:tcW w:w="2198" w:type="dxa"/>
            <w:shd w:val="clear" w:color="auto" w:fill="D9E2F3"/>
          </w:tcPr>
          <w:p w14:paraId="321628BA" w14:textId="77777777" w:rsidR="00BB44E1" w:rsidRPr="00DB0C40" w:rsidRDefault="00230B49">
            <w:pPr>
              <w:spacing w:before="40" w:after="40" w:line="276" w:lineRule="auto"/>
              <w:jc w:val="both"/>
              <w:rPr>
                <w:b/>
                <w:sz w:val="18"/>
                <w:szCs w:val="18"/>
              </w:rPr>
            </w:pPr>
            <w:r w:rsidRPr="00DB0C40">
              <w:rPr>
                <w:sz w:val="22"/>
                <w:szCs w:val="22"/>
              </w:rPr>
              <w:t>EPIC</w:t>
            </w:r>
          </w:p>
        </w:tc>
        <w:tc>
          <w:tcPr>
            <w:tcW w:w="6874" w:type="dxa"/>
          </w:tcPr>
          <w:p w14:paraId="172545E8" w14:textId="77777777" w:rsidR="00BB44E1" w:rsidRPr="00DB0C40" w:rsidRDefault="00230B49">
            <w:pPr>
              <w:rPr>
                <w:sz w:val="20"/>
                <w:szCs w:val="20"/>
              </w:rPr>
            </w:pPr>
            <w:r w:rsidRPr="00DB0C40">
              <w:rPr>
                <w:sz w:val="22"/>
                <w:szCs w:val="22"/>
              </w:rPr>
              <w:t>Equal Pay International Coalition</w:t>
            </w:r>
          </w:p>
        </w:tc>
      </w:tr>
      <w:tr w:rsidR="00BB44E1" w:rsidRPr="00DB0C40" w14:paraId="4A626E8F" w14:textId="77777777">
        <w:trPr>
          <w:trHeight w:val="138"/>
        </w:trPr>
        <w:tc>
          <w:tcPr>
            <w:tcW w:w="2198" w:type="dxa"/>
            <w:shd w:val="clear" w:color="auto" w:fill="D9E2F3"/>
          </w:tcPr>
          <w:p w14:paraId="36373EC2" w14:textId="77777777" w:rsidR="00BB44E1" w:rsidRPr="00DB0C40" w:rsidRDefault="00230B49">
            <w:pPr>
              <w:spacing w:before="40" w:after="40" w:line="276" w:lineRule="auto"/>
              <w:jc w:val="both"/>
              <w:rPr>
                <w:b/>
                <w:sz w:val="18"/>
                <w:szCs w:val="18"/>
              </w:rPr>
            </w:pPr>
            <w:r w:rsidRPr="00DB0C40">
              <w:rPr>
                <w:sz w:val="22"/>
                <w:szCs w:val="22"/>
              </w:rPr>
              <w:t>EU</w:t>
            </w:r>
          </w:p>
        </w:tc>
        <w:tc>
          <w:tcPr>
            <w:tcW w:w="6874" w:type="dxa"/>
          </w:tcPr>
          <w:p w14:paraId="006F56D2" w14:textId="77777777" w:rsidR="00BB44E1" w:rsidRPr="00DB0C40" w:rsidRDefault="00230B49">
            <w:pPr>
              <w:rPr>
                <w:sz w:val="20"/>
                <w:szCs w:val="20"/>
              </w:rPr>
            </w:pPr>
            <w:r w:rsidRPr="00DB0C40">
              <w:rPr>
                <w:sz w:val="22"/>
                <w:szCs w:val="22"/>
              </w:rPr>
              <w:t>European Union</w:t>
            </w:r>
          </w:p>
        </w:tc>
      </w:tr>
      <w:tr w:rsidR="00BB44E1" w:rsidRPr="00DB0C40" w14:paraId="5E12459E" w14:textId="77777777">
        <w:trPr>
          <w:trHeight w:val="138"/>
        </w:trPr>
        <w:tc>
          <w:tcPr>
            <w:tcW w:w="2198" w:type="dxa"/>
            <w:shd w:val="clear" w:color="auto" w:fill="D9E2F3"/>
          </w:tcPr>
          <w:p w14:paraId="3D384D9A" w14:textId="77777777" w:rsidR="00BB44E1" w:rsidRPr="00DB0C40" w:rsidRDefault="00230B49">
            <w:pPr>
              <w:spacing w:before="40" w:after="40" w:line="276" w:lineRule="auto"/>
              <w:jc w:val="both"/>
              <w:rPr>
                <w:sz w:val="22"/>
                <w:szCs w:val="22"/>
              </w:rPr>
            </w:pPr>
            <w:proofErr w:type="spellStart"/>
            <w:r w:rsidRPr="00DB0C40">
              <w:rPr>
                <w:sz w:val="22"/>
                <w:szCs w:val="22"/>
              </w:rPr>
              <w:t>EctHR</w:t>
            </w:r>
            <w:proofErr w:type="spellEnd"/>
            <w:r w:rsidRPr="00DB0C40">
              <w:rPr>
                <w:sz w:val="22"/>
                <w:szCs w:val="22"/>
              </w:rPr>
              <w:t xml:space="preserve">   </w:t>
            </w:r>
          </w:p>
        </w:tc>
        <w:tc>
          <w:tcPr>
            <w:tcW w:w="6874" w:type="dxa"/>
          </w:tcPr>
          <w:p w14:paraId="3405D03B" w14:textId="77777777" w:rsidR="00BB44E1" w:rsidRPr="00DB0C40" w:rsidRDefault="00230B49">
            <w:pPr>
              <w:spacing w:before="40" w:after="40" w:line="276" w:lineRule="auto"/>
              <w:jc w:val="both"/>
              <w:rPr>
                <w:sz w:val="20"/>
                <w:szCs w:val="20"/>
              </w:rPr>
            </w:pPr>
            <w:r w:rsidRPr="00DB0C40">
              <w:rPr>
                <w:sz w:val="22"/>
                <w:szCs w:val="22"/>
              </w:rPr>
              <w:t>European Court of Human Rights</w:t>
            </w:r>
          </w:p>
        </w:tc>
      </w:tr>
      <w:tr w:rsidR="00BB44E1" w:rsidRPr="00DB0C40" w14:paraId="43835DCE" w14:textId="77777777">
        <w:trPr>
          <w:trHeight w:val="138"/>
        </w:trPr>
        <w:tc>
          <w:tcPr>
            <w:tcW w:w="2198" w:type="dxa"/>
            <w:shd w:val="clear" w:color="auto" w:fill="D9E2F3"/>
          </w:tcPr>
          <w:p w14:paraId="7E05A499" w14:textId="77777777" w:rsidR="00BB44E1" w:rsidRPr="00DB0C40" w:rsidRDefault="00230B49">
            <w:pPr>
              <w:spacing w:before="40" w:after="40" w:line="276" w:lineRule="auto"/>
              <w:jc w:val="both"/>
              <w:rPr>
                <w:sz w:val="22"/>
                <w:szCs w:val="22"/>
              </w:rPr>
            </w:pPr>
            <w:r w:rsidRPr="00DB0C40">
              <w:rPr>
                <w:sz w:val="22"/>
                <w:szCs w:val="22"/>
              </w:rPr>
              <w:t xml:space="preserve">ECHR  </w:t>
            </w:r>
          </w:p>
        </w:tc>
        <w:tc>
          <w:tcPr>
            <w:tcW w:w="6874" w:type="dxa"/>
          </w:tcPr>
          <w:p w14:paraId="3988787E" w14:textId="77777777" w:rsidR="00BB44E1" w:rsidRPr="00DB0C40" w:rsidRDefault="00230B49">
            <w:pPr>
              <w:spacing w:before="40" w:after="40" w:line="276" w:lineRule="auto"/>
              <w:jc w:val="both"/>
              <w:rPr>
                <w:sz w:val="20"/>
                <w:szCs w:val="20"/>
              </w:rPr>
            </w:pPr>
            <w:r w:rsidRPr="00DB0C40">
              <w:rPr>
                <w:sz w:val="22"/>
                <w:szCs w:val="22"/>
              </w:rPr>
              <w:t>European Convention of Human Rights</w:t>
            </w:r>
          </w:p>
        </w:tc>
      </w:tr>
      <w:tr w:rsidR="00BB44E1" w:rsidRPr="00DB0C40" w14:paraId="4802213E" w14:textId="77777777">
        <w:trPr>
          <w:trHeight w:val="138"/>
        </w:trPr>
        <w:tc>
          <w:tcPr>
            <w:tcW w:w="2198" w:type="dxa"/>
            <w:shd w:val="clear" w:color="auto" w:fill="D9E2F3"/>
          </w:tcPr>
          <w:p w14:paraId="21B26E1F" w14:textId="77777777" w:rsidR="00BB44E1" w:rsidRPr="00DB0C40" w:rsidRDefault="00230B49">
            <w:pPr>
              <w:spacing w:before="40" w:after="40" w:line="276" w:lineRule="auto"/>
              <w:jc w:val="both"/>
              <w:rPr>
                <w:sz w:val="22"/>
                <w:szCs w:val="22"/>
              </w:rPr>
            </w:pPr>
            <w:r w:rsidRPr="00DB0C40">
              <w:rPr>
                <w:sz w:val="22"/>
                <w:szCs w:val="22"/>
              </w:rPr>
              <w:t>GAP III</w:t>
            </w:r>
            <w:r w:rsidRPr="00DB0C40">
              <w:rPr>
                <w:sz w:val="22"/>
                <w:szCs w:val="22"/>
              </w:rPr>
              <w:tab/>
            </w:r>
          </w:p>
        </w:tc>
        <w:tc>
          <w:tcPr>
            <w:tcW w:w="6874" w:type="dxa"/>
          </w:tcPr>
          <w:p w14:paraId="55375D46" w14:textId="77777777" w:rsidR="00BB44E1" w:rsidRPr="00DB0C40" w:rsidRDefault="00230B49">
            <w:pPr>
              <w:spacing w:before="40" w:after="40" w:line="276" w:lineRule="auto"/>
              <w:jc w:val="both"/>
              <w:rPr>
                <w:sz w:val="20"/>
                <w:szCs w:val="20"/>
              </w:rPr>
            </w:pPr>
            <w:r w:rsidRPr="00DB0C40">
              <w:rPr>
                <w:sz w:val="22"/>
                <w:szCs w:val="22"/>
              </w:rPr>
              <w:t>EU’s new Action Plan on Gender Equality and Women’s Empowerment in External Action 2021–2025</w:t>
            </w:r>
          </w:p>
        </w:tc>
      </w:tr>
      <w:tr w:rsidR="00BB44E1" w:rsidRPr="00DB0C40" w14:paraId="672CD795" w14:textId="77777777">
        <w:trPr>
          <w:trHeight w:val="138"/>
        </w:trPr>
        <w:tc>
          <w:tcPr>
            <w:tcW w:w="2198" w:type="dxa"/>
            <w:shd w:val="clear" w:color="auto" w:fill="D9E2F3"/>
          </w:tcPr>
          <w:p w14:paraId="14C2270F" w14:textId="77777777" w:rsidR="00BB44E1" w:rsidRPr="00DB0C40" w:rsidRDefault="00230B49">
            <w:pPr>
              <w:spacing w:before="40" w:after="40" w:line="276" w:lineRule="auto"/>
              <w:jc w:val="both"/>
              <w:rPr>
                <w:sz w:val="22"/>
                <w:szCs w:val="22"/>
              </w:rPr>
            </w:pPr>
            <w:r w:rsidRPr="00DB0C40">
              <w:rPr>
                <w:sz w:val="22"/>
                <w:szCs w:val="22"/>
              </w:rPr>
              <w:t>G7</w:t>
            </w:r>
          </w:p>
        </w:tc>
        <w:tc>
          <w:tcPr>
            <w:tcW w:w="6874" w:type="dxa"/>
          </w:tcPr>
          <w:p w14:paraId="776134A0" w14:textId="77777777" w:rsidR="00BB44E1" w:rsidRPr="00DB0C40" w:rsidRDefault="00230B49">
            <w:pPr>
              <w:spacing w:before="40" w:after="40" w:line="276" w:lineRule="auto"/>
              <w:jc w:val="both"/>
              <w:rPr>
                <w:sz w:val="20"/>
                <w:szCs w:val="20"/>
              </w:rPr>
            </w:pPr>
            <w:r w:rsidRPr="00DB0C40">
              <w:rPr>
                <w:sz w:val="22"/>
                <w:szCs w:val="22"/>
              </w:rPr>
              <w:t>Group of seven</w:t>
            </w:r>
          </w:p>
        </w:tc>
      </w:tr>
      <w:tr w:rsidR="00BB44E1" w:rsidRPr="00DB0C40" w14:paraId="5C6D6AE2" w14:textId="77777777">
        <w:trPr>
          <w:trHeight w:val="138"/>
        </w:trPr>
        <w:tc>
          <w:tcPr>
            <w:tcW w:w="2198" w:type="dxa"/>
            <w:shd w:val="clear" w:color="auto" w:fill="D9E2F3"/>
          </w:tcPr>
          <w:p w14:paraId="3E5759E7" w14:textId="77777777" w:rsidR="00BB44E1" w:rsidRPr="00DB0C40" w:rsidRDefault="00230B49">
            <w:pPr>
              <w:spacing w:before="40" w:after="40" w:line="276" w:lineRule="auto"/>
              <w:jc w:val="both"/>
              <w:rPr>
                <w:sz w:val="22"/>
                <w:szCs w:val="22"/>
              </w:rPr>
            </w:pPr>
            <w:r w:rsidRPr="00DB0C40">
              <w:rPr>
                <w:sz w:val="22"/>
                <w:szCs w:val="22"/>
              </w:rPr>
              <w:t>G20</w:t>
            </w:r>
          </w:p>
        </w:tc>
        <w:tc>
          <w:tcPr>
            <w:tcW w:w="6874" w:type="dxa"/>
          </w:tcPr>
          <w:p w14:paraId="3820C68A" w14:textId="77777777" w:rsidR="00BB44E1" w:rsidRPr="00DB0C40" w:rsidRDefault="00230B49">
            <w:pPr>
              <w:spacing w:before="40" w:after="40" w:line="276" w:lineRule="auto"/>
              <w:jc w:val="both"/>
              <w:rPr>
                <w:sz w:val="20"/>
                <w:szCs w:val="20"/>
              </w:rPr>
            </w:pPr>
            <w:r w:rsidRPr="00DB0C40">
              <w:rPr>
                <w:sz w:val="22"/>
                <w:szCs w:val="22"/>
              </w:rPr>
              <w:t>Group of twenty</w:t>
            </w:r>
          </w:p>
        </w:tc>
      </w:tr>
      <w:tr w:rsidR="00BB44E1" w:rsidRPr="00DB0C40" w14:paraId="2897B388" w14:textId="77777777">
        <w:trPr>
          <w:trHeight w:val="138"/>
        </w:trPr>
        <w:tc>
          <w:tcPr>
            <w:tcW w:w="2198" w:type="dxa"/>
            <w:shd w:val="clear" w:color="auto" w:fill="D9E2F3"/>
          </w:tcPr>
          <w:p w14:paraId="6CAA3644" w14:textId="77777777" w:rsidR="00BB44E1" w:rsidRPr="00DB0C40" w:rsidRDefault="00230B49">
            <w:pPr>
              <w:spacing w:before="40" w:after="40" w:line="276" w:lineRule="auto"/>
              <w:jc w:val="both"/>
              <w:rPr>
                <w:b/>
                <w:sz w:val="18"/>
                <w:szCs w:val="18"/>
              </w:rPr>
            </w:pPr>
            <w:r w:rsidRPr="00DB0C40">
              <w:rPr>
                <w:sz w:val="22"/>
                <w:szCs w:val="22"/>
              </w:rPr>
              <w:t>GBVH</w:t>
            </w:r>
          </w:p>
        </w:tc>
        <w:tc>
          <w:tcPr>
            <w:tcW w:w="6874" w:type="dxa"/>
          </w:tcPr>
          <w:p w14:paraId="58F0CA8F" w14:textId="77777777" w:rsidR="00BB44E1" w:rsidRPr="00DB0C40" w:rsidRDefault="00230B49">
            <w:pPr>
              <w:rPr>
                <w:sz w:val="20"/>
                <w:szCs w:val="20"/>
              </w:rPr>
            </w:pPr>
            <w:r w:rsidRPr="00DB0C40">
              <w:rPr>
                <w:sz w:val="22"/>
                <w:szCs w:val="22"/>
              </w:rPr>
              <w:t>Gender-based violence and harassment</w:t>
            </w:r>
          </w:p>
        </w:tc>
      </w:tr>
      <w:tr w:rsidR="00BB44E1" w:rsidRPr="00DB0C40" w14:paraId="340816E8" w14:textId="77777777">
        <w:trPr>
          <w:trHeight w:val="138"/>
        </w:trPr>
        <w:tc>
          <w:tcPr>
            <w:tcW w:w="2198" w:type="dxa"/>
            <w:shd w:val="clear" w:color="auto" w:fill="D9E2F3"/>
          </w:tcPr>
          <w:p w14:paraId="5ECF2B3E" w14:textId="77777777" w:rsidR="00BB44E1" w:rsidRPr="00DB0C40" w:rsidRDefault="00230B49">
            <w:pPr>
              <w:spacing w:before="40" w:after="40" w:line="276" w:lineRule="auto"/>
              <w:jc w:val="both"/>
              <w:rPr>
                <w:sz w:val="22"/>
                <w:szCs w:val="22"/>
              </w:rPr>
            </w:pPr>
            <w:r w:rsidRPr="00DB0C40">
              <w:rPr>
                <w:sz w:val="22"/>
                <w:szCs w:val="22"/>
              </w:rPr>
              <w:t>GDP</w:t>
            </w:r>
          </w:p>
        </w:tc>
        <w:tc>
          <w:tcPr>
            <w:tcW w:w="6874" w:type="dxa"/>
          </w:tcPr>
          <w:p w14:paraId="4CBAC443" w14:textId="77777777" w:rsidR="00BB44E1" w:rsidRPr="00DB0C40" w:rsidRDefault="00230B49">
            <w:pPr>
              <w:rPr>
                <w:sz w:val="20"/>
                <w:szCs w:val="20"/>
              </w:rPr>
            </w:pPr>
            <w:r w:rsidRPr="00DB0C40">
              <w:rPr>
                <w:sz w:val="22"/>
                <w:szCs w:val="22"/>
              </w:rPr>
              <w:t>Gross domestic product</w:t>
            </w:r>
          </w:p>
        </w:tc>
      </w:tr>
      <w:tr w:rsidR="00BB44E1" w:rsidRPr="00DB0C40" w14:paraId="0B12510E" w14:textId="77777777">
        <w:trPr>
          <w:trHeight w:val="138"/>
        </w:trPr>
        <w:tc>
          <w:tcPr>
            <w:tcW w:w="2198" w:type="dxa"/>
            <w:shd w:val="clear" w:color="auto" w:fill="D9E2F3"/>
          </w:tcPr>
          <w:p w14:paraId="35639095" w14:textId="77777777" w:rsidR="00BB44E1" w:rsidRPr="00DB0C40" w:rsidRDefault="00230B49">
            <w:pPr>
              <w:spacing w:before="40" w:after="40" w:line="276" w:lineRule="auto"/>
              <w:jc w:val="both"/>
              <w:rPr>
                <w:sz w:val="22"/>
                <w:szCs w:val="22"/>
              </w:rPr>
            </w:pPr>
            <w:r w:rsidRPr="00DB0C40">
              <w:rPr>
                <w:sz w:val="22"/>
                <w:szCs w:val="22"/>
              </w:rPr>
              <w:t>GEAC</w:t>
            </w:r>
          </w:p>
        </w:tc>
        <w:tc>
          <w:tcPr>
            <w:tcW w:w="6874" w:type="dxa"/>
          </w:tcPr>
          <w:p w14:paraId="47AE76D9" w14:textId="77777777" w:rsidR="00BB44E1" w:rsidRPr="00DB0C40" w:rsidRDefault="00230B49">
            <w:pPr>
              <w:rPr>
                <w:sz w:val="20"/>
                <w:szCs w:val="20"/>
              </w:rPr>
            </w:pPr>
            <w:r w:rsidRPr="00DB0C40">
              <w:rPr>
                <w:sz w:val="22"/>
                <w:szCs w:val="22"/>
              </w:rPr>
              <w:t>Gender Equality Advisory Council</w:t>
            </w:r>
          </w:p>
        </w:tc>
      </w:tr>
      <w:tr w:rsidR="00BB44E1" w:rsidRPr="00DB0C40" w14:paraId="5FC8021C" w14:textId="77777777">
        <w:trPr>
          <w:trHeight w:val="138"/>
        </w:trPr>
        <w:tc>
          <w:tcPr>
            <w:tcW w:w="2198" w:type="dxa"/>
            <w:shd w:val="clear" w:color="auto" w:fill="D9E2F3"/>
          </w:tcPr>
          <w:p w14:paraId="58BC40FA" w14:textId="77777777" w:rsidR="00BB44E1" w:rsidRPr="00DB0C40" w:rsidRDefault="00230B49">
            <w:pPr>
              <w:spacing w:before="40" w:after="40" w:line="276" w:lineRule="auto"/>
              <w:jc w:val="both"/>
              <w:rPr>
                <w:sz w:val="22"/>
                <w:szCs w:val="22"/>
              </w:rPr>
            </w:pPr>
            <w:r w:rsidRPr="00DB0C40">
              <w:rPr>
                <w:sz w:val="22"/>
                <w:szCs w:val="22"/>
              </w:rPr>
              <w:t>GRP</w:t>
            </w:r>
          </w:p>
        </w:tc>
        <w:tc>
          <w:tcPr>
            <w:tcW w:w="6874" w:type="dxa"/>
          </w:tcPr>
          <w:p w14:paraId="4915AE2E" w14:textId="77777777" w:rsidR="00BB44E1" w:rsidRPr="00DB0C40" w:rsidRDefault="00230B49">
            <w:pPr>
              <w:rPr>
                <w:sz w:val="20"/>
                <w:szCs w:val="20"/>
              </w:rPr>
            </w:pPr>
            <w:r w:rsidRPr="00DB0C40">
              <w:rPr>
                <w:sz w:val="22"/>
                <w:szCs w:val="22"/>
              </w:rPr>
              <w:t>Gender-responsive procurement</w:t>
            </w:r>
          </w:p>
        </w:tc>
      </w:tr>
      <w:tr w:rsidR="00BB44E1" w:rsidRPr="00DB0C40" w14:paraId="6D4EDF0D" w14:textId="77777777">
        <w:trPr>
          <w:trHeight w:val="138"/>
        </w:trPr>
        <w:tc>
          <w:tcPr>
            <w:tcW w:w="2198" w:type="dxa"/>
            <w:shd w:val="clear" w:color="auto" w:fill="D9E2F3"/>
          </w:tcPr>
          <w:p w14:paraId="1705DF7D" w14:textId="77777777" w:rsidR="00BB44E1" w:rsidRPr="00DB0C40" w:rsidRDefault="00230B49">
            <w:pPr>
              <w:spacing w:before="40" w:after="40" w:line="276" w:lineRule="auto"/>
              <w:jc w:val="both"/>
              <w:rPr>
                <w:sz w:val="22"/>
                <w:szCs w:val="22"/>
              </w:rPr>
            </w:pPr>
            <w:r w:rsidRPr="00DB0C40">
              <w:rPr>
                <w:sz w:val="22"/>
                <w:szCs w:val="22"/>
              </w:rPr>
              <w:t>HREIA</w:t>
            </w:r>
          </w:p>
        </w:tc>
        <w:tc>
          <w:tcPr>
            <w:tcW w:w="6874" w:type="dxa"/>
          </w:tcPr>
          <w:p w14:paraId="575B86CA" w14:textId="77777777" w:rsidR="00BB44E1" w:rsidRPr="00DB0C40" w:rsidRDefault="00230B49">
            <w:pPr>
              <w:rPr>
                <w:sz w:val="20"/>
                <w:szCs w:val="20"/>
              </w:rPr>
            </w:pPr>
            <w:r w:rsidRPr="00DB0C40">
              <w:rPr>
                <w:sz w:val="22"/>
                <w:szCs w:val="22"/>
              </w:rPr>
              <w:t>Human Rights and Equality Institutions Act. 2016</w:t>
            </w:r>
          </w:p>
        </w:tc>
      </w:tr>
      <w:tr w:rsidR="00BB44E1" w:rsidRPr="00DB0C40" w14:paraId="6BF955F8" w14:textId="77777777">
        <w:trPr>
          <w:trHeight w:val="138"/>
        </w:trPr>
        <w:tc>
          <w:tcPr>
            <w:tcW w:w="2198" w:type="dxa"/>
            <w:shd w:val="clear" w:color="auto" w:fill="D9E2F3"/>
          </w:tcPr>
          <w:p w14:paraId="05CFF69A" w14:textId="77777777" w:rsidR="00BB44E1" w:rsidRPr="00DB0C40" w:rsidRDefault="00230B49">
            <w:pPr>
              <w:spacing w:before="40" w:after="40" w:line="276" w:lineRule="auto"/>
              <w:jc w:val="both"/>
              <w:rPr>
                <w:sz w:val="22"/>
                <w:szCs w:val="22"/>
              </w:rPr>
            </w:pPr>
            <w:r w:rsidRPr="00DB0C40">
              <w:rPr>
                <w:sz w:val="22"/>
                <w:szCs w:val="22"/>
              </w:rPr>
              <w:t>ICESCR</w:t>
            </w:r>
          </w:p>
        </w:tc>
        <w:tc>
          <w:tcPr>
            <w:tcW w:w="6874" w:type="dxa"/>
          </w:tcPr>
          <w:p w14:paraId="1634359C" w14:textId="77777777" w:rsidR="00BB44E1" w:rsidRPr="00DB0C40" w:rsidRDefault="00230B49">
            <w:pPr>
              <w:rPr>
                <w:sz w:val="20"/>
                <w:szCs w:val="20"/>
              </w:rPr>
            </w:pPr>
            <w:r w:rsidRPr="00DB0C40">
              <w:rPr>
                <w:sz w:val="22"/>
                <w:szCs w:val="22"/>
              </w:rPr>
              <w:t>International Covenant on Economic, Social and Cultural Rights</w:t>
            </w:r>
          </w:p>
        </w:tc>
      </w:tr>
      <w:tr w:rsidR="00BB44E1" w:rsidRPr="00DB0C40" w14:paraId="572DE771" w14:textId="77777777">
        <w:trPr>
          <w:trHeight w:val="138"/>
        </w:trPr>
        <w:tc>
          <w:tcPr>
            <w:tcW w:w="2198" w:type="dxa"/>
            <w:shd w:val="clear" w:color="auto" w:fill="D9E2F3"/>
          </w:tcPr>
          <w:p w14:paraId="5764030E" w14:textId="77777777" w:rsidR="00BB44E1" w:rsidRPr="00DB0C40" w:rsidRDefault="00230B49">
            <w:pPr>
              <w:spacing w:before="40" w:after="40" w:line="276" w:lineRule="auto"/>
              <w:jc w:val="both"/>
              <w:rPr>
                <w:sz w:val="22"/>
                <w:szCs w:val="22"/>
              </w:rPr>
            </w:pPr>
            <w:r w:rsidRPr="00DB0C40">
              <w:rPr>
                <w:sz w:val="22"/>
                <w:szCs w:val="22"/>
              </w:rPr>
              <w:t>ICT</w:t>
            </w:r>
          </w:p>
        </w:tc>
        <w:tc>
          <w:tcPr>
            <w:tcW w:w="6874" w:type="dxa"/>
          </w:tcPr>
          <w:p w14:paraId="32D60295" w14:textId="77777777" w:rsidR="00BB44E1" w:rsidRPr="00DB0C40" w:rsidRDefault="00230B49">
            <w:pPr>
              <w:rPr>
                <w:sz w:val="20"/>
                <w:szCs w:val="20"/>
              </w:rPr>
            </w:pPr>
            <w:r w:rsidRPr="00DB0C40">
              <w:rPr>
                <w:sz w:val="22"/>
                <w:szCs w:val="22"/>
              </w:rPr>
              <w:t>Information and communication technology</w:t>
            </w:r>
          </w:p>
        </w:tc>
      </w:tr>
      <w:tr w:rsidR="00BB44E1" w:rsidRPr="00DB0C40" w14:paraId="219E5207" w14:textId="77777777">
        <w:trPr>
          <w:trHeight w:val="138"/>
        </w:trPr>
        <w:tc>
          <w:tcPr>
            <w:tcW w:w="2198" w:type="dxa"/>
            <w:shd w:val="clear" w:color="auto" w:fill="D9E2F3"/>
          </w:tcPr>
          <w:p w14:paraId="1714C7AC" w14:textId="77777777" w:rsidR="00BB44E1" w:rsidRPr="00DB0C40" w:rsidRDefault="00230B49">
            <w:pPr>
              <w:spacing w:before="40" w:after="40" w:line="276" w:lineRule="auto"/>
              <w:jc w:val="both"/>
              <w:rPr>
                <w:sz w:val="22"/>
                <w:szCs w:val="22"/>
              </w:rPr>
            </w:pPr>
            <w:r w:rsidRPr="00DB0C40">
              <w:rPr>
                <w:sz w:val="22"/>
                <w:szCs w:val="22"/>
              </w:rPr>
              <w:t>ILO</w:t>
            </w:r>
          </w:p>
        </w:tc>
        <w:tc>
          <w:tcPr>
            <w:tcW w:w="6874" w:type="dxa"/>
          </w:tcPr>
          <w:p w14:paraId="133CE15C" w14:textId="77777777" w:rsidR="00BB44E1" w:rsidRPr="00DB0C40" w:rsidRDefault="00230B49">
            <w:pPr>
              <w:rPr>
                <w:sz w:val="20"/>
                <w:szCs w:val="20"/>
              </w:rPr>
            </w:pPr>
            <w:r w:rsidRPr="00DB0C40">
              <w:rPr>
                <w:sz w:val="22"/>
                <w:szCs w:val="22"/>
              </w:rPr>
              <w:t>International Labour Organisation</w:t>
            </w:r>
          </w:p>
        </w:tc>
      </w:tr>
      <w:tr w:rsidR="00BB44E1" w:rsidRPr="00DB0C40" w14:paraId="420EEE62" w14:textId="77777777">
        <w:trPr>
          <w:trHeight w:val="138"/>
        </w:trPr>
        <w:tc>
          <w:tcPr>
            <w:tcW w:w="2198" w:type="dxa"/>
            <w:shd w:val="clear" w:color="auto" w:fill="D9E2F3"/>
          </w:tcPr>
          <w:p w14:paraId="51BD9495" w14:textId="77777777" w:rsidR="00BB44E1" w:rsidRPr="00DB0C40" w:rsidRDefault="00230B49">
            <w:pPr>
              <w:spacing w:before="40" w:after="40" w:line="276" w:lineRule="auto"/>
              <w:jc w:val="both"/>
              <w:rPr>
                <w:sz w:val="22"/>
                <w:szCs w:val="22"/>
              </w:rPr>
            </w:pPr>
            <w:r w:rsidRPr="00DB0C40">
              <w:rPr>
                <w:sz w:val="22"/>
                <w:szCs w:val="22"/>
              </w:rPr>
              <w:t>ILO MNE</w:t>
            </w:r>
          </w:p>
        </w:tc>
        <w:tc>
          <w:tcPr>
            <w:tcW w:w="6874" w:type="dxa"/>
          </w:tcPr>
          <w:p w14:paraId="70FA0140" w14:textId="77777777" w:rsidR="00BB44E1" w:rsidRPr="00DB0C40" w:rsidRDefault="00230B49">
            <w:pPr>
              <w:rPr>
                <w:sz w:val="20"/>
                <w:szCs w:val="20"/>
              </w:rPr>
            </w:pPr>
            <w:r w:rsidRPr="00DB0C40">
              <w:rPr>
                <w:sz w:val="22"/>
                <w:szCs w:val="22"/>
              </w:rPr>
              <w:t>Declaration ILO Tripartite Declaration of Principles concerning Multinational Enterprises and Social Policy</w:t>
            </w:r>
          </w:p>
        </w:tc>
      </w:tr>
      <w:tr w:rsidR="00BB44E1" w:rsidRPr="00DB0C40" w14:paraId="0C76153A" w14:textId="77777777">
        <w:trPr>
          <w:trHeight w:val="138"/>
        </w:trPr>
        <w:tc>
          <w:tcPr>
            <w:tcW w:w="2198" w:type="dxa"/>
            <w:shd w:val="clear" w:color="auto" w:fill="D9E2F3"/>
          </w:tcPr>
          <w:p w14:paraId="51DC0270" w14:textId="77777777" w:rsidR="00BB44E1" w:rsidRPr="00DB0C40" w:rsidRDefault="00230B49">
            <w:pPr>
              <w:spacing w:before="40" w:after="40" w:line="276" w:lineRule="auto"/>
              <w:jc w:val="both"/>
              <w:rPr>
                <w:sz w:val="22"/>
                <w:szCs w:val="22"/>
              </w:rPr>
            </w:pPr>
            <w:r w:rsidRPr="00DB0C40">
              <w:rPr>
                <w:sz w:val="22"/>
                <w:szCs w:val="22"/>
              </w:rPr>
              <w:t>IOE</w:t>
            </w:r>
          </w:p>
        </w:tc>
        <w:tc>
          <w:tcPr>
            <w:tcW w:w="6874" w:type="dxa"/>
          </w:tcPr>
          <w:p w14:paraId="00565E8E" w14:textId="77777777" w:rsidR="00BB44E1" w:rsidRPr="00DB0C40" w:rsidRDefault="00230B49">
            <w:pPr>
              <w:rPr>
                <w:sz w:val="20"/>
                <w:szCs w:val="20"/>
              </w:rPr>
            </w:pPr>
            <w:r w:rsidRPr="00DB0C40">
              <w:rPr>
                <w:sz w:val="22"/>
                <w:szCs w:val="22"/>
              </w:rPr>
              <w:t>International Organisation of Employers</w:t>
            </w:r>
          </w:p>
        </w:tc>
      </w:tr>
      <w:tr w:rsidR="00BB44E1" w:rsidRPr="00DB0C40" w14:paraId="578E6C12" w14:textId="77777777">
        <w:trPr>
          <w:trHeight w:val="138"/>
        </w:trPr>
        <w:tc>
          <w:tcPr>
            <w:tcW w:w="2198" w:type="dxa"/>
            <w:shd w:val="clear" w:color="auto" w:fill="D9E2F3"/>
          </w:tcPr>
          <w:p w14:paraId="291908EC" w14:textId="77777777" w:rsidR="00BB44E1" w:rsidRPr="00DB0C40" w:rsidRDefault="00230B49">
            <w:pPr>
              <w:spacing w:before="40" w:after="40" w:line="276" w:lineRule="auto"/>
              <w:jc w:val="both"/>
              <w:rPr>
                <w:sz w:val="22"/>
                <w:szCs w:val="22"/>
              </w:rPr>
            </w:pPr>
            <w:r w:rsidRPr="00DB0C40">
              <w:rPr>
                <w:sz w:val="22"/>
                <w:szCs w:val="22"/>
              </w:rPr>
              <w:lastRenderedPageBreak/>
              <w:t>IPU</w:t>
            </w:r>
          </w:p>
        </w:tc>
        <w:tc>
          <w:tcPr>
            <w:tcW w:w="6874" w:type="dxa"/>
          </w:tcPr>
          <w:p w14:paraId="40780617" w14:textId="77777777" w:rsidR="00BB44E1" w:rsidRPr="00DB0C40" w:rsidRDefault="00230B49">
            <w:pPr>
              <w:rPr>
                <w:sz w:val="20"/>
                <w:szCs w:val="20"/>
              </w:rPr>
            </w:pPr>
            <w:r w:rsidRPr="00DB0C40">
              <w:rPr>
                <w:sz w:val="22"/>
                <w:szCs w:val="22"/>
              </w:rPr>
              <w:t>Inter-Parliamentary Union</w:t>
            </w:r>
          </w:p>
        </w:tc>
      </w:tr>
      <w:tr w:rsidR="00BB44E1" w:rsidRPr="00DB0C40" w14:paraId="7414D54C" w14:textId="77777777">
        <w:trPr>
          <w:trHeight w:val="138"/>
        </w:trPr>
        <w:tc>
          <w:tcPr>
            <w:tcW w:w="2198" w:type="dxa"/>
            <w:shd w:val="clear" w:color="auto" w:fill="D9E2F3"/>
          </w:tcPr>
          <w:p w14:paraId="0DD4CA41" w14:textId="77777777" w:rsidR="00BB44E1" w:rsidRPr="00DB0C40" w:rsidRDefault="00230B49">
            <w:pPr>
              <w:spacing w:before="40" w:after="40" w:line="276" w:lineRule="auto"/>
              <w:jc w:val="both"/>
              <w:rPr>
                <w:sz w:val="22"/>
                <w:szCs w:val="22"/>
              </w:rPr>
            </w:pPr>
            <w:r w:rsidRPr="00DB0C40">
              <w:rPr>
                <w:sz w:val="22"/>
                <w:szCs w:val="22"/>
              </w:rPr>
              <w:t xml:space="preserve">ISKUR  </w:t>
            </w:r>
          </w:p>
        </w:tc>
        <w:tc>
          <w:tcPr>
            <w:tcW w:w="6874" w:type="dxa"/>
          </w:tcPr>
          <w:p w14:paraId="375FDFAE" w14:textId="77777777" w:rsidR="00BB44E1" w:rsidRPr="00DB0C40" w:rsidRDefault="00230B49">
            <w:pPr>
              <w:rPr>
                <w:sz w:val="20"/>
                <w:szCs w:val="20"/>
              </w:rPr>
            </w:pPr>
            <w:r w:rsidRPr="00DB0C40">
              <w:rPr>
                <w:sz w:val="22"/>
                <w:szCs w:val="22"/>
              </w:rPr>
              <w:t>Turkish Employment Agency</w:t>
            </w:r>
          </w:p>
        </w:tc>
      </w:tr>
      <w:tr w:rsidR="00BB44E1" w:rsidRPr="00DB0C40" w14:paraId="536E1B56" w14:textId="77777777">
        <w:trPr>
          <w:trHeight w:val="138"/>
        </w:trPr>
        <w:tc>
          <w:tcPr>
            <w:tcW w:w="2198" w:type="dxa"/>
            <w:shd w:val="clear" w:color="auto" w:fill="D9E2F3"/>
          </w:tcPr>
          <w:p w14:paraId="5E47C290" w14:textId="77777777" w:rsidR="00BB44E1" w:rsidRPr="00DB0C40" w:rsidRDefault="00230B49">
            <w:pPr>
              <w:spacing w:before="40" w:after="40" w:line="276" w:lineRule="auto"/>
              <w:jc w:val="both"/>
              <w:rPr>
                <w:sz w:val="22"/>
                <w:szCs w:val="22"/>
              </w:rPr>
            </w:pPr>
            <w:r w:rsidRPr="00DB0C40">
              <w:rPr>
                <w:sz w:val="22"/>
                <w:szCs w:val="22"/>
              </w:rPr>
              <w:t>ITUC</w:t>
            </w:r>
            <w:r w:rsidRPr="00DB0C40">
              <w:rPr>
                <w:sz w:val="22"/>
                <w:szCs w:val="22"/>
              </w:rPr>
              <w:tab/>
            </w:r>
          </w:p>
        </w:tc>
        <w:tc>
          <w:tcPr>
            <w:tcW w:w="6874" w:type="dxa"/>
          </w:tcPr>
          <w:p w14:paraId="01FFF531" w14:textId="77777777" w:rsidR="00BB44E1" w:rsidRPr="00DB0C40" w:rsidRDefault="00230B49">
            <w:pPr>
              <w:rPr>
                <w:sz w:val="20"/>
                <w:szCs w:val="20"/>
              </w:rPr>
            </w:pPr>
            <w:r w:rsidRPr="00DB0C40">
              <w:rPr>
                <w:sz w:val="22"/>
                <w:szCs w:val="22"/>
              </w:rPr>
              <w:t>International Trade Union Confederation</w:t>
            </w:r>
          </w:p>
        </w:tc>
      </w:tr>
      <w:tr w:rsidR="00BB44E1" w:rsidRPr="00DB0C40" w14:paraId="7DCD6209" w14:textId="77777777">
        <w:trPr>
          <w:trHeight w:val="138"/>
        </w:trPr>
        <w:tc>
          <w:tcPr>
            <w:tcW w:w="2198" w:type="dxa"/>
            <w:shd w:val="clear" w:color="auto" w:fill="D9E2F3"/>
          </w:tcPr>
          <w:p w14:paraId="421B9779" w14:textId="77777777" w:rsidR="00BB44E1" w:rsidRPr="00DB0C40" w:rsidRDefault="00230B49">
            <w:pPr>
              <w:spacing w:before="40" w:after="40" w:line="276" w:lineRule="auto"/>
              <w:jc w:val="both"/>
              <w:rPr>
                <w:sz w:val="22"/>
                <w:szCs w:val="22"/>
              </w:rPr>
            </w:pPr>
            <w:r w:rsidRPr="00DB0C40">
              <w:rPr>
                <w:sz w:val="22"/>
                <w:szCs w:val="22"/>
              </w:rPr>
              <w:t>IWPR</w:t>
            </w:r>
          </w:p>
        </w:tc>
        <w:tc>
          <w:tcPr>
            <w:tcW w:w="6874" w:type="dxa"/>
          </w:tcPr>
          <w:p w14:paraId="378ED6A6" w14:textId="77777777" w:rsidR="00BB44E1" w:rsidRPr="00DB0C40" w:rsidRDefault="00230B49">
            <w:pPr>
              <w:rPr>
                <w:sz w:val="20"/>
                <w:szCs w:val="20"/>
              </w:rPr>
            </w:pPr>
            <w:r w:rsidRPr="00DB0C40">
              <w:rPr>
                <w:sz w:val="22"/>
                <w:szCs w:val="22"/>
              </w:rPr>
              <w:t>Institute for Women’s Policy Research</w:t>
            </w:r>
          </w:p>
        </w:tc>
      </w:tr>
      <w:tr w:rsidR="00BB44E1" w:rsidRPr="00DB0C40" w14:paraId="469EF061" w14:textId="77777777">
        <w:trPr>
          <w:trHeight w:val="138"/>
        </w:trPr>
        <w:tc>
          <w:tcPr>
            <w:tcW w:w="2198" w:type="dxa"/>
            <w:shd w:val="clear" w:color="auto" w:fill="D9E2F3"/>
          </w:tcPr>
          <w:p w14:paraId="4B36FB44" w14:textId="77777777" w:rsidR="00BB44E1" w:rsidRPr="00DB0C40" w:rsidRDefault="00230B49">
            <w:pPr>
              <w:spacing w:before="40" w:after="40" w:line="276" w:lineRule="auto"/>
              <w:jc w:val="both"/>
              <w:rPr>
                <w:sz w:val="22"/>
                <w:szCs w:val="22"/>
              </w:rPr>
            </w:pPr>
            <w:r w:rsidRPr="00DB0C40">
              <w:rPr>
                <w:sz w:val="22"/>
                <w:szCs w:val="22"/>
              </w:rPr>
              <w:t>KAGIDER</w:t>
            </w:r>
          </w:p>
        </w:tc>
        <w:tc>
          <w:tcPr>
            <w:tcW w:w="6874" w:type="dxa"/>
          </w:tcPr>
          <w:p w14:paraId="17522D42" w14:textId="5CC5FCF3" w:rsidR="00BB44E1" w:rsidRPr="00DB0C40" w:rsidRDefault="00230B49">
            <w:pPr>
              <w:rPr>
                <w:sz w:val="20"/>
                <w:szCs w:val="20"/>
              </w:rPr>
            </w:pPr>
            <w:r w:rsidRPr="00DB0C40">
              <w:rPr>
                <w:sz w:val="22"/>
                <w:szCs w:val="22"/>
              </w:rPr>
              <w:t xml:space="preserve">Women Entrepreneurs Association of </w:t>
            </w:r>
            <w:r w:rsidR="00AC20EA">
              <w:rPr>
                <w:sz w:val="22"/>
                <w:szCs w:val="22"/>
              </w:rPr>
              <w:t>Türkiye</w:t>
            </w:r>
          </w:p>
        </w:tc>
      </w:tr>
      <w:tr w:rsidR="00BB44E1" w:rsidRPr="00DB0C40" w14:paraId="7F723DA9" w14:textId="77777777">
        <w:trPr>
          <w:trHeight w:val="138"/>
        </w:trPr>
        <w:tc>
          <w:tcPr>
            <w:tcW w:w="2198" w:type="dxa"/>
            <w:shd w:val="clear" w:color="auto" w:fill="D9E2F3"/>
          </w:tcPr>
          <w:p w14:paraId="5A7883F1" w14:textId="77777777" w:rsidR="00BB44E1" w:rsidRPr="00DB0C40" w:rsidRDefault="00230B49">
            <w:pPr>
              <w:spacing w:before="40" w:after="40" w:line="276" w:lineRule="auto"/>
              <w:jc w:val="both"/>
              <w:rPr>
                <w:sz w:val="22"/>
                <w:szCs w:val="22"/>
              </w:rPr>
            </w:pPr>
            <w:r w:rsidRPr="00DB0C40">
              <w:rPr>
                <w:sz w:val="22"/>
                <w:szCs w:val="22"/>
              </w:rPr>
              <w:t>KOSGEB</w:t>
            </w:r>
          </w:p>
        </w:tc>
        <w:tc>
          <w:tcPr>
            <w:tcW w:w="6874" w:type="dxa"/>
          </w:tcPr>
          <w:p w14:paraId="5C6A920F" w14:textId="51EFC7AF" w:rsidR="00BB44E1" w:rsidRPr="00DB0C40" w:rsidRDefault="00230B49">
            <w:pPr>
              <w:rPr>
                <w:sz w:val="20"/>
                <w:szCs w:val="20"/>
              </w:rPr>
            </w:pPr>
            <w:r w:rsidRPr="00DB0C40">
              <w:rPr>
                <w:sz w:val="22"/>
                <w:szCs w:val="22"/>
              </w:rPr>
              <w:t xml:space="preserve">Small and Medium Enterprises Development Organisation of </w:t>
            </w:r>
            <w:r w:rsidR="00AC20EA">
              <w:rPr>
                <w:sz w:val="22"/>
                <w:szCs w:val="22"/>
              </w:rPr>
              <w:t>Türkiye</w:t>
            </w:r>
          </w:p>
        </w:tc>
      </w:tr>
      <w:tr w:rsidR="00BB44E1" w:rsidRPr="00DB0C40" w14:paraId="15EBC32A" w14:textId="77777777">
        <w:trPr>
          <w:trHeight w:val="138"/>
        </w:trPr>
        <w:tc>
          <w:tcPr>
            <w:tcW w:w="2198" w:type="dxa"/>
            <w:shd w:val="clear" w:color="auto" w:fill="D9E2F3"/>
          </w:tcPr>
          <w:p w14:paraId="5CB47208" w14:textId="77777777" w:rsidR="00BB44E1" w:rsidRPr="00DB0C40" w:rsidRDefault="00230B49">
            <w:pPr>
              <w:spacing w:before="40" w:after="40" w:line="276" w:lineRule="auto"/>
              <w:jc w:val="both"/>
              <w:rPr>
                <w:sz w:val="22"/>
                <w:szCs w:val="22"/>
              </w:rPr>
            </w:pPr>
            <w:r w:rsidRPr="00DB0C40">
              <w:rPr>
                <w:sz w:val="22"/>
                <w:szCs w:val="22"/>
              </w:rPr>
              <w:t>MEA</w:t>
            </w:r>
          </w:p>
        </w:tc>
        <w:tc>
          <w:tcPr>
            <w:tcW w:w="6874" w:type="dxa"/>
          </w:tcPr>
          <w:p w14:paraId="11877DA4" w14:textId="77777777" w:rsidR="00BB44E1" w:rsidRPr="00DB0C40" w:rsidRDefault="00230B49">
            <w:pPr>
              <w:rPr>
                <w:sz w:val="20"/>
                <w:szCs w:val="20"/>
              </w:rPr>
            </w:pPr>
            <w:r w:rsidRPr="00DB0C40">
              <w:rPr>
                <w:sz w:val="22"/>
                <w:szCs w:val="22"/>
              </w:rPr>
              <w:t>Maritime Employment Act. 2005</w:t>
            </w:r>
          </w:p>
        </w:tc>
      </w:tr>
      <w:tr w:rsidR="00BB44E1" w:rsidRPr="00DB0C40" w14:paraId="71E07F94" w14:textId="77777777">
        <w:trPr>
          <w:trHeight w:val="138"/>
        </w:trPr>
        <w:tc>
          <w:tcPr>
            <w:tcW w:w="2198" w:type="dxa"/>
            <w:shd w:val="clear" w:color="auto" w:fill="D9E2F3"/>
          </w:tcPr>
          <w:p w14:paraId="10AAD9C8" w14:textId="77777777" w:rsidR="00BB44E1" w:rsidRPr="00DB0C40" w:rsidRDefault="00230B49">
            <w:pPr>
              <w:spacing w:before="40" w:after="40" w:line="276" w:lineRule="auto"/>
              <w:jc w:val="both"/>
              <w:rPr>
                <w:sz w:val="22"/>
                <w:szCs w:val="22"/>
              </w:rPr>
            </w:pPr>
            <w:r w:rsidRPr="00DB0C40">
              <w:rPr>
                <w:sz w:val="22"/>
                <w:szCs w:val="22"/>
              </w:rPr>
              <w:t>MSMEs</w:t>
            </w:r>
          </w:p>
        </w:tc>
        <w:tc>
          <w:tcPr>
            <w:tcW w:w="6874" w:type="dxa"/>
          </w:tcPr>
          <w:p w14:paraId="057197FD" w14:textId="77777777" w:rsidR="00BB44E1" w:rsidRPr="00DB0C40" w:rsidRDefault="00230B49">
            <w:pPr>
              <w:rPr>
                <w:sz w:val="20"/>
                <w:szCs w:val="20"/>
              </w:rPr>
            </w:pPr>
            <w:r w:rsidRPr="00DB0C40">
              <w:rPr>
                <w:sz w:val="22"/>
                <w:szCs w:val="22"/>
              </w:rPr>
              <w:t>Micro, small and medium-sized enterprises</w:t>
            </w:r>
          </w:p>
        </w:tc>
      </w:tr>
      <w:tr w:rsidR="00BB44E1" w:rsidRPr="00DB0C40" w14:paraId="07D9C0BF" w14:textId="77777777">
        <w:trPr>
          <w:trHeight w:val="138"/>
        </w:trPr>
        <w:tc>
          <w:tcPr>
            <w:tcW w:w="2198" w:type="dxa"/>
            <w:shd w:val="clear" w:color="auto" w:fill="D9E2F3"/>
          </w:tcPr>
          <w:p w14:paraId="4C8B3339" w14:textId="77777777" w:rsidR="00BB44E1" w:rsidRPr="00DB0C40" w:rsidRDefault="00230B49">
            <w:pPr>
              <w:spacing w:before="40" w:after="40" w:line="276" w:lineRule="auto"/>
              <w:jc w:val="both"/>
              <w:rPr>
                <w:sz w:val="22"/>
                <w:szCs w:val="22"/>
              </w:rPr>
            </w:pPr>
            <w:r w:rsidRPr="00DB0C40">
              <w:rPr>
                <w:sz w:val="22"/>
                <w:szCs w:val="22"/>
              </w:rPr>
              <w:t>NGO</w:t>
            </w:r>
          </w:p>
        </w:tc>
        <w:tc>
          <w:tcPr>
            <w:tcW w:w="6874" w:type="dxa"/>
          </w:tcPr>
          <w:p w14:paraId="1338DF43" w14:textId="77777777" w:rsidR="00BB44E1" w:rsidRPr="00DB0C40" w:rsidRDefault="00230B49">
            <w:pPr>
              <w:rPr>
                <w:sz w:val="20"/>
                <w:szCs w:val="20"/>
              </w:rPr>
            </w:pPr>
            <w:r w:rsidRPr="00DB0C40">
              <w:rPr>
                <w:sz w:val="22"/>
                <w:szCs w:val="22"/>
              </w:rPr>
              <w:t>Non-governmental organisation</w:t>
            </w:r>
          </w:p>
        </w:tc>
      </w:tr>
      <w:tr w:rsidR="00BB44E1" w:rsidRPr="00DB0C40" w14:paraId="5107F77B" w14:textId="77777777">
        <w:trPr>
          <w:trHeight w:val="138"/>
        </w:trPr>
        <w:tc>
          <w:tcPr>
            <w:tcW w:w="2198" w:type="dxa"/>
            <w:shd w:val="clear" w:color="auto" w:fill="D9E2F3"/>
          </w:tcPr>
          <w:p w14:paraId="47C403BA" w14:textId="77777777" w:rsidR="00BB44E1" w:rsidRPr="00DB0C40" w:rsidRDefault="00230B49">
            <w:pPr>
              <w:spacing w:before="40" w:after="40" w:line="276" w:lineRule="auto"/>
              <w:jc w:val="both"/>
              <w:rPr>
                <w:sz w:val="22"/>
                <w:szCs w:val="22"/>
              </w:rPr>
            </w:pPr>
            <w:r w:rsidRPr="00DB0C40">
              <w:rPr>
                <w:sz w:val="22"/>
                <w:szCs w:val="22"/>
              </w:rPr>
              <w:t xml:space="preserve">OA   </w:t>
            </w:r>
          </w:p>
        </w:tc>
        <w:tc>
          <w:tcPr>
            <w:tcW w:w="6874" w:type="dxa"/>
          </w:tcPr>
          <w:p w14:paraId="45CFD415" w14:textId="77777777" w:rsidR="00BB44E1" w:rsidRPr="00DB0C40" w:rsidRDefault="00230B49">
            <w:pPr>
              <w:rPr>
                <w:sz w:val="20"/>
                <w:szCs w:val="20"/>
              </w:rPr>
            </w:pPr>
            <w:r w:rsidRPr="00DB0C40">
              <w:rPr>
                <w:sz w:val="22"/>
                <w:szCs w:val="22"/>
              </w:rPr>
              <w:t>Obligations Act- 2011</w:t>
            </w:r>
          </w:p>
        </w:tc>
      </w:tr>
      <w:tr w:rsidR="00BB44E1" w:rsidRPr="00DB0C40" w14:paraId="1A40EC81" w14:textId="77777777">
        <w:trPr>
          <w:trHeight w:val="138"/>
        </w:trPr>
        <w:tc>
          <w:tcPr>
            <w:tcW w:w="2198" w:type="dxa"/>
            <w:shd w:val="clear" w:color="auto" w:fill="D9E2F3"/>
          </w:tcPr>
          <w:p w14:paraId="39ADF8F5" w14:textId="77777777" w:rsidR="00BB44E1" w:rsidRPr="00DB0C40" w:rsidRDefault="00230B49">
            <w:pPr>
              <w:spacing w:before="40" w:after="40" w:line="276" w:lineRule="auto"/>
              <w:jc w:val="both"/>
              <w:rPr>
                <w:sz w:val="22"/>
                <w:szCs w:val="22"/>
              </w:rPr>
            </w:pPr>
            <w:r w:rsidRPr="00DB0C40">
              <w:rPr>
                <w:sz w:val="22"/>
                <w:szCs w:val="22"/>
              </w:rPr>
              <w:t>OSH</w:t>
            </w:r>
          </w:p>
        </w:tc>
        <w:tc>
          <w:tcPr>
            <w:tcW w:w="6874" w:type="dxa"/>
          </w:tcPr>
          <w:p w14:paraId="6234AF96" w14:textId="77777777" w:rsidR="00BB44E1" w:rsidRPr="00DB0C40" w:rsidRDefault="00230B49">
            <w:pPr>
              <w:rPr>
                <w:sz w:val="20"/>
                <w:szCs w:val="20"/>
              </w:rPr>
            </w:pPr>
            <w:r w:rsidRPr="00DB0C40">
              <w:rPr>
                <w:sz w:val="22"/>
                <w:szCs w:val="22"/>
              </w:rPr>
              <w:t>Occupational safety and health</w:t>
            </w:r>
          </w:p>
        </w:tc>
      </w:tr>
      <w:tr w:rsidR="00BB44E1" w:rsidRPr="00DB0C40" w14:paraId="18CCC641" w14:textId="77777777">
        <w:trPr>
          <w:trHeight w:val="138"/>
        </w:trPr>
        <w:tc>
          <w:tcPr>
            <w:tcW w:w="2198" w:type="dxa"/>
            <w:shd w:val="clear" w:color="auto" w:fill="D9E2F3"/>
          </w:tcPr>
          <w:p w14:paraId="47BDD0A1" w14:textId="77777777" w:rsidR="00BB44E1" w:rsidRPr="00DB0C40" w:rsidRDefault="00230B49">
            <w:pPr>
              <w:spacing w:before="40" w:after="40" w:line="276" w:lineRule="auto"/>
              <w:jc w:val="both"/>
              <w:rPr>
                <w:sz w:val="22"/>
                <w:szCs w:val="22"/>
              </w:rPr>
            </w:pPr>
            <w:r w:rsidRPr="00DB0C40">
              <w:rPr>
                <w:sz w:val="22"/>
                <w:szCs w:val="22"/>
              </w:rPr>
              <w:t>OECD</w:t>
            </w:r>
            <w:r w:rsidRPr="00DB0C40">
              <w:rPr>
                <w:sz w:val="22"/>
                <w:szCs w:val="22"/>
              </w:rPr>
              <w:tab/>
            </w:r>
          </w:p>
        </w:tc>
        <w:tc>
          <w:tcPr>
            <w:tcW w:w="6874" w:type="dxa"/>
          </w:tcPr>
          <w:p w14:paraId="57F97A11" w14:textId="77777777" w:rsidR="00BB44E1" w:rsidRPr="00DB0C40" w:rsidRDefault="00230B49">
            <w:pPr>
              <w:rPr>
                <w:sz w:val="20"/>
                <w:szCs w:val="20"/>
              </w:rPr>
            </w:pPr>
            <w:r w:rsidRPr="00DB0C40">
              <w:rPr>
                <w:sz w:val="22"/>
                <w:szCs w:val="22"/>
              </w:rPr>
              <w:t>The Organisation for Economic Co-operation and Development</w:t>
            </w:r>
          </w:p>
        </w:tc>
      </w:tr>
      <w:tr w:rsidR="00BB44E1" w:rsidRPr="00DB0C40" w14:paraId="0FDF7A36" w14:textId="77777777">
        <w:trPr>
          <w:trHeight w:val="138"/>
        </w:trPr>
        <w:tc>
          <w:tcPr>
            <w:tcW w:w="2198" w:type="dxa"/>
            <w:shd w:val="clear" w:color="auto" w:fill="D9E2F3"/>
          </w:tcPr>
          <w:p w14:paraId="02DE6A8F" w14:textId="77777777" w:rsidR="00BB44E1" w:rsidRPr="00DB0C40" w:rsidRDefault="00230B49">
            <w:pPr>
              <w:spacing w:before="40" w:after="40" w:line="276" w:lineRule="auto"/>
              <w:jc w:val="both"/>
              <w:rPr>
                <w:sz w:val="22"/>
                <w:szCs w:val="22"/>
              </w:rPr>
            </w:pPr>
            <w:r w:rsidRPr="00DB0C40">
              <w:rPr>
                <w:sz w:val="22"/>
                <w:szCs w:val="22"/>
              </w:rPr>
              <w:t>OSCE</w:t>
            </w:r>
          </w:p>
        </w:tc>
        <w:tc>
          <w:tcPr>
            <w:tcW w:w="6874" w:type="dxa"/>
          </w:tcPr>
          <w:p w14:paraId="29AA933E" w14:textId="77777777" w:rsidR="00BB44E1" w:rsidRPr="00DB0C40" w:rsidRDefault="00230B49">
            <w:pPr>
              <w:rPr>
                <w:sz w:val="20"/>
                <w:szCs w:val="20"/>
              </w:rPr>
            </w:pPr>
            <w:r w:rsidRPr="00DB0C40">
              <w:rPr>
                <w:sz w:val="22"/>
                <w:szCs w:val="22"/>
              </w:rPr>
              <w:t>Organisation for Security and Co-operation in Europe</w:t>
            </w:r>
          </w:p>
        </w:tc>
      </w:tr>
      <w:tr w:rsidR="00BB44E1" w:rsidRPr="00DB0C40" w14:paraId="4F3FDA6B" w14:textId="77777777">
        <w:trPr>
          <w:trHeight w:val="138"/>
        </w:trPr>
        <w:tc>
          <w:tcPr>
            <w:tcW w:w="2198" w:type="dxa"/>
            <w:shd w:val="clear" w:color="auto" w:fill="D9E2F3"/>
          </w:tcPr>
          <w:p w14:paraId="0B601514" w14:textId="77777777" w:rsidR="00BB44E1" w:rsidRPr="00DB0C40" w:rsidRDefault="00230B49">
            <w:pPr>
              <w:spacing w:before="40" w:after="40" w:line="276" w:lineRule="auto"/>
              <w:jc w:val="both"/>
              <w:rPr>
                <w:sz w:val="22"/>
                <w:szCs w:val="22"/>
              </w:rPr>
            </w:pPr>
            <w:r w:rsidRPr="00DB0C40">
              <w:rPr>
                <w:sz w:val="22"/>
                <w:szCs w:val="22"/>
              </w:rPr>
              <w:t xml:space="preserve">PEA  </w:t>
            </w:r>
          </w:p>
        </w:tc>
        <w:tc>
          <w:tcPr>
            <w:tcW w:w="6874" w:type="dxa"/>
          </w:tcPr>
          <w:p w14:paraId="0015613C" w14:textId="77777777" w:rsidR="00BB44E1" w:rsidRPr="00DB0C40" w:rsidRDefault="00230B49">
            <w:pPr>
              <w:rPr>
                <w:sz w:val="20"/>
                <w:szCs w:val="20"/>
              </w:rPr>
            </w:pPr>
            <w:r w:rsidRPr="00DB0C40">
              <w:rPr>
                <w:sz w:val="22"/>
                <w:szCs w:val="22"/>
              </w:rPr>
              <w:t>Press Employment Act</w:t>
            </w:r>
          </w:p>
        </w:tc>
      </w:tr>
      <w:tr w:rsidR="00BB44E1" w:rsidRPr="00DB0C40" w14:paraId="1851B5B3" w14:textId="77777777">
        <w:trPr>
          <w:trHeight w:val="138"/>
        </w:trPr>
        <w:tc>
          <w:tcPr>
            <w:tcW w:w="2198" w:type="dxa"/>
            <w:shd w:val="clear" w:color="auto" w:fill="D9E2F3"/>
          </w:tcPr>
          <w:p w14:paraId="5FAB075F" w14:textId="77777777" w:rsidR="00BB44E1" w:rsidRPr="00DB0C40" w:rsidRDefault="00230B49">
            <w:pPr>
              <w:spacing w:before="40" w:after="40" w:line="276" w:lineRule="auto"/>
              <w:jc w:val="both"/>
              <w:rPr>
                <w:sz w:val="22"/>
                <w:szCs w:val="22"/>
              </w:rPr>
            </w:pPr>
            <w:r w:rsidRPr="00DB0C40">
              <w:rPr>
                <w:sz w:val="22"/>
                <w:szCs w:val="22"/>
              </w:rPr>
              <w:t>PC</w:t>
            </w:r>
          </w:p>
        </w:tc>
        <w:tc>
          <w:tcPr>
            <w:tcW w:w="6874" w:type="dxa"/>
          </w:tcPr>
          <w:p w14:paraId="3F46C072" w14:textId="77777777" w:rsidR="00BB44E1" w:rsidRPr="00DB0C40" w:rsidRDefault="00230B49">
            <w:pPr>
              <w:rPr>
                <w:sz w:val="20"/>
                <w:szCs w:val="20"/>
              </w:rPr>
            </w:pPr>
            <w:r w:rsidRPr="00DB0C40">
              <w:rPr>
                <w:sz w:val="22"/>
                <w:szCs w:val="22"/>
              </w:rPr>
              <w:t>Penal Code - 2004</w:t>
            </w:r>
          </w:p>
        </w:tc>
      </w:tr>
      <w:tr w:rsidR="00BB44E1" w:rsidRPr="00DB0C40" w14:paraId="3AE6614F" w14:textId="77777777">
        <w:trPr>
          <w:trHeight w:val="138"/>
        </w:trPr>
        <w:tc>
          <w:tcPr>
            <w:tcW w:w="2198" w:type="dxa"/>
            <w:shd w:val="clear" w:color="auto" w:fill="D9E2F3"/>
          </w:tcPr>
          <w:p w14:paraId="11B4572B" w14:textId="77777777" w:rsidR="00BB44E1" w:rsidRPr="00DB0C40" w:rsidRDefault="00230B49">
            <w:pPr>
              <w:spacing w:before="40" w:after="40" w:line="276" w:lineRule="auto"/>
              <w:jc w:val="both"/>
              <w:rPr>
                <w:sz w:val="22"/>
                <w:szCs w:val="22"/>
              </w:rPr>
            </w:pPr>
            <w:r w:rsidRPr="00DB0C40">
              <w:rPr>
                <w:sz w:val="22"/>
                <w:szCs w:val="22"/>
              </w:rPr>
              <w:t>SDGs</w:t>
            </w:r>
          </w:p>
        </w:tc>
        <w:tc>
          <w:tcPr>
            <w:tcW w:w="6874" w:type="dxa"/>
          </w:tcPr>
          <w:p w14:paraId="4E80B681" w14:textId="77777777" w:rsidR="00BB44E1" w:rsidRPr="00DB0C40" w:rsidRDefault="00230B49">
            <w:pPr>
              <w:rPr>
                <w:sz w:val="20"/>
                <w:szCs w:val="20"/>
              </w:rPr>
            </w:pPr>
            <w:r w:rsidRPr="00DB0C40">
              <w:rPr>
                <w:sz w:val="22"/>
                <w:szCs w:val="22"/>
              </w:rPr>
              <w:t>Sustainable Development Goals</w:t>
            </w:r>
          </w:p>
        </w:tc>
      </w:tr>
      <w:tr w:rsidR="00BB44E1" w:rsidRPr="00DB0C40" w14:paraId="1BEF82E1" w14:textId="77777777">
        <w:trPr>
          <w:trHeight w:val="138"/>
        </w:trPr>
        <w:tc>
          <w:tcPr>
            <w:tcW w:w="2198" w:type="dxa"/>
            <w:shd w:val="clear" w:color="auto" w:fill="D9E2F3"/>
          </w:tcPr>
          <w:p w14:paraId="332FE380" w14:textId="77777777" w:rsidR="00BB44E1" w:rsidRPr="00DB0C40" w:rsidRDefault="00230B49">
            <w:pPr>
              <w:spacing w:before="40" w:after="40" w:line="276" w:lineRule="auto"/>
              <w:jc w:val="both"/>
              <w:rPr>
                <w:sz w:val="22"/>
                <w:szCs w:val="22"/>
              </w:rPr>
            </w:pPr>
            <w:r w:rsidRPr="00DB0C40">
              <w:rPr>
                <w:sz w:val="22"/>
                <w:szCs w:val="22"/>
              </w:rPr>
              <w:t>SH</w:t>
            </w:r>
            <w:r w:rsidRPr="00DB0C40">
              <w:rPr>
                <w:sz w:val="22"/>
                <w:szCs w:val="22"/>
              </w:rPr>
              <w:tab/>
            </w:r>
          </w:p>
        </w:tc>
        <w:tc>
          <w:tcPr>
            <w:tcW w:w="6874" w:type="dxa"/>
          </w:tcPr>
          <w:p w14:paraId="4F376A22" w14:textId="77777777" w:rsidR="00BB44E1" w:rsidRPr="00DB0C40" w:rsidRDefault="00230B49">
            <w:pPr>
              <w:rPr>
                <w:sz w:val="20"/>
                <w:szCs w:val="20"/>
              </w:rPr>
            </w:pPr>
            <w:r w:rsidRPr="00DB0C40">
              <w:rPr>
                <w:sz w:val="22"/>
                <w:szCs w:val="22"/>
              </w:rPr>
              <w:t>Sexual harassment</w:t>
            </w:r>
          </w:p>
        </w:tc>
      </w:tr>
      <w:tr w:rsidR="00BB44E1" w:rsidRPr="00DB0C40" w14:paraId="0B71304E" w14:textId="77777777">
        <w:trPr>
          <w:trHeight w:val="138"/>
        </w:trPr>
        <w:tc>
          <w:tcPr>
            <w:tcW w:w="2198" w:type="dxa"/>
            <w:shd w:val="clear" w:color="auto" w:fill="D9E2F3"/>
          </w:tcPr>
          <w:p w14:paraId="4E7CB420" w14:textId="77777777" w:rsidR="00BB44E1" w:rsidRPr="00DB0C40" w:rsidRDefault="00230B49">
            <w:pPr>
              <w:spacing w:before="40" w:after="40" w:line="276" w:lineRule="auto"/>
              <w:jc w:val="both"/>
              <w:rPr>
                <w:sz w:val="22"/>
                <w:szCs w:val="22"/>
              </w:rPr>
            </w:pPr>
            <w:r w:rsidRPr="00DB0C40">
              <w:rPr>
                <w:sz w:val="22"/>
                <w:szCs w:val="22"/>
              </w:rPr>
              <w:t>SMEs</w:t>
            </w:r>
            <w:r w:rsidRPr="00DB0C40">
              <w:rPr>
                <w:sz w:val="22"/>
                <w:szCs w:val="22"/>
              </w:rPr>
              <w:tab/>
            </w:r>
          </w:p>
        </w:tc>
        <w:tc>
          <w:tcPr>
            <w:tcW w:w="6874" w:type="dxa"/>
          </w:tcPr>
          <w:p w14:paraId="211706EB" w14:textId="77777777" w:rsidR="00BB44E1" w:rsidRPr="00DB0C40" w:rsidRDefault="00230B49">
            <w:pPr>
              <w:rPr>
                <w:sz w:val="20"/>
                <w:szCs w:val="20"/>
              </w:rPr>
            </w:pPr>
            <w:r w:rsidRPr="00DB0C40">
              <w:rPr>
                <w:sz w:val="22"/>
                <w:szCs w:val="22"/>
              </w:rPr>
              <w:t>Small and medium-sized enterprises</w:t>
            </w:r>
          </w:p>
        </w:tc>
      </w:tr>
      <w:tr w:rsidR="00BB44E1" w:rsidRPr="00DB0C40" w14:paraId="19F54F4F" w14:textId="77777777">
        <w:trPr>
          <w:trHeight w:val="138"/>
        </w:trPr>
        <w:tc>
          <w:tcPr>
            <w:tcW w:w="2198" w:type="dxa"/>
            <w:shd w:val="clear" w:color="auto" w:fill="D9E2F3"/>
          </w:tcPr>
          <w:p w14:paraId="1056C607" w14:textId="77777777" w:rsidR="00BB44E1" w:rsidRPr="00DB0C40" w:rsidRDefault="00230B49">
            <w:pPr>
              <w:spacing w:before="40" w:after="40" w:line="276" w:lineRule="auto"/>
              <w:jc w:val="both"/>
              <w:rPr>
                <w:sz w:val="22"/>
                <w:szCs w:val="22"/>
              </w:rPr>
            </w:pPr>
            <w:r w:rsidRPr="00DB0C40">
              <w:rPr>
                <w:sz w:val="22"/>
                <w:szCs w:val="22"/>
              </w:rPr>
              <w:t>STEM</w:t>
            </w:r>
          </w:p>
        </w:tc>
        <w:tc>
          <w:tcPr>
            <w:tcW w:w="6874" w:type="dxa"/>
          </w:tcPr>
          <w:p w14:paraId="6BF7BC07" w14:textId="77777777" w:rsidR="00BB44E1" w:rsidRPr="00DB0C40" w:rsidRDefault="00230B49">
            <w:pPr>
              <w:rPr>
                <w:sz w:val="20"/>
                <w:szCs w:val="20"/>
              </w:rPr>
            </w:pPr>
            <w:r w:rsidRPr="00DB0C40">
              <w:rPr>
                <w:sz w:val="22"/>
                <w:szCs w:val="22"/>
              </w:rPr>
              <w:t>Science, technology, engineering, and mathematics</w:t>
            </w:r>
          </w:p>
        </w:tc>
      </w:tr>
      <w:tr w:rsidR="00BB44E1" w:rsidRPr="00DB0C40" w14:paraId="6D711FAC" w14:textId="77777777">
        <w:trPr>
          <w:trHeight w:val="138"/>
        </w:trPr>
        <w:tc>
          <w:tcPr>
            <w:tcW w:w="2198" w:type="dxa"/>
            <w:shd w:val="clear" w:color="auto" w:fill="D9E2F3"/>
          </w:tcPr>
          <w:p w14:paraId="72F0396D" w14:textId="77777777" w:rsidR="00BB44E1" w:rsidRPr="00DB0C40" w:rsidRDefault="00230B49">
            <w:pPr>
              <w:spacing w:before="40" w:after="40" w:line="276" w:lineRule="auto"/>
              <w:jc w:val="both"/>
              <w:rPr>
                <w:sz w:val="22"/>
                <w:szCs w:val="22"/>
              </w:rPr>
            </w:pPr>
            <w:r w:rsidRPr="00DB0C40">
              <w:rPr>
                <w:sz w:val="22"/>
                <w:szCs w:val="22"/>
              </w:rPr>
              <w:t xml:space="preserve">TUIK  </w:t>
            </w:r>
          </w:p>
        </w:tc>
        <w:tc>
          <w:tcPr>
            <w:tcW w:w="6874" w:type="dxa"/>
          </w:tcPr>
          <w:p w14:paraId="04D7FF7D" w14:textId="77777777" w:rsidR="00BB44E1" w:rsidRPr="00DB0C40" w:rsidRDefault="00230B49">
            <w:pPr>
              <w:rPr>
                <w:sz w:val="20"/>
                <w:szCs w:val="20"/>
              </w:rPr>
            </w:pPr>
            <w:r w:rsidRPr="00DB0C40">
              <w:rPr>
                <w:sz w:val="22"/>
                <w:szCs w:val="22"/>
              </w:rPr>
              <w:t>Turkish Statistical Institute</w:t>
            </w:r>
          </w:p>
        </w:tc>
      </w:tr>
      <w:tr w:rsidR="00BB44E1" w:rsidRPr="00DB0C40" w14:paraId="10545216" w14:textId="77777777">
        <w:trPr>
          <w:trHeight w:val="138"/>
        </w:trPr>
        <w:tc>
          <w:tcPr>
            <w:tcW w:w="2198" w:type="dxa"/>
            <w:shd w:val="clear" w:color="auto" w:fill="D9E2F3"/>
          </w:tcPr>
          <w:p w14:paraId="27D8EB58" w14:textId="77777777" w:rsidR="00BB44E1" w:rsidRPr="00DB0C40" w:rsidRDefault="00230B49">
            <w:pPr>
              <w:spacing w:before="40" w:after="40" w:line="276" w:lineRule="auto"/>
              <w:jc w:val="both"/>
              <w:rPr>
                <w:sz w:val="22"/>
                <w:szCs w:val="22"/>
              </w:rPr>
            </w:pPr>
            <w:r w:rsidRPr="00DB0C40">
              <w:rPr>
                <w:sz w:val="22"/>
                <w:szCs w:val="22"/>
              </w:rPr>
              <w:t>Turkish WIN</w:t>
            </w:r>
          </w:p>
        </w:tc>
        <w:tc>
          <w:tcPr>
            <w:tcW w:w="6874" w:type="dxa"/>
          </w:tcPr>
          <w:p w14:paraId="47C94B23" w14:textId="77777777" w:rsidR="00BB44E1" w:rsidRPr="00DB0C40" w:rsidRDefault="00230B49">
            <w:pPr>
              <w:rPr>
                <w:sz w:val="20"/>
                <w:szCs w:val="20"/>
              </w:rPr>
            </w:pPr>
            <w:r w:rsidRPr="00DB0C40">
              <w:rPr>
                <w:sz w:val="22"/>
                <w:szCs w:val="22"/>
              </w:rPr>
              <w:t xml:space="preserve">Turkish Women's International Network </w:t>
            </w:r>
          </w:p>
        </w:tc>
      </w:tr>
      <w:tr w:rsidR="00BB44E1" w:rsidRPr="00DB0C40" w14:paraId="6D810292" w14:textId="77777777">
        <w:trPr>
          <w:trHeight w:val="138"/>
        </w:trPr>
        <w:tc>
          <w:tcPr>
            <w:tcW w:w="2198" w:type="dxa"/>
            <w:shd w:val="clear" w:color="auto" w:fill="D9E2F3"/>
          </w:tcPr>
          <w:p w14:paraId="0DDDDDB4" w14:textId="77777777" w:rsidR="00BB44E1" w:rsidRPr="00DB0C40" w:rsidRDefault="00230B49">
            <w:pPr>
              <w:spacing w:before="40" w:after="40" w:line="276" w:lineRule="auto"/>
              <w:jc w:val="both"/>
              <w:rPr>
                <w:sz w:val="22"/>
                <w:szCs w:val="22"/>
              </w:rPr>
            </w:pPr>
            <w:r w:rsidRPr="00DB0C40">
              <w:rPr>
                <w:sz w:val="22"/>
                <w:szCs w:val="22"/>
              </w:rPr>
              <w:t>UDHR</w:t>
            </w:r>
            <w:r w:rsidRPr="00DB0C40">
              <w:rPr>
                <w:sz w:val="22"/>
                <w:szCs w:val="22"/>
              </w:rPr>
              <w:tab/>
            </w:r>
          </w:p>
        </w:tc>
        <w:tc>
          <w:tcPr>
            <w:tcW w:w="6874" w:type="dxa"/>
          </w:tcPr>
          <w:p w14:paraId="138EEF5A" w14:textId="77777777" w:rsidR="00BB44E1" w:rsidRPr="00DB0C40" w:rsidRDefault="00230B49">
            <w:pPr>
              <w:rPr>
                <w:sz w:val="20"/>
                <w:szCs w:val="20"/>
              </w:rPr>
            </w:pPr>
            <w:r w:rsidRPr="00DB0C40">
              <w:rPr>
                <w:sz w:val="22"/>
                <w:szCs w:val="22"/>
              </w:rPr>
              <w:t>Universal Declaration of Human Rights</w:t>
            </w:r>
          </w:p>
        </w:tc>
      </w:tr>
      <w:tr w:rsidR="00BB44E1" w:rsidRPr="00DB0C40" w14:paraId="5713E994" w14:textId="77777777">
        <w:trPr>
          <w:trHeight w:val="138"/>
        </w:trPr>
        <w:tc>
          <w:tcPr>
            <w:tcW w:w="2198" w:type="dxa"/>
            <w:shd w:val="clear" w:color="auto" w:fill="D9E2F3"/>
          </w:tcPr>
          <w:p w14:paraId="094C81B2" w14:textId="77777777" w:rsidR="00BB44E1" w:rsidRPr="00DB0C40" w:rsidRDefault="00230B49">
            <w:pPr>
              <w:spacing w:before="40" w:after="40" w:line="276" w:lineRule="auto"/>
              <w:jc w:val="both"/>
              <w:rPr>
                <w:sz w:val="22"/>
                <w:szCs w:val="22"/>
              </w:rPr>
            </w:pPr>
            <w:r w:rsidRPr="00DB0C40">
              <w:rPr>
                <w:sz w:val="22"/>
                <w:szCs w:val="22"/>
              </w:rPr>
              <w:t>UNGA</w:t>
            </w:r>
          </w:p>
        </w:tc>
        <w:tc>
          <w:tcPr>
            <w:tcW w:w="6874" w:type="dxa"/>
          </w:tcPr>
          <w:p w14:paraId="57183772" w14:textId="77777777" w:rsidR="00BB44E1" w:rsidRPr="00DB0C40" w:rsidRDefault="00230B49">
            <w:pPr>
              <w:rPr>
                <w:sz w:val="20"/>
                <w:szCs w:val="20"/>
              </w:rPr>
            </w:pPr>
            <w:r w:rsidRPr="00DB0C40">
              <w:rPr>
                <w:sz w:val="22"/>
                <w:szCs w:val="22"/>
              </w:rPr>
              <w:t>United Nations General Assembly</w:t>
            </w:r>
          </w:p>
        </w:tc>
      </w:tr>
      <w:tr w:rsidR="00BB44E1" w:rsidRPr="00DB0C40" w14:paraId="1A77C50C" w14:textId="77777777">
        <w:trPr>
          <w:trHeight w:val="138"/>
        </w:trPr>
        <w:tc>
          <w:tcPr>
            <w:tcW w:w="2198" w:type="dxa"/>
            <w:shd w:val="clear" w:color="auto" w:fill="D9E2F3"/>
          </w:tcPr>
          <w:p w14:paraId="31F4B273" w14:textId="77777777" w:rsidR="00BB44E1" w:rsidRPr="00DB0C40" w:rsidRDefault="00230B49">
            <w:pPr>
              <w:spacing w:before="40" w:after="40" w:line="276" w:lineRule="auto"/>
              <w:jc w:val="both"/>
              <w:rPr>
                <w:sz w:val="22"/>
                <w:szCs w:val="22"/>
              </w:rPr>
            </w:pPr>
            <w:r w:rsidRPr="00DB0C40">
              <w:rPr>
                <w:sz w:val="22"/>
                <w:szCs w:val="22"/>
              </w:rPr>
              <w:t>UN Guiding Principles</w:t>
            </w:r>
          </w:p>
        </w:tc>
        <w:tc>
          <w:tcPr>
            <w:tcW w:w="6874" w:type="dxa"/>
          </w:tcPr>
          <w:p w14:paraId="136EBDE5" w14:textId="77777777" w:rsidR="00BB44E1" w:rsidRPr="00DB0C40" w:rsidRDefault="00230B49">
            <w:pPr>
              <w:rPr>
                <w:sz w:val="20"/>
                <w:szCs w:val="20"/>
              </w:rPr>
            </w:pPr>
            <w:r w:rsidRPr="00DB0C40">
              <w:rPr>
                <w:sz w:val="22"/>
                <w:szCs w:val="22"/>
              </w:rPr>
              <w:t xml:space="preserve">UN Guiding Principles on Business and Human Rights </w:t>
            </w:r>
          </w:p>
        </w:tc>
      </w:tr>
      <w:tr w:rsidR="00BB44E1" w:rsidRPr="00DB0C40" w14:paraId="0723F748" w14:textId="77777777">
        <w:trPr>
          <w:trHeight w:val="138"/>
        </w:trPr>
        <w:tc>
          <w:tcPr>
            <w:tcW w:w="2198" w:type="dxa"/>
            <w:shd w:val="clear" w:color="auto" w:fill="D9E2F3"/>
          </w:tcPr>
          <w:p w14:paraId="7FCF2271" w14:textId="77777777" w:rsidR="00BB44E1" w:rsidRPr="00DB0C40" w:rsidRDefault="00230B49">
            <w:pPr>
              <w:spacing w:before="40" w:after="40" w:line="276" w:lineRule="auto"/>
              <w:jc w:val="both"/>
              <w:rPr>
                <w:sz w:val="22"/>
                <w:szCs w:val="22"/>
              </w:rPr>
            </w:pPr>
            <w:r w:rsidRPr="00DB0C40">
              <w:rPr>
                <w:sz w:val="22"/>
                <w:szCs w:val="22"/>
              </w:rPr>
              <w:t>UNHROHC</w:t>
            </w:r>
          </w:p>
        </w:tc>
        <w:tc>
          <w:tcPr>
            <w:tcW w:w="6874" w:type="dxa"/>
          </w:tcPr>
          <w:p w14:paraId="48693506" w14:textId="77777777" w:rsidR="00BB44E1" w:rsidRPr="00DB0C40" w:rsidRDefault="00230B49">
            <w:pPr>
              <w:rPr>
                <w:sz w:val="20"/>
                <w:szCs w:val="20"/>
              </w:rPr>
            </w:pPr>
            <w:r w:rsidRPr="00DB0C40">
              <w:rPr>
                <w:sz w:val="22"/>
                <w:szCs w:val="22"/>
              </w:rPr>
              <w:t xml:space="preserve">United Nations Human Rights Office of the High Commissioner </w:t>
            </w:r>
          </w:p>
        </w:tc>
      </w:tr>
      <w:tr w:rsidR="00BB44E1" w:rsidRPr="00DB0C40" w14:paraId="010B6E58" w14:textId="77777777">
        <w:trPr>
          <w:trHeight w:val="138"/>
        </w:trPr>
        <w:tc>
          <w:tcPr>
            <w:tcW w:w="2198" w:type="dxa"/>
            <w:shd w:val="clear" w:color="auto" w:fill="D9E2F3"/>
          </w:tcPr>
          <w:p w14:paraId="09D23F4E" w14:textId="77777777" w:rsidR="00BB44E1" w:rsidRPr="00DB0C40" w:rsidRDefault="00230B49">
            <w:pPr>
              <w:spacing w:before="40" w:after="40" w:line="276" w:lineRule="auto"/>
              <w:jc w:val="both"/>
              <w:rPr>
                <w:sz w:val="22"/>
                <w:szCs w:val="22"/>
              </w:rPr>
            </w:pPr>
            <w:r w:rsidRPr="00DB0C40">
              <w:rPr>
                <w:sz w:val="22"/>
                <w:szCs w:val="22"/>
              </w:rPr>
              <w:t>USD</w:t>
            </w:r>
          </w:p>
        </w:tc>
        <w:tc>
          <w:tcPr>
            <w:tcW w:w="6874" w:type="dxa"/>
          </w:tcPr>
          <w:p w14:paraId="61D34503" w14:textId="77777777" w:rsidR="00BB44E1" w:rsidRPr="00DB0C40" w:rsidRDefault="00230B49">
            <w:pPr>
              <w:rPr>
                <w:sz w:val="20"/>
                <w:szCs w:val="20"/>
              </w:rPr>
            </w:pPr>
            <w:r w:rsidRPr="00DB0C40">
              <w:rPr>
                <w:sz w:val="22"/>
                <w:szCs w:val="22"/>
              </w:rPr>
              <w:t>United States dollar</w:t>
            </w:r>
          </w:p>
        </w:tc>
      </w:tr>
      <w:tr w:rsidR="00BB44E1" w:rsidRPr="00DB0C40" w14:paraId="223AA928" w14:textId="77777777">
        <w:trPr>
          <w:trHeight w:val="138"/>
        </w:trPr>
        <w:tc>
          <w:tcPr>
            <w:tcW w:w="2198" w:type="dxa"/>
            <w:shd w:val="clear" w:color="auto" w:fill="D9E2F3"/>
          </w:tcPr>
          <w:p w14:paraId="2E94C8D0" w14:textId="77777777" w:rsidR="00BB44E1" w:rsidRPr="00DB0C40" w:rsidRDefault="00230B49">
            <w:pPr>
              <w:spacing w:before="40" w:after="40" w:line="276" w:lineRule="auto"/>
              <w:jc w:val="both"/>
              <w:rPr>
                <w:sz w:val="22"/>
                <w:szCs w:val="22"/>
              </w:rPr>
            </w:pPr>
            <w:r w:rsidRPr="00DB0C40">
              <w:rPr>
                <w:sz w:val="22"/>
                <w:szCs w:val="22"/>
              </w:rPr>
              <w:t>W7</w:t>
            </w:r>
          </w:p>
        </w:tc>
        <w:tc>
          <w:tcPr>
            <w:tcW w:w="6874" w:type="dxa"/>
          </w:tcPr>
          <w:p w14:paraId="1CE898CD" w14:textId="77777777" w:rsidR="00BB44E1" w:rsidRPr="00DB0C40" w:rsidRDefault="00230B49">
            <w:pPr>
              <w:rPr>
                <w:sz w:val="22"/>
                <w:szCs w:val="22"/>
              </w:rPr>
            </w:pPr>
            <w:r w:rsidRPr="00DB0C40">
              <w:rPr>
                <w:sz w:val="22"/>
                <w:szCs w:val="22"/>
              </w:rPr>
              <w:t>Women 7</w:t>
            </w:r>
          </w:p>
        </w:tc>
      </w:tr>
      <w:tr w:rsidR="00BB44E1" w:rsidRPr="00DB0C40" w14:paraId="7BE90D79" w14:textId="77777777">
        <w:trPr>
          <w:trHeight w:val="138"/>
        </w:trPr>
        <w:tc>
          <w:tcPr>
            <w:tcW w:w="2198" w:type="dxa"/>
            <w:shd w:val="clear" w:color="auto" w:fill="D9E2F3"/>
          </w:tcPr>
          <w:p w14:paraId="3F7839F6" w14:textId="77777777" w:rsidR="00BB44E1" w:rsidRPr="00DB0C40" w:rsidRDefault="00230B49">
            <w:pPr>
              <w:spacing w:before="40" w:after="40" w:line="276" w:lineRule="auto"/>
              <w:jc w:val="both"/>
              <w:rPr>
                <w:sz w:val="22"/>
                <w:szCs w:val="22"/>
              </w:rPr>
            </w:pPr>
            <w:r w:rsidRPr="00DB0C40">
              <w:rPr>
                <w:sz w:val="22"/>
                <w:szCs w:val="22"/>
              </w:rPr>
              <w:t>WED</w:t>
            </w:r>
          </w:p>
        </w:tc>
        <w:tc>
          <w:tcPr>
            <w:tcW w:w="6874" w:type="dxa"/>
          </w:tcPr>
          <w:p w14:paraId="02546D12" w14:textId="77777777" w:rsidR="00BB44E1" w:rsidRPr="00DB0C40" w:rsidRDefault="00230B49">
            <w:pPr>
              <w:rPr>
                <w:sz w:val="22"/>
                <w:szCs w:val="22"/>
              </w:rPr>
            </w:pPr>
            <w:r w:rsidRPr="00DB0C40">
              <w:rPr>
                <w:sz w:val="22"/>
                <w:szCs w:val="22"/>
              </w:rPr>
              <w:t>Women’s Entrepreneurship Development</w:t>
            </w:r>
          </w:p>
        </w:tc>
      </w:tr>
      <w:tr w:rsidR="00BB44E1" w:rsidRPr="00DB0C40" w14:paraId="293C461C" w14:textId="77777777">
        <w:trPr>
          <w:trHeight w:val="138"/>
        </w:trPr>
        <w:tc>
          <w:tcPr>
            <w:tcW w:w="2198" w:type="dxa"/>
            <w:shd w:val="clear" w:color="auto" w:fill="D9E2F3"/>
          </w:tcPr>
          <w:p w14:paraId="36B6D52B" w14:textId="77777777" w:rsidR="00BB44E1" w:rsidRPr="00DB0C40" w:rsidRDefault="00230B49">
            <w:pPr>
              <w:spacing w:before="40" w:after="40" w:line="276" w:lineRule="auto"/>
              <w:jc w:val="both"/>
              <w:rPr>
                <w:sz w:val="22"/>
                <w:szCs w:val="22"/>
              </w:rPr>
            </w:pPr>
            <w:r w:rsidRPr="00DB0C40">
              <w:rPr>
                <w:sz w:val="22"/>
                <w:szCs w:val="22"/>
              </w:rPr>
              <w:t>WE EMPOWER-G7</w:t>
            </w:r>
          </w:p>
        </w:tc>
        <w:tc>
          <w:tcPr>
            <w:tcW w:w="6874" w:type="dxa"/>
          </w:tcPr>
          <w:p w14:paraId="1F1CA6EB" w14:textId="77777777" w:rsidR="00BB44E1" w:rsidRPr="00DB0C40" w:rsidRDefault="00230B49">
            <w:pPr>
              <w:rPr>
                <w:sz w:val="22"/>
                <w:szCs w:val="22"/>
              </w:rPr>
            </w:pPr>
            <w:r w:rsidRPr="00DB0C40">
              <w:rPr>
                <w:sz w:val="22"/>
                <w:szCs w:val="22"/>
              </w:rPr>
              <w:t>EU, UN Women and ILO project “Empowering women at work through responsible business conduct</w:t>
            </w:r>
          </w:p>
        </w:tc>
      </w:tr>
    </w:tbl>
    <w:p w14:paraId="085A779E" w14:textId="77777777" w:rsidR="00BB44E1" w:rsidRPr="00DB0C40" w:rsidRDefault="00BB44E1"/>
    <w:p w14:paraId="11AB9AE7" w14:textId="77777777" w:rsidR="00BB44E1" w:rsidRPr="00DB0C40" w:rsidRDefault="00BB44E1">
      <w:pPr>
        <w:rPr>
          <w:sz w:val="22"/>
          <w:szCs w:val="22"/>
        </w:rPr>
      </w:pPr>
    </w:p>
    <w:p w14:paraId="7F6253B9" w14:textId="77777777" w:rsidR="00BB44E1" w:rsidRPr="00DB0C40" w:rsidRDefault="00BB44E1">
      <w:pPr>
        <w:rPr>
          <w:sz w:val="22"/>
          <w:szCs w:val="22"/>
        </w:rPr>
      </w:pPr>
    </w:p>
    <w:p w14:paraId="7A32EF2B" w14:textId="77777777" w:rsidR="00BB44E1" w:rsidRPr="00DB0C40" w:rsidRDefault="00230B49">
      <w:pPr>
        <w:rPr>
          <w:sz w:val="22"/>
          <w:szCs w:val="22"/>
        </w:rPr>
      </w:pPr>
      <w:r w:rsidRPr="00DB0C40">
        <w:br w:type="page"/>
      </w:r>
    </w:p>
    <w:p w14:paraId="245351C7" w14:textId="77777777" w:rsidR="00BB44E1" w:rsidRPr="00DB0C40" w:rsidRDefault="00BB44E1">
      <w:pPr>
        <w:jc w:val="both"/>
        <w:rPr>
          <w:b/>
          <w:sz w:val="22"/>
          <w:szCs w:val="22"/>
        </w:rPr>
      </w:pPr>
      <w:bookmarkStart w:id="4" w:name="_heading=h.1fob9te" w:colFirst="0" w:colLast="0"/>
      <w:bookmarkEnd w:id="4"/>
    </w:p>
    <w:p w14:paraId="2B7514F0" w14:textId="7D8A9ED8" w:rsidR="00BB44E1" w:rsidRPr="00B258C4" w:rsidRDefault="00230B49" w:rsidP="00B258C4">
      <w:pPr>
        <w:numPr>
          <w:ilvl w:val="0"/>
          <w:numId w:val="11"/>
        </w:numPr>
        <w:pBdr>
          <w:top w:val="nil"/>
          <w:left w:val="nil"/>
          <w:bottom w:val="nil"/>
          <w:right w:val="nil"/>
          <w:between w:val="nil"/>
        </w:pBdr>
        <w:ind w:left="360"/>
        <w:rPr>
          <w:rFonts w:asciiTheme="majorHAnsi" w:eastAsiaTheme="majorEastAsia" w:hAnsiTheme="majorHAnsi" w:cstheme="majorBidi"/>
          <w:color w:val="2F5496" w:themeColor="accent1" w:themeShade="BF"/>
          <w:sz w:val="26"/>
          <w:szCs w:val="26"/>
        </w:rPr>
      </w:pPr>
      <w:bookmarkStart w:id="5" w:name="_heading=h.3znysh7" w:colFirst="0" w:colLast="0"/>
      <w:bookmarkEnd w:id="5"/>
      <w:r w:rsidRPr="00B258C4">
        <w:rPr>
          <w:rFonts w:asciiTheme="majorHAnsi" w:eastAsiaTheme="majorEastAsia" w:hAnsiTheme="majorHAnsi" w:cstheme="majorBidi"/>
          <w:color w:val="2F5496" w:themeColor="accent1" w:themeShade="BF"/>
          <w:sz w:val="26"/>
          <w:szCs w:val="26"/>
        </w:rPr>
        <w:t xml:space="preserve">INTRODUCTION </w:t>
      </w:r>
    </w:p>
    <w:p w14:paraId="45B10644" w14:textId="77777777" w:rsidR="00BB44E1" w:rsidRPr="00DB0C40" w:rsidRDefault="00BB44E1">
      <w:pPr>
        <w:pBdr>
          <w:top w:val="nil"/>
          <w:left w:val="nil"/>
          <w:bottom w:val="nil"/>
          <w:right w:val="nil"/>
          <w:between w:val="nil"/>
        </w:pBdr>
        <w:ind w:left="1080"/>
        <w:jc w:val="both"/>
        <w:rPr>
          <w:b/>
          <w:color w:val="000000"/>
          <w:sz w:val="22"/>
          <w:szCs w:val="22"/>
        </w:rPr>
      </w:pPr>
    </w:p>
    <w:p w14:paraId="334A38B1" w14:textId="77777777" w:rsidR="00BB44E1" w:rsidRPr="00DB0C40" w:rsidRDefault="00230B49">
      <w:pPr>
        <w:jc w:val="both"/>
        <w:rPr>
          <w:sz w:val="22"/>
          <w:szCs w:val="22"/>
        </w:rPr>
      </w:pPr>
      <w:r w:rsidRPr="00DB0C40">
        <w:rPr>
          <w:sz w:val="22"/>
          <w:szCs w:val="22"/>
        </w:rPr>
        <w:t>This Report has been produced by the EU-funded project ‘Technical Assistance for Promoting Decent Future of Work Approach with a Focus on Gender Equality’ (2021-2023). Its main goal is to identify the contribution of recent legislative arrangements to women's employment to support women's participation in the labour force. This study will help the policymakers to decide on the continuation of the policies implemented as well as identify the areas that need amendments in this field. The major questions to be addressed concerning the legal arrangement to support women’s employment are; maternity leave, paternity leave, part-time work, unpaid leave, registered/ unregistered employment, incentives for improving women’s employment etc.</w:t>
      </w:r>
    </w:p>
    <w:p w14:paraId="00C6B7A5" w14:textId="77777777" w:rsidR="00BB44E1" w:rsidRPr="00DB0C40" w:rsidRDefault="00BB44E1">
      <w:pPr>
        <w:jc w:val="both"/>
        <w:rPr>
          <w:sz w:val="22"/>
          <w:szCs w:val="22"/>
        </w:rPr>
      </w:pPr>
    </w:p>
    <w:p w14:paraId="627FE8DD" w14:textId="77777777" w:rsidR="00BB44E1" w:rsidRPr="00DB0C40" w:rsidRDefault="00BB44E1">
      <w:pPr>
        <w:jc w:val="both"/>
        <w:rPr>
          <w:sz w:val="22"/>
          <w:szCs w:val="22"/>
        </w:rPr>
      </w:pPr>
    </w:p>
    <w:p w14:paraId="601561C4" w14:textId="77777777" w:rsidR="00BB44E1" w:rsidRPr="00B258C4" w:rsidRDefault="00230B49" w:rsidP="00FB59BE">
      <w:pPr>
        <w:numPr>
          <w:ilvl w:val="0"/>
          <w:numId w:val="11"/>
        </w:numPr>
        <w:pBdr>
          <w:top w:val="nil"/>
          <w:left w:val="nil"/>
          <w:bottom w:val="nil"/>
          <w:right w:val="nil"/>
          <w:between w:val="nil"/>
        </w:pBdr>
        <w:ind w:left="360"/>
        <w:rPr>
          <w:rFonts w:asciiTheme="majorHAnsi" w:eastAsiaTheme="majorEastAsia" w:hAnsiTheme="majorHAnsi" w:cstheme="majorBidi"/>
          <w:color w:val="2F5496" w:themeColor="accent1" w:themeShade="BF"/>
          <w:sz w:val="26"/>
          <w:szCs w:val="26"/>
        </w:rPr>
      </w:pPr>
      <w:r w:rsidRPr="00B258C4">
        <w:rPr>
          <w:rFonts w:asciiTheme="majorHAnsi" w:eastAsiaTheme="majorEastAsia" w:hAnsiTheme="majorHAnsi" w:cstheme="majorBidi"/>
          <w:color w:val="2F5496" w:themeColor="accent1" w:themeShade="BF"/>
          <w:sz w:val="26"/>
          <w:szCs w:val="26"/>
        </w:rPr>
        <w:t>CONTEXT</w:t>
      </w:r>
    </w:p>
    <w:p w14:paraId="72003F25" w14:textId="77777777" w:rsidR="00B258C4" w:rsidRDefault="00B258C4">
      <w:pPr>
        <w:rPr>
          <w:sz w:val="22"/>
          <w:szCs w:val="22"/>
        </w:rPr>
      </w:pPr>
    </w:p>
    <w:p w14:paraId="2F548EB2" w14:textId="5F73A14F" w:rsidR="00BB44E1" w:rsidRPr="00DB0C40" w:rsidRDefault="00230B49">
      <w:pPr>
        <w:rPr>
          <w:sz w:val="22"/>
          <w:szCs w:val="22"/>
        </w:rPr>
      </w:pPr>
      <w:r w:rsidRPr="00DB0C40">
        <w:rPr>
          <w:sz w:val="22"/>
          <w:szCs w:val="22"/>
        </w:rPr>
        <w:t>The project’s Terms of Reference (ToR) set the following task for the Technical Assistance Team:</w:t>
      </w:r>
    </w:p>
    <w:p w14:paraId="59F30B1E" w14:textId="77777777" w:rsidR="00BB44E1" w:rsidRPr="00DB0C40" w:rsidRDefault="00BB44E1">
      <w:pPr>
        <w:pBdr>
          <w:top w:val="nil"/>
          <w:left w:val="nil"/>
          <w:bottom w:val="nil"/>
          <w:right w:val="nil"/>
          <w:between w:val="nil"/>
        </w:pBdr>
        <w:ind w:left="1080"/>
        <w:jc w:val="both"/>
        <w:rPr>
          <w:color w:val="000000"/>
          <w:sz w:val="22"/>
          <w:szCs w:val="22"/>
        </w:rPr>
      </w:pPr>
    </w:p>
    <w:p w14:paraId="5BFE708A" w14:textId="77777777" w:rsidR="00BB44E1" w:rsidRPr="00DB0C40" w:rsidRDefault="00230B49">
      <w:pPr>
        <w:jc w:val="both"/>
        <w:rPr>
          <w:i/>
          <w:sz w:val="22"/>
          <w:szCs w:val="22"/>
        </w:rPr>
      </w:pPr>
      <w:r w:rsidRPr="00DB0C40">
        <w:rPr>
          <w:i/>
          <w:sz w:val="22"/>
          <w:szCs w:val="22"/>
        </w:rPr>
        <w:t xml:space="preserve">“An impact assessment will be conducted concerning the latest legal arrangement for women employment such as maternity leave, paternity leave, part-time work, unpaid leave, registered/ unregistered employment, incentives for improving women employment, care facilities, remote working, etc. </w:t>
      </w:r>
    </w:p>
    <w:p w14:paraId="4B303486" w14:textId="77777777" w:rsidR="00BB44E1" w:rsidRPr="00DB0C40" w:rsidRDefault="00230B49">
      <w:pPr>
        <w:jc w:val="both"/>
        <w:rPr>
          <w:i/>
          <w:sz w:val="22"/>
          <w:szCs w:val="22"/>
        </w:rPr>
      </w:pPr>
      <w:r w:rsidRPr="00DB0C40">
        <w:rPr>
          <w:i/>
          <w:sz w:val="22"/>
          <w:szCs w:val="22"/>
        </w:rPr>
        <w:t>The aim of the Impact Assessment is to identify the contribution of recent legislative arrangements to women's employment in order to support women's participation in the labour force and to determine the tendency to continue or change the policies implemented in this field.</w:t>
      </w:r>
    </w:p>
    <w:p w14:paraId="135BE315" w14:textId="77777777" w:rsidR="00BB44E1" w:rsidRPr="00DB0C40" w:rsidRDefault="00230B49">
      <w:pPr>
        <w:jc w:val="both"/>
        <w:rPr>
          <w:i/>
          <w:sz w:val="22"/>
          <w:szCs w:val="22"/>
        </w:rPr>
      </w:pPr>
      <w:r w:rsidRPr="00DB0C40">
        <w:rPr>
          <w:i/>
          <w:sz w:val="22"/>
          <w:szCs w:val="22"/>
        </w:rPr>
        <w:t xml:space="preserve">A detailed desk study of Turkish legislations, laws, directives, etc. will be conducted in Ankara and the subject study will be compared with the EU and ILO legislation, data, strategies, etc. </w:t>
      </w:r>
    </w:p>
    <w:p w14:paraId="47234D68" w14:textId="77777777" w:rsidR="00BB44E1" w:rsidRPr="00DB0C40" w:rsidRDefault="00230B49">
      <w:pPr>
        <w:jc w:val="both"/>
        <w:rPr>
          <w:i/>
          <w:sz w:val="22"/>
          <w:szCs w:val="22"/>
        </w:rPr>
      </w:pPr>
      <w:r w:rsidRPr="00DB0C40">
        <w:rPr>
          <w:i/>
          <w:sz w:val="22"/>
          <w:szCs w:val="22"/>
        </w:rPr>
        <w:t xml:space="preserve">In addition to desk study, interviews with public institutions and organisations in Ankara that implement the relevant articles of Labour Law will be done accordingly. Moreover, Face-to-face interviews will cover also women employees and employers in the sectors where regulations are most effective and least effective in Ankara, Adana, Bursa, İstanbul and İzmir. </w:t>
      </w:r>
    </w:p>
    <w:p w14:paraId="305D7223" w14:textId="77777777" w:rsidR="00BB44E1" w:rsidRPr="00DB0C40" w:rsidRDefault="00230B49">
      <w:pPr>
        <w:jc w:val="both"/>
        <w:rPr>
          <w:i/>
          <w:sz w:val="22"/>
          <w:szCs w:val="22"/>
        </w:rPr>
      </w:pPr>
      <w:r w:rsidRPr="00DB0C40">
        <w:rPr>
          <w:i/>
          <w:sz w:val="22"/>
          <w:szCs w:val="22"/>
        </w:rPr>
        <w:t xml:space="preserve">The face-to-face interviews will be conducted with a total of 500 persons, approximately 100 persons for each province. </w:t>
      </w:r>
    </w:p>
    <w:p w14:paraId="0BF07D03" w14:textId="77777777" w:rsidR="00BB44E1" w:rsidRPr="00DB0C40" w:rsidRDefault="00230B49">
      <w:pPr>
        <w:jc w:val="both"/>
        <w:rPr>
          <w:i/>
          <w:sz w:val="22"/>
          <w:szCs w:val="22"/>
        </w:rPr>
      </w:pPr>
      <w:r w:rsidRPr="00DB0C40">
        <w:rPr>
          <w:i/>
          <w:sz w:val="22"/>
          <w:szCs w:val="22"/>
        </w:rPr>
        <w:t xml:space="preserve">The Report will be prepared in cooperation with the relevant institutions, NGOs, professional organisations and social partners. </w:t>
      </w:r>
    </w:p>
    <w:p w14:paraId="23F89CD4" w14:textId="77777777" w:rsidR="00BB44E1" w:rsidRPr="00DB0C40" w:rsidRDefault="00230B49">
      <w:pPr>
        <w:jc w:val="both"/>
        <w:rPr>
          <w:i/>
          <w:sz w:val="22"/>
          <w:szCs w:val="22"/>
        </w:rPr>
      </w:pPr>
      <w:r w:rsidRPr="00DB0C40">
        <w:rPr>
          <w:i/>
          <w:sz w:val="22"/>
          <w:szCs w:val="22"/>
        </w:rPr>
        <w:t>A recommendation report which will include analysis of finding of the research will be drafted in English with executive Turkish summary and it will be used to update relevant strategy plans and/or policies. The subject report will be officially disseminated by the Operation Beneficiary to relevant stakeholders such as relevant public institutions, NGOs, social partners-“</w:t>
      </w:r>
    </w:p>
    <w:p w14:paraId="13A54876" w14:textId="77777777" w:rsidR="00BB44E1" w:rsidRPr="00DB0C40" w:rsidRDefault="00BB44E1">
      <w:pPr>
        <w:pBdr>
          <w:top w:val="nil"/>
          <w:left w:val="nil"/>
          <w:bottom w:val="nil"/>
          <w:right w:val="nil"/>
          <w:between w:val="nil"/>
        </w:pBdr>
        <w:ind w:left="1080"/>
        <w:jc w:val="both"/>
        <w:rPr>
          <w:color w:val="000000"/>
          <w:sz w:val="22"/>
          <w:szCs w:val="22"/>
        </w:rPr>
      </w:pPr>
    </w:p>
    <w:p w14:paraId="46D9895E" w14:textId="77777777" w:rsidR="00BB44E1" w:rsidRPr="00DB0C40" w:rsidRDefault="00230B49">
      <w:pPr>
        <w:pBdr>
          <w:top w:val="nil"/>
          <w:left w:val="nil"/>
          <w:bottom w:val="nil"/>
          <w:right w:val="nil"/>
          <w:between w:val="nil"/>
        </w:pBdr>
        <w:ind w:left="1080"/>
        <w:jc w:val="both"/>
        <w:rPr>
          <w:color w:val="000000"/>
          <w:sz w:val="22"/>
          <w:szCs w:val="22"/>
        </w:rPr>
      </w:pPr>
      <w:r w:rsidRPr="00DB0C40">
        <w:rPr>
          <w:color w:val="000000"/>
          <w:sz w:val="22"/>
          <w:szCs w:val="22"/>
        </w:rPr>
        <w:tab/>
      </w:r>
    </w:p>
    <w:p w14:paraId="2277C553" w14:textId="383F13CC" w:rsidR="00BB44E1" w:rsidRPr="00C14533" w:rsidRDefault="00230B49" w:rsidP="00C14533">
      <w:pPr>
        <w:pStyle w:val="ListParagraph"/>
        <w:numPr>
          <w:ilvl w:val="0"/>
          <w:numId w:val="50"/>
        </w:numPr>
        <w:pBdr>
          <w:top w:val="nil"/>
          <w:left w:val="nil"/>
          <w:bottom w:val="nil"/>
          <w:right w:val="nil"/>
          <w:between w:val="nil"/>
        </w:pBdr>
        <w:rPr>
          <w:rFonts w:asciiTheme="majorHAnsi" w:eastAsiaTheme="majorEastAsia" w:hAnsiTheme="majorHAnsi" w:cstheme="majorBidi"/>
          <w:color w:val="2F5496" w:themeColor="accent1" w:themeShade="BF"/>
          <w:sz w:val="26"/>
          <w:szCs w:val="26"/>
        </w:rPr>
      </w:pPr>
      <w:r w:rsidRPr="00C14533">
        <w:rPr>
          <w:rFonts w:asciiTheme="majorHAnsi" w:eastAsiaTheme="majorEastAsia" w:hAnsiTheme="majorHAnsi" w:cstheme="majorBidi"/>
          <w:color w:val="2F5496" w:themeColor="accent1" w:themeShade="BF"/>
          <w:sz w:val="26"/>
          <w:szCs w:val="26"/>
        </w:rPr>
        <w:t xml:space="preserve">IMPACT OF LEGISLATIONS ON WOMEN’S PARTICIPATION IN LABOUR FORCE AND WOMEN’S EMPLOYMENT </w:t>
      </w:r>
    </w:p>
    <w:p w14:paraId="7F5AEA7C" w14:textId="77777777" w:rsidR="00B258C4" w:rsidRPr="00B258C4" w:rsidRDefault="00B258C4" w:rsidP="00B258C4">
      <w:pPr>
        <w:pBdr>
          <w:top w:val="nil"/>
          <w:left w:val="nil"/>
          <w:bottom w:val="nil"/>
          <w:right w:val="nil"/>
          <w:between w:val="nil"/>
        </w:pBdr>
        <w:ind w:left="1080"/>
        <w:rPr>
          <w:rFonts w:asciiTheme="majorHAnsi" w:eastAsiaTheme="majorEastAsia" w:hAnsiTheme="majorHAnsi" w:cstheme="majorBidi"/>
          <w:color w:val="2F5496" w:themeColor="accent1" w:themeShade="BF"/>
          <w:sz w:val="26"/>
          <w:szCs w:val="26"/>
        </w:rPr>
      </w:pPr>
    </w:p>
    <w:p w14:paraId="345A3725" w14:textId="528395EB" w:rsidR="005758B6" w:rsidRPr="00B258C4" w:rsidRDefault="00B258C4">
      <w:pPr>
        <w:pStyle w:val="ListParagraph"/>
        <w:numPr>
          <w:ilvl w:val="1"/>
          <w:numId w:val="50"/>
        </w:numPr>
        <w:pBdr>
          <w:top w:val="nil"/>
          <w:left w:val="nil"/>
          <w:bottom w:val="nil"/>
          <w:right w:val="nil"/>
          <w:between w:val="nil"/>
        </w:pBdr>
        <w:rPr>
          <w:rFonts w:asciiTheme="majorHAnsi" w:eastAsiaTheme="majorEastAsia" w:hAnsiTheme="majorHAnsi" w:cstheme="majorBidi"/>
          <w:color w:val="2F5496" w:themeColor="accent1" w:themeShade="BF"/>
          <w:sz w:val="26"/>
          <w:szCs w:val="26"/>
        </w:rPr>
      </w:pPr>
      <w:bookmarkStart w:id="6" w:name="_Toc92359044"/>
      <w:r w:rsidRPr="00B258C4">
        <w:rPr>
          <w:rFonts w:asciiTheme="majorHAnsi" w:eastAsiaTheme="majorEastAsia" w:hAnsiTheme="majorHAnsi" w:cstheme="majorBidi"/>
          <w:color w:val="2F5496" w:themeColor="accent1" w:themeShade="BF"/>
          <w:sz w:val="26"/>
          <w:szCs w:val="26"/>
        </w:rPr>
        <w:t>International Legal Frameworks to Promote Gender Equality at Work</w:t>
      </w:r>
      <w:bookmarkEnd w:id="6"/>
    </w:p>
    <w:p w14:paraId="56F6F969" w14:textId="77777777" w:rsidR="00B258C4" w:rsidRDefault="00B258C4" w:rsidP="005758B6">
      <w:pPr>
        <w:jc w:val="both"/>
        <w:rPr>
          <w:rFonts w:asciiTheme="minorHAnsi" w:eastAsiaTheme="minorHAnsi" w:hAnsiTheme="minorHAnsi" w:cstheme="minorHAnsi"/>
          <w:sz w:val="22"/>
          <w:szCs w:val="22"/>
        </w:rPr>
      </w:pPr>
    </w:p>
    <w:p w14:paraId="04024712" w14:textId="5DE28AE2"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The resources available to governments seeking to promote gender equality in the world of work include normative instruments and international initiatives. Normative instruments derive their universal authority from the process by which they were developed. International labour standards and other ILO </w:t>
      </w:r>
      <w:r w:rsidRPr="00DB0C40">
        <w:rPr>
          <w:rFonts w:asciiTheme="minorHAnsi" w:eastAsiaTheme="minorHAnsi" w:hAnsiTheme="minorHAnsi" w:cstheme="minorHAnsi"/>
          <w:sz w:val="22"/>
          <w:szCs w:val="22"/>
        </w:rPr>
        <w:lastRenderedPageBreak/>
        <w:t>normative instruments are adopted by the International Labour Conference, which consists of delegates from the governments and the most representatives’ employers’ and workers’ organizations of each of the 187 Member States. Where the UN is concerned, the Convention on the Elimination of Discrimination against Women (CEDAW) is the most relevant international treaty that addresses gender equality. International initiatives and other policy frameworks, on the other hand, facilitate the implementation of international normative instruments and targets by creating opportunities for stakeholders to engage on specific topics.</w:t>
      </w:r>
      <w:r w:rsidRPr="00DB0C40">
        <w:rPr>
          <w:rFonts w:asciiTheme="minorHAnsi" w:eastAsiaTheme="minorHAnsi" w:hAnsiTheme="minorHAnsi" w:cstheme="minorHAnsi"/>
          <w:position w:val="6"/>
          <w:sz w:val="22"/>
          <w:szCs w:val="22"/>
        </w:rPr>
        <w:footnoteReference w:id="1"/>
      </w:r>
    </w:p>
    <w:p w14:paraId="666D3758" w14:textId="77777777" w:rsidR="005758B6" w:rsidRPr="00DB0C40" w:rsidRDefault="005758B6" w:rsidP="005758B6">
      <w:pPr>
        <w:jc w:val="both"/>
        <w:rPr>
          <w:rFonts w:asciiTheme="minorHAnsi" w:eastAsiaTheme="minorHAnsi" w:hAnsiTheme="minorHAnsi" w:cstheme="minorHAnsi"/>
          <w:sz w:val="22"/>
          <w:szCs w:val="22"/>
        </w:rPr>
      </w:pPr>
    </w:p>
    <w:p w14:paraId="06F11D33" w14:textId="3166ACC5" w:rsidR="005758B6" w:rsidRPr="00C14533" w:rsidRDefault="005758B6" w:rsidP="00C14533">
      <w:pPr>
        <w:pStyle w:val="ListParagraph"/>
        <w:keepNext/>
        <w:keepLines/>
        <w:numPr>
          <w:ilvl w:val="1"/>
          <w:numId w:val="55"/>
        </w:numPr>
        <w:spacing w:before="40"/>
        <w:outlineLvl w:val="1"/>
        <w:rPr>
          <w:rFonts w:asciiTheme="majorHAnsi" w:eastAsiaTheme="majorEastAsia" w:hAnsiTheme="majorHAnsi" w:cstheme="majorBidi"/>
          <w:color w:val="2F5496" w:themeColor="accent1" w:themeShade="BF"/>
          <w:sz w:val="26"/>
          <w:szCs w:val="26"/>
        </w:rPr>
      </w:pPr>
      <w:bookmarkStart w:id="9" w:name="_Toc92359045"/>
      <w:r w:rsidRPr="00C14533">
        <w:rPr>
          <w:rFonts w:asciiTheme="majorHAnsi" w:eastAsiaTheme="majorEastAsia" w:hAnsiTheme="majorHAnsi" w:cstheme="majorBidi"/>
          <w:color w:val="2F5496" w:themeColor="accent1" w:themeShade="BF"/>
          <w:sz w:val="26"/>
          <w:szCs w:val="26"/>
        </w:rPr>
        <w:t>Normative International instruments - ILO conventions and recommendations on gender equality at work</w:t>
      </w:r>
      <w:bookmarkEnd w:id="9"/>
    </w:p>
    <w:p w14:paraId="6AF9F0D0" w14:textId="77777777" w:rsidR="005758B6" w:rsidRPr="00DB0C40" w:rsidRDefault="005758B6" w:rsidP="005758B6">
      <w:pPr>
        <w:rPr>
          <w:rFonts w:asciiTheme="minorHAnsi" w:eastAsiaTheme="minorHAnsi" w:hAnsiTheme="minorHAnsi" w:cstheme="minorBidi"/>
        </w:rPr>
      </w:pPr>
    </w:p>
    <w:p w14:paraId="119839C0"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Normative instruments set out the broad objectives of gender equality, identify obstacles which need to be overcome and advocate for a systemic approach to tackling gender discrimination. In the world of work, the principal instruments of this kind are ILO conventions and recommendations. Although addressed principally to governments, these conventions and recommendations are also useful in formulating corporate policies, and they are referenced in other normative instruments and initiatives, serving to standardize and coordinate approaches. </w:t>
      </w:r>
    </w:p>
    <w:p w14:paraId="17EC3AAB" w14:textId="77777777" w:rsidR="005758B6" w:rsidRPr="00DB0C40" w:rsidRDefault="005758B6" w:rsidP="005758B6">
      <w:pPr>
        <w:jc w:val="both"/>
        <w:rPr>
          <w:rFonts w:asciiTheme="minorHAnsi" w:eastAsiaTheme="minorHAnsi" w:hAnsiTheme="minorHAnsi" w:cstheme="minorHAnsi"/>
          <w:sz w:val="22"/>
          <w:szCs w:val="22"/>
        </w:rPr>
      </w:pPr>
    </w:p>
    <w:p w14:paraId="5C936346"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Between the ILO conventions and recommendations on gender equality at work, we can consider:</w:t>
      </w:r>
    </w:p>
    <w:p w14:paraId="1D545444" w14:textId="6C8228CB"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The Equal Remuneration Convention, 1951 (No. 100) and Recommendation No. 90; the Discrimination (Employment and Occupation) Convention, 1958 (No. 111) and Recommendation No. 111; the Workers with Family Responsibilities Convention, 1981, (No. 156) and Recommendation No. 165; the Maternity Protection Convention, 2000 (No. 183), and Recommendation No. 191; the Domestic Workers Convention, 2011 (No. 189) and Recommendation No. 201; and, more recently, the Violence and Harassment Convention, 2019 (No. 190) and Recommendation No. 206. The gender perspective is mainstreamed through many other ILO instruments on working time, part-time work, home-based work, social security, and occupational safety and health. </w:t>
      </w:r>
      <w:r w:rsidRPr="00DB0C40">
        <w:rPr>
          <w:rFonts w:asciiTheme="minorHAnsi" w:eastAsiaTheme="minorHAnsi" w:hAnsiTheme="minorHAnsi" w:cstheme="minorHAnsi"/>
          <w:position w:val="6"/>
          <w:sz w:val="22"/>
          <w:szCs w:val="22"/>
        </w:rPr>
        <w:footnoteReference w:id="2"/>
      </w:r>
      <w:r w:rsidRPr="00DB0C40">
        <w:rPr>
          <w:rFonts w:asciiTheme="minorHAnsi" w:eastAsiaTheme="minorHAnsi" w:hAnsiTheme="minorHAnsi" w:cstheme="minorHAnsi"/>
          <w:sz w:val="22"/>
          <w:szCs w:val="22"/>
        </w:rPr>
        <w:t xml:space="preserve"> The content of the conventions is described in the various sections below. </w:t>
      </w:r>
      <w:r w:rsidR="00AC20EA">
        <w:rPr>
          <w:rFonts w:asciiTheme="minorHAnsi" w:eastAsiaTheme="minorHAnsi" w:hAnsiTheme="minorHAnsi" w:cstheme="minorHAnsi"/>
          <w:sz w:val="22"/>
          <w:szCs w:val="22"/>
        </w:rPr>
        <w:t>Türkiye</w:t>
      </w:r>
      <w:r w:rsidRPr="00DB0C40">
        <w:rPr>
          <w:rFonts w:asciiTheme="minorHAnsi" w:eastAsiaTheme="minorHAnsi" w:hAnsiTheme="minorHAnsi" w:cstheme="minorHAnsi"/>
          <w:sz w:val="22"/>
          <w:szCs w:val="22"/>
        </w:rPr>
        <w:t xml:space="preserve"> has ratified most of the conventions (including the Fundamental, Governance and Technical Conventions), except the ones in red. </w:t>
      </w:r>
      <w:r w:rsidRPr="00DB0C40">
        <w:rPr>
          <w:rFonts w:asciiTheme="minorHAnsi" w:eastAsiaTheme="minorHAnsi" w:hAnsiTheme="minorHAnsi" w:cstheme="minorHAnsi"/>
          <w:position w:val="6"/>
          <w:sz w:val="22"/>
          <w:szCs w:val="22"/>
        </w:rPr>
        <w:footnoteReference w:id="3"/>
      </w:r>
      <w:r w:rsidRPr="00DB0C40">
        <w:rPr>
          <w:rFonts w:asciiTheme="minorHAnsi" w:eastAsiaTheme="minorHAnsi" w:hAnsiTheme="minorHAnsi" w:cstheme="minorHAnsi"/>
          <w:sz w:val="22"/>
          <w:szCs w:val="22"/>
        </w:rPr>
        <w:t xml:space="preserve"> </w:t>
      </w:r>
    </w:p>
    <w:p w14:paraId="47317464" w14:textId="77777777" w:rsidR="005758B6" w:rsidRPr="00DB0C40" w:rsidRDefault="005758B6" w:rsidP="005758B6">
      <w:pPr>
        <w:jc w:val="both"/>
        <w:rPr>
          <w:rFonts w:asciiTheme="minorHAnsi" w:eastAsiaTheme="minorHAnsi" w:hAnsiTheme="minorHAnsi" w:cstheme="minorHAnsi"/>
          <w:sz w:val="22"/>
          <w:szCs w:val="22"/>
        </w:rPr>
      </w:pPr>
    </w:p>
    <w:p w14:paraId="4F4B094D" w14:textId="787F7AC9" w:rsidR="005758B6" w:rsidRPr="00C14533" w:rsidRDefault="005758B6" w:rsidP="00C14533">
      <w:pPr>
        <w:pStyle w:val="ListParagraph"/>
        <w:keepNext/>
        <w:keepLines/>
        <w:numPr>
          <w:ilvl w:val="1"/>
          <w:numId w:val="57"/>
        </w:numPr>
        <w:spacing w:before="40"/>
        <w:outlineLvl w:val="2"/>
        <w:rPr>
          <w:rFonts w:asciiTheme="majorHAnsi" w:eastAsiaTheme="majorEastAsia" w:hAnsiTheme="majorHAnsi" w:cstheme="majorBidi"/>
          <w:color w:val="1F3763" w:themeColor="accent1" w:themeShade="7F"/>
        </w:rPr>
      </w:pPr>
      <w:bookmarkStart w:id="10" w:name="_Toc92359046"/>
      <w:r w:rsidRPr="00C14533">
        <w:rPr>
          <w:rFonts w:asciiTheme="majorHAnsi" w:eastAsiaTheme="majorEastAsia" w:hAnsiTheme="majorHAnsi" w:cstheme="majorBidi"/>
          <w:color w:val="1F3763" w:themeColor="accent1" w:themeShade="7F"/>
        </w:rPr>
        <w:t>Convention on the Elimination of all Forms of Discrimination against Women (CEDAW)</w:t>
      </w:r>
      <w:bookmarkEnd w:id="10"/>
    </w:p>
    <w:p w14:paraId="0CB0BB2C"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Adopted in 1979, the CEDAW is the most important human-rights treaty for women, adopted by 189 States parties. It lays out obligations to eliminate discrimination and achieve substantive equality. Importantly, CEDAW covers not only discriminatory laws, but also practices and customs, and it applies not only to government action, but also government responsibility for addressing discrimination against women by private actors.</w:t>
      </w:r>
    </w:p>
    <w:p w14:paraId="7309458C"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Convention covers both civil and political rights (rights to vote, to participate in public life, and to acquire, change or retain one’s nationality, equality before the law and freedom of movement) and economic, social, and cultural rights (rights to education, work, health, property, and financial credit).</w:t>
      </w:r>
    </w:p>
    <w:p w14:paraId="45BDFF66" w14:textId="77777777" w:rsidR="005758B6" w:rsidRPr="00DB0C40" w:rsidRDefault="005758B6" w:rsidP="005758B6">
      <w:pPr>
        <w:jc w:val="both"/>
        <w:rPr>
          <w:rFonts w:asciiTheme="minorHAnsi" w:eastAsiaTheme="minorHAnsi" w:hAnsiTheme="minorHAnsi" w:cstheme="minorHAnsi"/>
          <w:sz w:val="22"/>
          <w:szCs w:val="22"/>
        </w:rPr>
      </w:pPr>
    </w:p>
    <w:p w14:paraId="24FBC97E" w14:textId="73D92E78" w:rsidR="005758B6" w:rsidRPr="00DB0C40" w:rsidRDefault="00BD23D7" w:rsidP="00C14533">
      <w:pPr>
        <w:pStyle w:val="ListParagraph"/>
        <w:keepNext/>
        <w:keepLines/>
        <w:spacing w:before="40"/>
        <w:ind w:left="0"/>
        <w:outlineLvl w:val="2"/>
        <w:rPr>
          <w:rFonts w:asciiTheme="majorHAnsi" w:eastAsiaTheme="majorEastAsia" w:hAnsiTheme="majorHAnsi" w:cstheme="majorBidi"/>
          <w:color w:val="1F3763" w:themeColor="accent1" w:themeShade="7F"/>
        </w:rPr>
      </w:pPr>
      <w:bookmarkStart w:id="11" w:name="_Toc92359047"/>
      <w:r w:rsidRPr="00DB0C40">
        <w:rPr>
          <w:rFonts w:asciiTheme="majorHAnsi" w:eastAsiaTheme="majorEastAsia" w:hAnsiTheme="majorHAnsi" w:cstheme="majorBidi"/>
          <w:color w:val="1F3763" w:themeColor="accent1" w:themeShade="7F"/>
        </w:rPr>
        <w:lastRenderedPageBreak/>
        <w:t>3.</w:t>
      </w:r>
      <w:r w:rsidR="005758B6" w:rsidRPr="00DB0C40">
        <w:rPr>
          <w:rFonts w:asciiTheme="majorHAnsi" w:eastAsiaTheme="majorEastAsia" w:hAnsiTheme="majorHAnsi" w:cstheme="majorBidi"/>
          <w:color w:val="1F3763" w:themeColor="accent1" w:themeShade="7F"/>
        </w:rPr>
        <w:t>1.1.2. ILO Declaration for the Future of Work</w:t>
      </w:r>
      <w:bookmarkEnd w:id="11"/>
    </w:p>
    <w:p w14:paraId="6A6DADA7" w14:textId="77777777" w:rsidR="005758B6" w:rsidRPr="00DB0C40" w:rsidRDefault="005758B6" w:rsidP="005758B6">
      <w:pPr>
        <w:jc w:val="both"/>
        <w:rPr>
          <w:rFonts w:asciiTheme="minorHAnsi" w:eastAsiaTheme="minorHAnsi" w:hAnsiTheme="minorHAnsi" w:cstheme="minorHAnsi"/>
          <w:b/>
          <w:bCs/>
          <w:sz w:val="22"/>
          <w:szCs w:val="22"/>
        </w:rPr>
      </w:pPr>
    </w:p>
    <w:p w14:paraId="0CABD96E"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 June 2019, the International Labour Conference adopted the ILO Centenary Declaration for the Future of Work. The Declaration calls for the achievement of “gender equality at work through a transformative agenda, with regular evaluation of progress made, which:</w:t>
      </w:r>
    </w:p>
    <w:p w14:paraId="37C10ACE" w14:textId="77777777" w:rsidR="005758B6" w:rsidRPr="00DB0C40" w:rsidRDefault="005758B6">
      <w:pPr>
        <w:numPr>
          <w:ilvl w:val="1"/>
          <w:numId w:val="24"/>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ensures equal opportunities, equal participation, and equal treatment, including equal remuneration for people for work of equal value.</w:t>
      </w:r>
    </w:p>
    <w:p w14:paraId="03C8635F" w14:textId="77777777" w:rsidR="005758B6" w:rsidRPr="00DB0C40" w:rsidRDefault="005758B6">
      <w:pPr>
        <w:numPr>
          <w:ilvl w:val="1"/>
          <w:numId w:val="24"/>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enables a more balanced sharing of family responsibilities.</w:t>
      </w:r>
    </w:p>
    <w:p w14:paraId="3998E185" w14:textId="77777777" w:rsidR="005758B6" w:rsidRPr="00DB0C40" w:rsidRDefault="005758B6">
      <w:pPr>
        <w:numPr>
          <w:ilvl w:val="1"/>
          <w:numId w:val="24"/>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provides scope for achieving better work–life balance by enabling workers and employers to agree on solutions, including on working time, which consider their respective needs and benefits; and</w:t>
      </w:r>
    </w:p>
    <w:p w14:paraId="39107306" w14:textId="77777777" w:rsidR="005758B6" w:rsidRPr="00DB0C40" w:rsidRDefault="005758B6">
      <w:pPr>
        <w:numPr>
          <w:ilvl w:val="1"/>
          <w:numId w:val="24"/>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promotes investment in the care economy.”</w:t>
      </w:r>
    </w:p>
    <w:p w14:paraId="47198080" w14:textId="77777777" w:rsidR="005758B6" w:rsidRPr="00DB0C40" w:rsidRDefault="005758B6" w:rsidP="005758B6">
      <w:pPr>
        <w:spacing w:after="200"/>
        <w:ind w:left="1440"/>
        <w:contextualSpacing/>
        <w:jc w:val="both"/>
        <w:rPr>
          <w:rFonts w:asciiTheme="minorHAnsi" w:hAnsiTheme="minorHAnsi" w:cstheme="minorHAnsi"/>
          <w:sz w:val="22"/>
          <w:szCs w:val="22"/>
        </w:rPr>
      </w:pPr>
    </w:p>
    <w:p w14:paraId="386387BE" w14:textId="4093D881" w:rsidR="005758B6" w:rsidRPr="00DB0C40" w:rsidRDefault="00BD23D7" w:rsidP="00C14533">
      <w:pPr>
        <w:pStyle w:val="ListParagraph"/>
        <w:keepNext/>
        <w:keepLines/>
        <w:spacing w:before="40"/>
        <w:ind w:left="0"/>
        <w:outlineLvl w:val="2"/>
        <w:rPr>
          <w:rFonts w:asciiTheme="majorHAnsi" w:eastAsiaTheme="majorEastAsia" w:hAnsiTheme="majorHAnsi" w:cstheme="majorBidi"/>
          <w:color w:val="1F3763" w:themeColor="accent1" w:themeShade="7F"/>
        </w:rPr>
      </w:pPr>
      <w:bookmarkStart w:id="12" w:name="_Toc92359048"/>
      <w:r w:rsidRPr="00DB0C40">
        <w:rPr>
          <w:rFonts w:asciiTheme="majorHAnsi" w:eastAsiaTheme="majorEastAsia" w:hAnsiTheme="majorHAnsi" w:cstheme="majorBidi"/>
          <w:color w:val="1F3763" w:themeColor="accent1" w:themeShade="7F"/>
        </w:rPr>
        <w:t>3.</w:t>
      </w:r>
      <w:r w:rsidR="005758B6" w:rsidRPr="00DB0C40">
        <w:rPr>
          <w:rFonts w:asciiTheme="majorHAnsi" w:eastAsiaTheme="majorEastAsia" w:hAnsiTheme="majorHAnsi" w:cstheme="majorBidi"/>
          <w:color w:val="1F3763" w:themeColor="accent1" w:themeShade="7F"/>
        </w:rPr>
        <w:t>1.1.3. ILO Declaration on Fundamental Principles and Rights at Work</w:t>
      </w:r>
      <w:bookmarkEnd w:id="12"/>
    </w:p>
    <w:p w14:paraId="51550E22" w14:textId="77777777" w:rsidR="00C14533" w:rsidRDefault="00C14533" w:rsidP="005758B6">
      <w:pPr>
        <w:jc w:val="both"/>
        <w:rPr>
          <w:rFonts w:asciiTheme="minorHAnsi" w:eastAsiaTheme="minorHAnsi" w:hAnsiTheme="minorHAnsi" w:cstheme="minorHAnsi"/>
          <w:sz w:val="22"/>
          <w:szCs w:val="22"/>
        </w:rPr>
      </w:pPr>
    </w:p>
    <w:p w14:paraId="5D5B444F" w14:textId="7E2AF710"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Adopted in 1998, the Declaration on Fundamental Principles and Rights at Work commits Member States to respect and promote principles and rights in four categories, whether they have ratified the relevant Conventions. These categories are: </w:t>
      </w:r>
    </w:p>
    <w:p w14:paraId="1158850F" w14:textId="77777777" w:rsidR="005758B6" w:rsidRPr="00DB0C40" w:rsidRDefault="005758B6">
      <w:pPr>
        <w:numPr>
          <w:ilvl w:val="0"/>
          <w:numId w:val="25"/>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 xml:space="preserve">freedom of association and the effective recognition of the right to collective bargaining. </w:t>
      </w:r>
    </w:p>
    <w:p w14:paraId="0BF55BAE" w14:textId="77777777" w:rsidR="005758B6" w:rsidRPr="00DB0C40" w:rsidRDefault="005758B6">
      <w:pPr>
        <w:numPr>
          <w:ilvl w:val="0"/>
          <w:numId w:val="25"/>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 xml:space="preserve">the elimination of forced or compulsory labour, and the abolition of child labour. </w:t>
      </w:r>
    </w:p>
    <w:p w14:paraId="5ECAE3C6" w14:textId="77777777" w:rsidR="005758B6" w:rsidRPr="00DB0C40" w:rsidRDefault="005758B6">
      <w:pPr>
        <w:numPr>
          <w:ilvl w:val="0"/>
          <w:numId w:val="25"/>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 xml:space="preserve">equal remuneration of people for work of equal value. </w:t>
      </w:r>
    </w:p>
    <w:p w14:paraId="2890FA4C" w14:textId="77777777" w:rsidR="005758B6" w:rsidRPr="00DB0C40" w:rsidRDefault="005758B6">
      <w:pPr>
        <w:numPr>
          <w:ilvl w:val="0"/>
          <w:numId w:val="25"/>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and the elimination of discrimination in respect of employment and occupation.</w:t>
      </w:r>
    </w:p>
    <w:p w14:paraId="5CDF0781" w14:textId="77777777" w:rsidR="005758B6" w:rsidRPr="00DB0C40" w:rsidRDefault="005758B6" w:rsidP="005758B6">
      <w:pPr>
        <w:spacing w:after="200"/>
        <w:ind w:left="1440"/>
        <w:contextualSpacing/>
        <w:jc w:val="both"/>
        <w:rPr>
          <w:rFonts w:asciiTheme="minorHAnsi" w:hAnsiTheme="minorHAnsi" w:cstheme="minorHAnsi"/>
          <w:sz w:val="22"/>
          <w:szCs w:val="22"/>
        </w:rPr>
      </w:pPr>
    </w:p>
    <w:p w14:paraId="732FCE28" w14:textId="41EE50BF" w:rsidR="005758B6" w:rsidRPr="00DB0C40" w:rsidRDefault="00BD23D7" w:rsidP="005758B6">
      <w:pPr>
        <w:keepNext/>
        <w:keepLines/>
        <w:spacing w:before="40"/>
        <w:outlineLvl w:val="2"/>
        <w:rPr>
          <w:rFonts w:asciiTheme="majorHAnsi" w:eastAsiaTheme="majorEastAsia" w:hAnsiTheme="majorHAnsi" w:cstheme="majorBidi"/>
          <w:color w:val="1F3763" w:themeColor="accent1" w:themeShade="7F"/>
        </w:rPr>
      </w:pPr>
      <w:bookmarkStart w:id="13" w:name="_Toc92359049"/>
      <w:r w:rsidRPr="00DB0C40">
        <w:rPr>
          <w:rFonts w:asciiTheme="majorHAnsi" w:eastAsiaTheme="majorEastAsia" w:hAnsiTheme="majorHAnsi" w:cstheme="majorBidi"/>
          <w:color w:val="1F3763" w:themeColor="accent1" w:themeShade="7F"/>
        </w:rPr>
        <w:t xml:space="preserve"> 3.</w:t>
      </w:r>
      <w:r w:rsidR="005758B6" w:rsidRPr="00DB0C40">
        <w:rPr>
          <w:rFonts w:asciiTheme="majorHAnsi" w:eastAsiaTheme="majorEastAsia" w:hAnsiTheme="majorHAnsi" w:cstheme="majorBidi"/>
          <w:color w:val="1F3763" w:themeColor="accent1" w:themeShade="7F"/>
        </w:rPr>
        <w:t>1.1.4. ILO Tripartite Declaration of Principles concerning Multinational Enterprises and Social Policy (MNE Declaration)</w:t>
      </w:r>
      <w:bookmarkEnd w:id="13"/>
    </w:p>
    <w:p w14:paraId="33BA1070" w14:textId="77777777" w:rsidR="00C14533" w:rsidRDefault="00C14533" w:rsidP="005758B6">
      <w:pPr>
        <w:jc w:val="both"/>
        <w:rPr>
          <w:rFonts w:asciiTheme="minorHAnsi" w:eastAsiaTheme="minorHAnsi" w:hAnsiTheme="minorHAnsi" w:cstheme="minorHAnsi"/>
          <w:sz w:val="22"/>
          <w:szCs w:val="22"/>
        </w:rPr>
      </w:pPr>
    </w:p>
    <w:p w14:paraId="0C04BCC3" w14:textId="470C08CA"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Adopted in 1977 and updated several times, most recently in 2017, it is the only global instrument in this area that has been </w:t>
      </w:r>
      <w:r w:rsidR="00F37BC3" w:rsidRPr="00DB0C40">
        <w:rPr>
          <w:rFonts w:asciiTheme="minorHAnsi" w:eastAsiaTheme="minorHAnsi" w:hAnsiTheme="minorHAnsi" w:cstheme="minorHAnsi"/>
          <w:sz w:val="22"/>
          <w:szCs w:val="22"/>
        </w:rPr>
        <w:t>e</w:t>
      </w:r>
      <w:r w:rsidR="00F37BC3">
        <w:rPr>
          <w:rFonts w:asciiTheme="minorHAnsi" w:eastAsiaTheme="minorHAnsi" w:hAnsiTheme="minorHAnsi" w:cstheme="minorHAnsi"/>
          <w:sz w:val="22"/>
          <w:szCs w:val="22"/>
        </w:rPr>
        <w:t>labora</w:t>
      </w:r>
      <w:r w:rsidR="00F37BC3" w:rsidRPr="00DB0C40">
        <w:rPr>
          <w:rFonts w:asciiTheme="minorHAnsi" w:eastAsiaTheme="minorHAnsi" w:hAnsiTheme="minorHAnsi" w:cstheme="minorHAnsi"/>
          <w:sz w:val="22"/>
          <w:szCs w:val="22"/>
        </w:rPr>
        <w:t>ted</w:t>
      </w:r>
      <w:r w:rsidRPr="00DB0C40">
        <w:rPr>
          <w:rFonts w:asciiTheme="minorHAnsi" w:eastAsiaTheme="minorHAnsi" w:hAnsiTheme="minorHAnsi" w:cstheme="minorHAnsi"/>
          <w:sz w:val="22"/>
          <w:szCs w:val="22"/>
        </w:rPr>
        <w:t xml:space="preserve"> and adopted by governments, employers, and workers around the world. The areas covered include employment, training, living, and working conditions, industrial relations, and general policies. All its principles build on international labour standards and, as such, include several recommendations that are directly or indirectly related to gender equality.</w:t>
      </w:r>
    </w:p>
    <w:p w14:paraId="2CCA2B6E" w14:textId="77777777" w:rsidR="005758B6" w:rsidRPr="00DB0C40" w:rsidRDefault="005758B6" w:rsidP="005758B6">
      <w:pPr>
        <w:jc w:val="both"/>
        <w:rPr>
          <w:rFonts w:asciiTheme="minorHAnsi" w:eastAsiaTheme="minorHAnsi" w:hAnsiTheme="minorHAnsi" w:cstheme="minorHAnsi"/>
          <w:sz w:val="22"/>
          <w:szCs w:val="22"/>
        </w:rPr>
      </w:pPr>
    </w:p>
    <w:p w14:paraId="62F0E357" w14:textId="46952E2E" w:rsidR="005758B6" w:rsidRPr="00DB0C40" w:rsidRDefault="00BD23D7" w:rsidP="005758B6">
      <w:pPr>
        <w:keepNext/>
        <w:keepLines/>
        <w:spacing w:before="40"/>
        <w:outlineLvl w:val="1"/>
        <w:rPr>
          <w:rFonts w:asciiTheme="majorHAnsi" w:eastAsiaTheme="majorEastAsia" w:hAnsiTheme="majorHAnsi" w:cstheme="majorBidi"/>
          <w:color w:val="2F5496" w:themeColor="accent1" w:themeShade="BF"/>
          <w:sz w:val="26"/>
          <w:szCs w:val="26"/>
        </w:rPr>
      </w:pPr>
      <w:bookmarkStart w:id="14" w:name="_Toc92359050"/>
      <w:r w:rsidRPr="00DB0C40">
        <w:rPr>
          <w:rFonts w:asciiTheme="majorHAnsi" w:eastAsiaTheme="majorEastAsia" w:hAnsiTheme="majorHAnsi" w:cstheme="majorBidi"/>
          <w:color w:val="2F5496" w:themeColor="accent1" w:themeShade="BF"/>
          <w:sz w:val="26"/>
          <w:szCs w:val="26"/>
        </w:rPr>
        <w:t>3</w:t>
      </w:r>
      <w:r w:rsidR="005758B6" w:rsidRPr="00DB0C40">
        <w:rPr>
          <w:rFonts w:asciiTheme="majorHAnsi" w:eastAsiaTheme="majorEastAsia" w:hAnsiTheme="majorHAnsi" w:cstheme="majorBidi"/>
          <w:color w:val="2F5496" w:themeColor="accent1" w:themeShade="BF"/>
          <w:sz w:val="26"/>
          <w:szCs w:val="26"/>
        </w:rPr>
        <w:t xml:space="preserve">.2. Oher International </w:t>
      </w:r>
      <w:r w:rsidR="00C14533">
        <w:rPr>
          <w:rFonts w:asciiTheme="majorHAnsi" w:eastAsiaTheme="majorEastAsia" w:hAnsiTheme="majorHAnsi" w:cstheme="majorBidi"/>
          <w:color w:val="2F5496" w:themeColor="accent1" w:themeShade="BF"/>
          <w:sz w:val="26"/>
          <w:szCs w:val="26"/>
        </w:rPr>
        <w:t>I</w:t>
      </w:r>
      <w:r w:rsidR="005758B6" w:rsidRPr="00DB0C40">
        <w:rPr>
          <w:rFonts w:asciiTheme="majorHAnsi" w:eastAsiaTheme="majorEastAsia" w:hAnsiTheme="majorHAnsi" w:cstheme="majorBidi"/>
          <w:color w:val="2F5496" w:themeColor="accent1" w:themeShade="BF"/>
          <w:sz w:val="26"/>
          <w:szCs w:val="26"/>
        </w:rPr>
        <w:t>nitiatives</w:t>
      </w:r>
      <w:bookmarkEnd w:id="14"/>
      <w:r w:rsidR="005758B6" w:rsidRPr="00DB0C40">
        <w:rPr>
          <w:rFonts w:asciiTheme="majorHAnsi" w:eastAsiaTheme="majorEastAsia" w:hAnsiTheme="majorHAnsi" w:cstheme="majorBidi"/>
          <w:color w:val="2F5496" w:themeColor="accent1" w:themeShade="BF"/>
          <w:sz w:val="26"/>
          <w:szCs w:val="26"/>
        </w:rPr>
        <w:t xml:space="preserve"> </w:t>
      </w:r>
    </w:p>
    <w:p w14:paraId="4E4E6C47" w14:textId="19F5C967" w:rsidR="005758B6" w:rsidRPr="00DB0C40" w:rsidRDefault="00BD23D7" w:rsidP="005758B6">
      <w:pPr>
        <w:keepNext/>
        <w:keepLines/>
        <w:spacing w:before="40"/>
        <w:outlineLvl w:val="2"/>
        <w:rPr>
          <w:rFonts w:asciiTheme="majorHAnsi" w:eastAsiaTheme="majorEastAsia" w:hAnsiTheme="majorHAnsi" w:cstheme="majorBidi"/>
          <w:color w:val="1F3763" w:themeColor="accent1" w:themeShade="7F"/>
        </w:rPr>
      </w:pPr>
      <w:bookmarkStart w:id="15" w:name="_Toc92359051"/>
      <w:r w:rsidRPr="00DB0C40">
        <w:rPr>
          <w:rFonts w:asciiTheme="majorHAnsi" w:eastAsiaTheme="majorEastAsia" w:hAnsiTheme="majorHAnsi" w:cstheme="majorBidi"/>
          <w:color w:val="1F3763" w:themeColor="accent1" w:themeShade="7F"/>
        </w:rPr>
        <w:t>3</w:t>
      </w:r>
      <w:r w:rsidR="005758B6" w:rsidRPr="00DB0C40">
        <w:rPr>
          <w:rFonts w:asciiTheme="majorHAnsi" w:eastAsiaTheme="majorEastAsia" w:hAnsiTheme="majorHAnsi" w:cstheme="majorBidi"/>
          <w:color w:val="1F3763" w:themeColor="accent1" w:themeShade="7F"/>
        </w:rPr>
        <w:t>.2.1. The 2030 Agenda for Sustainable Development (SDGs)</w:t>
      </w:r>
      <w:bookmarkEnd w:id="15"/>
    </w:p>
    <w:p w14:paraId="319CBA4F" w14:textId="77777777" w:rsidR="005758B6" w:rsidRPr="00DB0C40" w:rsidRDefault="005758B6" w:rsidP="005758B6">
      <w:pPr>
        <w:jc w:val="both"/>
        <w:rPr>
          <w:rFonts w:asciiTheme="minorHAnsi" w:eastAsiaTheme="minorHAnsi" w:hAnsiTheme="minorHAnsi" w:cstheme="minorHAnsi"/>
          <w:sz w:val="22"/>
          <w:szCs w:val="22"/>
        </w:rPr>
      </w:pPr>
    </w:p>
    <w:p w14:paraId="64A42C5C"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2030 Agenda for Sustainable Development sets out goals (SDGs) for lifting generous portions of humanity out of poverty, while protecting human rights and the planet. Gender equality and women’s empowerment are integral to the achievement of all 17 Goals. The SDGs “seek to realize the human rights of all and to achieve gender equality and the empowerment of all women and girls.” Some SDGs are particularly relevant to achieving women’s economic empowerment and gender equality at work:</w:t>
      </w:r>
    </w:p>
    <w:p w14:paraId="0946A017" w14:textId="77777777" w:rsidR="005758B6" w:rsidRPr="00DB0C40" w:rsidRDefault="005758B6">
      <w:pPr>
        <w:numPr>
          <w:ilvl w:val="0"/>
          <w:numId w:val="17"/>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SDG 3 on ensuring healthy lives and promoting wellbeing for all at all ages.</w:t>
      </w:r>
    </w:p>
    <w:p w14:paraId="75783D96" w14:textId="77777777" w:rsidR="005758B6" w:rsidRPr="00DB0C40" w:rsidRDefault="005758B6">
      <w:pPr>
        <w:numPr>
          <w:ilvl w:val="0"/>
          <w:numId w:val="17"/>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SDG 4 on ensuring inclusive and equitable quality education and promoting lifelong learning opportunities for all.</w:t>
      </w:r>
    </w:p>
    <w:p w14:paraId="20DF9C47" w14:textId="77777777" w:rsidR="005758B6" w:rsidRPr="00DB0C40" w:rsidRDefault="005758B6">
      <w:pPr>
        <w:numPr>
          <w:ilvl w:val="0"/>
          <w:numId w:val="17"/>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SDG 5 on achieving gender equality and empowering all women and girls.</w:t>
      </w:r>
    </w:p>
    <w:p w14:paraId="3D7B2224" w14:textId="77777777" w:rsidR="005758B6" w:rsidRPr="00DB0C40" w:rsidRDefault="005758B6">
      <w:pPr>
        <w:numPr>
          <w:ilvl w:val="0"/>
          <w:numId w:val="17"/>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SDG 8 on promoting sustained, inclusive, and sustainable economic growth, full and productive employment, and decent work for all.</w:t>
      </w:r>
    </w:p>
    <w:p w14:paraId="37D98A75" w14:textId="77777777" w:rsidR="005758B6" w:rsidRPr="00DB0C40" w:rsidRDefault="005758B6">
      <w:pPr>
        <w:numPr>
          <w:ilvl w:val="0"/>
          <w:numId w:val="17"/>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lastRenderedPageBreak/>
        <w:t>SDG 10 on reducing inequalities within and among countries.</w:t>
      </w:r>
    </w:p>
    <w:p w14:paraId="2FA17A01" w14:textId="34F7DA09" w:rsidR="005758B6" w:rsidRDefault="005758B6">
      <w:pPr>
        <w:numPr>
          <w:ilvl w:val="0"/>
          <w:numId w:val="17"/>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SDG 17 on promoting justice and peace in implementing the SDGs.</w:t>
      </w:r>
    </w:p>
    <w:p w14:paraId="23744E55" w14:textId="77777777" w:rsidR="00775318" w:rsidRPr="00DB0C40" w:rsidRDefault="00775318">
      <w:pPr>
        <w:numPr>
          <w:ilvl w:val="0"/>
          <w:numId w:val="17"/>
        </w:numPr>
        <w:spacing w:after="200"/>
        <w:contextualSpacing/>
        <w:jc w:val="both"/>
        <w:rPr>
          <w:rFonts w:asciiTheme="minorHAnsi" w:hAnsiTheme="minorHAnsi" w:cstheme="minorHAnsi"/>
          <w:sz w:val="22"/>
          <w:szCs w:val="22"/>
        </w:rPr>
      </w:pPr>
    </w:p>
    <w:p w14:paraId="60D2477C" w14:textId="735FA4FE" w:rsidR="005758B6" w:rsidRPr="00DB0C40" w:rsidRDefault="00BD23D7" w:rsidP="005758B6">
      <w:pPr>
        <w:keepNext/>
        <w:keepLines/>
        <w:spacing w:before="40"/>
        <w:outlineLvl w:val="2"/>
        <w:rPr>
          <w:rFonts w:asciiTheme="majorHAnsi" w:eastAsiaTheme="majorEastAsia" w:hAnsiTheme="majorHAnsi" w:cstheme="majorBidi"/>
          <w:color w:val="1F3763" w:themeColor="accent1" w:themeShade="7F"/>
        </w:rPr>
      </w:pPr>
      <w:bookmarkStart w:id="16" w:name="_Toc92359052"/>
      <w:r w:rsidRPr="00DB0C40">
        <w:rPr>
          <w:rFonts w:asciiTheme="majorHAnsi" w:eastAsiaTheme="majorEastAsia" w:hAnsiTheme="majorHAnsi" w:cstheme="majorBidi"/>
          <w:color w:val="1F3763" w:themeColor="accent1" w:themeShade="7F"/>
        </w:rPr>
        <w:t>3</w:t>
      </w:r>
      <w:r w:rsidR="005758B6" w:rsidRPr="00DB0C40">
        <w:rPr>
          <w:rFonts w:asciiTheme="majorHAnsi" w:eastAsiaTheme="majorEastAsia" w:hAnsiTheme="majorHAnsi" w:cstheme="majorBidi"/>
          <w:color w:val="1F3763" w:themeColor="accent1" w:themeShade="7F"/>
        </w:rPr>
        <w:t>.2.2. The Beijing Declaration and Platform for Action for Equality, Development and Peace (</w:t>
      </w:r>
      <w:proofErr w:type="spellStart"/>
      <w:r w:rsidR="005758B6" w:rsidRPr="00DB0C40">
        <w:rPr>
          <w:rFonts w:asciiTheme="majorHAnsi" w:eastAsiaTheme="majorEastAsia" w:hAnsiTheme="majorHAnsi" w:cstheme="majorBidi"/>
          <w:color w:val="1F3763" w:themeColor="accent1" w:themeShade="7F"/>
        </w:rPr>
        <w:t>BDPfA</w:t>
      </w:r>
      <w:proofErr w:type="spellEnd"/>
      <w:r w:rsidR="005758B6" w:rsidRPr="00DB0C40">
        <w:rPr>
          <w:rFonts w:asciiTheme="majorHAnsi" w:eastAsiaTheme="majorEastAsia" w:hAnsiTheme="majorHAnsi" w:cstheme="majorBidi"/>
          <w:color w:val="1F3763" w:themeColor="accent1" w:themeShade="7F"/>
        </w:rPr>
        <w:t>)</w:t>
      </w:r>
      <w:bookmarkEnd w:id="16"/>
    </w:p>
    <w:p w14:paraId="7E0D590D"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In 1995, the Fourth World Conference on Women adopted the </w:t>
      </w:r>
      <w:proofErr w:type="spellStart"/>
      <w:r w:rsidRPr="00DB0C40">
        <w:rPr>
          <w:rFonts w:asciiTheme="minorHAnsi" w:eastAsiaTheme="minorHAnsi" w:hAnsiTheme="minorHAnsi" w:cstheme="minorHAnsi"/>
          <w:sz w:val="22"/>
          <w:szCs w:val="22"/>
        </w:rPr>
        <w:t>BDPfA</w:t>
      </w:r>
      <w:proofErr w:type="spellEnd"/>
      <w:r w:rsidRPr="00DB0C40">
        <w:rPr>
          <w:rFonts w:asciiTheme="minorHAnsi" w:eastAsiaTheme="minorHAnsi" w:hAnsiTheme="minorHAnsi" w:cstheme="minorHAnsi"/>
          <w:sz w:val="22"/>
          <w:szCs w:val="22"/>
        </w:rPr>
        <w:t xml:space="preserve">, a comprehensive and visionary international agenda for women’s empowerment. It reaffirms the fundamental principle whereby the human rights of women and girls’ children are an inalienable, integral, and indivisible part of universal human rights. As an agenda for action, the </w:t>
      </w:r>
      <w:proofErr w:type="spellStart"/>
      <w:r w:rsidRPr="00DB0C40">
        <w:rPr>
          <w:rFonts w:asciiTheme="minorHAnsi" w:eastAsiaTheme="minorHAnsi" w:hAnsiTheme="minorHAnsi" w:cstheme="minorHAnsi"/>
          <w:sz w:val="22"/>
          <w:szCs w:val="22"/>
        </w:rPr>
        <w:t>BDPfA</w:t>
      </w:r>
      <w:proofErr w:type="spellEnd"/>
      <w:r w:rsidRPr="00DB0C40">
        <w:rPr>
          <w:rFonts w:asciiTheme="minorHAnsi" w:eastAsiaTheme="minorHAnsi" w:hAnsiTheme="minorHAnsi" w:cstheme="minorHAnsi"/>
          <w:sz w:val="22"/>
          <w:szCs w:val="22"/>
        </w:rPr>
        <w:t xml:space="preserve"> seeks to promote and protect women’s full enjoyment of all human rights and fundamental freedoms throughout their lives. </w:t>
      </w:r>
    </w:p>
    <w:p w14:paraId="611E5556" w14:textId="77777777" w:rsidR="005758B6" w:rsidRPr="00DB0C40" w:rsidRDefault="005758B6" w:rsidP="005758B6">
      <w:pPr>
        <w:jc w:val="both"/>
        <w:rPr>
          <w:rFonts w:asciiTheme="minorHAnsi" w:eastAsiaTheme="minorHAnsi" w:hAnsiTheme="minorHAnsi" w:cstheme="minorHAnsi"/>
          <w:sz w:val="22"/>
          <w:szCs w:val="22"/>
        </w:rPr>
      </w:pPr>
    </w:p>
    <w:p w14:paraId="63BCA9C5" w14:textId="1F76EB39" w:rsidR="005758B6" w:rsidRPr="00DB0C40" w:rsidRDefault="00BD23D7" w:rsidP="005758B6">
      <w:pPr>
        <w:keepNext/>
        <w:keepLines/>
        <w:spacing w:before="40"/>
        <w:outlineLvl w:val="2"/>
        <w:rPr>
          <w:rFonts w:asciiTheme="majorHAnsi" w:eastAsiaTheme="majorEastAsia" w:hAnsiTheme="majorHAnsi" w:cstheme="majorBidi"/>
          <w:color w:val="1F3763" w:themeColor="accent1" w:themeShade="7F"/>
        </w:rPr>
      </w:pPr>
      <w:bookmarkStart w:id="17" w:name="_Toc92359053"/>
      <w:r w:rsidRPr="00DB0C40">
        <w:rPr>
          <w:rFonts w:asciiTheme="majorHAnsi" w:eastAsiaTheme="majorEastAsia" w:hAnsiTheme="majorHAnsi" w:cstheme="majorBidi"/>
          <w:color w:val="1F3763" w:themeColor="accent1" w:themeShade="7F"/>
        </w:rPr>
        <w:t>3</w:t>
      </w:r>
      <w:r w:rsidR="005758B6" w:rsidRPr="00DB0C40">
        <w:rPr>
          <w:rFonts w:asciiTheme="majorHAnsi" w:eastAsiaTheme="majorEastAsia" w:hAnsiTheme="majorHAnsi" w:cstheme="majorBidi"/>
          <w:color w:val="1F3763" w:themeColor="accent1" w:themeShade="7F"/>
        </w:rPr>
        <w:t>.2.3. 61st Commission on the Status of Women</w:t>
      </w:r>
      <w:bookmarkEnd w:id="17"/>
      <w:r w:rsidR="005758B6" w:rsidRPr="00DB0C40">
        <w:rPr>
          <w:rFonts w:asciiTheme="majorHAnsi" w:eastAsiaTheme="majorEastAsia" w:hAnsiTheme="majorHAnsi" w:cstheme="majorBidi"/>
          <w:color w:val="1F3763" w:themeColor="accent1" w:themeShade="7F"/>
        </w:rPr>
        <w:t xml:space="preserve"> </w:t>
      </w:r>
    </w:p>
    <w:p w14:paraId="57C9C920"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The Commission on the Status of Women (CSW) was established as a functional commission of the UN Economic and Social Council (ECOSOC) in 1946. Representatives of UN Member States, UN entities, women’s rights organisations, gender experts and other interested organisations meet annually at the UN Headquarters in New York to discuss progress and the gaps in implementation of the </w:t>
      </w:r>
      <w:proofErr w:type="spellStart"/>
      <w:r w:rsidRPr="00DB0C40">
        <w:rPr>
          <w:rFonts w:asciiTheme="minorHAnsi" w:eastAsiaTheme="minorHAnsi" w:hAnsiTheme="minorHAnsi" w:cstheme="minorHAnsi"/>
          <w:sz w:val="22"/>
          <w:szCs w:val="22"/>
        </w:rPr>
        <w:t>BPfA</w:t>
      </w:r>
      <w:proofErr w:type="spellEnd"/>
      <w:r w:rsidRPr="00DB0C40">
        <w:rPr>
          <w:rFonts w:asciiTheme="minorHAnsi" w:eastAsiaTheme="minorHAnsi" w:hAnsiTheme="minorHAnsi" w:cstheme="minorHAnsi"/>
          <w:sz w:val="22"/>
          <w:szCs w:val="22"/>
        </w:rPr>
        <w:t xml:space="preserve"> and 2030 Agenda for Sustainable Development, including the SDGs. Session outcomes and recommendations are referred to ECOSOC for follow-up. The 61st CSW session (CSW 61) took place from 13 to 24 March 2017, with the priority theme of ‘Women’s economic empowerment in the changing world of work’. It will therefore be an important opportunity to further develop consensus on the critical actions needed to further progress on WEE. Agreed Conclusions will be developed, and a range of sessions focusing on sub-topics including gender pay gaps, technology and work, informal and nonstandard work, the care economy, and the economic empowerment of indigenous women will form part of the official agenda. </w:t>
      </w:r>
    </w:p>
    <w:p w14:paraId="7335B34E" w14:textId="77777777" w:rsidR="005758B6" w:rsidRPr="00DB0C40" w:rsidRDefault="005758B6" w:rsidP="005758B6">
      <w:pPr>
        <w:jc w:val="both"/>
        <w:rPr>
          <w:rFonts w:asciiTheme="minorHAnsi" w:eastAsiaTheme="minorHAnsi" w:hAnsiTheme="minorHAnsi" w:cstheme="minorHAnsi"/>
          <w:sz w:val="22"/>
          <w:szCs w:val="22"/>
        </w:rPr>
      </w:pPr>
    </w:p>
    <w:p w14:paraId="6E2C99A4" w14:textId="72801055" w:rsidR="005758B6" w:rsidRPr="00DB0C40" w:rsidRDefault="00BD23D7" w:rsidP="005758B6">
      <w:pPr>
        <w:keepNext/>
        <w:keepLines/>
        <w:spacing w:before="40"/>
        <w:outlineLvl w:val="2"/>
        <w:rPr>
          <w:rFonts w:asciiTheme="majorHAnsi" w:eastAsiaTheme="majorEastAsia" w:hAnsiTheme="majorHAnsi" w:cstheme="majorBidi"/>
          <w:color w:val="1F3763" w:themeColor="accent1" w:themeShade="7F"/>
        </w:rPr>
      </w:pPr>
      <w:bookmarkStart w:id="18" w:name="_Toc92359054"/>
      <w:r w:rsidRPr="00DB0C40">
        <w:rPr>
          <w:rFonts w:asciiTheme="majorHAnsi" w:eastAsiaTheme="majorEastAsia" w:hAnsiTheme="majorHAnsi" w:cstheme="majorBidi"/>
          <w:color w:val="1F3763" w:themeColor="accent1" w:themeShade="7F"/>
        </w:rPr>
        <w:t>3</w:t>
      </w:r>
      <w:r w:rsidR="005758B6" w:rsidRPr="00DB0C40">
        <w:rPr>
          <w:rFonts w:asciiTheme="majorHAnsi" w:eastAsiaTheme="majorEastAsia" w:hAnsiTheme="majorHAnsi" w:cstheme="majorBidi"/>
          <w:color w:val="1F3763" w:themeColor="accent1" w:themeShade="7F"/>
        </w:rPr>
        <w:t>.2.4. UN Secretary-General’s High-Level Panel on Women’s Economic Empowerment</w:t>
      </w:r>
      <w:bookmarkEnd w:id="18"/>
      <w:r w:rsidR="005758B6" w:rsidRPr="00DB0C40">
        <w:rPr>
          <w:rFonts w:asciiTheme="majorHAnsi" w:eastAsiaTheme="majorEastAsia" w:hAnsiTheme="majorHAnsi" w:cstheme="majorBidi"/>
          <w:color w:val="1F3763" w:themeColor="accent1" w:themeShade="7F"/>
        </w:rPr>
        <w:t xml:space="preserve"> </w:t>
      </w:r>
    </w:p>
    <w:p w14:paraId="400F0E68"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 January 2016, the UN Secretary-General appointed a High-Level Panel on Women’s Economic Empowerment, aimed at galvanising progress on WEE under the broader 2030 Agenda and SDGs. Membership includes the heads of UN Women, World Bank, IMF, ILO and other private sector, academic, civil society leaders, and government leaders, including the Secretary of State for Education and Minister for Women and Equalities, United Kingdom. Following evidence collection and global consultation, the Panel published its first report in September 2016. The report identifies challenges to achieving WEE and presents an Agenda for Action. The Panel plans to launch a new series of briefings at CSW and be engaged in extensive outreach and advocacy with diverse groups, including governments and governance institutions, private sector, international organisations and until the Panel’s formal mandate ends in mid-2017.</w:t>
      </w:r>
    </w:p>
    <w:p w14:paraId="1CA87FEE" w14:textId="77777777" w:rsidR="005758B6" w:rsidRPr="00DB0C40" w:rsidRDefault="005758B6" w:rsidP="005758B6">
      <w:pPr>
        <w:jc w:val="both"/>
        <w:rPr>
          <w:rFonts w:asciiTheme="minorHAnsi" w:eastAsiaTheme="minorHAnsi" w:hAnsiTheme="minorHAnsi" w:cstheme="minorHAnsi"/>
          <w:sz w:val="22"/>
          <w:szCs w:val="22"/>
        </w:rPr>
      </w:pPr>
    </w:p>
    <w:p w14:paraId="07408044" w14:textId="25A9696A" w:rsidR="005758B6" w:rsidRPr="00DB0C40" w:rsidRDefault="00BD23D7" w:rsidP="005758B6">
      <w:pPr>
        <w:keepNext/>
        <w:keepLines/>
        <w:spacing w:before="40"/>
        <w:outlineLvl w:val="2"/>
        <w:rPr>
          <w:rFonts w:asciiTheme="majorHAnsi" w:eastAsiaTheme="majorEastAsia" w:hAnsiTheme="majorHAnsi" w:cstheme="majorBidi"/>
          <w:color w:val="1F3763" w:themeColor="accent1" w:themeShade="7F"/>
        </w:rPr>
      </w:pPr>
      <w:bookmarkStart w:id="19" w:name="_Toc92359055"/>
      <w:r w:rsidRPr="00DB0C40">
        <w:rPr>
          <w:rFonts w:asciiTheme="majorHAnsi" w:eastAsiaTheme="majorEastAsia" w:hAnsiTheme="majorHAnsi" w:cstheme="majorBidi"/>
          <w:color w:val="1F3763" w:themeColor="accent1" w:themeShade="7F"/>
        </w:rPr>
        <w:t>3</w:t>
      </w:r>
      <w:r w:rsidR="005758B6" w:rsidRPr="00DB0C40">
        <w:rPr>
          <w:rFonts w:asciiTheme="majorHAnsi" w:eastAsiaTheme="majorEastAsia" w:hAnsiTheme="majorHAnsi" w:cstheme="majorBidi"/>
          <w:color w:val="1F3763" w:themeColor="accent1" w:themeShade="7F"/>
        </w:rPr>
        <w:t>.2.5. UN Women’s Empowerment Principles (WEPs)</w:t>
      </w:r>
      <w:bookmarkEnd w:id="19"/>
      <w:r w:rsidR="005758B6" w:rsidRPr="00DB0C40">
        <w:rPr>
          <w:rFonts w:asciiTheme="majorHAnsi" w:eastAsiaTheme="majorEastAsia" w:hAnsiTheme="majorHAnsi" w:cstheme="majorBidi"/>
          <w:color w:val="1F3763" w:themeColor="accent1" w:themeShade="7F"/>
        </w:rPr>
        <w:t xml:space="preserve"> </w:t>
      </w:r>
    </w:p>
    <w:p w14:paraId="50856A06" w14:textId="5F632F6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The Women's Empowerment Principles, launched in 2010, are the result of a </w:t>
      </w:r>
      <w:r w:rsidR="00F37BC3" w:rsidRPr="00DB0C40">
        <w:rPr>
          <w:rFonts w:asciiTheme="minorHAnsi" w:eastAsiaTheme="minorHAnsi" w:hAnsiTheme="minorHAnsi" w:cstheme="minorHAnsi"/>
          <w:sz w:val="22"/>
          <w:szCs w:val="22"/>
        </w:rPr>
        <w:t>col</w:t>
      </w:r>
      <w:r w:rsidR="00F37BC3">
        <w:rPr>
          <w:rFonts w:asciiTheme="minorHAnsi" w:eastAsiaTheme="minorHAnsi" w:hAnsiTheme="minorHAnsi" w:cstheme="minorHAnsi"/>
          <w:sz w:val="22"/>
          <w:szCs w:val="22"/>
        </w:rPr>
        <w:t>labora</w:t>
      </w:r>
      <w:r w:rsidR="00F37BC3" w:rsidRPr="00DB0C40">
        <w:rPr>
          <w:rFonts w:asciiTheme="minorHAnsi" w:eastAsiaTheme="minorHAnsi" w:hAnsiTheme="minorHAnsi" w:cstheme="minorHAnsi"/>
          <w:sz w:val="22"/>
          <w:szCs w:val="22"/>
        </w:rPr>
        <w:t>tion</w:t>
      </w:r>
      <w:r w:rsidRPr="00DB0C40">
        <w:rPr>
          <w:rFonts w:asciiTheme="minorHAnsi" w:eastAsiaTheme="minorHAnsi" w:hAnsiTheme="minorHAnsi" w:cstheme="minorHAnsi"/>
          <w:sz w:val="22"/>
          <w:szCs w:val="22"/>
        </w:rPr>
        <w:t xml:space="preserve"> between the United Nations Entity for Gender Equality and the Empowerment of Women (UN Women) and the United Nations Global Compact. These are adapted from the Calvert Women's Principles which provide guidance on how to empower women in the workplace, marketplace, and community by emphasising the business case for the promotion of gender equality by corporate actors. </w:t>
      </w:r>
    </w:p>
    <w:p w14:paraId="2941404C" w14:textId="77777777" w:rsidR="005758B6" w:rsidRPr="00DB0C40" w:rsidRDefault="005758B6" w:rsidP="005758B6">
      <w:pPr>
        <w:jc w:val="both"/>
        <w:rPr>
          <w:rFonts w:asciiTheme="minorHAnsi" w:eastAsiaTheme="minorHAnsi" w:hAnsiTheme="minorHAnsi" w:cstheme="minorHAnsi"/>
          <w:sz w:val="22"/>
          <w:szCs w:val="22"/>
        </w:rPr>
      </w:pPr>
    </w:p>
    <w:p w14:paraId="474C6E76"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The WEPs are: Treat all women and men fairly at work - respect and support human rights and non-discrimination; Ensure the health, safety and well-being of all women and men workers; Promote education, training, and professional development for women; Implement enterprise development, </w:t>
      </w:r>
      <w:r w:rsidRPr="00DB0C40">
        <w:rPr>
          <w:rFonts w:asciiTheme="minorHAnsi" w:eastAsiaTheme="minorHAnsi" w:hAnsiTheme="minorHAnsi" w:cstheme="minorHAnsi"/>
          <w:sz w:val="22"/>
          <w:szCs w:val="22"/>
        </w:rPr>
        <w:lastRenderedPageBreak/>
        <w:t xml:space="preserve">supply chain and marketing practices that empower women; Promote equality through community initiatives and advocacy and Measure and publicly report on progress to achieve gender equality. </w:t>
      </w:r>
    </w:p>
    <w:p w14:paraId="5A369050" w14:textId="77777777" w:rsidR="005758B6" w:rsidRPr="00DB0C40" w:rsidRDefault="005758B6" w:rsidP="005758B6">
      <w:pPr>
        <w:jc w:val="both"/>
        <w:rPr>
          <w:rFonts w:asciiTheme="minorHAnsi" w:eastAsiaTheme="minorHAnsi" w:hAnsiTheme="minorHAnsi" w:cstheme="minorHAnsi"/>
          <w:sz w:val="22"/>
          <w:szCs w:val="22"/>
        </w:rPr>
      </w:pPr>
    </w:p>
    <w:p w14:paraId="7A4B3908" w14:textId="2EB6C1A9" w:rsidR="005758B6" w:rsidRPr="00DB0C40" w:rsidRDefault="00BD23D7" w:rsidP="005758B6">
      <w:pPr>
        <w:keepNext/>
        <w:keepLines/>
        <w:spacing w:before="40"/>
        <w:outlineLvl w:val="2"/>
        <w:rPr>
          <w:rFonts w:asciiTheme="majorHAnsi" w:eastAsiaTheme="majorEastAsia" w:hAnsiTheme="majorHAnsi" w:cstheme="majorBidi"/>
          <w:color w:val="1F3763" w:themeColor="accent1" w:themeShade="7F"/>
        </w:rPr>
      </w:pPr>
      <w:bookmarkStart w:id="20" w:name="_Toc92359056"/>
      <w:r w:rsidRPr="00DB0C40">
        <w:rPr>
          <w:rFonts w:asciiTheme="majorHAnsi" w:eastAsiaTheme="majorEastAsia" w:hAnsiTheme="majorHAnsi" w:cstheme="majorBidi"/>
          <w:color w:val="1F3763" w:themeColor="accent1" w:themeShade="7F"/>
        </w:rPr>
        <w:t>3</w:t>
      </w:r>
      <w:r w:rsidR="005758B6" w:rsidRPr="00DB0C40">
        <w:rPr>
          <w:rFonts w:asciiTheme="majorHAnsi" w:eastAsiaTheme="majorEastAsia" w:hAnsiTheme="majorHAnsi" w:cstheme="majorBidi"/>
          <w:color w:val="1F3763" w:themeColor="accent1" w:themeShade="7F"/>
        </w:rPr>
        <w:t>.2.6. The Equal Pay International Coalition (EPIC)</w:t>
      </w:r>
      <w:bookmarkEnd w:id="20"/>
    </w:p>
    <w:p w14:paraId="32D7DE4B"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Equal Pay International Coalition (EPIC) is an initiative driven by stakeholders committed to reducing the gender pay gap and making equal pay for work of equal value a reality across all countries and sectors. Led by the ILO, UN Women and the Organisation for Economic Cooperation and Development (OECD), the Coalition engages with governments, employers, workers and their organizations, the private sector, civil society, and academia to accelerate the closing of the gender pay gap and the achievement of pay equity.</w:t>
      </w:r>
    </w:p>
    <w:p w14:paraId="1E77BCCA" w14:textId="77777777" w:rsidR="005758B6" w:rsidRPr="00DB0C40" w:rsidRDefault="005758B6" w:rsidP="005758B6">
      <w:pPr>
        <w:jc w:val="both"/>
        <w:rPr>
          <w:rFonts w:asciiTheme="minorHAnsi" w:eastAsiaTheme="minorHAnsi" w:hAnsiTheme="minorHAnsi" w:cstheme="minorHAnsi"/>
          <w:sz w:val="22"/>
          <w:szCs w:val="22"/>
        </w:rPr>
      </w:pPr>
    </w:p>
    <w:p w14:paraId="7292472E" w14:textId="6392E9F4" w:rsidR="005758B6" w:rsidRPr="00DB0C40" w:rsidRDefault="005758B6">
      <w:pPr>
        <w:pStyle w:val="ListParagraph"/>
        <w:keepNext/>
        <w:keepLines/>
        <w:numPr>
          <w:ilvl w:val="1"/>
          <w:numId w:val="27"/>
        </w:numPr>
        <w:spacing w:before="40"/>
        <w:outlineLvl w:val="1"/>
        <w:rPr>
          <w:rFonts w:asciiTheme="majorHAnsi" w:eastAsiaTheme="majorEastAsia" w:hAnsiTheme="majorHAnsi" w:cstheme="majorBidi"/>
          <w:color w:val="2F5496" w:themeColor="accent1" w:themeShade="BF"/>
          <w:sz w:val="26"/>
          <w:szCs w:val="26"/>
        </w:rPr>
      </w:pPr>
      <w:bookmarkStart w:id="21" w:name="_Toc92359057"/>
      <w:r w:rsidRPr="00DB0C40">
        <w:rPr>
          <w:rFonts w:asciiTheme="majorHAnsi" w:eastAsiaTheme="majorEastAsia" w:hAnsiTheme="majorHAnsi" w:cstheme="majorBidi"/>
          <w:color w:val="2F5496" w:themeColor="accent1" w:themeShade="BF"/>
          <w:sz w:val="26"/>
          <w:szCs w:val="26"/>
        </w:rPr>
        <w:t>G7 and EU policy frameworks</w:t>
      </w:r>
      <w:bookmarkEnd w:id="21"/>
    </w:p>
    <w:p w14:paraId="70C19995"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G7 and the EU have both fostered ongoing dialogue, often tripartite, adopted policy frameworks and issued calls to action to accelerate progress towards gender equality in the world of work.</w:t>
      </w:r>
    </w:p>
    <w:p w14:paraId="4E2DDC4B" w14:textId="77777777" w:rsidR="005758B6" w:rsidRPr="00DB0C40" w:rsidRDefault="005758B6" w:rsidP="005758B6">
      <w:pPr>
        <w:jc w:val="both"/>
        <w:rPr>
          <w:rFonts w:asciiTheme="minorHAnsi" w:eastAsiaTheme="minorHAnsi" w:hAnsiTheme="minorHAnsi" w:cstheme="minorHAnsi"/>
          <w:sz w:val="22"/>
          <w:szCs w:val="22"/>
        </w:rPr>
      </w:pPr>
    </w:p>
    <w:p w14:paraId="50690A21" w14:textId="77777777" w:rsidR="005758B6" w:rsidRPr="00DB0C40" w:rsidRDefault="005758B6">
      <w:pPr>
        <w:keepNext/>
        <w:keepLines/>
        <w:numPr>
          <w:ilvl w:val="2"/>
          <w:numId w:val="27"/>
        </w:numPr>
        <w:spacing w:before="40"/>
        <w:outlineLvl w:val="2"/>
        <w:rPr>
          <w:rFonts w:asciiTheme="majorHAnsi" w:eastAsiaTheme="majorEastAsia" w:hAnsiTheme="majorHAnsi" w:cstheme="majorBidi"/>
          <w:color w:val="1F3763" w:themeColor="accent1" w:themeShade="7F"/>
        </w:rPr>
      </w:pPr>
      <w:bookmarkStart w:id="22" w:name="_Toc92359058"/>
      <w:r w:rsidRPr="00DB0C40">
        <w:rPr>
          <w:rFonts w:asciiTheme="majorHAnsi" w:eastAsiaTheme="majorEastAsia" w:hAnsiTheme="majorHAnsi" w:cstheme="majorBidi"/>
          <w:color w:val="1F3763" w:themeColor="accent1" w:themeShade="7F"/>
        </w:rPr>
        <w:t>G7 recommendations on gender equality at work</w:t>
      </w:r>
      <w:bookmarkEnd w:id="22"/>
    </w:p>
    <w:p w14:paraId="68B66881"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Combining international standards and goals with social and economic dialogue, the Group of 7 (G7) emphasizes the connection between gender equality and increased prosperity. At Taormina in 2017, the G7, along with Women 7 (W7), put forward a series of recommendations for different parties – effectively action plans for full recognition of the beneficial effects of women’s activity in the workplace – drawing attention to the negative effects of unpaid care work, violence, stereotyping and the lack of women’s representation in leadership on gender equality at work.</w:t>
      </w:r>
    </w:p>
    <w:p w14:paraId="38D418DF" w14:textId="77777777" w:rsidR="005758B6" w:rsidRPr="00DB0C40" w:rsidRDefault="005758B6" w:rsidP="005758B6">
      <w:pPr>
        <w:jc w:val="both"/>
        <w:rPr>
          <w:rFonts w:asciiTheme="minorHAnsi" w:eastAsiaTheme="minorHAnsi" w:hAnsiTheme="minorHAnsi" w:cstheme="minorHAnsi"/>
          <w:sz w:val="22"/>
          <w:szCs w:val="22"/>
        </w:rPr>
      </w:pPr>
    </w:p>
    <w:p w14:paraId="3BCAEE17"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The G7 Social Communiqué of June 2019 called for a tripartite approach (engaging governments and employers’ and workers’ organizations) to identifying market barriers that cause gender-based labour segregation; increasing women’s representation on boards, in management and in entrepreneurship; investing in skills development and education in all fields (especially science, technology, engineering and mathematics – STEM); formulating a gender-balanced care system; and closing gender gaps in employment, pay (especially after leave) and workplace participation. </w:t>
      </w:r>
    </w:p>
    <w:p w14:paraId="731CC257"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w:t>
      </w:r>
    </w:p>
    <w:p w14:paraId="31588994" w14:textId="77777777" w:rsidR="005758B6" w:rsidRPr="00DB0C40" w:rsidRDefault="005758B6">
      <w:pPr>
        <w:keepNext/>
        <w:keepLines/>
        <w:numPr>
          <w:ilvl w:val="2"/>
          <w:numId w:val="27"/>
        </w:numPr>
        <w:spacing w:before="40"/>
        <w:outlineLvl w:val="2"/>
        <w:rPr>
          <w:rFonts w:asciiTheme="majorHAnsi" w:eastAsiaTheme="majorEastAsia" w:hAnsiTheme="majorHAnsi" w:cstheme="majorBidi"/>
          <w:color w:val="1F3763" w:themeColor="accent1" w:themeShade="7F"/>
        </w:rPr>
      </w:pPr>
      <w:bookmarkStart w:id="23" w:name="_Toc92359059"/>
      <w:r w:rsidRPr="00DB0C40">
        <w:rPr>
          <w:rFonts w:asciiTheme="majorHAnsi" w:eastAsiaTheme="majorEastAsia" w:hAnsiTheme="majorHAnsi" w:cstheme="majorBidi"/>
          <w:color w:val="1F3763" w:themeColor="accent1" w:themeShade="7F"/>
        </w:rPr>
        <w:t>European Union frameworks</w:t>
      </w:r>
      <w:bookmarkEnd w:id="23"/>
    </w:p>
    <w:p w14:paraId="2CA2C3EA"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Gender equality is one of the core values of EU legal frameworks, embedded in the Treaties, the Charter of Fundamental Rights of the European Union, and the European Pillar of Social Rights. There is extensive EU legislation related to gender equality, particularly in the workplace, touching on issues such as maternity and parental leave; equal opportunities and equal treatment of people in employment and occupation, including equal pay, social security, working conditions and harassment; and equal opportunities for workers in self-employment, including access to maternity leave benefits. </w:t>
      </w:r>
    </w:p>
    <w:p w14:paraId="7B42B6FB" w14:textId="77777777" w:rsidR="005758B6" w:rsidRPr="00DB0C40" w:rsidRDefault="005758B6" w:rsidP="005758B6">
      <w:pPr>
        <w:jc w:val="both"/>
        <w:rPr>
          <w:rFonts w:asciiTheme="minorHAnsi" w:eastAsiaTheme="minorHAnsi" w:hAnsiTheme="minorHAnsi" w:cstheme="minorHAnsi"/>
          <w:sz w:val="22"/>
          <w:szCs w:val="22"/>
        </w:rPr>
      </w:pPr>
    </w:p>
    <w:p w14:paraId="4972A642" w14:textId="3785CFB0" w:rsidR="005758B6" w:rsidRPr="00CD2A61" w:rsidRDefault="00BD23D7" w:rsidP="005758B6">
      <w:pPr>
        <w:keepNext/>
        <w:keepLines/>
        <w:spacing w:before="40"/>
        <w:outlineLvl w:val="3"/>
        <w:rPr>
          <w:rFonts w:asciiTheme="majorHAnsi" w:eastAsiaTheme="majorEastAsia" w:hAnsiTheme="majorHAnsi" w:cstheme="majorBidi"/>
          <w:color w:val="2F5496" w:themeColor="accent1" w:themeShade="BF"/>
        </w:rPr>
      </w:pPr>
      <w:r w:rsidRPr="00CD2A61">
        <w:rPr>
          <w:rFonts w:asciiTheme="majorHAnsi" w:eastAsiaTheme="majorEastAsia" w:hAnsiTheme="majorHAnsi" w:cstheme="majorBidi"/>
          <w:color w:val="2F5496" w:themeColor="accent1" w:themeShade="BF"/>
        </w:rPr>
        <w:t>3</w:t>
      </w:r>
      <w:r w:rsidR="005758B6" w:rsidRPr="00CD2A61">
        <w:rPr>
          <w:rFonts w:asciiTheme="majorHAnsi" w:eastAsiaTheme="majorEastAsia" w:hAnsiTheme="majorHAnsi" w:cstheme="majorBidi"/>
          <w:color w:val="2F5496" w:themeColor="accent1" w:themeShade="BF"/>
        </w:rPr>
        <w:t xml:space="preserve">.3.2.1. Main European legislation </w:t>
      </w:r>
    </w:p>
    <w:p w14:paraId="4E60FB2E"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EU legislation, mostly adopted by the ordinary legislative procedure, includes: </w:t>
      </w:r>
    </w:p>
    <w:p w14:paraId="7990FF4E"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Directive 79/7/EEC of 19 December 1978 obliging Member States to progressively implement the principle of equal treatment for people in matters of social security. </w:t>
      </w:r>
    </w:p>
    <w:p w14:paraId="4A9F4D3E"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Directive 92/85/EEC of 19 October 1992 introducing measures to improve the safety and health at work of pregnant workers and workers who have recently given birth or are breastfeeding. </w:t>
      </w:r>
    </w:p>
    <w:p w14:paraId="5C6331BE"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Directive 2004/113/EC of 13 December 2004 implementing the principle of equal treatment between women and men in the access to and supply of goods and services. </w:t>
      </w:r>
    </w:p>
    <w:p w14:paraId="64782747"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lastRenderedPageBreak/>
        <w:t xml:space="preserve">— Council Directive 2010/18/EU of 8 March 2010 implementing the revised Framework Agreement on parental leave concluded by BUSINESSEUROPE, UEAPME, CEEP and ETUC and repealing Directive 96/34/EC. </w:t>
      </w:r>
    </w:p>
    <w:p w14:paraId="7087C627"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Directive 2010/41/EC of 7 July 2010 laying down objectives for the application of the principle of equal treatment between men and women engaged in an activity, including agriculture, in a self-employed capacity, and on the protection of self-employed women during pregnancy and motherhood, and repealing Council Directive 86/613/EEC. </w:t>
      </w:r>
    </w:p>
    <w:p w14:paraId="23C9AD92"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Directive 2011/36/EU of 5 April 2011 on preventing and combating trafficking in human beings and protecting its victims. This directive replaces Council Framework Decision 2002/629/JHA and provides for the approximation of sanctions for trafficking in human beings across Member States and of support measures for victims, and calls upon the Member States to ‘consider taking measures to establish as a criminal offence the use of services which are the objects of exploitation […] with the knowledge that the person is a victim [of trafficking]’ in order to discourage demand; it also establishes the office of the European anti-trafficking coordinator; the Committee on Women’s Rights and Gender Equality (FEMM) will prepare an implementation report on the directive later in 2015; </w:t>
      </w:r>
    </w:p>
    <w:p w14:paraId="0B1486FE"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Directive 2011/99/EU of 13 December 2011 establishing the European Protection Order with the aim of protecting a person ‘against a criminal act by another person which may endanger his/her life, physical or psychological integrity, dignity, personal liberty or sexual integrity’ and enabling a competent authority in another Member State to continue the protection of the person in the territory of that other Member State; this directive is reinforced by Regulation (EU) No 606/2013 of 12 June 2013 on mutual recognition of protection measures in civil matters, which ensures that civil protection measures are recognised all over the EU; </w:t>
      </w:r>
    </w:p>
    <w:p w14:paraId="2D8B86A8"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Directive 2012/29/EU of 25 October 2012 establishing minimum standards on the rights, support, and protection of victims of crime, and replacing Council Framework Decision 2001/220/JHA. </w:t>
      </w:r>
    </w:p>
    <w:p w14:paraId="5CB9A057" w14:textId="77777777" w:rsidR="005758B6" w:rsidRPr="00DB0C40" w:rsidRDefault="005758B6" w:rsidP="005758B6">
      <w:pPr>
        <w:ind w:left="720"/>
        <w:jc w:val="both"/>
        <w:rPr>
          <w:rFonts w:asciiTheme="minorHAnsi" w:eastAsiaTheme="minorHAnsi" w:hAnsiTheme="minorHAnsi" w:cstheme="minorHAnsi"/>
          <w:sz w:val="22"/>
          <w:szCs w:val="22"/>
        </w:rPr>
      </w:pPr>
    </w:p>
    <w:p w14:paraId="5849041E" w14:textId="1D83A2D0" w:rsidR="005758B6" w:rsidRPr="00DB0C40" w:rsidRDefault="00BD23D7" w:rsidP="005758B6">
      <w:pPr>
        <w:keepNext/>
        <w:keepLines/>
        <w:spacing w:before="40"/>
        <w:outlineLvl w:val="3"/>
        <w:rPr>
          <w:rFonts w:asciiTheme="majorHAnsi" w:eastAsiaTheme="majorEastAsia" w:hAnsiTheme="majorHAnsi" w:cstheme="majorBidi"/>
          <w:i/>
          <w:iCs/>
          <w:color w:val="2F5496" w:themeColor="accent1" w:themeShade="BF"/>
        </w:rPr>
      </w:pPr>
      <w:r w:rsidRPr="00CD2A61">
        <w:rPr>
          <w:rFonts w:asciiTheme="majorHAnsi" w:eastAsiaTheme="majorEastAsia" w:hAnsiTheme="majorHAnsi" w:cstheme="majorBidi"/>
          <w:color w:val="2F5496" w:themeColor="accent1" w:themeShade="BF"/>
        </w:rPr>
        <w:t>3</w:t>
      </w:r>
      <w:r w:rsidR="005758B6" w:rsidRPr="00CD2A61">
        <w:rPr>
          <w:rFonts w:asciiTheme="majorHAnsi" w:eastAsiaTheme="majorEastAsia" w:hAnsiTheme="majorHAnsi" w:cstheme="majorBidi"/>
          <w:color w:val="2F5496" w:themeColor="accent1" w:themeShade="BF"/>
        </w:rPr>
        <w:t>.3.2.2. Progress in case-law of the European Court of Justice (ECJ</w:t>
      </w:r>
      <w:r w:rsidR="005758B6" w:rsidRPr="00DB0C40">
        <w:rPr>
          <w:rFonts w:asciiTheme="majorHAnsi" w:eastAsiaTheme="majorEastAsia" w:hAnsiTheme="majorHAnsi" w:cstheme="majorBidi"/>
          <w:i/>
          <w:iCs/>
          <w:color w:val="2F5496" w:themeColor="accent1" w:themeShade="BF"/>
        </w:rPr>
        <w:t xml:space="preserve">) </w:t>
      </w:r>
    </w:p>
    <w:p w14:paraId="042FDCED"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The ECJ has played a significant role in promoting equality between men and women. The most notable judgments have been: </w:t>
      </w:r>
    </w:p>
    <w:p w14:paraId="3B3B2466"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w:t>
      </w:r>
      <w:proofErr w:type="spellStart"/>
      <w:r w:rsidRPr="00DB0C40">
        <w:rPr>
          <w:rFonts w:asciiTheme="minorHAnsi" w:eastAsiaTheme="minorHAnsi" w:hAnsiTheme="minorHAnsi" w:cstheme="minorHAnsi"/>
          <w:sz w:val="22"/>
          <w:szCs w:val="22"/>
        </w:rPr>
        <w:t>Defrenne</w:t>
      </w:r>
      <w:proofErr w:type="spellEnd"/>
      <w:r w:rsidRPr="00DB0C40">
        <w:rPr>
          <w:rFonts w:asciiTheme="minorHAnsi" w:eastAsiaTheme="minorHAnsi" w:hAnsiTheme="minorHAnsi" w:cstheme="minorHAnsi"/>
          <w:sz w:val="22"/>
          <w:szCs w:val="22"/>
        </w:rPr>
        <w:t xml:space="preserve"> II judgment of 8 April 1976 (Case 43/75): the Court recognised the direct effect of the principle of equal pay for people and ruled that the principle not only applied to the action of public authorities but also extended to all agreements which are intended to regulate paid labour collectively</w:t>
      </w:r>
    </w:p>
    <w:p w14:paraId="66F02EA6"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w:t>
      </w:r>
      <w:proofErr w:type="spellStart"/>
      <w:r w:rsidRPr="00DB0C40">
        <w:rPr>
          <w:rFonts w:asciiTheme="minorHAnsi" w:eastAsiaTheme="minorHAnsi" w:hAnsiTheme="minorHAnsi" w:cstheme="minorHAnsi"/>
          <w:sz w:val="22"/>
          <w:szCs w:val="22"/>
        </w:rPr>
        <w:t>Bilka</w:t>
      </w:r>
      <w:proofErr w:type="spellEnd"/>
      <w:r w:rsidRPr="00DB0C40">
        <w:rPr>
          <w:rFonts w:asciiTheme="minorHAnsi" w:eastAsiaTheme="minorHAnsi" w:hAnsiTheme="minorHAnsi" w:cstheme="minorHAnsi"/>
          <w:sz w:val="22"/>
          <w:szCs w:val="22"/>
        </w:rPr>
        <w:t xml:space="preserve"> judgment of 13 May 1986 (Case 170/84): the Court ruled that a measure excluding part-time employees from an occupational pension scheme constituted ‘indirect discrimination’ and was therefore contrary to former Article 119 if it affected a far greater number of women than men, unless it could be shown that the exclusion was based on objectively justified factors unrelated to any discrimination on grounds of sex</w:t>
      </w:r>
    </w:p>
    <w:p w14:paraId="273A8F17"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Barber judgment of 17 May 1990 (Case 262/88): the Court decided that all forms of occupational pension constituted pay for the purposes of Article 119 and the principle of equal treatment therefore applied to them. The Court ruled that men should be able to exercise their pension rights or survivor’s pension rights at the same age as their female colleagues</w:t>
      </w:r>
    </w:p>
    <w:p w14:paraId="0C9037B5"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w:t>
      </w:r>
      <w:proofErr w:type="spellStart"/>
      <w:r w:rsidRPr="00DB0C40">
        <w:rPr>
          <w:rFonts w:asciiTheme="minorHAnsi" w:eastAsiaTheme="minorHAnsi" w:hAnsiTheme="minorHAnsi" w:cstheme="minorHAnsi"/>
          <w:sz w:val="22"/>
          <w:szCs w:val="22"/>
        </w:rPr>
        <w:t>Marschall</w:t>
      </w:r>
      <w:proofErr w:type="spellEnd"/>
      <w:r w:rsidRPr="00DB0C40">
        <w:rPr>
          <w:rFonts w:asciiTheme="minorHAnsi" w:eastAsiaTheme="minorHAnsi" w:hAnsiTheme="minorHAnsi" w:cstheme="minorHAnsi"/>
          <w:sz w:val="22"/>
          <w:szCs w:val="22"/>
        </w:rPr>
        <w:t xml:space="preserve"> judgment of 11 November 1997 (Case C-409/95): the Court declared that a national rule which, in a case where there were fewer women than men in a sector, required that priority be given to the promotion of female candidates (‘positive discrimination’) was not precluded by Community legislation, provided that the advantage was not automatic and that male applicants were guaranteed consideration and not excluded a priori from applying; </w:t>
      </w:r>
    </w:p>
    <w:p w14:paraId="13B5BFC6" w14:textId="7777777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lastRenderedPageBreak/>
        <w:t xml:space="preserve">— Test </w:t>
      </w:r>
      <w:proofErr w:type="spellStart"/>
      <w:r w:rsidRPr="00DB0C40">
        <w:rPr>
          <w:rFonts w:asciiTheme="minorHAnsi" w:eastAsiaTheme="minorHAnsi" w:hAnsiTheme="minorHAnsi" w:cstheme="minorHAnsi"/>
          <w:sz w:val="22"/>
          <w:szCs w:val="22"/>
        </w:rPr>
        <w:t>Achats</w:t>
      </w:r>
      <w:proofErr w:type="spellEnd"/>
      <w:r w:rsidRPr="00DB0C40">
        <w:rPr>
          <w:rFonts w:asciiTheme="minorHAnsi" w:eastAsiaTheme="minorHAnsi" w:hAnsiTheme="minorHAnsi" w:cstheme="minorHAnsi"/>
          <w:sz w:val="22"/>
          <w:szCs w:val="22"/>
        </w:rPr>
        <w:t xml:space="preserve"> judgment of 1 March 2011 (Case C-236/09): the Court declared the invalidity of Article 5(2) of Directive 2004/113/EC as being contrary to the principle of equal treatment between men and women in the access to and supply of goods and services. Consequently, for people, the same system of actuarial calculation must be applied to determine premiums and benefits for the purposes of insurance. </w:t>
      </w:r>
    </w:p>
    <w:p w14:paraId="3E8AB811" w14:textId="77777777" w:rsidR="005758B6" w:rsidRPr="00DB0C40" w:rsidRDefault="005758B6" w:rsidP="005758B6">
      <w:pPr>
        <w:ind w:left="1080"/>
        <w:jc w:val="both"/>
        <w:rPr>
          <w:rFonts w:asciiTheme="minorHAnsi" w:eastAsiaTheme="minorHAnsi" w:hAnsiTheme="minorHAnsi" w:cstheme="minorHAnsi"/>
          <w:sz w:val="22"/>
          <w:szCs w:val="22"/>
        </w:rPr>
      </w:pPr>
    </w:p>
    <w:p w14:paraId="6AC4334C" w14:textId="3811EF07" w:rsidR="005758B6" w:rsidRPr="00B258C4" w:rsidRDefault="00BD23D7" w:rsidP="005758B6">
      <w:pPr>
        <w:keepNext/>
        <w:keepLines/>
        <w:spacing w:before="40"/>
        <w:outlineLvl w:val="3"/>
        <w:rPr>
          <w:rFonts w:asciiTheme="majorHAnsi" w:eastAsiaTheme="majorEastAsia" w:hAnsiTheme="majorHAnsi" w:cstheme="majorBidi"/>
          <w:color w:val="2F5496" w:themeColor="accent1" w:themeShade="BF"/>
        </w:rPr>
      </w:pPr>
      <w:r w:rsidRPr="00B258C4">
        <w:rPr>
          <w:rFonts w:asciiTheme="majorHAnsi" w:eastAsiaTheme="majorEastAsia" w:hAnsiTheme="majorHAnsi" w:cstheme="majorBidi"/>
          <w:color w:val="2F5496" w:themeColor="accent1" w:themeShade="BF"/>
        </w:rPr>
        <w:t>3</w:t>
      </w:r>
      <w:r w:rsidR="005758B6" w:rsidRPr="00B258C4">
        <w:rPr>
          <w:rFonts w:asciiTheme="majorHAnsi" w:eastAsiaTheme="majorEastAsia" w:hAnsiTheme="majorHAnsi" w:cstheme="majorBidi"/>
          <w:color w:val="2F5496" w:themeColor="accent1" w:themeShade="BF"/>
        </w:rPr>
        <w:t xml:space="preserve">.3.2.3. Latest developments </w:t>
      </w:r>
    </w:p>
    <w:p w14:paraId="3F039D9F" w14:textId="77777777" w:rsidR="00C14533" w:rsidRDefault="00C14533" w:rsidP="005758B6">
      <w:pPr>
        <w:ind w:left="720"/>
        <w:jc w:val="both"/>
        <w:rPr>
          <w:rFonts w:asciiTheme="minorHAnsi" w:eastAsiaTheme="minorHAnsi" w:hAnsiTheme="minorHAnsi" w:cstheme="minorHAnsi"/>
          <w:sz w:val="22"/>
          <w:szCs w:val="22"/>
        </w:rPr>
      </w:pPr>
    </w:p>
    <w:p w14:paraId="03F0E39F" w14:textId="641970A7" w:rsidR="005758B6" w:rsidRPr="00DB0C40" w:rsidRDefault="005758B6" w:rsidP="005758B6">
      <w:pPr>
        <w:ind w:left="72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Below is an overview of the most recent action taken by the EU in the field of equality between men and women: </w:t>
      </w:r>
    </w:p>
    <w:p w14:paraId="4B590BB9" w14:textId="77777777" w:rsidR="005758B6" w:rsidRPr="00DB0C40" w:rsidRDefault="005758B6">
      <w:pPr>
        <w:numPr>
          <w:ilvl w:val="0"/>
          <w:numId w:val="26"/>
        </w:numPr>
        <w:spacing w:after="200"/>
        <w:ind w:left="1800"/>
        <w:contextualSpacing/>
        <w:jc w:val="both"/>
        <w:rPr>
          <w:rFonts w:asciiTheme="minorHAnsi" w:hAnsiTheme="minorHAnsi" w:cstheme="minorHAnsi"/>
          <w:sz w:val="22"/>
          <w:szCs w:val="22"/>
        </w:rPr>
      </w:pPr>
      <w:r w:rsidRPr="00DB0C40">
        <w:rPr>
          <w:rFonts w:asciiTheme="minorHAnsi" w:hAnsiTheme="minorHAnsi" w:cstheme="minorHAnsi"/>
          <w:sz w:val="22"/>
          <w:szCs w:val="22"/>
        </w:rPr>
        <w:t xml:space="preserve">The multiannual financial framework (MFF 2014-2020) and the Rights, Equality and Citizenship programme. The programme Rights, Equality and Citizenship finances projects aimed at achieving gender equality and ending violence against women (Article 4). </w:t>
      </w:r>
    </w:p>
    <w:p w14:paraId="3223A48E" w14:textId="77777777" w:rsidR="005758B6" w:rsidRPr="00DB0C40" w:rsidRDefault="005758B6">
      <w:pPr>
        <w:numPr>
          <w:ilvl w:val="0"/>
          <w:numId w:val="26"/>
        </w:numPr>
        <w:spacing w:after="200"/>
        <w:ind w:left="1800"/>
        <w:contextualSpacing/>
        <w:jc w:val="both"/>
        <w:rPr>
          <w:rFonts w:asciiTheme="minorHAnsi" w:hAnsiTheme="minorHAnsi" w:cstheme="minorHAnsi"/>
          <w:sz w:val="22"/>
          <w:szCs w:val="22"/>
        </w:rPr>
      </w:pPr>
      <w:r w:rsidRPr="00DB0C40">
        <w:rPr>
          <w:rFonts w:asciiTheme="minorHAnsi" w:hAnsiTheme="minorHAnsi" w:cstheme="minorHAnsi"/>
          <w:sz w:val="22"/>
          <w:szCs w:val="22"/>
        </w:rPr>
        <w:t xml:space="preserve">The European Institute for Gender Equality (EIGE) In December 2006, the European Parliament and the Council established a European Institute for Gender Equality, based in Vilnius, Lithuania, with the overall objective of contributing to and boosting the promotion of gender equality, including gender mainstreaming in all EU and national policies. It also combats discrimination based on sex and raises awareness on gender equality by providing technical assistance to the European institutions through collecting, analysing, and disseminating data and methodological tools. </w:t>
      </w:r>
    </w:p>
    <w:p w14:paraId="1C6CA817" w14:textId="77777777" w:rsidR="005758B6" w:rsidRPr="00DB0C40" w:rsidRDefault="005758B6">
      <w:pPr>
        <w:numPr>
          <w:ilvl w:val="0"/>
          <w:numId w:val="26"/>
        </w:numPr>
        <w:spacing w:after="200"/>
        <w:ind w:left="1800"/>
        <w:contextualSpacing/>
        <w:jc w:val="both"/>
        <w:rPr>
          <w:rFonts w:asciiTheme="minorHAnsi" w:hAnsiTheme="minorHAnsi" w:cstheme="minorHAnsi"/>
          <w:sz w:val="22"/>
          <w:szCs w:val="22"/>
        </w:rPr>
      </w:pPr>
      <w:r w:rsidRPr="00DB0C40">
        <w:rPr>
          <w:rFonts w:asciiTheme="minorHAnsi" w:hAnsiTheme="minorHAnsi" w:cstheme="minorHAnsi"/>
          <w:sz w:val="22"/>
          <w:szCs w:val="22"/>
        </w:rPr>
        <w:t xml:space="preserve">The Women’s Charter and the Strategic engagement for gender equality 2016-2019. On 5 March 2010, the Commission adopted the Women’s Charter with a view to improving the promotion of equality between women and men in Europe and throughout the world. </w:t>
      </w:r>
    </w:p>
    <w:p w14:paraId="0F793F4B" w14:textId="77777777" w:rsidR="005758B6" w:rsidRPr="00DB0C40" w:rsidRDefault="005758B6">
      <w:pPr>
        <w:numPr>
          <w:ilvl w:val="0"/>
          <w:numId w:val="26"/>
        </w:numPr>
        <w:spacing w:after="200"/>
        <w:ind w:left="1800"/>
        <w:contextualSpacing/>
        <w:jc w:val="both"/>
        <w:rPr>
          <w:rFonts w:asciiTheme="minorHAnsi" w:hAnsiTheme="minorHAnsi" w:cstheme="minorHAnsi"/>
          <w:sz w:val="22"/>
          <w:szCs w:val="22"/>
        </w:rPr>
      </w:pPr>
      <w:r w:rsidRPr="00DB0C40">
        <w:rPr>
          <w:rFonts w:asciiTheme="minorHAnsi" w:hAnsiTheme="minorHAnsi" w:cstheme="minorHAnsi"/>
          <w:sz w:val="22"/>
          <w:szCs w:val="22"/>
        </w:rPr>
        <w:t xml:space="preserve">Based on the Commission and the European External Action Service (EEAS) Joint Staff Working Document on ‘Gender Equality and Women’s Empowerment: Transforming the Lives of Girls and Women through EU External Relations 2016-2020’ [8]. The new Gender Action Plan stresses ‘the need for the full realisation of women’s and girls’ full and equal enjoyment of all human rights and fundamental freedoms and the achievement of gender equality and the empowerment of women and girls. </w:t>
      </w:r>
    </w:p>
    <w:p w14:paraId="397DD7EB" w14:textId="77777777" w:rsidR="005758B6" w:rsidRPr="00DB0C40" w:rsidRDefault="005758B6">
      <w:pPr>
        <w:numPr>
          <w:ilvl w:val="0"/>
          <w:numId w:val="26"/>
        </w:numPr>
        <w:spacing w:after="200"/>
        <w:ind w:left="1800"/>
        <w:contextualSpacing/>
        <w:jc w:val="both"/>
        <w:rPr>
          <w:rFonts w:asciiTheme="minorHAnsi" w:hAnsiTheme="minorHAnsi" w:cstheme="minorHAnsi"/>
          <w:sz w:val="22"/>
          <w:szCs w:val="22"/>
        </w:rPr>
      </w:pPr>
      <w:r w:rsidRPr="00DB0C40">
        <w:rPr>
          <w:rFonts w:asciiTheme="minorHAnsi" w:hAnsiTheme="minorHAnsi" w:cstheme="minorHAnsi"/>
          <w:sz w:val="22"/>
          <w:szCs w:val="22"/>
        </w:rPr>
        <w:t>In the area of equal treatment on the labour market, Parliament acts on the basis of the ordinary legislative procedure (co-decision), for example in June 2019, the European Parliament adopted a Directive on work–life balance for parents and carers, which sets out the conditions for paternity, parental and carers’ leave, and extends current provisions on flexible working arrangements to workers with young children and other carers.</w:t>
      </w:r>
    </w:p>
    <w:p w14:paraId="2BD12AA3" w14:textId="77777777" w:rsidR="005758B6" w:rsidRPr="00DB0C40" w:rsidRDefault="005758B6">
      <w:pPr>
        <w:numPr>
          <w:ilvl w:val="0"/>
          <w:numId w:val="26"/>
        </w:numPr>
        <w:spacing w:after="200"/>
        <w:ind w:left="1800"/>
        <w:contextualSpacing/>
        <w:jc w:val="both"/>
        <w:rPr>
          <w:rFonts w:asciiTheme="minorHAnsi" w:hAnsiTheme="minorHAnsi" w:cstheme="minorHAnsi"/>
          <w:sz w:val="22"/>
          <w:szCs w:val="22"/>
        </w:rPr>
      </w:pPr>
      <w:r w:rsidRPr="00DB0C40">
        <w:rPr>
          <w:rFonts w:asciiTheme="minorHAnsi" w:hAnsiTheme="minorHAnsi" w:cstheme="minorHAnsi"/>
          <w:sz w:val="22"/>
          <w:szCs w:val="22"/>
        </w:rPr>
        <w:t xml:space="preserve">The European Commission (EC) has made bold commitments and ambitious plans to promote equality between women and men, as well as mainstreaming the gender perspective throughout all policy spheres. Its Gender Equality Strategy 2020-25 focuses on ending gender-based violence; challenging gender stereotypes; closing gender gaps in the labour market; achieving equal participation across different sectors of the economy; addressing the gender pay and pension gaps; closing the gender care gap; and achieving gender balance in decision-making and politics. As one of the first deliverables of the Strategy, the EC has prioritized mandatory pay transparency measures. </w:t>
      </w:r>
    </w:p>
    <w:p w14:paraId="125D8802" w14:textId="77777777" w:rsidR="005758B6" w:rsidRPr="00DB0C40" w:rsidRDefault="005758B6">
      <w:pPr>
        <w:numPr>
          <w:ilvl w:val="0"/>
          <w:numId w:val="26"/>
        </w:numPr>
        <w:spacing w:after="200"/>
        <w:ind w:left="1800"/>
        <w:contextualSpacing/>
        <w:jc w:val="both"/>
        <w:rPr>
          <w:rFonts w:asciiTheme="minorHAnsi" w:hAnsiTheme="minorHAnsi" w:cstheme="minorHAnsi"/>
          <w:sz w:val="22"/>
          <w:szCs w:val="22"/>
        </w:rPr>
      </w:pPr>
      <w:r w:rsidRPr="00DB0C40">
        <w:rPr>
          <w:rFonts w:asciiTheme="minorHAnsi" w:hAnsiTheme="minorHAnsi" w:cstheme="minorHAnsi"/>
          <w:sz w:val="22"/>
          <w:szCs w:val="22"/>
        </w:rPr>
        <w:lastRenderedPageBreak/>
        <w:t>In November 2020, the European Commission and the High Representative of the Union for Foreign Affairs and Security Policy put forward the EU’s new Action Plan on Gender Equality and Women’s Empowerment in External Action 2021–2025 (GAP III). The plan aims to promote gender equality and women’s empowerment through all external action of the EU. The Gender Action Plan III provides the EU with a policy framework with five pillars of action for accelerating progress towards meeting international commitments and creating a world in which everyone has space to thrive. It makes the promotion of gender equality a priority of all external policies and actions; offers a roadmap for working together with stakeholders at national, regional, and multilateral levels; steps up action in strategic thematic areas; calls for EU institutions to lead by example; and ensures the transparency of the results.</w:t>
      </w:r>
    </w:p>
    <w:p w14:paraId="29377192" w14:textId="77777777" w:rsidR="005758B6" w:rsidRPr="00DB0C40" w:rsidRDefault="005758B6" w:rsidP="005758B6">
      <w:pPr>
        <w:ind w:left="360"/>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w:t>
      </w:r>
    </w:p>
    <w:p w14:paraId="4F0CB465" w14:textId="217A738C" w:rsidR="005758B6" w:rsidRPr="00DB0C40" w:rsidRDefault="005758B6">
      <w:pPr>
        <w:pStyle w:val="ListParagraph"/>
        <w:keepNext/>
        <w:keepLines/>
        <w:numPr>
          <w:ilvl w:val="1"/>
          <w:numId w:val="27"/>
        </w:numPr>
        <w:spacing w:before="240" w:after="120"/>
        <w:outlineLvl w:val="0"/>
        <w:rPr>
          <w:rFonts w:asciiTheme="majorHAnsi" w:eastAsiaTheme="majorEastAsia" w:hAnsiTheme="majorHAnsi" w:cstheme="majorBidi"/>
          <w:color w:val="2F5496" w:themeColor="accent1" w:themeShade="BF"/>
          <w:sz w:val="32"/>
          <w:szCs w:val="32"/>
        </w:rPr>
      </w:pPr>
      <w:bookmarkStart w:id="24" w:name="_Toc92359060"/>
      <w:r w:rsidRPr="00DB0C40">
        <w:rPr>
          <w:rFonts w:asciiTheme="majorHAnsi" w:eastAsiaTheme="majorEastAsia" w:hAnsiTheme="majorHAnsi" w:cstheme="majorBidi"/>
          <w:color w:val="2F5496" w:themeColor="accent1" w:themeShade="BF"/>
          <w:sz w:val="32"/>
          <w:szCs w:val="32"/>
        </w:rPr>
        <w:t>MAIN ACTIONS FOR GENDER EQUALITY IN THE WORLD OF WORK</w:t>
      </w:r>
      <w:r w:rsidRPr="00DB0C40">
        <w:rPr>
          <w:rFonts w:asciiTheme="minorHAnsi" w:hAnsiTheme="minorHAnsi" w:cstheme="minorHAnsi"/>
          <w:b/>
          <w:bCs/>
          <w:position w:val="6"/>
          <w:sz w:val="22"/>
        </w:rPr>
        <w:footnoteReference w:id="4"/>
      </w:r>
      <w:bookmarkEnd w:id="24"/>
    </w:p>
    <w:p w14:paraId="35717609" w14:textId="77777777" w:rsidR="005758B6" w:rsidRPr="00DB0C40" w:rsidRDefault="005758B6" w:rsidP="005758B6">
      <w:pPr>
        <w:rPr>
          <w:rFonts w:asciiTheme="minorHAnsi" w:hAnsiTheme="minorHAnsi" w:cstheme="minorHAnsi"/>
          <w:sz w:val="22"/>
          <w:szCs w:val="22"/>
        </w:rPr>
      </w:pPr>
      <w:r w:rsidRPr="00DB0C40">
        <w:rPr>
          <w:rFonts w:asciiTheme="minorHAnsi" w:hAnsiTheme="minorHAnsi" w:cstheme="minorHAnsi"/>
          <w:sz w:val="22"/>
          <w:szCs w:val="22"/>
        </w:rPr>
        <w:t xml:space="preserve">International instruments and frameworks, together with national laws, are crucial to the realisation of gender equality at work and women’s economic empowerment. </w:t>
      </w:r>
    </w:p>
    <w:p w14:paraId="5CCA0DF6" w14:textId="77777777" w:rsidR="005758B6" w:rsidRPr="00DB0C40" w:rsidRDefault="005758B6" w:rsidP="005758B6">
      <w:pPr>
        <w:rPr>
          <w:rFonts w:asciiTheme="minorHAnsi" w:hAnsiTheme="minorHAnsi" w:cstheme="minorHAnsi"/>
          <w:sz w:val="22"/>
          <w:szCs w:val="22"/>
        </w:rPr>
      </w:pPr>
    </w:p>
    <w:p w14:paraId="4E867646" w14:textId="7DB7593B" w:rsidR="005758B6" w:rsidRPr="00DB0C40" w:rsidRDefault="00E6222D" w:rsidP="005758B6">
      <w:pPr>
        <w:keepNext/>
        <w:keepLines/>
        <w:spacing w:before="40"/>
        <w:outlineLvl w:val="1"/>
        <w:rPr>
          <w:rFonts w:asciiTheme="majorHAnsi" w:eastAsiaTheme="majorEastAsia" w:hAnsiTheme="majorHAnsi" w:cstheme="majorBidi"/>
          <w:color w:val="2F5496" w:themeColor="accent1" w:themeShade="BF"/>
          <w:sz w:val="26"/>
          <w:szCs w:val="26"/>
        </w:rPr>
      </w:pPr>
      <w:bookmarkStart w:id="25" w:name="_Toc92359061"/>
      <w:r w:rsidRPr="00DB0C40">
        <w:rPr>
          <w:rFonts w:asciiTheme="majorHAnsi" w:eastAsiaTheme="majorEastAsia" w:hAnsiTheme="majorHAnsi" w:cstheme="majorBidi"/>
          <w:color w:val="2F5496" w:themeColor="accent1" w:themeShade="BF"/>
          <w:sz w:val="26"/>
          <w:szCs w:val="26"/>
        </w:rPr>
        <w:t>3.</w:t>
      </w:r>
      <w:r w:rsidR="00BD23D7" w:rsidRPr="00DB0C40">
        <w:rPr>
          <w:rFonts w:asciiTheme="majorHAnsi" w:eastAsiaTheme="majorEastAsia" w:hAnsiTheme="majorHAnsi" w:cstheme="majorBidi"/>
          <w:color w:val="2F5496" w:themeColor="accent1" w:themeShade="BF"/>
          <w:sz w:val="26"/>
          <w:szCs w:val="26"/>
        </w:rPr>
        <w:t>4</w:t>
      </w:r>
      <w:r w:rsidR="005758B6" w:rsidRPr="00DB0C40">
        <w:rPr>
          <w:rFonts w:asciiTheme="majorHAnsi" w:eastAsiaTheme="majorEastAsia" w:hAnsiTheme="majorHAnsi" w:cstheme="majorBidi"/>
          <w:color w:val="2F5496" w:themeColor="accent1" w:themeShade="BF"/>
          <w:sz w:val="26"/>
          <w:szCs w:val="26"/>
        </w:rPr>
        <w:t>.1. Achieving equal pay for work of equal value</w:t>
      </w:r>
      <w:bookmarkEnd w:id="25"/>
    </w:p>
    <w:p w14:paraId="1A7081D4" w14:textId="77777777" w:rsidR="00AE67F2" w:rsidRDefault="00AE67F2" w:rsidP="005758B6">
      <w:pPr>
        <w:jc w:val="both"/>
        <w:rPr>
          <w:rFonts w:asciiTheme="minorHAnsi" w:hAnsiTheme="minorHAnsi" w:cstheme="minorHAnsi"/>
          <w:sz w:val="22"/>
          <w:szCs w:val="22"/>
        </w:rPr>
      </w:pPr>
    </w:p>
    <w:p w14:paraId="17744874" w14:textId="01A7B8FD" w:rsidR="005758B6" w:rsidRPr="00DB0C40" w:rsidRDefault="005758B6" w:rsidP="005758B6">
      <w:pPr>
        <w:jc w:val="both"/>
        <w:rPr>
          <w:rFonts w:asciiTheme="minorHAnsi" w:hAnsiTheme="minorHAnsi" w:cstheme="minorHAnsi"/>
          <w:sz w:val="22"/>
          <w:szCs w:val="22"/>
        </w:rPr>
      </w:pPr>
      <w:r w:rsidRPr="00DB0C40">
        <w:rPr>
          <w:rFonts w:asciiTheme="minorHAnsi" w:hAnsiTheme="minorHAnsi" w:cstheme="minorHAnsi"/>
          <w:sz w:val="22"/>
          <w:szCs w:val="22"/>
        </w:rPr>
        <w:t xml:space="preserve">Achieving gender equality and the economic empowerment of women at work will not be possible without ensuring that the work done by people is valued equally. </w:t>
      </w:r>
    </w:p>
    <w:p w14:paraId="630C48A1" w14:textId="77777777" w:rsidR="005758B6" w:rsidRPr="00DB0C40" w:rsidRDefault="005758B6" w:rsidP="005758B6">
      <w:pPr>
        <w:jc w:val="both"/>
        <w:rPr>
          <w:rFonts w:asciiTheme="minorHAnsi" w:hAnsiTheme="minorHAnsi" w:cstheme="minorHAnsi"/>
          <w:sz w:val="22"/>
          <w:szCs w:val="22"/>
        </w:rPr>
      </w:pPr>
    </w:p>
    <w:p w14:paraId="694B350F" w14:textId="77777777" w:rsidR="005758B6" w:rsidRPr="00DB0C40" w:rsidRDefault="005758B6" w:rsidP="005758B6">
      <w:pPr>
        <w:jc w:val="both"/>
        <w:rPr>
          <w:rFonts w:asciiTheme="minorHAnsi" w:hAnsiTheme="minorHAnsi" w:cstheme="minorHAnsi"/>
          <w:sz w:val="22"/>
          <w:szCs w:val="22"/>
        </w:rPr>
      </w:pPr>
      <w:r w:rsidRPr="00DB0C40">
        <w:rPr>
          <w:rFonts w:asciiTheme="minorHAnsi" w:hAnsiTheme="minorHAnsi" w:cstheme="minorHAnsi"/>
          <w:sz w:val="22"/>
          <w:szCs w:val="22"/>
        </w:rPr>
        <w:t>The overall gender gap performance</w:t>
      </w:r>
      <w:r w:rsidRPr="00DB0C40">
        <w:rPr>
          <w:rFonts w:asciiTheme="minorHAnsi" w:hAnsiTheme="minorHAnsi" w:cstheme="minorHAnsi"/>
          <w:position w:val="6"/>
          <w:sz w:val="22"/>
          <w:szCs w:val="22"/>
        </w:rPr>
        <w:footnoteReference w:id="5"/>
      </w:r>
      <w:r w:rsidRPr="00DB0C40">
        <w:rPr>
          <w:rFonts w:asciiTheme="minorHAnsi" w:hAnsiTheme="minorHAnsi" w:cstheme="minorHAnsi"/>
          <w:sz w:val="22"/>
          <w:szCs w:val="22"/>
        </w:rPr>
        <w:t xml:space="preserve"> is a synthesis of performances across the four dimensions composing the index—the Economic Participation, Educational Attainment, Health and Survival and Political Empowerment subindexes. As such it masks significant differences in gender gaps across dimensions. Overall, this year’s positive result has been driven by a progress on the </w:t>
      </w:r>
      <w:r w:rsidRPr="00DB0C40">
        <w:rPr>
          <w:rFonts w:asciiTheme="minorHAnsi" w:hAnsiTheme="minorHAnsi" w:cstheme="minorHAnsi"/>
          <w:i/>
          <w:iCs/>
          <w:sz w:val="22"/>
          <w:szCs w:val="22"/>
        </w:rPr>
        <w:t>Political Empowerment</w:t>
      </w:r>
      <w:r w:rsidRPr="00DB0C40">
        <w:rPr>
          <w:rFonts w:asciiTheme="minorHAnsi" w:hAnsiTheme="minorHAnsi" w:cstheme="minorHAnsi"/>
          <w:sz w:val="22"/>
          <w:szCs w:val="22"/>
        </w:rPr>
        <w:t xml:space="preserve"> subindex, as well as by marginal improvements on the Health and Survival and Educational Attainment subindexes. Conversely, </w:t>
      </w:r>
      <w:r w:rsidRPr="00DB0C40">
        <w:rPr>
          <w:rFonts w:asciiTheme="minorHAnsi" w:hAnsiTheme="minorHAnsi" w:cstheme="minorHAnsi"/>
          <w:i/>
          <w:iCs/>
          <w:sz w:val="22"/>
          <w:szCs w:val="22"/>
        </w:rPr>
        <w:t>the progress towards gender parity in terms of Economic Participation and Opportunity registers a retraction</w:t>
      </w:r>
      <w:r w:rsidRPr="00DB0C40">
        <w:rPr>
          <w:rFonts w:asciiTheme="minorHAnsi" w:hAnsiTheme="minorHAnsi" w:cstheme="minorHAnsi"/>
          <w:sz w:val="22"/>
          <w:szCs w:val="22"/>
        </w:rPr>
        <w:t xml:space="preserve">. As shown in Figure 1, global gender gaps vary significantly across these four dimensions. In two subindexes—Educational Attainment and Health and Survival—96.1% and 95.7% of the gap (respectively) have already been closed so far. By contrast, </w:t>
      </w:r>
      <w:r w:rsidRPr="00DB0C40">
        <w:rPr>
          <w:rFonts w:asciiTheme="minorHAnsi" w:hAnsiTheme="minorHAnsi" w:cstheme="minorHAnsi"/>
          <w:i/>
          <w:iCs/>
          <w:sz w:val="22"/>
          <w:szCs w:val="22"/>
        </w:rPr>
        <w:t>differences between women and men remain significantly larger on Political Empowerment</w:t>
      </w:r>
      <w:r w:rsidRPr="00DB0C40">
        <w:rPr>
          <w:rFonts w:asciiTheme="minorHAnsi" w:hAnsiTheme="minorHAnsi" w:cstheme="minorHAnsi"/>
          <w:sz w:val="22"/>
          <w:szCs w:val="22"/>
        </w:rPr>
        <w:t xml:space="preserve">, where only 24.7% of the gap has been closed to date, and </w:t>
      </w:r>
      <w:r w:rsidRPr="00DB0C40">
        <w:rPr>
          <w:rFonts w:asciiTheme="minorHAnsi" w:hAnsiTheme="minorHAnsi" w:cstheme="minorHAnsi"/>
          <w:i/>
          <w:iCs/>
          <w:sz w:val="22"/>
          <w:szCs w:val="22"/>
        </w:rPr>
        <w:t>on Economic Participation and Opportunity,</w:t>
      </w:r>
      <w:r w:rsidRPr="00DB0C40">
        <w:rPr>
          <w:rFonts w:asciiTheme="minorHAnsi" w:hAnsiTheme="minorHAnsi" w:cstheme="minorHAnsi"/>
          <w:sz w:val="22"/>
          <w:szCs w:val="22"/>
        </w:rPr>
        <w:t xml:space="preserve"> where 58.8% of the gap has been closed. In</w:t>
      </w:r>
      <w:r w:rsidRPr="00DB0C40">
        <w:rPr>
          <w:rFonts w:asciiTheme="minorHAnsi" w:eastAsiaTheme="minorHAnsi" w:hAnsiTheme="minorHAnsi" w:cstheme="minorHAnsi"/>
          <w:sz w:val="22"/>
          <w:szCs w:val="22"/>
        </w:rPr>
        <w:t xml:space="preserve"> </w:t>
      </w:r>
      <w:r w:rsidRPr="00DB0C40">
        <w:rPr>
          <w:rFonts w:asciiTheme="minorHAnsi" w:hAnsiTheme="minorHAnsi" w:cstheme="minorHAnsi"/>
          <w:sz w:val="22"/>
          <w:szCs w:val="22"/>
        </w:rPr>
        <w:t>order of gender gap size, Political Empowerment is the area where women are severely under-represented. Despite a significant improvement from the last edition (see section below for more details), so far only 25% of the gap has been closed on this subindex, and no country has fully closed this gap yet.</w:t>
      </w:r>
    </w:p>
    <w:p w14:paraId="053F61DC" w14:textId="77777777" w:rsidR="005758B6" w:rsidRPr="00DB0C40" w:rsidRDefault="005758B6" w:rsidP="005758B6">
      <w:pPr>
        <w:rPr>
          <w:rFonts w:asciiTheme="minorHAnsi" w:hAnsiTheme="minorHAnsi" w:cstheme="minorHAnsi"/>
          <w:sz w:val="22"/>
          <w:szCs w:val="22"/>
        </w:rPr>
      </w:pPr>
    </w:p>
    <w:p w14:paraId="6B99ED7E" w14:textId="77777777" w:rsidR="005758B6" w:rsidRPr="00DB0C40" w:rsidRDefault="005758B6" w:rsidP="005758B6">
      <w:pPr>
        <w:rPr>
          <w:rFonts w:asciiTheme="minorHAnsi" w:hAnsiTheme="minorHAnsi" w:cstheme="minorHAnsi"/>
          <w:sz w:val="22"/>
          <w:szCs w:val="22"/>
        </w:rPr>
      </w:pPr>
    </w:p>
    <w:p w14:paraId="0B38D9F0" w14:textId="77777777" w:rsidR="005758B6" w:rsidRPr="00DB0C40" w:rsidRDefault="005758B6" w:rsidP="005758B6">
      <w:pPr>
        <w:rPr>
          <w:rFonts w:asciiTheme="minorHAnsi" w:hAnsiTheme="minorHAnsi" w:cstheme="minorHAnsi"/>
          <w:sz w:val="22"/>
          <w:szCs w:val="22"/>
        </w:rPr>
      </w:pPr>
    </w:p>
    <w:p w14:paraId="1F0D73AD" w14:textId="77777777" w:rsidR="005758B6" w:rsidRPr="00DB0C40" w:rsidRDefault="005758B6" w:rsidP="005758B6">
      <w:pPr>
        <w:rPr>
          <w:rFonts w:asciiTheme="minorHAnsi" w:hAnsiTheme="minorHAnsi" w:cstheme="minorHAnsi"/>
          <w:sz w:val="22"/>
          <w:szCs w:val="22"/>
        </w:rPr>
      </w:pPr>
    </w:p>
    <w:p w14:paraId="621B831F" w14:textId="77777777" w:rsidR="005758B6" w:rsidRPr="00DB0C40" w:rsidRDefault="005758B6" w:rsidP="005758B6">
      <w:pPr>
        <w:rPr>
          <w:rFonts w:asciiTheme="minorHAnsi" w:hAnsiTheme="minorHAnsi" w:cstheme="minorHAnsi"/>
          <w:sz w:val="22"/>
          <w:szCs w:val="22"/>
        </w:rPr>
      </w:pPr>
    </w:p>
    <w:p w14:paraId="54821CD8" w14:textId="77777777" w:rsidR="005758B6" w:rsidRPr="00DB0C40" w:rsidRDefault="005758B6" w:rsidP="005758B6">
      <w:pPr>
        <w:rPr>
          <w:rFonts w:asciiTheme="minorHAnsi" w:hAnsiTheme="minorHAnsi" w:cstheme="minorHAnsi"/>
          <w:sz w:val="22"/>
          <w:szCs w:val="22"/>
        </w:rPr>
      </w:pPr>
    </w:p>
    <w:p w14:paraId="73D6B277" w14:textId="77777777" w:rsidR="005758B6" w:rsidRPr="00DB0C40" w:rsidRDefault="005758B6" w:rsidP="005758B6">
      <w:pPr>
        <w:rPr>
          <w:rFonts w:asciiTheme="minorHAnsi" w:hAnsiTheme="minorHAnsi" w:cstheme="minorHAnsi"/>
          <w:sz w:val="22"/>
          <w:szCs w:val="22"/>
        </w:rPr>
      </w:pPr>
    </w:p>
    <w:p w14:paraId="0E896F07" w14:textId="77777777" w:rsidR="005758B6" w:rsidRPr="00DB0C40" w:rsidRDefault="005758B6" w:rsidP="005758B6">
      <w:pPr>
        <w:rPr>
          <w:rFonts w:asciiTheme="minorHAnsi" w:hAnsiTheme="minorHAnsi" w:cstheme="minorHAnsi"/>
          <w:sz w:val="22"/>
          <w:szCs w:val="22"/>
        </w:rPr>
      </w:pPr>
    </w:p>
    <w:p w14:paraId="49751351" w14:textId="77777777" w:rsidR="005758B6" w:rsidRPr="00DB0C40" w:rsidRDefault="005758B6" w:rsidP="005758B6">
      <w:pPr>
        <w:rPr>
          <w:rFonts w:asciiTheme="minorHAnsi" w:hAnsiTheme="minorHAnsi" w:cstheme="minorHAnsi"/>
          <w:sz w:val="22"/>
          <w:szCs w:val="22"/>
        </w:rPr>
      </w:pPr>
    </w:p>
    <w:p w14:paraId="2B72F7F9" w14:textId="77777777" w:rsidR="005758B6" w:rsidRPr="00DB0C40" w:rsidRDefault="005758B6" w:rsidP="005758B6">
      <w:pPr>
        <w:rPr>
          <w:rFonts w:asciiTheme="minorHAnsi" w:hAnsiTheme="minorHAnsi" w:cstheme="minorHAnsi"/>
          <w:sz w:val="22"/>
          <w:szCs w:val="22"/>
        </w:rPr>
      </w:pPr>
    </w:p>
    <w:p w14:paraId="749FD45C" w14:textId="77777777" w:rsidR="005758B6" w:rsidRPr="00DB0C40" w:rsidRDefault="005758B6" w:rsidP="005758B6">
      <w:pPr>
        <w:rPr>
          <w:rFonts w:asciiTheme="minorHAnsi" w:hAnsiTheme="minorHAnsi" w:cstheme="minorHAnsi"/>
          <w:sz w:val="22"/>
          <w:szCs w:val="22"/>
        </w:rPr>
      </w:pPr>
    </w:p>
    <w:p w14:paraId="32A2C383" w14:textId="29B78311" w:rsidR="005758B6" w:rsidRPr="00DB0C40" w:rsidRDefault="005758B6" w:rsidP="005758B6">
      <w:pPr>
        <w:jc w:val="center"/>
        <w:rPr>
          <w:rFonts w:asciiTheme="minorHAnsi" w:hAnsiTheme="minorHAnsi" w:cstheme="minorHAnsi"/>
          <w:b/>
          <w:bCs/>
          <w:sz w:val="22"/>
          <w:szCs w:val="22"/>
        </w:rPr>
      </w:pPr>
      <w:r w:rsidRPr="00DB0C40">
        <w:rPr>
          <w:rFonts w:asciiTheme="minorHAnsi" w:hAnsiTheme="minorHAnsi" w:cstheme="minorHAnsi"/>
          <w:b/>
          <w:bCs/>
          <w:sz w:val="22"/>
          <w:szCs w:val="22"/>
        </w:rPr>
        <w:t>Figure 1. The state of the gender gap</w:t>
      </w:r>
      <w:r w:rsidR="00044DE2" w:rsidRPr="00DB0C40">
        <w:rPr>
          <w:rFonts w:asciiTheme="minorHAnsi" w:hAnsiTheme="minorHAnsi" w:cstheme="minorHAnsi"/>
          <w:b/>
          <w:bCs/>
          <w:sz w:val="22"/>
          <w:szCs w:val="22"/>
        </w:rPr>
        <w:t xml:space="preserve"> in the world</w:t>
      </w:r>
    </w:p>
    <w:p w14:paraId="29333642" w14:textId="77777777" w:rsidR="005758B6" w:rsidRPr="00DB0C40" w:rsidRDefault="005758B6" w:rsidP="005758B6">
      <w:pPr>
        <w:rPr>
          <w:rFonts w:asciiTheme="minorHAnsi" w:hAnsiTheme="minorHAnsi" w:cstheme="minorHAnsi"/>
          <w:sz w:val="22"/>
          <w:szCs w:val="22"/>
        </w:rPr>
      </w:pPr>
    </w:p>
    <w:p w14:paraId="2CB54843" w14:textId="77777777" w:rsidR="005758B6" w:rsidRPr="00DB0C40" w:rsidRDefault="005758B6" w:rsidP="005758B6">
      <w:pPr>
        <w:rPr>
          <w:rFonts w:asciiTheme="minorHAnsi" w:hAnsiTheme="minorHAnsi" w:cstheme="minorHAnsi"/>
          <w:sz w:val="22"/>
          <w:szCs w:val="22"/>
        </w:rPr>
      </w:pPr>
      <w:r w:rsidRPr="00DB0C40">
        <w:rPr>
          <w:rFonts w:asciiTheme="minorHAnsi" w:hAnsiTheme="minorHAnsi" w:cstheme="minorHAnsi"/>
          <w:noProof/>
          <w:sz w:val="22"/>
          <w:szCs w:val="22"/>
          <w:lang w:eastAsia="en-GB"/>
        </w:rPr>
        <w:drawing>
          <wp:inline distT="0" distB="0" distL="0" distR="0" wp14:anchorId="3D24FFCC" wp14:editId="4F75F8C5">
            <wp:extent cx="5727700" cy="2477135"/>
            <wp:effectExtent l="19050" t="19050" r="25400" b="18415"/>
            <wp:docPr id="1" name="Imagen 1"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nterfaz de usuario gráfica, Aplicación&#10;&#10;Descripción generada automáticamente"/>
                    <pic:cNvPicPr/>
                  </pic:nvPicPr>
                  <pic:blipFill>
                    <a:blip r:embed="rId13"/>
                    <a:stretch>
                      <a:fillRect/>
                    </a:stretch>
                  </pic:blipFill>
                  <pic:spPr>
                    <a:xfrm>
                      <a:off x="0" y="0"/>
                      <a:ext cx="5727700" cy="2477135"/>
                    </a:xfrm>
                    <a:prstGeom prst="rect">
                      <a:avLst/>
                    </a:prstGeom>
                    <a:ln>
                      <a:solidFill>
                        <a:sysClr val="windowText" lastClr="000000"/>
                      </a:solidFill>
                    </a:ln>
                  </pic:spPr>
                </pic:pic>
              </a:graphicData>
            </a:graphic>
          </wp:inline>
        </w:drawing>
      </w:r>
    </w:p>
    <w:p w14:paraId="41A1F45A" w14:textId="77777777" w:rsidR="005758B6" w:rsidRPr="00DB0C40" w:rsidRDefault="005758B6" w:rsidP="005758B6">
      <w:pPr>
        <w:rPr>
          <w:rFonts w:asciiTheme="minorHAnsi" w:hAnsiTheme="minorHAnsi" w:cstheme="minorHAnsi"/>
          <w:sz w:val="22"/>
          <w:szCs w:val="22"/>
        </w:rPr>
      </w:pPr>
      <w:r w:rsidRPr="00DB0C40">
        <w:rPr>
          <w:rFonts w:asciiTheme="minorHAnsi" w:hAnsiTheme="minorHAnsi" w:cstheme="minorHAnsi"/>
          <w:sz w:val="22"/>
          <w:szCs w:val="22"/>
        </w:rPr>
        <w:t xml:space="preserve"> </w:t>
      </w:r>
    </w:p>
    <w:p w14:paraId="7D27FB81" w14:textId="77777777" w:rsidR="005758B6" w:rsidRPr="00A45334" w:rsidRDefault="005758B6" w:rsidP="005758B6">
      <w:pPr>
        <w:jc w:val="center"/>
        <w:rPr>
          <w:rFonts w:asciiTheme="minorHAnsi" w:hAnsiTheme="minorHAnsi" w:cstheme="minorHAnsi"/>
          <w:sz w:val="18"/>
          <w:szCs w:val="18"/>
        </w:rPr>
      </w:pPr>
      <w:r w:rsidRPr="00A45334">
        <w:rPr>
          <w:rFonts w:asciiTheme="minorHAnsi" w:hAnsiTheme="minorHAnsi" w:cstheme="minorHAnsi"/>
          <w:sz w:val="18"/>
          <w:szCs w:val="18"/>
        </w:rPr>
        <w:t>Source: World Economic Forum, 2020</w:t>
      </w:r>
    </w:p>
    <w:p w14:paraId="01E889C4" w14:textId="77777777" w:rsidR="005758B6" w:rsidRPr="00DB0C40" w:rsidRDefault="005758B6" w:rsidP="005758B6">
      <w:pPr>
        <w:rPr>
          <w:rFonts w:asciiTheme="minorHAnsi" w:hAnsiTheme="minorHAnsi" w:cstheme="minorHAnsi"/>
          <w:sz w:val="22"/>
          <w:szCs w:val="22"/>
        </w:rPr>
      </w:pPr>
    </w:p>
    <w:p w14:paraId="50F9C818" w14:textId="77777777" w:rsidR="005758B6" w:rsidRPr="00DB0C40" w:rsidRDefault="005758B6" w:rsidP="005758B6">
      <w:pPr>
        <w:jc w:val="both"/>
        <w:rPr>
          <w:rFonts w:asciiTheme="minorHAnsi" w:hAnsiTheme="minorHAnsi" w:cstheme="minorHAnsi"/>
          <w:sz w:val="22"/>
          <w:szCs w:val="22"/>
        </w:rPr>
      </w:pPr>
      <w:r w:rsidRPr="00DB0C40">
        <w:rPr>
          <w:rFonts w:asciiTheme="minorHAnsi" w:hAnsiTheme="minorHAnsi" w:cstheme="minorHAnsi"/>
          <w:sz w:val="22"/>
          <w:szCs w:val="22"/>
        </w:rPr>
        <w:t>Gender-pay continues been influenced by distinct factors as occupational segregation (including gender imbalances in leadership positions, or vertical segregation), the undervaluation of feminized industries, the “motherhood penalty” versus the “fatherhood premium” (which refers to the differential impact of having children on women and men’s wages), and differences in wage employment participation. Discrimination, as well as conscious and unconscious biases about the role of women in society, can begin to be rectified through education, communication, and appropriate legislation and public policy that permeates into the private sector.</w:t>
      </w:r>
    </w:p>
    <w:p w14:paraId="197E1ACA" w14:textId="77777777" w:rsidR="005758B6" w:rsidRPr="00DB0C40" w:rsidRDefault="005758B6" w:rsidP="005758B6">
      <w:pPr>
        <w:rPr>
          <w:rFonts w:asciiTheme="minorHAnsi" w:hAnsiTheme="minorHAnsi" w:cstheme="minorHAnsi"/>
          <w:sz w:val="22"/>
          <w:szCs w:val="22"/>
        </w:rPr>
      </w:pPr>
    </w:p>
    <w:p w14:paraId="15D6683D" w14:textId="77777777" w:rsidR="005758B6" w:rsidRPr="00DB0C40" w:rsidRDefault="005758B6" w:rsidP="005758B6">
      <w:pPr>
        <w:jc w:val="both"/>
        <w:rPr>
          <w:rFonts w:asciiTheme="minorHAnsi" w:hAnsiTheme="minorHAnsi" w:cstheme="minorHAnsi"/>
          <w:sz w:val="22"/>
          <w:szCs w:val="22"/>
        </w:rPr>
      </w:pPr>
      <w:r w:rsidRPr="00DB0C40">
        <w:rPr>
          <w:rFonts w:asciiTheme="minorHAnsi" w:hAnsiTheme="minorHAnsi" w:cstheme="minorHAnsi"/>
          <w:sz w:val="22"/>
          <w:szCs w:val="22"/>
        </w:rPr>
        <w:t xml:space="preserve">The undervaluation of paid care work also plays a significant role in the perpetuation of gender pay gaps. Women make up two-thirds of the workforce in the global care industry, in which other groups at risk of discrimination are also disproportionately represented. </w:t>
      </w:r>
    </w:p>
    <w:p w14:paraId="5D69B01E" w14:textId="77777777" w:rsidR="005758B6" w:rsidRPr="00DB0C40" w:rsidRDefault="005758B6" w:rsidP="005758B6">
      <w:pPr>
        <w:jc w:val="both"/>
        <w:rPr>
          <w:rFonts w:asciiTheme="minorHAnsi" w:hAnsiTheme="minorHAnsi" w:cstheme="minorHAnsi"/>
          <w:sz w:val="22"/>
          <w:szCs w:val="22"/>
        </w:rPr>
      </w:pPr>
    </w:p>
    <w:p w14:paraId="3A966570" w14:textId="77777777" w:rsidR="005758B6" w:rsidRPr="00DB0C40" w:rsidRDefault="005758B6" w:rsidP="005758B6">
      <w:pPr>
        <w:jc w:val="both"/>
        <w:rPr>
          <w:rFonts w:asciiTheme="minorHAnsi" w:hAnsiTheme="minorHAnsi" w:cstheme="minorHAnsi"/>
          <w:sz w:val="22"/>
          <w:szCs w:val="22"/>
        </w:rPr>
      </w:pPr>
      <w:r w:rsidRPr="00DB0C40">
        <w:rPr>
          <w:rFonts w:asciiTheme="minorHAnsi" w:hAnsiTheme="minorHAnsi" w:cstheme="minorHAnsi"/>
          <w:sz w:val="22"/>
          <w:szCs w:val="22"/>
        </w:rPr>
        <w:t xml:space="preserve">Closing the gender pay gap has important economic and social benefits, including “increased female participation in the labour market, entrepreneurship and women moving into higher- paid and higher-skilled jobs.” </w:t>
      </w:r>
      <w:r w:rsidRPr="00DB0C40">
        <w:rPr>
          <w:rFonts w:asciiTheme="minorHAnsi" w:hAnsiTheme="minorHAnsi" w:cstheme="minorHAnsi"/>
          <w:position w:val="6"/>
          <w:sz w:val="22"/>
          <w:szCs w:val="22"/>
        </w:rPr>
        <w:footnoteReference w:id="6"/>
      </w:r>
      <w:r w:rsidRPr="00DB0C40">
        <w:rPr>
          <w:rFonts w:asciiTheme="minorHAnsi" w:hAnsiTheme="minorHAnsi" w:cstheme="minorHAnsi"/>
          <w:sz w:val="22"/>
          <w:szCs w:val="22"/>
        </w:rPr>
        <w:t xml:space="preserve"> Equal pay for work of equal value also has positive inter- generational effects, given the importance of women’s incomes in supporting households’ wellbeing. </w:t>
      </w:r>
    </w:p>
    <w:p w14:paraId="36BE3ACD" w14:textId="77777777" w:rsidR="005758B6" w:rsidRPr="00DB0C40" w:rsidRDefault="005758B6" w:rsidP="005758B6">
      <w:pPr>
        <w:jc w:val="both"/>
        <w:rPr>
          <w:rFonts w:asciiTheme="minorHAnsi" w:hAnsiTheme="minorHAnsi" w:cstheme="minorHAnsi"/>
          <w:sz w:val="22"/>
          <w:szCs w:val="22"/>
        </w:rPr>
      </w:pPr>
    </w:p>
    <w:p w14:paraId="365C3125" w14:textId="2A524FC8" w:rsidR="005758B6" w:rsidRPr="00DB0C40" w:rsidRDefault="00E6222D" w:rsidP="00E6222D">
      <w:pPr>
        <w:keepNext/>
        <w:keepLines/>
        <w:spacing w:before="40"/>
        <w:outlineLvl w:val="2"/>
        <w:rPr>
          <w:rFonts w:asciiTheme="majorHAnsi" w:eastAsiaTheme="majorEastAsia" w:hAnsiTheme="majorHAnsi" w:cstheme="majorBidi"/>
          <w:color w:val="1F3763" w:themeColor="accent1" w:themeShade="7F"/>
        </w:rPr>
      </w:pPr>
      <w:bookmarkStart w:id="26" w:name="_Toc92359062"/>
      <w:r w:rsidRPr="00DB0C40">
        <w:rPr>
          <w:rFonts w:asciiTheme="majorHAnsi" w:eastAsiaTheme="majorEastAsia" w:hAnsiTheme="majorHAnsi" w:cstheme="majorBidi"/>
          <w:color w:val="1F3763" w:themeColor="accent1" w:themeShade="7F"/>
        </w:rPr>
        <w:t>3.</w:t>
      </w:r>
      <w:r w:rsidR="00BD23D7" w:rsidRPr="00DB0C40">
        <w:rPr>
          <w:rFonts w:asciiTheme="majorHAnsi" w:eastAsiaTheme="majorEastAsia" w:hAnsiTheme="majorHAnsi" w:cstheme="majorBidi"/>
          <w:color w:val="1F3763" w:themeColor="accent1" w:themeShade="7F"/>
        </w:rPr>
        <w:t>4</w:t>
      </w:r>
      <w:r w:rsidR="005758B6" w:rsidRPr="00DB0C40">
        <w:rPr>
          <w:rFonts w:asciiTheme="majorHAnsi" w:eastAsiaTheme="majorEastAsia" w:hAnsiTheme="majorHAnsi" w:cstheme="majorBidi"/>
          <w:color w:val="1F3763" w:themeColor="accent1" w:themeShade="7F"/>
        </w:rPr>
        <w:t>.1.1. International Labour Standards and other key instruments</w:t>
      </w:r>
      <w:bookmarkEnd w:id="26"/>
    </w:p>
    <w:p w14:paraId="09D62DDD" w14:textId="77777777" w:rsidR="005758B6" w:rsidRPr="00DB0C40" w:rsidRDefault="005758B6" w:rsidP="005758B6">
      <w:pPr>
        <w:rPr>
          <w:rFonts w:asciiTheme="minorHAnsi" w:eastAsiaTheme="minorHAnsi" w:hAnsiTheme="minorHAnsi" w:cstheme="minorHAnsi"/>
          <w:b/>
          <w:bCs/>
          <w:sz w:val="22"/>
          <w:szCs w:val="22"/>
        </w:rPr>
      </w:pPr>
    </w:p>
    <w:p w14:paraId="78AA2D75" w14:textId="08C2A645" w:rsidR="005758B6" w:rsidRPr="00DB0C40" w:rsidRDefault="00E6222D" w:rsidP="005758B6">
      <w:pPr>
        <w:jc w:val="both"/>
        <w:rPr>
          <w:rFonts w:asciiTheme="minorHAnsi" w:eastAsiaTheme="minorHAnsi" w:hAnsiTheme="minorHAnsi" w:cstheme="minorHAnsi"/>
          <w:sz w:val="22"/>
          <w:szCs w:val="22"/>
        </w:rPr>
      </w:pPr>
      <w:r w:rsidRPr="00CD2A61">
        <w:rPr>
          <w:rFonts w:asciiTheme="majorHAnsi" w:eastAsiaTheme="majorEastAsia" w:hAnsiTheme="majorHAnsi" w:cstheme="majorBidi"/>
          <w:color w:val="1F3763" w:themeColor="accent1" w:themeShade="7F"/>
        </w:rPr>
        <w:t>3.</w:t>
      </w:r>
      <w:r w:rsidR="00BD23D7" w:rsidRPr="00CD2A61">
        <w:rPr>
          <w:rFonts w:asciiTheme="majorHAnsi" w:eastAsiaTheme="majorEastAsia" w:hAnsiTheme="majorHAnsi" w:cstheme="majorBidi"/>
          <w:color w:val="1F3763" w:themeColor="accent1" w:themeShade="7F"/>
        </w:rPr>
        <w:t>4</w:t>
      </w:r>
      <w:r w:rsidR="005758B6" w:rsidRPr="00CD2A61">
        <w:rPr>
          <w:rFonts w:asciiTheme="majorHAnsi" w:eastAsiaTheme="majorEastAsia" w:hAnsiTheme="majorHAnsi" w:cstheme="majorBidi"/>
          <w:color w:val="1F3763" w:themeColor="accent1" w:themeShade="7F"/>
        </w:rPr>
        <w:t>.1.1.1.</w:t>
      </w:r>
      <w:r w:rsidR="00C14533">
        <w:rPr>
          <w:rFonts w:asciiTheme="majorHAnsi" w:eastAsiaTheme="majorEastAsia" w:hAnsiTheme="majorHAnsi" w:cstheme="majorBidi"/>
          <w:color w:val="1F3763" w:themeColor="accent1" w:themeShade="7F"/>
        </w:rPr>
        <w:t xml:space="preserve"> </w:t>
      </w:r>
      <w:r w:rsidR="005758B6" w:rsidRPr="00DB0C40">
        <w:rPr>
          <w:rFonts w:asciiTheme="minorHAnsi" w:eastAsiaTheme="minorHAnsi" w:hAnsiTheme="minorHAnsi" w:cstheme="minorHAnsi"/>
          <w:sz w:val="22"/>
          <w:szCs w:val="22"/>
        </w:rPr>
        <w:t xml:space="preserve">ILO Equal Remuneration Convention, 1951 (No. 100). The right to equal remuneration applies not only in cases where people do the same or similar jobs, but also when they perform work which, though different, is of equal value based on objective criteria, such as skills, working conditions, </w:t>
      </w:r>
      <w:r w:rsidR="005758B6" w:rsidRPr="00DB0C40">
        <w:rPr>
          <w:rFonts w:asciiTheme="minorHAnsi" w:eastAsiaTheme="minorHAnsi" w:hAnsiTheme="minorHAnsi" w:cstheme="minorHAnsi"/>
          <w:sz w:val="22"/>
          <w:szCs w:val="22"/>
        </w:rPr>
        <w:lastRenderedPageBreak/>
        <w:t>responsibilities, and effort. As per the Convention, remuneration is not limited to the basic pay or wage that the worker receives, but also includes any other compensation, such as bonuses, stock options and overtime pay.</w:t>
      </w:r>
    </w:p>
    <w:p w14:paraId="339EC7DB" w14:textId="77777777" w:rsidR="005758B6" w:rsidRPr="00DB0C40" w:rsidRDefault="005758B6" w:rsidP="005758B6">
      <w:pPr>
        <w:jc w:val="both"/>
        <w:rPr>
          <w:rFonts w:asciiTheme="minorHAnsi" w:eastAsiaTheme="minorHAnsi" w:hAnsiTheme="minorHAnsi" w:cstheme="minorHAnsi"/>
          <w:sz w:val="22"/>
          <w:szCs w:val="22"/>
        </w:rPr>
      </w:pPr>
    </w:p>
    <w:p w14:paraId="6D65FB31" w14:textId="3CAB9F31" w:rsidR="005758B6" w:rsidRPr="00DB0C40" w:rsidRDefault="00E6222D" w:rsidP="005758B6">
      <w:pPr>
        <w:jc w:val="both"/>
        <w:rPr>
          <w:rFonts w:asciiTheme="minorHAnsi" w:eastAsiaTheme="minorHAnsi" w:hAnsiTheme="minorHAnsi" w:cstheme="minorHAnsi"/>
          <w:sz w:val="22"/>
          <w:szCs w:val="22"/>
        </w:rPr>
      </w:pPr>
      <w:r w:rsidRPr="00CD2A61">
        <w:rPr>
          <w:rFonts w:asciiTheme="majorHAnsi" w:eastAsiaTheme="majorEastAsia" w:hAnsiTheme="majorHAnsi" w:cstheme="majorBidi"/>
          <w:color w:val="1F3763" w:themeColor="accent1" w:themeShade="7F"/>
        </w:rPr>
        <w:t>3.</w:t>
      </w:r>
      <w:r w:rsidR="00BD23D7" w:rsidRPr="00CD2A61">
        <w:rPr>
          <w:rFonts w:asciiTheme="majorHAnsi" w:eastAsiaTheme="majorEastAsia" w:hAnsiTheme="majorHAnsi" w:cstheme="majorBidi"/>
          <w:color w:val="1F3763" w:themeColor="accent1" w:themeShade="7F"/>
        </w:rPr>
        <w:t>4</w:t>
      </w:r>
      <w:r w:rsidR="005758B6" w:rsidRPr="00CD2A61">
        <w:rPr>
          <w:rFonts w:asciiTheme="majorHAnsi" w:eastAsiaTheme="majorEastAsia" w:hAnsiTheme="majorHAnsi" w:cstheme="majorBidi"/>
          <w:color w:val="1F3763" w:themeColor="accent1" w:themeShade="7F"/>
        </w:rPr>
        <w:t>.1.1.2.</w:t>
      </w:r>
      <w:r w:rsidR="005758B6" w:rsidRPr="00DB0C40">
        <w:rPr>
          <w:rFonts w:asciiTheme="minorHAnsi" w:eastAsiaTheme="minorHAnsi" w:hAnsiTheme="minorHAnsi" w:cstheme="minorHAnsi"/>
          <w:sz w:val="22"/>
          <w:szCs w:val="22"/>
        </w:rPr>
        <w:t xml:space="preserve"> The Discrimination (Employment and Occupation) Convention, 1958 (No. 111) and its accompanying Recommendation No. 111, also set forth principles of equality of opportunity and treatment in the world of work, including in relation to remuneration for work of equal value.</w:t>
      </w:r>
    </w:p>
    <w:p w14:paraId="7C627072" w14:textId="77777777" w:rsidR="005758B6" w:rsidRPr="00DB0C40" w:rsidRDefault="005758B6" w:rsidP="005758B6">
      <w:pPr>
        <w:jc w:val="both"/>
        <w:rPr>
          <w:rFonts w:asciiTheme="minorHAnsi" w:eastAsiaTheme="minorHAnsi" w:hAnsiTheme="minorHAnsi" w:cstheme="minorHAnsi"/>
          <w:sz w:val="22"/>
          <w:szCs w:val="22"/>
        </w:rPr>
      </w:pPr>
    </w:p>
    <w:p w14:paraId="6780CA1C" w14:textId="67BED670" w:rsidR="005758B6" w:rsidRPr="00DB0C40" w:rsidRDefault="00E6222D" w:rsidP="005758B6">
      <w:pPr>
        <w:jc w:val="both"/>
        <w:rPr>
          <w:rFonts w:asciiTheme="minorHAnsi" w:eastAsiaTheme="minorHAnsi" w:hAnsiTheme="minorHAnsi" w:cstheme="minorHAnsi"/>
          <w:sz w:val="22"/>
          <w:szCs w:val="22"/>
        </w:rPr>
      </w:pPr>
      <w:r w:rsidRPr="00CD2A61">
        <w:rPr>
          <w:rFonts w:asciiTheme="majorHAnsi" w:eastAsiaTheme="majorEastAsia" w:hAnsiTheme="majorHAnsi" w:cstheme="majorBidi"/>
          <w:color w:val="1F3763" w:themeColor="accent1" w:themeShade="7F"/>
        </w:rPr>
        <w:t>3.</w:t>
      </w:r>
      <w:r w:rsidR="00BD23D7" w:rsidRPr="00CD2A61">
        <w:rPr>
          <w:rFonts w:asciiTheme="majorHAnsi" w:eastAsiaTheme="majorEastAsia" w:hAnsiTheme="majorHAnsi" w:cstheme="majorBidi"/>
          <w:color w:val="1F3763" w:themeColor="accent1" w:themeShade="7F"/>
        </w:rPr>
        <w:t>4</w:t>
      </w:r>
      <w:r w:rsidR="005758B6" w:rsidRPr="00CD2A61">
        <w:rPr>
          <w:rFonts w:asciiTheme="majorHAnsi" w:eastAsiaTheme="majorEastAsia" w:hAnsiTheme="majorHAnsi" w:cstheme="majorBidi"/>
          <w:color w:val="1F3763" w:themeColor="accent1" w:themeShade="7F"/>
        </w:rPr>
        <w:t>.1.1.3.</w:t>
      </w:r>
      <w:r w:rsidR="005758B6" w:rsidRPr="00DB0C40">
        <w:rPr>
          <w:rFonts w:asciiTheme="minorHAnsi" w:eastAsiaTheme="minorHAnsi" w:hAnsiTheme="minorHAnsi" w:cstheme="minorHAnsi"/>
          <w:sz w:val="22"/>
          <w:szCs w:val="22"/>
        </w:rPr>
        <w:t xml:space="preserve"> Equal pay is recognized as a human right in such international instruments as the International Covenant on Economic, Social and Cultural Rights (ICESCR), 1966, and the CEDAW, 1979. Equal pay is also a key component of the 2030 Agenda as a key feature of SDG 8, particularly Target 8.5, which aims “by 2030, [to] achieve full and productive employment and decent work for all women and men, including for young people and persons with disabilities, and equal pay for work of equal value”.</w:t>
      </w:r>
    </w:p>
    <w:p w14:paraId="52D68863" w14:textId="77777777" w:rsidR="005758B6" w:rsidRPr="00DB0C40" w:rsidRDefault="005758B6" w:rsidP="005758B6">
      <w:pPr>
        <w:jc w:val="both"/>
        <w:rPr>
          <w:rFonts w:asciiTheme="minorHAnsi" w:eastAsiaTheme="minorHAnsi" w:hAnsiTheme="minorHAnsi" w:cstheme="minorHAnsi"/>
          <w:sz w:val="22"/>
          <w:szCs w:val="22"/>
        </w:rPr>
      </w:pPr>
    </w:p>
    <w:p w14:paraId="0B3B0D3E" w14:textId="452E3860" w:rsidR="005758B6" w:rsidRPr="00DB0C40" w:rsidRDefault="00E6222D" w:rsidP="005758B6">
      <w:pPr>
        <w:jc w:val="both"/>
        <w:rPr>
          <w:rFonts w:asciiTheme="minorHAnsi" w:eastAsiaTheme="minorHAnsi" w:hAnsiTheme="minorHAnsi" w:cstheme="minorHAnsi"/>
          <w:sz w:val="22"/>
          <w:szCs w:val="22"/>
        </w:rPr>
      </w:pPr>
      <w:r w:rsidRPr="00CD2A61">
        <w:rPr>
          <w:rFonts w:asciiTheme="majorHAnsi" w:eastAsiaTheme="majorEastAsia" w:hAnsiTheme="majorHAnsi" w:cstheme="majorBidi"/>
          <w:color w:val="1F3763" w:themeColor="accent1" w:themeShade="7F"/>
        </w:rPr>
        <w:t>3.</w:t>
      </w:r>
      <w:r w:rsidR="00BD23D7" w:rsidRPr="00CD2A61">
        <w:rPr>
          <w:rFonts w:asciiTheme="majorHAnsi" w:eastAsiaTheme="majorEastAsia" w:hAnsiTheme="majorHAnsi" w:cstheme="majorBidi"/>
          <w:color w:val="1F3763" w:themeColor="accent1" w:themeShade="7F"/>
        </w:rPr>
        <w:t>4</w:t>
      </w:r>
      <w:r w:rsidR="005758B6" w:rsidRPr="00CD2A61">
        <w:rPr>
          <w:rFonts w:asciiTheme="majorHAnsi" w:eastAsiaTheme="majorEastAsia" w:hAnsiTheme="majorHAnsi" w:cstheme="majorBidi"/>
          <w:color w:val="1F3763" w:themeColor="accent1" w:themeShade="7F"/>
        </w:rPr>
        <w:t>.1.1.4.</w:t>
      </w:r>
      <w:r w:rsidR="005758B6" w:rsidRPr="00DB0C40">
        <w:rPr>
          <w:rFonts w:asciiTheme="minorHAnsi" w:eastAsiaTheme="minorHAnsi" w:hAnsiTheme="minorHAnsi" w:cstheme="minorHAnsi"/>
          <w:sz w:val="22"/>
          <w:szCs w:val="22"/>
        </w:rPr>
        <w:t xml:space="preserve"> The principle of equal pay for the same work or work of equal value is a foundational principle of the EU and was laid down in the original EEC Treaty of 1957. The principle was implemented in the Equal Pay Directive 75/117/EEC, later replaced by Directive 2006/54/EC (recast). Additionally, legal standards in respect of equal pay have been established by case law of the Court of Justice of the European Union (CJEU).</w:t>
      </w:r>
    </w:p>
    <w:p w14:paraId="7377BDBD" w14:textId="77777777" w:rsidR="005758B6" w:rsidRPr="00DB0C40" w:rsidRDefault="005758B6" w:rsidP="005758B6">
      <w:pPr>
        <w:rPr>
          <w:rFonts w:asciiTheme="minorHAnsi" w:hAnsiTheme="minorHAnsi" w:cstheme="minorHAnsi"/>
          <w:sz w:val="22"/>
          <w:szCs w:val="22"/>
        </w:rPr>
      </w:pPr>
    </w:p>
    <w:p w14:paraId="53B70108" w14:textId="77777777" w:rsidR="005758B6" w:rsidRPr="00DB0C40" w:rsidRDefault="005758B6" w:rsidP="005758B6">
      <w:pPr>
        <w:rPr>
          <w:rFonts w:asciiTheme="minorHAnsi" w:hAnsiTheme="minorHAnsi" w:cstheme="minorHAnsi"/>
          <w:sz w:val="22"/>
          <w:szCs w:val="22"/>
        </w:rPr>
      </w:pPr>
      <w:r w:rsidRPr="00DB0C40">
        <w:rPr>
          <w:rFonts w:asciiTheme="minorHAnsi" w:hAnsiTheme="minorHAnsi" w:cstheme="minorHAnsi"/>
          <w:sz w:val="22"/>
          <w:szCs w:val="22"/>
        </w:rPr>
        <w:t xml:space="preserve">According to ILO, the main guiding principles for governments in this issue are: </w:t>
      </w:r>
    </w:p>
    <w:p w14:paraId="2EAF7609" w14:textId="77777777" w:rsidR="005758B6" w:rsidRPr="00DB0C40" w:rsidRDefault="005758B6">
      <w:pPr>
        <w:numPr>
          <w:ilvl w:val="0"/>
          <w:numId w:val="18"/>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a comprehensive and effective legislative approach, by fostering an inclusive and transparent labour market and creating “a driving force for gender equality standards”</w:t>
      </w:r>
    </w:p>
    <w:p w14:paraId="1C5000DA" w14:textId="77777777" w:rsidR="005758B6" w:rsidRPr="00DB0C40" w:rsidRDefault="005758B6">
      <w:pPr>
        <w:numPr>
          <w:ilvl w:val="0"/>
          <w:numId w:val="18"/>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ensuring equal opportunity and treatment at work for all</w:t>
      </w:r>
    </w:p>
    <w:p w14:paraId="443D6CE8" w14:textId="77777777" w:rsidR="005758B6" w:rsidRPr="00DB0C40" w:rsidRDefault="005758B6">
      <w:pPr>
        <w:numPr>
          <w:ilvl w:val="0"/>
          <w:numId w:val="18"/>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establishing and applying the right to “equal pay for work of equal value”</w:t>
      </w:r>
    </w:p>
    <w:p w14:paraId="0387E597" w14:textId="77777777" w:rsidR="005758B6" w:rsidRPr="00DB0C40" w:rsidRDefault="005758B6">
      <w:pPr>
        <w:numPr>
          <w:ilvl w:val="0"/>
          <w:numId w:val="18"/>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promoting social dialogue and collective bargaining</w:t>
      </w:r>
    </w:p>
    <w:p w14:paraId="0F7F7526" w14:textId="77777777" w:rsidR="005758B6" w:rsidRPr="00DB0C40" w:rsidRDefault="005758B6">
      <w:pPr>
        <w:numPr>
          <w:ilvl w:val="0"/>
          <w:numId w:val="18"/>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establishing and implementing wage transparency</w:t>
      </w:r>
    </w:p>
    <w:p w14:paraId="27BDFB7D" w14:textId="77777777" w:rsidR="005758B6" w:rsidRPr="00DB0C40" w:rsidRDefault="005758B6">
      <w:pPr>
        <w:numPr>
          <w:ilvl w:val="0"/>
          <w:numId w:val="18"/>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setting adequate and inclusive minimum wages.</w:t>
      </w:r>
    </w:p>
    <w:p w14:paraId="3E65A53B" w14:textId="77777777" w:rsidR="005758B6" w:rsidRPr="00DB0C40" w:rsidRDefault="005758B6" w:rsidP="005758B6">
      <w:pPr>
        <w:rPr>
          <w:rFonts w:asciiTheme="minorHAnsi" w:hAnsiTheme="minorHAnsi" w:cstheme="minorHAnsi"/>
          <w:sz w:val="22"/>
          <w:szCs w:val="22"/>
        </w:rPr>
      </w:pPr>
    </w:p>
    <w:p w14:paraId="5C809276" w14:textId="77777777" w:rsidR="005758B6" w:rsidRPr="00DB0C40" w:rsidRDefault="005758B6" w:rsidP="005758B6">
      <w:pPr>
        <w:rPr>
          <w:rFonts w:asciiTheme="minorHAnsi" w:hAnsiTheme="minorHAnsi" w:cstheme="minorHAnsi"/>
          <w:sz w:val="22"/>
          <w:szCs w:val="22"/>
        </w:rPr>
      </w:pPr>
    </w:p>
    <w:p w14:paraId="0F3B2A57" w14:textId="30C5903C" w:rsidR="005758B6" w:rsidRDefault="00E6222D" w:rsidP="005758B6">
      <w:pPr>
        <w:keepNext/>
        <w:keepLines/>
        <w:spacing w:before="40"/>
        <w:outlineLvl w:val="2"/>
        <w:rPr>
          <w:rFonts w:asciiTheme="majorHAnsi" w:eastAsiaTheme="majorEastAsia" w:hAnsiTheme="majorHAnsi" w:cstheme="majorBidi"/>
          <w:color w:val="1F3763" w:themeColor="accent1" w:themeShade="7F"/>
        </w:rPr>
      </w:pPr>
      <w:bookmarkStart w:id="27" w:name="_Hlk104987086"/>
      <w:bookmarkStart w:id="28" w:name="_Hlk82616905"/>
      <w:bookmarkStart w:id="29" w:name="_Toc92359063"/>
      <w:r w:rsidRPr="00DB0C40">
        <w:rPr>
          <w:rFonts w:asciiTheme="majorHAnsi" w:eastAsiaTheme="majorEastAsia" w:hAnsiTheme="majorHAnsi" w:cstheme="majorBidi"/>
          <w:color w:val="1F3763" w:themeColor="accent1" w:themeShade="7F"/>
        </w:rPr>
        <w:t>3.</w:t>
      </w:r>
      <w:r w:rsidR="00BD23D7" w:rsidRPr="00DB0C40">
        <w:rPr>
          <w:rFonts w:asciiTheme="majorHAnsi" w:eastAsiaTheme="majorEastAsia" w:hAnsiTheme="majorHAnsi" w:cstheme="majorBidi"/>
          <w:color w:val="1F3763" w:themeColor="accent1" w:themeShade="7F"/>
        </w:rPr>
        <w:t>4</w:t>
      </w:r>
      <w:r w:rsidR="005758B6" w:rsidRPr="00DB0C40">
        <w:rPr>
          <w:rFonts w:asciiTheme="majorHAnsi" w:eastAsiaTheme="majorEastAsia" w:hAnsiTheme="majorHAnsi" w:cstheme="majorBidi"/>
          <w:color w:val="1F3763" w:themeColor="accent1" w:themeShade="7F"/>
        </w:rPr>
        <w:t xml:space="preserve">.1.2. </w:t>
      </w:r>
      <w:bookmarkEnd w:id="27"/>
      <w:r w:rsidR="005758B6" w:rsidRPr="00DB0C40">
        <w:rPr>
          <w:rFonts w:asciiTheme="majorHAnsi" w:eastAsiaTheme="majorEastAsia" w:hAnsiTheme="majorHAnsi" w:cstheme="majorBidi"/>
          <w:color w:val="1F3763" w:themeColor="accent1" w:themeShade="7F"/>
        </w:rPr>
        <w:t>Some examples of national legal framework in European countries</w:t>
      </w:r>
      <w:bookmarkEnd w:id="28"/>
      <w:r w:rsidR="005758B6" w:rsidRPr="00AE67F2">
        <w:rPr>
          <w:rFonts w:asciiTheme="minorHAnsi" w:eastAsiaTheme="majorEastAsia" w:hAnsiTheme="minorHAnsi" w:cstheme="minorHAnsi"/>
          <w:b/>
          <w:bCs/>
          <w:color w:val="1F3763" w:themeColor="accent1" w:themeShade="7F"/>
          <w:position w:val="6"/>
          <w:sz w:val="16"/>
          <w:szCs w:val="16"/>
        </w:rPr>
        <w:footnoteReference w:id="7"/>
      </w:r>
      <w:r w:rsidR="005758B6" w:rsidRPr="00AE67F2">
        <w:rPr>
          <w:rFonts w:asciiTheme="majorHAnsi" w:eastAsiaTheme="majorEastAsia" w:hAnsiTheme="majorHAnsi" w:cstheme="majorBidi"/>
          <w:color w:val="1F3763" w:themeColor="accent1" w:themeShade="7F"/>
          <w:sz w:val="16"/>
          <w:szCs w:val="16"/>
        </w:rPr>
        <w:t xml:space="preserve"> </w:t>
      </w:r>
      <w:r w:rsidR="005758B6" w:rsidRPr="00DB0C40">
        <w:rPr>
          <w:rFonts w:asciiTheme="majorHAnsi" w:eastAsiaTheme="majorEastAsia" w:hAnsiTheme="majorHAnsi" w:cstheme="majorBidi"/>
          <w:color w:val="1F3763" w:themeColor="accent1" w:themeShade="7F"/>
        </w:rPr>
        <w:t>(France and Spain)</w:t>
      </w:r>
      <w:bookmarkEnd w:id="29"/>
    </w:p>
    <w:p w14:paraId="263B258A" w14:textId="77777777" w:rsidR="00A45334" w:rsidRPr="00DB0C40" w:rsidRDefault="00A45334" w:rsidP="005758B6">
      <w:pPr>
        <w:keepNext/>
        <w:keepLines/>
        <w:spacing w:before="40"/>
        <w:outlineLvl w:val="2"/>
        <w:rPr>
          <w:rFonts w:asciiTheme="majorHAnsi" w:eastAsiaTheme="majorEastAsia" w:hAnsiTheme="majorHAnsi" w:cstheme="majorBidi"/>
          <w:color w:val="1F3763" w:themeColor="accent1" w:themeShade="7F"/>
        </w:rPr>
      </w:pPr>
    </w:p>
    <w:p w14:paraId="6BD40C91" w14:textId="77777777" w:rsidR="005758B6" w:rsidRPr="00DB0C40" w:rsidRDefault="005758B6" w:rsidP="005758B6">
      <w:pPr>
        <w:rPr>
          <w:rFonts w:asciiTheme="minorHAnsi" w:eastAsiaTheme="minorHAnsi" w:hAnsiTheme="minorHAnsi" w:cstheme="minorHAnsi"/>
          <w:sz w:val="22"/>
          <w:szCs w:val="22"/>
        </w:rPr>
      </w:pPr>
    </w:p>
    <w:p w14:paraId="40F30306"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b/>
          <w:bCs/>
          <w:sz w:val="22"/>
          <w:szCs w:val="22"/>
        </w:rPr>
      </w:pPr>
      <w:r w:rsidRPr="00DB0C40">
        <w:rPr>
          <w:rFonts w:asciiTheme="minorHAnsi" w:eastAsiaTheme="minorHAnsi" w:hAnsiTheme="minorHAnsi" w:cstheme="minorHAnsi"/>
          <w:b/>
          <w:bCs/>
          <w:sz w:val="22"/>
          <w:szCs w:val="22"/>
        </w:rPr>
        <w:t>Pay transparency and collective bargaining on equal-pay laws (France)</w:t>
      </w:r>
      <w:r w:rsidRPr="00DB0C40">
        <w:rPr>
          <w:rFonts w:asciiTheme="minorHAnsi" w:eastAsiaTheme="minorHAnsi" w:hAnsiTheme="minorHAnsi" w:cstheme="minorHAnsi"/>
          <w:b/>
          <w:bCs/>
          <w:sz w:val="22"/>
          <w:szCs w:val="22"/>
        </w:rPr>
        <w:tab/>
      </w:r>
    </w:p>
    <w:p w14:paraId="45C7C9D5"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French law requires companies with fifty employees or more to report annually on their performance in respect of gender equality and equal pay, as applied to recruitment, training, working conditions, and work–family balance, by job category. In 2018, France adopted a new labour law requiring companies to publicize their progress on women’s economic empowerment in five key areas: closing the gender wage gap; opportunities for raises; opportunities for promotion; no penalties when returning from parental leave; and women occupying 40 per cent of the ten highest-paid positions in the company. The French Government set deadlines for the publication of these results by large enterprises (more than 250 employees) and by SMEs (50-250 employees). Financial penalties (up to 1 per cent of the wage bill) can be imposed if a company refuses to report its score or if a company’s score is still below 75 out of 100 by March 2022 (or 2023 for SMEs).</w:t>
      </w:r>
    </w:p>
    <w:p w14:paraId="1C96C341"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p>
    <w:p w14:paraId="5ECD440B"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Additionally, in 2006 France passed legislation, amended in 2010, that requires collective bargaining with the aim of defining and planning steps to eliminate the gender pay gap. This compulsory collective bargaining takes place every year during salary negotiations, or less often if an agreement is in place, and the employer must provide a report on gender equality for consideration. While a collective agreement on the issue does not have to be reached, the negotiations must be conducted seriously and in good faith. Failure to do so can result in sanctions imposed by the Higher Council for Professional Equality.</w:t>
      </w:r>
    </w:p>
    <w:p w14:paraId="03B83304"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p>
    <w:p w14:paraId="4C89CBD6"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An analysis by the European Commission’s network of legal experts on gender equality and pay transparency legislation in the EU highlighted France’s pay reporting and pay equity collective bargaining obligations as an example of “best practice.”</w:t>
      </w:r>
    </w:p>
    <w:p w14:paraId="5D5DB119" w14:textId="77777777" w:rsidR="005758B6" w:rsidRPr="00DB0C40" w:rsidRDefault="005758B6" w:rsidP="005758B6">
      <w:pPr>
        <w:rPr>
          <w:rFonts w:asciiTheme="minorHAnsi" w:eastAsiaTheme="minorHAnsi" w:hAnsiTheme="minorHAnsi" w:cstheme="minorHAnsi"/>
          <w:sz w:val="22"/>
          <w:szCs w:val="22"/>
        </w:rPr>
      </w:pPr>
    </w:p>
    <w:p w14:paraId="6E5FFC8C" w14:textId="77777777" w:rsidR="005758B6" w:rsidRPr="00DB0C40" w:rsidRDefault="005758B6" w:rsidP="005758B6">
      <w:pPr>
        <w:rPr>
          <w:rFonts w:asciiTheme="minorHAnsi" w:eastAsiaTheme="minorHAnsi" w:hAnsiTheme="minorHAnsi" w:cstheme="minorHAnsi"/>
          <w:sz w:val="22"/>
          <w:szCs w:val="22"/>
        </w:rPr>
      </w:pPr>
    </w:p>
    <w:p w14:paraId="73687959" w14:textId="77777777" w:rsidR="005758B6" w:rsidRPr="00DB0C40" w:rsidRDefault="005758B6" w:rsidP="005758B6">
      <w:pPr>
        <w:rPr>
          <w:rFonts w:asciiTheme="minorHAnsi" w:eastAsiaTheme="minorHAnsi" w:hAnsiTheme="minorHAnsi" w:cstheme="minorHAnsi"/>
          <w:sz w:val="22"/>
          <w:szCs w:val="22"/>
        </w:rPr>
      </w:pPr>
    </w:p>
    <w:p w14:paraId="0A043A28" w14:textId="77777777" w:rsidR="005758B6" w:rsidRPr="00DB0C40" w:rsidRDefault="005758B6" w:rsidP="005758B6">
      <w:pPr>
        <w:pBdr>
          <w:top w:val="single" w:sz="4" w:space="1" w:color="auto"/>
          <w:left w:val="single" w:sz="4" w:space="4" w:color="auto"/>
          <w:bottom w:val="single" w:sz="4" w:space="1" w:color="auto"/>
          <w:right w:val="single" w:sz="4" w:space="4" w:color="auto"/>
        </w:pBdr>
        <w:rPr>
          <w:rFonts w:asciiTheme="minorHAnsi" w:eastAsiaTheme="minorHAnsi" w:hAnsiTheme="minorHAnsi" w:cstheme="minorHAnsi"/>
          <w:b/>
          <w:bCs/>
          <w:sz w:val="22"/>
          <w:szCs w:val="22"/>
        </w:rPr>
      </w:pPr>
      <w:r w:rsidRPr="00DB0C40">
        <w:rPr>
          <w:rFonts w:asciiTheme="minorHAnsi" w:eastAsiaTheme="minorHAnsi" w:hAnsiTheme="minorHAnsi" w:cstheme="minorHAnsi"/>
          <w:b/>
          <w:bCs/>
          <w:sz w:val="22"/>
          <w:szCs w:val="22"/>
        </w:rPr>
        <w:t>Improving pay transparency and working conditions (Spain)</w:t>
      </w:r>
      <w:r w:rsidRPr="00DB0C40">
        <w:rPr>
          <w:rFonts w:asciiTheme="minorHAnsi" w:eastAsiaTheme="minorHAnsi" w:hAnsiTheme="minorHAnsi" w:cstheme="minorHAnsi"/>
          <w:b/>
          <w:bCs/>
          <w:position w:val="6"/>
          <w:sz w:val="22"/>
          <w:szCs w:val="22"/>
        </w:rPr>
        <w:footnoteReference w:id="8"/>
      </w:r>
      <w:r w:rsidRPr="00DB0C40">
        <w:rPr>
          <w:rFonts w:asciiTheme="minorHAnsi" w:eastAsiaTheme="minorHAnsi" w:hAnsiTheme="minorHAnsi" w:cstheme="minorHAnsi"/>
          <w:b/>
          <w:bCs/>
          <w:sz w:val="22"/>
          <w:szCs w:val="22"/>
        </w:rPr>
        <w:tab/>
      </w:r>
    </w:p>
    <w:p w14:paraId="5F37B685" w14:textId="77777777" w:rsidR="005758B6" w:rsidRPr="00DB0C40" w:rsidRDefault="005758B6" w:rsidP="005758B6">
      <w:pPr>
        <w:pBdr>
          <w:top w:val="single" w:sz="4" w:space="1" w:color="auto"/>
          <w:left w:val="single" w:sz="4" w:space="4" w:color="auto"/>
          <w:bottom w:val="single" w:sz="4" w:space="1" w:color="auto"/>
          <w:right w:val="single" w:sz="4" w:space="4" w:color="auto"/>
        </w:pBdr>
        <w:rPr>
          <w:rFonts w:asciiTheme="minorHAnsi" w:eastAsiaTheme="minorHAnsi" w:hAnsiTheme="minorHAnsi" w:cstheme="minorHAnsi"/>
          <w:sz w:val="22"/>
          <w:szCs w:val="22"/>
        </w:rPr>
      </w:pPr>
    </w:p>
    <w:p w14:paraId="7761E9AD"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Spain revised its Workers Statute Law in 2011 to include domestic workers. This law regulates key aspects of decent work, such as establishing a minimum wage and maximum weekly working hours. Domestic workers, under the revised Spanish law, are also now eligible for social security coverage, health care benefits, parental leave, and contractual benefits.</w:t>
      </w:r>
    </w:p>
    <w:p w14:paraId="024E7821"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p>
    <w:p w14:paraId="17633B38"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To increase compliance, the Labour and Social Security Inspectorate enforces the law and investigates grievances. Employers receive a government incentive for complying with this labour legislation, while the General Treasury of the Social Security Scheme has been tasked with disseminating information concerning the law. The Law also calls for impact analyses on a tripartite basis.</w:t>
      </w:r>
    </w:p>
    <w:p w14:paraId="54E393C9"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p>
    <w:p w14:paraId="39A95897"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 addition, in October 2020 the Spanish Government enacted a new pay transparency law. It requires companies to release employee salary information, explaining how they decide on basic salaries and other benefits. Non-compliant companies may face fines of up to €187,000 (USD220,000). Companies with more than fifty employees will also have to file a four- year strategy for balancing the number of male and female employees in their workforce. For the Government, tackling the gender pay gap will be crucial to economic recovery and will help prevent the gap from widening because of the COVID-19 pandemic.</w:t>
      </w:r>
    </w:p>
    <w:p w14:paraId="30B87924" w14:textId="77777777" w:rsidR="005758B6" w:rsidRPr="00DB0C40" w:rsidRDefault="005758B6" w:rsidP="005758B6">
      <w:pPr>
        <w:rPr>
          <w:rFonts w:asciiTheme="minorHAnsi" w:eastAsiaTheme="minorHAnsi" w:hAnsiTheme="minorHAnsi" w:cstheme="minorHAnsi"/>
          <w:sz w:val="22"/>
          <w:szCs w:val="22"/>
        </w:rPr>
      </w:pPr>
    </w:p>
    <w:p w14:paraId="300C1D37" w14:textId="77777777" w:rsidR="005758B6" w:rsidRPr="00DB0C40" w:rsidRDefault="005758B6" w:rsidP="005758B6">
      <w:pPr>
        <w:rPr>
          <w:rFonts w:asciiTheme="minorHAnsi" w:eastAsiaTheme="minorHAnsi" w:hAnsiTheme="minorHAnsi" w:cstheme="minorHAnsi"/>
          <w:sz w:val="22"/>
          <w:szCs w:val="22"/>
        </w:rPr>
      </w:pPr>
    </w:p>
    <w:p w14:paraId="5BC9973A" w14:textId="7CB9BF00" w:rsidR="005758B6" w:rsidRPr="008C01B9" w:rsidRDefault="00E6222D" w:rsidP="005758B6">
      <w:pPr>
        <w:keepNext/>
        <w:keepLines/>
        <w:spacing w:before="40"/>
        <w:outlineLvl w:val="2"/>
        <w:rPr>
          <w:rFonts w:asciiTheme="majorHAnsi" w:eastAsiaTheme="majorEastAsia" w:hAnsiTheme="majorHAnsi" w:cstheme="majorBidi"/>
          <w:color w:val="4472C4" w:themeColor="accent1"/>
        </w:rPr>
      </w:pPr>
      <w:bookmarkStart w:id="31" w:name="_Toc92359064"/>
      <w:r w:rsidRPr="00DB0C40">
        <w:rPr>
          <w:rFonts w:asciiTheme="majorHAnsi" w:eastAsiaTheme="majorEastAsia" w:hAnsiTheme="majorHAnsi" w:cstheme="majorBidi"/>
          <w:color w:val="1F3763" w:themeColor="accent1" w:themeShade="7F"/>
        </w:rPr>
        <w:t>3.4.1.</w:t>
      </w:r>
      <w:r w:rsidR="005758B6" w:rsidRPr="00DB0C40">
        <w:rPr>
          <w:rFonts w:asciiTheme="majorHAnsi" w:eastAsiaTheme="majorEastAsia" w:hAnsiTheme="majorHAnsi" w:cstheme="majorBidi"/>
          <w:color w:val="1F3763" w:themeColor="accent1" w:themeShade="7F"/>
        </w:rPr>
        <w:t xml:space="preserve">3. Laws and </w:t>
      </w:r>
      <w:r w:rsidR="00AE67F2">
        <w:rPr>
          <w:rFonts w:asciiTheme="majorHAnsi" w:eastAsiaTheme="majorEastAsia" w:hAnsiTheme="majorHAnsi" w:cstheme="majorBidi"/>
          <w:color w:val="1F3763" w:themeColor="accent1" w:themeShade="7F"/>
        </w:rPr>
        <w:t>P</w:t>
      </w:r>
      <w:r w:rsidR="005758B6" w:rsidRPr="00DB0C40">
        <w:rPr>
          <w:rFonts w:asciiTheme="majorHAnsi" w:eastAsiaTheme="majorEastAsia" w:hAnsiTheme="majorHAnsi" w:cstheme="majorBidi"/>
          <w:color w:val="1F3763" w:themeColor="accent1" w:themeShade="7F"/>
        </w:rPr>
        <w:t>olicies during COVID</w:t>
      </w:r>
      <w:bookmarkEnd w:id="31"/>
      <w:r w:rsidR="006667C7">
        <w:rPr>
          <w:rFonts w:asciiTheme="majorHAnsi" w:eastAsiaTheme="majorEastAsia" w:hAnsiTheme="majorHAnsi" w:cstheme="majorBidi"/>
          <w:color w:val="1F3763" w:themeColor="accent1" w:themeShade="7F"/>
        </w:rPr>
        <w:t xml:space="preserve"> </w:t>
      </w:r>
      <w:r w:rsidR="006667C7" w:rsidRPr="00C14533">
        <w:rPr>
          <w:rFonts w:asciiTheme="majorHAnsi" w:eastAsiaTheme="majorEastAsia" w:hAnsiTheme="majorHAnsi" w:cstheme="majorBidi"/>
          <w:color w:val="1F3763" w:themeColor="accent1" w:themeShade="7F"/>
        </w:rPr>
        <w:t>related to equal pay</w:t>
      </w:r>
    </w:p>
    <w:p w14:paraId="661A38D6" w14:textId="77777777" w:rsidR="00AE67F2" w:rsidRPr="008C01B9" w:rsidRDefault="00AE67F2" w:rsidP="005758B6">
      <w:pPr>
        <w:jc w:val="both"/>
        <w:rPr>
          <w:rFonts w:asciiTheme="minorHAnsi" w:hAnsiTheme="minorHAnsi" w:cstheme="minorHAnsi"/>
          <w:color w:val="4472C4" w:themeColor="accent1"/>
          <w:sz w:val="22"/>
          <w:szCs w:val="22"/>
        </w:rPr>
      </w:pPr>
    </w:p>
    <w:p w14:paraId="5FBB7A83" w14:textId="432463EC" w:rsidR="005758B6" w:rsidRPr="00DB0C40" w:rsidRDefault="005758B6" w:rsidP="005758B6">
      <w:pPr>
        <w:jc w:val="both"/>
        <w:rPr>
          <w:rFonts w:asciiTheme="minorHAnsi" w:hAnsiTheme="minorHAnsi" w:cstheme="minorHAnsi"/>
          <w:sz w:val="22"/>
          <w:szCs w:val="22"/>
        </w:rPr>
      </w:pPr>
      <w:r w:rsidRPr="00DB0C40">
        <w:rPr>
          <w:rFonts w:asciiTheme="minorHAnsi" w:hAnsiTheme="minorHAnsi" w:cstheme="minorHAnsi"/>
          <w:sz w:val="22"/>
          <w:szCs w:val="22"/>
        </w:rPr>
        <w:t>The COVID-19 pandemic is worsening the social and economic situation of women, and threatening the recent progress made in reducing the gender pay gap in some countries. In 2021, 435 million women and girls around the world will be living in extreme poverty (on less than USD1.90 a day), including forty-seven million impoverished because of the COVID-19 pandemic.</w:t>
      </w:r>
      <w:r w:rsidRPr="00DB0C40">
        <w:rPr>
          <w:rFonts w:asciiTheme="minorHAnsi" w:hAnsiTheme="minorHAnsi" w:cstheme="minorHAnsi"/>
          <w:position w:val="6"/>
          <w:sz w:val="22"/>
          <w:szCs w:val="22"/>
        </w:rPr>
        <w:footnoteReference w:id="9"/>
      </w:r>
    </w:p>
    <w:p w14:paraId="3657E9C1" w14:textId="77777777" w:rsidR="005758B6" w:rsidRPr="00DB0C40" w:rsidRDefault="005758B6" w:rsidP="005758B6">
      <w:pPr>
        <w:jc w:val="both"/>
        <w:rPr>
          <w:rFonts w:asciiTheme="minorHAnsi" w:hAnsiTheme="minorHAnsi" w:cstheme="minorHAnsi"/>
          <w:sz w:val="22"/>
          <w:szCs w:val="22"/>
        </w:rPr>
      </w:pPr>
    </w:p>
    <w:p w14:paraId="65AF55BF" w14:textId="77777777" w:rsidR="005758B6" w:rsidRPr="00DB0C40" w:rsidRDefault="005758B6" w:rsidP="005758B6">
      <w:pPr>
        <w:rPr>
          <w:rFonts w:asciiTheme="minorHAnsi" w:hAnsiTheme="minorHAnsi" w:cstheme="minorHAnsi"/>
          <w:sz w:val="22"/>
          <w:szCs w:val="22"/>
        </w:rPr>
      </w:pPr>
      <w:r w:rsidRPr="00DB0C40">
        <w:rPr>
          <w:rFonts w:asciiTheme="minorHAnsi" w:hAnsiTheme="minorHAnsi" w:cstheme="minorHAnsi"/>
          <w:sz w:val="22"/>
          <w:szCs w:val="22"/>
        </w:rPr>
        <w:lastRenderedPageBreak/>
        <w:t>Governments are taking action to support workers and families during the pandemic, including some of these crisis-response measures to support women’s jobs and income:</w:t>
      </w:r>
    </w:p>
    <w:p w14:paraId="127968EA" w14:textId="77777777" w:rsidR="005758B6" w:rsidRPr="00DB0C40" w:rsidRDefault="005758B6" w:rsidP="005758B6">
      <w:pPr>
        <w:rPr>
          <w:rFonts w:asciiTheme="minorHAnsi" w:hAnsiTheme="minorHAnsi" w:cstheme="minorHAnsi"/>
          <w:sz w:val="22"/>
          <w:szCs w:val="22"/>
        </w:rPr>
      </w:pPr>
    </w:p>
    <w:p w14:paraId="56BA9B65"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hAnsiTheme="minorHAnsi" w:cstheme="minorHAnsi"/>
          <w:sz w:val="22"/>
          <w:szCs w:val="22"/>
        </w:rPr>
      </w:pPr>
      <w:r w:rsidRPr="00DB0C40">
        <w:rPr>
          <w:rFonts w:asciiTheme="minorHAnsi" w:hAnsiTheme="minorHAnsi" w:cstheme="minorHAnsi"/>
          <w:sz w:val="22"/>
          <w:szCs w:val="22"/>
        </w:rPr>
        <w:t>•</w:t>
      </w:r>
      <w:r w:rsidRPr="00DB0C40">
        <w:rPr>
          <w:rFonts w:asciiTheme="minorHAnsi" w:hAnsiTheme="minorHAnsi" w:cstheme="minorHAnsi"/>
          <w:sz w:val="22"/>
          <w:szCs w:val="22"/>
        </w:rPr>
        <w:tab/>
        <w:t>Austria, Belgium, Denmark, France, Germany, Ireland, Italy, Spain, the United Kingdom, and the United States (26 states) are among those that have introduced new allowances or expanded access to pre-existing schemes, to compensate for the reduction in working hours in companies affected by the pandemic.</w:t>
      </w:r>
    </w:p>
    <w:p w14:paraId="4FE848FB"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hAnsiTheme="minorHAnsi" w:cstheme="minorHAnsi"/>
          <w:sz w:val="22"/>
          <w:szCs w:val="22"/>
        </w:rPr>
      </w:pPr>
      <w:r w:rsidRPr="00DB0C40">
        <w:rPr>
          <w:rFonts w:asciiTheme="minorHAnsi" w:hAnsiTheme="minorHAnsi" w:cstheme="minorHAnsi"/>
          <w:sz w:val="22"/>
          <w:szCs w:val="22"/>
        </w:rPr>
        <w:t>•</w:t>
      </w:r>
      <w:r w:rsidRPr="00DB0C40">
        <w:rPr>
          <w:rFonts w:asciiTheme="minorHAnsi" w:hAnsiTheme="minorHAnsi" w:cstheme="minorHAnsi"/>
          <w:sz w:val="22"/>
          <w:szCs w:val="22"/>
        </w:rPr>
        <w:tab/>
        <w:t>In Australia, 6.5 million lower-income workers with benefit entitlements received a one-off lump-sum payment of AUD 750.66 Ireland made provisions for a new social welfare payment programme to support employees and self-employed people facing unemployment due to the COVID-19 emergency.</w:t>
      </w:r>
    </w:p>
    <w:p w14:paraId="1D44B67A"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hAnsiTheme="minorHAnsi" w:cstheme="minorHAnsi"/>
          <w:sz w:val="22"/>
          <w:szCs w:val="22"/>
        </w:rPr>
      </w:pPr>
      <w:r w:rsidRPr="00DB0C40">
        <w:rPr>
          <w:rFonts w:asciiTheme="minorHAnsi" w:hAnsiTheme="minorHAnsi" w:cstheme="minorHAnsi"/>
          <w:sz w:val="22"/>
          <w:szCs w:val="22"/>
        </w:rPr>
        <w:t>•</w:t>
      </w:r>
      <w:r w:rsidRPr="00DB0C40">
        <w:rPr>
          <w:rFonts w:asciiTheme="minorHAnsi" w:hAnsiTheme="minorHAnsi" w:cstheme="minorHAnsi"/>
          <w:sz w:val="22"/>
          <w:szCs w:val="22"/>
        </w:rPr>
        <w:tab/>
        <w:t>In France and Italy, self-employed workers benefited from a tax-free lump-sum payment of</w:t>
      </w:r>
    </w:p>
    <w:p w14:paraId="7019325F"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hAnsiTheme="minorHAnsi" w:cstheme="minorHAnsi"/>
          <w:sz w:val="22"/>
          <w:szCs w:val="22"/>
        </w:rPr>
      </w:pPr>
      <w:r w:rsidRPr="00DB0C40">
        <w:rPr>
          <w:rFonts w:asciiTheme="minorHAnsi" w:hAnsiTheme="minorHAnsi" w:cstheme="minorHAnsi"/>
          <w:sz w:val="22"/>
          <w:szCs w:val="22"/>
        </w:rPr>
        <w:t>€1,500 and €600, respectively. In the United Kingdom, the allowance for low-income self-employed workers covers 80 per cent of their average monthly earnings (up to £2,500).</w:t>
      </w:r>
    </w:p>
    <w:p w14:paraId="11AE4E5E"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hAnsiTheme="minorHAnsi" w:cstheme="minorHAnsi"/>
          <w:sz w:val="22"/>
          <w:szCs w:val="22"/>
        </w:rPr>
      </w:pPr>
      <w:r w:rsidRPr="00DB0C40">
        <w:rPr>
          <w:rFonts w:asciiTheme="minorHAnsi" w:hAnsiTheme="minorHAnsi" w:cstheme="minorHAnsi"/>
          <w:sz w:val="22"/>
          <w:szCs w:val="22"/>
        </w:rPr>
        <w:t>•</w:t>
      </w:r>
      <w:r w:rsidRPr="00DB0C40">
        <w:rPr>
          <w:rFonts w:asciiTheme="minorHAnsi" w:hAnsiTheme="minorHAnsi" w:cstheme="minorHAnsi"/>
          <w:sz w:val="22"/>
          <w:szCs w:val="22"/>
        </w:rPr>
        <w:tab/>
        <w:t>In France, a temporary lump-sum payment of €500 was paid directly by the public employment service to workers who lost their jobs but were not eligible for unemployment insurance. Financial aid was also provided to 800,000 low-income young people under the age of twenty-five experiencing unemployment and financial hardship during the pandemic.</w:t>
      </w:r>
    </w:p>
    <w:p w14:paraId="67011655"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hAnsiTheme="minorHAnsi" w:cstheme="minorHAnsi"/>
          <w:sz w:val="22"/>
          <w:szCs w:val="22"/>
        </w:rPr>
      </w:pPr>
      <w:r w:rsidRPr="00DB0C40">
        <w:rPr>
          <w:rFonts w:asciiTheme="minorHAnsi" w:hAnsiTheme="minorHAnsi" w:cstheme="minorHAnsi"/>
          <w:sz w:val="22"/>
          <w:szCs w:val="22"/>
        </w:rPr>
        <w:t>•</w:t>
      </w:r>
      <w:r w:rsidRPr="00DB0C40">
        <w:rPr>
          <w:rFonts w:asciiTheme="minorHAnsi" w:hAnsiTheme="minorHAnsi" w:cstheme="minorHAnsi"/>
          <w:sz w:val="22"/>
          <w:szCs w:val="22"/>
        </w:rPr>
        <w:tab/>
        <w:t>In France, healthcare staff in the departments most affected by the COVID-19 epidemic received a tax-free bonus payment of €1,500 and an increased overtime payment.</w:t>
      </w:r>
    </w:p>
    <w:p w14:paraId="2FC29ED6"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hAnsiTheme="minorHAnsi" w:cstheme="minorHAnsi"/>
          <w:sz w:val="22"/>
          <w:szCs w:val="22"/>
        </w:rPr>
      </w:pPr>
      <w:r w:rsidRPr="00DB0C40">
        <w:rPr>
          <w:rFonts w:asciiTheme="minorHAnsi" w:hAnsiTheme="minorHAnsi" w:cstheme="minorHAnsi"/>
          <w:sz w:val="22"/>
          <w:szCs w:val="22"/>
        </w:rPr>
        <w:t>•</w:t>
      </w:r>
      <w:r w:rsidRPr="00DB0C40">
        <w:rPr>
          <w:rFonts w:asciiTheme="minorHAnsi" w:hAnsiTheme="minorHAnsi" w:cstheme="minorHAnsi"/>
          <w:sz w:val="22"/>
          <w:szCs w:val="22"/>
        </w:rPr>
        <w:tab/>
        <w:t xml:space="preserve">Most European Union countries and the United States have introduced measures to support companies, including the extension of deadlines for income tax declarations, suspension of social insurance contributions, and the granting of interest- and collateral-free loans. </w:t>
      </w:r>
      <w:r w:rsidRPr="00DB0C40">
        <w:rPr>
          <w:rFonts w:asciiTheme="minorHAnsi" w:hAnsiTheme="minorHAnsi" w:cstheme="minorHAnsi"/>
          <w:position w:val="6"/>
          <w:sz w:val="22"/>
          <w:szCs w:val="22"/>
        </w:rPr>
        <w:footnoteReference w:id="10"/>
      </w:r>
    </w:p>
    <w:p w14:paraId="5854370E" w14:textId="77777777" w:rsidR="005758B6" w:rsidRPr="00DB0C40" w:rsidRDefault="005758B6" w:rsidP="005758B6">
      <w:pPr>
        <w:rPr>
          <w:rFonts w:asciiTheme="minorHAnsi" w:eastAsiaTheme="minorHAnsi" w:hAnsiTheme="minorHAnsi" w:cstheme="minorHAnsi"/>
          <w:sz w:val="22"/>
          <w:szCs w:val="22"/>
        </w:rPr>
      </w:pPr>
    </w:p>
    <w:p w14:paraId="31D10095" w14:textId="4DEB8DE3" w:rsidR="005758B6" w:rsidRPr="00DB0C40" w:rsidRDefault="00E6222D" w:rsidP="005758B6">
      <w:pPr>
        <w:keepNext/>
        <w:keepLines/>
        <w:spacing w:before="40"/>
        <w:outlineLvl w:val="1"/>
        <w:rPr>
          <w:rFonts w:asciiTheme="majorHAnsi" w:eastAsiaTheme="majorEastAsia" w:hAnsiTheme="majorHAnsi" w:cstheme="majorBidi"/>
          <w:color w:val="2F5496" w:themeColor="accent1" w:themeShade="BF"/>
          <w:sz w:val="26"/>
          <w:szCs w:val="26"/>
        </w:rPr>
      </w:pPr>
      <w:bookmarkStart w:id="32" w:name="_Hlk104987125"/>
      <w:bookmarkStart w:id="33" w:name="_Toc92359065"/>
      <w:r w:rsidRPr="00DB0C40">
        <w:rPr>
          <w:rFonts w:asciiTheme="majorHAnsi" w:eastAsiaTheme="majorEastAsia" w:hAnsiTheme="majorHAnsi" w:cstheme="majorBidi"/>
          <w:color w:val="2F5496" w:themeColor="accent1" w:themeShade="BF"/>
          <w:sz w:val="26"/>
          <w:szCs w:val="26"/>
        </w:rPr>
        <w:t>3.4.</w:t>
      </w:r>
      <w:r w:rsidR="004977F9" w:rsidRPr="00DB0C40">
        <w:rPr>
          <w:rFonts w:asciiTheme="majorHAnsi" w:eastAsiaTheme="majorEastAsia" w:hAnsiTheme="majorHAnsi" w:cstheme="majorBidi"/>
          <w:color w:val="2F5496" w:themeColor="accent1" w:themeShade="BF"/>
          <w:sz w:val="26"/>
          <w:szCs w:val="26"/>
        </w:rPr>
        <w:t>2</w:t>
      </w:r>
      <w:r w:rsidRPr="00DB0C40">
        <w:rPr>
          <w:rFonts w:asciiTheme="majorHAnsi" w:eastAsiaTheme="majorEastAsia" w:hAnsiTheme="majorHAnsi" w:cstheme="majorBidi"/>
          <w:color w:val="2F5496" w:themeColor="accent1" w:themeShade="BF"/>
          <w:sz w:val="26"/>
          <w:szCs w:val="26"/>
        </w:rPr>
        <w:t>.</w:t>
      </w:r>
      <w:r w:rsidR="005758B6" w:rsidRPr="00DB0C40">
        <w:rPr>
          <w:rFonts w:asciiTheme="majorHAnsi" w:eastAsiaTheme="majorEastAsia" w:hAnsiTheme="majorHAnsi" w:cstheme="majorBidi"/>
          <w:color w:val="2F5496" w:themeColor="accent1" w:themeShade="BF"/>
          <w:sz w:val="26"/>
          <w:szCs w:val="26"/>
        </w:rPr>
        <w:t xml:space="preserve"> </w:t>
      </w:r>
      <w:bookmarkEnd w:id="32"/>
      <w:r w:rsidR="005758B6" w:rsidRPr="00DB0C40">
        <w:rPr>
          <w:rFonts w:asciiTheme="majorHAnsi" w:eastAsiaTheme="majorEastAsia" w:hAnsiTheme="majorHAnsi" w:cstheme="majorBidi"/>
          <w:color w:val="2F5496" w:themeColor="accent1" w:themeShade="BF"/>
          <w:sz w:val="26"/>
          <w:szCs w:val="26"/>
        </w:rPr>
        <w:t>Preventing and ending mobbing, gender-based violence and harassment in the world of work</w:t>
      </w:r>
      <w:bookmarkEnd w:id="33"/>
    </w:p>
    <w:p w14:paraId="3A102E91" w14:textId="77777777" w:rsidR="005758B6" w:rsidRPr="00DB0C40" w:rsidRDefault="005758B6" w:rsidP="005758B6">
      <w:pPr>
        <w:rPr>
          <w:rFonts w:asciiTheme="minorHAnsi" w:eastAsiaTheme="minorHAnsi" w:hAnsiTheme="minorHAnsi" w:cstheme="minorHAnsi"/>
          <w:sz w:val="22"/>
          <w:szCs w:val="22"/>
        </w:rPr>
      </w:pPr>
    </w:p>
    <w:p w14:paraId="19D753BC"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Many Reports have been written on the prevalence of mobbing or other types of violence in work. According to ILO, UN Women and other international organisations, </w:t>
      </w:r>
      <w:r w:rsidRPr="00DB0C40">
        <w:rPr>
          <w:rFonts w:asciiTheme="minorHAnsi" w:eastAsiaTheme="minorHAnsi" w:hAnsiTheme="minorHAnsi" w:cstheme="minorHAnsi"/>
          <w:b/>
          <w:bCs/>
          <w:i/>
          <w:iCs/>
          <w:sz w:val="22"/>
          <w:szCs w:val="22"/>
        </w:rPr>
        <w:t>Gender-based violence and harassment (GBVH), including sexual harassment</w:t>
      </w:r>
      <w:r w:rsidRPr="00DB0C40">
        <w:rPr>
          <w:rFonts w:asciiTheme="minorHAnsi" w:eastAsiaTheme="minorHAnsi" w:hAnsiTheme="minorHAnsi" w:cstheme="minorHAnsi"/>
          <w:sz w:val="22"/>
          <w:szCs w:val="22"/>
        </w:rPr>
        <w:t>, is incompatible with decent work yet remains pervasive around the world, irrespective of sector or level of income. Globally, more than 30 per cent of women over the age of fifteen have experienced physical and/or sexual violence, 50 per cent have experienced sexual harassment, and 10 per cent have experienced harassment online (cyber harassment).</w:t>
      </w:r>
      <w:r w:rsidRPr="00DB0C40">
        <w:rPr>
          <w:rFonts w:asciiTheme="minorHAnsi" w:eastAsiaTheme="minorHAnsi" w:hAnsiTheme="minorHAnsi" w:cstheme="minorHAnsi"/>
          <w:position w:val="6"/>
          <w:sz w:val="22"/>
          <w:szCs w:val="22"/>
        </w:rPr>
        <w:footnoteReference w:id="11"/>
      </w:r>
    </w:p>
    <w:p w14:paraId="74B40BB7" w14:textId="77777777" w:rsidR="005758B6" w:rsidRPr="00DB0C40" w:rsidRDefault="005758B6" w:rsidP="005758B6">
      <w:pPr>
        <w:jc w:val="both"/>
        <w:rPr>
          <w:rFonts w:asciiTheme="minorHAnsi" w:eastAsiaTheme="minorHAnsi" w:hAnsiTheme="minorHAnsi" w:cstheme="minorHAnsi"/>
          <w:sz w:val="22"/>
          <w:szCs w:val="22"/>
        </w:rPr>
      </w:pPr>
    </w:p>
    <w:p w14:paraId="3A326311"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occurrence of mobbing or any kind of violence, entails excessive financial and psychological costs for victims, companies, and the national economy. Those experiencing mobbing, violence and harassment at work can suffer harm to their psychological, physical, and sexual health, including physical injuries, anxiety, depression, stress, and other lasting impacts of trauma, including harm to their dignity and to their family and social environment.</w:t>
      </w:r>
    </w:p>
    <w:p w14:paraId="3A0F591F" w14:textId="77777777" w:rsidR="005758B6" w:rsidRPr="00DB0C40" w:rsidRDefault="005758B6" w:rsidP="005758B6">
      <w:pPr>
        <w:jc w:val="both"/>
        <w:rPr>
          <w:rFonts w:asciiTheme="minorHAnsi" w:eastAsiaTheme="minorHAnsi" w:hAnsiTheme="minorHAnsi" w:cstheme="minorHAnsi"/>
          <w:sz w:val="22"/>
          <w:szCs w:val="22"/>
        </w:rPr>
      </w:pPr>
    </w:p>
    <w:p w14:paraId="79DABAD9"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Mobbing or violence negatively impacts women’s economic empowerment. Women are more likely to leave the workplace or change jobs, resulting in financial stress. </w:t>
      </w:r>
    </w:p>
    <w:p w14:paraId="573F06B3" w14:textId="77777777" w:rsidR="005758B6" w:rsidRPr="00DB0C40" w:rsidRDefault="005758B6" w:rsidP="005758B6">
      <w:pPr>
        <w:jc w:val="both"/>
        <w:rPr>
          <w:rFonts w:asciiTheme="minorHAnsi" w:eastAsiaTheme="minorHAnsi" w:hAnsiTheme="minorHAnsi" w:cstheme="minorHAnsi"/>
          <w:sz w:val="22"/>
          <w:szCs w:val="22"/>
        </w:rPr>
      </w:pPr>
    </w:p>
    <w:p w14:paraId="27F0E236" w14:textId="544A9D88" w:rsidR="005758B6" w:rsidRDefault="00E6222D" w:rsidP="005758B6">
      <w:pPr>
        <w:keepNext/>
        <w:keepLines/>
        <w:spacing w:before="40"/>
        <w:outlineLvl w:val="2"/>
        <w:rPr>
          <w:rFonts w:asciiTheme="majorHAnsi" w:eastAsiaTheme="majorEastAsia" w:hAnsiTheme="majorHAnsi" w:cstheme="majorBidi"/>
          <w:color w:val="1F3763" w:themeColor="accent1" w:themeShade="7F"/>
        </w:rPr>
      </w:pPr>
      <w:bookmarkStart w:id="34" w:name="_Toc92359066"/>
      <w:r w:rsidRPr="00DB0C40">
        <w:rPr>
          <w:rFonts w:asciiTheme="majorHAnsi" w:eastAsiaTheme="majorEastAsia" w:hAnsiTheme="majorHAnsi" w:cstheme="majorBidi"/>
          <w:color w:val="1F3763" w:themeColor="accent1" w:themeShade="7F"/>
        </w:rPr>
        <w:lastRenderedPageBreak/>
        <w:t>3.4.</w:t>
      </w:r>
      <w:r w:rsidR="004977F9" w:rsidRPr="00DB0C40">
        <w:rPr>
          <w:rFonts w:asciiTheme="majorHAnsi" w:eastAsiaTheme="majorEastAsia" w:hAnsiTheme="majorHAnsi" w:cstheme="majorBidi"/>
          <w:color w:val="1F3763" w:themeColor="accent1" w:themeShade="7F"/>
        </w:rPr>
        <w:t>2</w:t>
      </w:r>
      <w:r w:rsidRPr="00DB0C40">
        <w:rPr>
          <w:rFonts w:asciiTheme="majorHAnsi" w:eastAsiaTheme="majorEastAsia" w:hAnsiTheme="majorHAnsi" w:cstheme="majorBidi"/>
          <w:color w:val="1F3763" w:themeColor="accent1" w:themeShade="7F"/>
        </w:rPr>
        <w:t>.</w:t>
      </w:r>
      <w:r w:rsidR="004977F9" w:rsidRPr="00DB0C40">
        <w:rPr>
          <w:rFonts w:asciiTheme="majorHAnsi" w:eastAsiaTheme="majorEastAsia" w:hAnsiTheme="majorHAnsi" w:cstheme="majorBidi"/>
          <w:color w:val="1F3763" w:themeColor="accent1" w:themeShade="7F"/>
        </w:rPr>
        <w:t>1</w:t>
      </w:r>
      <w:r w:rsidR="005758B6" w:rsidRPr="00DB0C40">
        <w:rPr>
          <w:rFonts w:asciiTheme="majorHAnsi" w:eastAsiaTheme="majorEastAsia" w:hAnsiTheme="majorHAnsi" w:cstheme="majorBidi"/>
          <w:color w:val="1F3763" w:themeColor="accent1" w:themeShade="7F"/>
        </w:rPr>
        <w:t xml:space="preserve">. </w:t>
      </w:r>
      <w:bookmarkStart w:id="35" w:name="_Hlk107135955"/>
      <w:r w:rsidR="005758B6" w:rsidRPr="00DB0C40">
        <w:rPr>
          <w:rFonts w:asciiTheme="majorHAnsi" w:eastAsiaTheme="majorEastAsia" w:hAnsiTheme="majorHAnsi" w:cstheme="majorBidi"/>
          <w:color w:val="1F3763" w:themeColor="accent1" w:themeShade="7F"/>
        </w:rPr>
        <w:t>International Labour Standards and other key instruments</w:t>
      </w:r>
      <w:bookmarkEnd w:id="34"/>
    </w:p>
    <w:p w14:paraId="4D8A570D" w14:textId="77777777" w:rsidR="00BF6983" w:rsidRPr="00DB0C40" w:rsidRDefault="00BF6983" w:rsidP="005758B6">
      <w:pPr>
        <w:keepNext/>
        <w:keepLines/>
        <w:spacing w:before="40"/>
        <w:outlineLvl w:val="2"/>
        <w:rPr>
          <w:rFonts w:asciiTheme="majorHAnsi" w:eastAsiaTheme="majorEastAsia" w:hAnsiTheme="majorHAnsi" w:cstheme="majorBidi"/>
          <w:color w:val="1F3763" w:themeColor="accent1" w:themeShade="7F"/>
        </w:rPr>
      </w:pPr>
    </w:p>
    <w:bookmarkEnd w:id="35"/>
    <w:p w14:paraId="5F22FBA5" w14:textId="5524380D" w:rsidR="005758B6" w:rsidRPr="00DB0C40" w:rsidRDefault="00E6222D" w:rsidP="005758B6">
      <w:pPr>
        <w:jc w:val="both"/>
        <w:rPr>
          <w:rFonts w:asciiTheme="minorHAnsi" w:eastAsiaTheme="minorHAnsi" w:hAnsiTheme="minorHAnsi" w:cstheme="minorHAnsi"/>
          <w:sz w:val="22"/>
          <w:szCs w:val="22"/>
        </w:rPr>
      </w:pPr>
      <w:r w:rsidRPr="00CD2A61">
        <w:rPr>
          <w:rFonts w:asciiTheme="majorHAnsi" w:eastAsiaTheme="majorEastAsia" w:hAnsiTheme="majorHAnsi" w:cstheme="majorBidi"/>
          <w:color w:val="1F3763" w:themeColor="accent1" w:themeShade="7F"/>
        </w:rPr>
        <w:t>3.</w:t>
      </w:r>
      <w:r w:rsidR="00BD23D7" w:rsidRPr="00CD2A61">
        <w:rPr>
          <w:rFonts w:asciiTheme="majorHAnsi" w:eastAsiaTheme="majorEastAsia" w:hAnsiTheme="majorHAnsi" w:cstheme="majorBidi"/>
          <w:color w:val="1F3763" w:themeColor="accent1" w:themeShade="7F"/>
        </w:rPr>
        <w:t>4</w:t>
      </w:r>
      <w:r w:rsidR="005758B6" w:rsidRPr="00CD2A61">
        <w:rPr>
          <w:rFonts w:asciiTheme="majorHAnsi" w:eastAsiaTheme="majorEastAsia" w:hAnsiTheme="majorHAnsi" w:cstheme="majorBidi"/>
          <w:color w:val="1F3763" w:themeColor="accent1" w:themeShade="7F"/>
        </w:rPr>
        <w:t>.2.1.1.</w:t>
      </w:r>
      <w:r w:rsidR="005758B6" w:rsidRPr="00DB0C40">
        <w:rPr>
          <w:rFonts w:asciiTheme="minorHAnsi" w:eastAsiaTheme="minorHAnsi" w:hAnsiTheme="minorHAnsi" w:cstheme="minorHAnsi"/>
          <w:sz w:val="22"/>
          <w:szCs w:val="22"/>
        </w:rPr>
        <w:t xml:space="preserve"> The ILO Violence and Harassment Convention, 2019 (No. 190) and its accompanying Recommendation No. 206 recognize the right of everyone to a world of work free from violence and harassment, including gender-based violence and harassment. The Convention calls on governments to promote a general environment of zero tolerance to violence</w:t>
      </w:r>
      <w:r w:rsidR="005758B6" w:rsidRPr="00DB0C40">
        <w:rPr>
          <w:rFonts w:asciiTheme="minorHAnsi" w:eastAsiaTheme="minorHAnsi" w:hAnsiTheme="minorHAnsi" w:cstheme="minorHAnsi"/>
          <w:position w:val="6"/>
          <w:sz w:val="22"/>
          <w:szCs w:val="22"/>
        </w:rPr>
        <w:footnoteReference w:id="12"/>
      </w:r>
      <w:r w:rsidR="005758B6" w:rsidRPr="00DB0C40">
        <w:rPr>
          <w:rFonts w:asciiTheme="minorHAnsi" w:eastAsiaTheme="minorHAnsi" w:hAnsiTheme="minorHAnsi" w:cstheme="minorHAnsi"/>
          <w:sz w:val="22"/>
          <w:szCs w:val="22"/>
        </w:rPr>
        <w:t xml:space="preserve"> and harassment and provides a clear framework for addressing and preventing violence and harassment in the world of work.</w:t>
      </w:r>
    </w:p>
    <w:p w14:paraId="5C1CD476" w14:textId="77777777" w:rsidR="005758B6" w:rsidRPr="00DB0C40" w:rsidRDefault="005758B6" w:rsidP="005758B6">
      <w:pPr>
        <w:jc w:val="both"/>
        <w:rPr>
          <w:rFonts w:asciiTheme="minorHAnsi" w:eastAsiaTheme="minorHAnsi" w:hAnsiTheme="minorHAnsi" w:cstheme="minorHAnsi"/>
          <w:sz w:val="22"/>
          <w:szCs w:val="22"/>
        </w:rPr>
      </w:pPr>
    </w:p>
    <w:p w14:paraId="590FA5CE" w14:textId="005EBC51" w:rsidR="005758B6" w:rsidRPr="00DB0C40" w:rsidRDefault="00E6222D" w:rsidP="005758B6">
      <w:pPr>
        <w:jc w:val="both"/>
        <w:rPr>
          <w:rFonts w:asciiTheme="minorHAnsi" w:eastAsiaTheme="minorHAnsi" w:hAnsiTheme="minorHAnsi" w:cstheme="minorHAnsi"/>
          <w:sz w:val="22"/>
          <w:szCs w:val="22"/>
        </w:rPr>
      </w:pPr>
      <w:r w:rsidRPr="00CD2A61">
        <w:rPr>
          <w:rFonts w:asciiTheme="majorHAnsi" w:eastAsiaTheme="majorEastAsia" w:hAnsiTheme="majorHAnsi" w:cstheme="majorBidi"/>
          <w:color w:val="1F3763" w:themeColor="accent1" w:themeShade="7F"/>
        </w:rPr>
        <w:t>3.</w:t>
      </w:r>
      <w:r w:rsidR="00BD23D7" w:rsidRPr="00CD2A61">
        <w:rPr>
          <w:rFonts w:asciiTheme="majorHAnsi" w:eastAsiaTheme="majorEastAsia" w:hAnsiTheme="majorHAnsi" w:cstheme="majorBidi"/>
          <w:color w:val="1F3763" w:themeColor="accent1" w:themeShade="7F"/>
        </w:rPr>
        <w:t>4</w:t>
      </w:r>
      <w:r w:rsidR="005758B6" w:rsidRPr="00CD2A61">
        <w:rPr>
          <w:rFonts w:asciiTheme="majorHAnsi" w:eastAsiaTheme="majorEastAsia" w:hAnsiTheme="majorHAnsi" w:cstheme="majorBidi"/>
          <w:color w:val="1F3763" w:themeColor="accent1" w:themeShade="7F"/>
        </w:rPr>
        <w:t>.2.1.2.</w:t>
      </w:r>
      <w:r w:rsidR="005758B6" w:rsidRPr="00DB0C40">
        <w:rPr>
          <w:rFonts w:asciiTheme="minorHAnsi" w:eastAsiaTheme="minorHAnsi" w:hAnsiTheme="minorHAnsi" w:cstheme="minorHAnsi"/>
          <w:sz w:val="22"/>
          <w:szCs w:val="22"/>
        </w:rPr>
        <w:t xml:space="preserve"> In interpreting the Convention on the Elimination of All Forms of Discrimination (CEDAW), the CEDAW Committee considers workplace sexual harassment as a form of gender-based violence that can reduce gender equality in the workplace and result in health and safety issues. Based on ILO Convention No. 111, relevant comments developed by the ILO Committee of Experts on the Application of ILO Conventions and Recommendations consider sexual harassment as a severe form of sex discrimination.</w:t>
      </w:r>
    </w:p>
    <w:p w14:paraId="4858C21A" w14:textId="77777777" w:rsidR="005758B6" w:rsidRPr="00DB0C40" w:rsidRDefault="005758B6" w:rsidP="005758B6">
      <w:pPr>
        <w:jc w:val="both"/>
        <w:rPr>
          <w:rFonts w:asciiTheme="minorHAnsi" w:eastAsiaTheme="minorHAnsi" w:hAnsiTheme="minorHAnsi" w:cstheme="minorHAnsi"/>
        </w:rPr>
      </w:pPr>
    </w:p>
    <w:p w14:paraId="101B395D" w14:textId="21B3CEC4" w:rsidR="005758B6" w:rsidRPr="00DB0C40" w:rsidRDefault="00E6222D" w:rsidP="005758B6">
      <w:pPr>
        <w:jc w:val="both"/>
        <w:rPr>
          <w:rFonts w:asciiTheme="minorHAnsi" w:eastAsiaTheme="minorHAnsi" w:hAnsiTheme="minorHAnsi" w:cstheme="minorHAnsi"/>
          <w:sz w:val="22"/>
          <w:szCs w:val="22"/>
        </w:rPr>
      </w:pPr>
      <w:r w:rsidRPr="00CD2A61">
        <w:rPr>
          <w:rFonts w:asciiTheme="majorHAnsi" w:eastAsiaTheme="majorEastAsia" w:hAnsiTheme="majorHAnsi" w:cstheme="majorBidi"/>
          <w:color w:val="1F3763" w:themeColor="accent1" w:themeShade="7F"/>
        </w:rPr>
        <w:t>3.</w:t>
      </w:r>
      <w:r w:rsidR="00BD23D7" w:rsidRPr="00CD2A61">
        <w:rPr>
          <w:rFonts w:asciiTheme="majorHAnsi" w:eastAsiaTheme="majorEastAsia" w:hAnsiTheme="majorHAnsi" w:cstheme="majorBidi"/>
          <w:color w:val="1F3763" w:themeColor="accent1" w:themeShade="7F"/>
        </w:rPr>
        <w:t>4</w:t>
      </w:r>
      <w:r w:rsidR="005758B6" w:rsidRPr="00CD2A61">
        <w:rPr>
          <w:rFonts w:asciiTheme="majorHAnsi" w:eastAsiaTheme="majorEastAsia" w:hAnsiTheme="majorHAnsi" w:cstheme="majorBidi"/>
          <w:color w:val="1F3763" w:themeColor="accent1" w:themeShade="7F"/>
        </w:rPr>
        <w:t>.2.1.3.</w:t>
      </w:r>
      <w:r w:rsidR="005758B6" w:rsidRPr="00DB0C40">
        <w:rPr>
          <w:rFonts w:asciiTheme="minorHAnsi" w:eastAsiaTheme="minorHAnsi" w:hAnsiTheme="minorHAnsi" w:cstheme="minorHAnsi"/>
          <w:sz w:val="22"/>
          <w:szCs w:val="22"/>
        </w:rPr>
        <w:t xml:space="preserve"> The EU provides some of the most comprehensive and enforceable regional regulations on workplace violence and harassment. The European Social Charter (Revised), 1996, the Convention on preventing and combating violence against women and domestic violence (known as the Istanbul Convention), 2011, and several EU Directives also seek to prevent and prohibit various forms of violence and harassment. As Europe’s leading human rights organisation, the Council of Europe has undertaken a series of initiatives to promote the protection of women against violence since the 1990s. These initiatives have resulted in the adoption, in 2002, of the Council of Europe Recommendation Rec (2002) of the Committee of Ministers to member states on the protection of women against violence, and the running of a Europe-wide campaign, from 2006-2008, to combat violence against women, including domestic violence. The Parliamentary Assembly has also taken a firm political stance against all forms of violence against women. It has adopted a number of resolutions and recommendations calling for legally binding standards on preventing, protecting against, and prosecuting the most severe and widespread forms of gender-based violence.</w:t>
      </w:r>
    </w:p>
    <w:p w14:paraId="7F74570F" w14:textId="77777777" w:rsidR="005758B6" w:rsidRPr="00DB0C40" w:rsidRDefault="005758B6" w:rsidP="005758B6">
      <w:pPr>
        <w:jc w:val="both"/>
        <w:rPr>
          <w:rFonts w:asciiTheme="minorHAnsi" w:eastAsiaTheme="minorHAnsi" w:hAnsiTheme="minorHAnsi" w:cstheme="minorHAnsi"/>
          <w:sz w:val="22"/>
          <w:szCs w:val="22"/>
        </w:rPr>
      </w:pPr>
    </w:p>
    <w:p w14:paraId="2D3CD615"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Assuming its leading role in human rights protection, the Council of Europe decided it was necessary to set comprehensive standards to prevent and combat violence against women and domestic violence. In December 2008, the Committee of Ministers set up an expert group mandated to prepare a draft convention in this field. Over the course of just over two years, this group, called the </w:t>
      </w:r>
      <w:hyperlink r:id="rId14" w:history="1">
        <w:r w:rsidRPr="00DB0C40">
          <w:rPr>
            <w:rFonts w:asciiTheme="minorHAnsi" w:eastAsiaTheme="minorHAnsi" w:hAnsiTheme="minorHAnsi" w:cstheme="minorHAnsi"/>
            <w:sz w:val="22"/>
            <w:szCs w:val="22"/>
            <w:u w:val="single"/>
          </w:rPr>
          <w:t>CAHVIO</w:t>
        </w:r>
      </w:hyperlink>
      <w:r w:rsidRPr="00DB0C40">
        <w:rPr>
          <w:rFonts w:asciiTheme="minorHAnsi" w:eastAsiaTheme="minorHAnsi" w:hAnsiTheme="minorHAnsi" w:cstheme="minorHAnsi"/>
          <w:sz w:val="22"/>
          <w:szCs w:val="22"/>
        </w:rPr>
        <w:t> (Ad Hoc Committee for preventing and combating violence against women and domestic violence), worked out a draft text. It finalised the draft of the Convention in December 2010.</w:t>
      </w:r>
    </w:p>
    <w:p w14:paraId="11EDB262" w14:textId="77777777" w:rsidR="005758B6" w:rsidRPr="00DB0C40" w:rsidRDefault="005758B6" w:rsidP="005758B6">
      <w:pPr>
        <w:jc w:val="both"/>
        <w:rPr>
          <w:rFonts w:asciiTheme="minorHAnsi" w:eastAsiaTheme="minorHAnsi" w:hAnsiTheme="minorHAnsi" w:cstheme="minorHAnsi"/>
          <w:sz w:val="22"/>
          <w:szCs w:val="22"/>
        </w:rPr>
      </w:pPr>
    </w:p>
    <w:p w14:paraId="66E10967"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The Convention on preventing and combating violence against women and domestic violence was adopted by the Council of Europe Committee of Ministers on 7 April 2011. It was opened for signature on 11 May 2011 on the 121st Session of the Committee of Ministers in Istanbul. Following its 10th ratification by Andorra on 22 April 2014, it entered into force on 1 August 2014. The four pillars of Istanbul Convention are: prevention, protection, prosecution, and co-ordinated policies. </w:t>
      </w:r>
      <w:r w:rsidRPr="00DB0C40">
        <w:rPr>
          <w:rFonts w:asciiTheme="minorHAnsi" w:eastAsiaTheme="minorHAnsi" w:hAnsiTheme="minorHAnsi" w:cstheme="minorHAnsi"/>
          <w:position w:val="6"/>
          <w:sz w:val="22"/>
          <w:szCs w:val="22"/>
        </w:rPr>
        <w:footnoteReference w:id="13"/>
      </w:r>
    </w:p>
    <w:p w14:paraId="6232B046" w14:textId="77777777" w:rsidR="005758B6" w:rsidRPr="00DB0C40" w:rsidRDefault="005758B6" w:rsidP="005758B6">
      <w:pPr>
        <w:jc w:val="both"/>
        <w:rPr>
          <w:rFonts w:asciiTheme="minorHAnsi" w:eastAsiaTheme="minorHAnsi" w:hAnsiTheme="minorHAnsi" w:cstheme="minorHAnsi"/>
          <w:b/>
          <w:bCs/>
          <w:sz w:val="22"/>
          <w:szCs w:val="22"/>
        </w:rPr>
      </w:pPr>
      <w:bookmarkStart w:id="36" w:name="_Hlk82616557"/>
    </w:p>
    <w:p w14:paraId="4DA150EF" w14:textId="2329C12C" w:rsidR="005758B6" w:rsidRPr="00DB0C40" w:rsidRDefault="00E6222D" w:rsidP="005758B6">
      <w:pPr>
        <w:keepNext/>
        <w:keepLines/>
        <w:spacing w:before="40"/>
        <w:outlineLvl w:val="2"/>
        <w:rPr>
          <w:rFonts w:asciiTheme="majorHAnsi" w:eastAsiaTheme="majorEastAsia" w:hAnsiTheme="majorHAnsi" w:cstheme="majorBidi"/>
          <w:color w:val="1F3763" w:themeColor="accent1" w:themeShade="7F"/>
        </w:rPr>
      </w:pPr>
      <w:bookmarkStart w:id="37" w:name="_Toc92359067"/>
      <w:r w:rsidRPr="00DB0C40">
        <w:rPr>
          <w:rFonts w:asciiTheme="majorHAnsi" w:eastAsiaTheme="majorEastAsia" w:hAnsiTheme="majorHAnsi" w:cstheme="majorBidi"/>
          <w:color w:val="1F3763" w:themeColor="accent1" w:themeShade="7F"/>
        </w:rPr>
        <w:lastRenderedPageBreak/>
        <w:t>3.</w:t>
      </w:r>
      <w:r w:rsidR="00BD23D7" w:rsidRPr="00DB0C40">
        <w:rPr>
          <w:rFonts w:asciiTheme="majorHAnsi" w:eastAsiaTheme="majorEastAsia" w:hAnsiTheme="majorHAnsi" w:cstheme="majorBidi"/>
          <w:color w:val="1F3763" w:themeColor="accent1" w:themeShade="7F"/>
        </w:rPr>
        <w:t>4</w:t>
      </w:r>
      <w:r w:rsidR="005758B6" w:rsidRPr="00DB0C40">
        <w:rPr>
          <w:rFonts w:asciiTheme="majorHAnsi" w:eastAsiaTheme="majorEastAsia" w:hAnsiTheme="majorHAnsi" w:cstheme="majorBidi"/>
          <w:color w:val="1F3763" w:themeColor="accent1" w:themeShade="7F"/>
        </w:rPr>
        <w:t xml:space="preserve">.2.2. </w:t>
      </w:r>
      <w:bookmarkStart w:id="38" w:name="_Hlk107136083"/>
      <w:r w:rsidR="005758B6" w:rsidRPr="00DB0C40">
        <w:rPr>
          <w:rFonts w:asciiTheme="majorHAnsi" w:eastAsiaTheme="majorEastAsia" w:hAnsiTheme="majorHAnsi" w:cstheme="majorBidi"/>
          <w:color w:val="1F3763" w:themeColor="accent1" w:themeShade="7F"/>
        </w:rPr>
        <w:t xml:space="preserve">Some examples of national legal framework in European countries </w:t>
      </w:r>
      <w:bookmarkEnd w:id="36"/>
      <w:r w:rsidR="005758B6" w:rsidRPr="00DB0C40">
        <w:rPr>
          <w:rFonts w:asciiTheme="majorHAnsi" w:eastAsiaTheme="majorEastAsia" w:hAnsiTheme="majorHAnsi" w:cstheme="majorBidi"/>
          <w:color w:val="1F3763" w:themeColor="accent1" w:themeShade="7F"/>
        </w:rPr>
        <w:t>(EU and Finland)</w:t>
      </w:r>
      <w:bookmarkEnd w:id="37"/>
    </w:p>
    <w:bookmarkEnd w:id="38"/>
    <w:p w14:paraId="40AAC30E"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National legal frameworks must recognize the right of workers to an environment that is free from violence and harassment. In adopting an inclusive, integrated and gender- responsive approach to this topic, ILO standards encourage governments to prevent and address violence and harassment in the areas of labour and employment, occupational safety and health, equality, and non-discrimination law – and, where appropriate, criminal law – to give victims a range of remedies best suited for their situation.</w:t>
      </w:r>
    </w:p>
    <w:p w14:paraId="7209CEF1" w14:textId="77777777" w:rsidR="005758B6" w:rsidRPr="00DB0C40" w:rsidRDefault="005758B6" w:rsidP="005758B6">
      <w:pPr>
        <w:jc w:val="both"/>
        <w:rPr>
          <w:rFonts w:asciiTheme="minorHAnsi" w:eastAsiaTheme="minorHAnsi" w:hAnsiTheme="minorHAnsi" w:cstheme="minorHAnsi"/>
          <w:sz w:val="22"/>
          <w:szCs w:val="22"/>
        </w:rPr>
      </w:pPr>
    </w:p>
    <w:p w14:paraId="7D54F21A"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Legal frameworks should also provide a broad scope of protection from violence and harassment in the world of work. Legal protection should therefore extend beyond the traditional employment relationship and encompass hiring, training, access to employment, conditions of employment and third parties with whom workers may come into contact.</w:t>
      </w:r>
    </w:p>
    <w:p w14:paraId="3ED8C7B5" w14:textId="77777777" w:rsidR="005758B6" w:rsidRPr="00DB0C40" w:rsidRDefault="005758B6" w:rsidP="005758B6">
      <w:pPr>
        <w:jc w:val="both"/>
        <w:rPr>
          <w:rFonts w:asciiTheme="minorHAnsi" w:eastAsiaTheme="minorHAnsi" w:hAnsiTheme="minorHAnsi" w:cstheme="minorHAnsi"/>
          <w:sz w:val="22"/>
          <w:szCs w:val="22"/>
        </w:rPr>
      </w:pPr>
    </w:p>
    <w:p w14:paraId="1D7232C3"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 line with Convention No. 190, coverage should include “all sectors, public or private, in the formal or informal economy, in urban or rural areas” and “workers and other persons in the world of work, including employees as defined by national law and practice, as well as persons who work, whatever their contractual status, persons in training, including trainees and apprentices, laid-off workers, volunteers, job seekers, job applicants and individuals exercising the authority, duties or responsibilities of an employer”.</w:t>
      </w:r>
    </w:p>
    <w:p w14:paraId="41122BAC" w14:textId="77777777" w:rsidR="005758B6" w:rsidRPr="00DB0C40" w:rsidRDefault="005758B6" w:rsidP="005758B6">
      <w:pPr>
        <w:jc w:val="both"/>
        <w:rPr>
          <w:rFonts w:asciiTheme="minorHAnsi" w:eastAsiaTheme="minorHAnsi" w:hAnsiTheme="minorHAnsi" w:cstheme="minorHAnsi"/>
          <w:sz w:val="22"/>
          <w:szCs w:val="22"/>
        </w:rPr>
      </w:pPr>
    </w:p>
    <w:p w14:paraId="71222E3D"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Finally, it is necessary to address violence and harassment in the full range of places where it may occur “on occasion, in connection with or as a result of work,” in addition to the traditional physical workplace. This includes work-related travel, social events and training activities, commuting to and from work, and work-related communications (including email, texting, and online platforms) in private homes when they are places of work.</w:t>
      </w:r>
    </w:p>
    <w:p w14:paraId="4754C24F" w14:textId="77777777" w:rsidR="005758B6" w:rsidRPr="00DB0C40" w:rsidRDefault="005758B6" w:rsidP="005758B6">
      <w:pPr>
        <w:jc w:val="both"/>
        <w:rPr>
          <w:rFonts w:asciiTheme="minorHAnsi" w:eastAsiaTheme="minorHAnsi" w:hAnsiTheme="minorHAnsi" w:cstheme="minorHAnsi"/>
          <w:sz w:val="22"/>
          <w:szCs w:val="22"/>
        </w:rPr>
      </w:pPr>
    </w:p>
    <w:p w14:paraId="19AF3D20"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b/>
          <w:bCs/>
          <w:sz w:val="22"/>
          <w:szCs w:val="22"/>
        </w:rPr>
      </w:pPr>
      <w:r w:rsidRPr="00DB0C40">
        <w:rPr>
          <w:rFonts w:asciiTheme="minorHAnsi" w:eastAsiaTheme="minorHAnsi" w:hAnsiTheme="minorHAnsi" w:cstheme="minorHAnsi"/>
          <w:b/>
          <w:bCs/>
          <w:sz w:val="22"/>
          <w:szCs w:val="22"/>
        </w:rPr>
        <w:t>European Union</w:t>
      </w:r>
    </w:p>
    <w:p w14:paraId="72C8A1BB"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 its objective to combat GBVH, the European Commission (EC) has been working on a pilot project launched by Eurostat to measure the prevalence of violence against women in the EU. The initiative is developing an EU-wide survey built on the methodology used for the EU Agency for Fundamental Rights’ 2014 survey, which included information on whether violence occurred in the workplace. The project is being conducted in cooperation with over a dozen countries, which will pilot the instrument. The survey task force includes national statistical institutes, the European Union Agency for Fundamental Rights (FRA), EIGE, Eurostat, and the EC, which will be finalizing the survey and implementing full-scale fieldwork in late 2019.</w:t>
      </w:r>
      <w:r w:rsidRPr="00DB0C40">
        <w:rPr>
          <w:rFonts w:asciiTheme="minorHAnsi" w:eastAsiaTheme="minorHAnsi" w:hAnsiTheme="minorHAnsi" w:cstheme="minorHAnsi"/>
          <w:position w:val="6"/>
          <w:sz w:val="22"/>
          <w:szCs w:val="22"/>
        </w:rPr>
        <w:footnoteReference w:id="14"/>
      </w:r>
    </w:p>
    <w:p w14:paraId="15F16A1D"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w:t>
      </w:r>
    </w:p>
    <w:p w14:paraId="698092A7" w14:textId="77777777" w:rsidR="005758B6" w:rsidRPr="00DB0C40" w:rsidRDefault="005758B6" w:rsidP="005758B6">
      <w:pPr>
        <w:jc w:val="both"/>
        <w:rPr>
          <w:rFonts w:asciiTheme="minorHAnsi" w:eastAsiaTheme="minorHAnsi" w:hAnsiTheme="minorHAnsi" w:cstheme="minorHAnsi"/>
          <w:sz w:val="22"/>
          <w:szCs w:val="22"/>
        </w:rPr>
      </w:pPr>
    </w:p>
    <w:p w14:paraId="048712BF"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b/>
          <w:bCs/>
          <w:sz w:val="22"/>
          <w:szCs w:val="22"/>
        </w:rPr>
      </w:pPr>
      <w:r w:rsidRPr="00DB0C40">
        <w:rPr>
          <w:rFonts w:asciiTheme="minorHAnsi" w:eastAsiaTheme="minorHAnsi" w:hAnsiTheme="minorHAnsi" w:cstheme="minorHAnsi"/>
          <w:b/>
          <w:bCs/>
          <w:sz w:val="22"/>
          <w:szCs w:val="22"/>
        </w:rPr>
        <w:t>Guidance and assistance through OSH policies and awareness-raising (Finland)</w:t>
      </w:r>
      <w:r w:rsidRPr="00DB0C40">
        <w:rPr>
          <w:rFonts w:ascii="TimesNewRomanPS" w:eastAsiaTheme="minorHAnsi" w:hAnsi="TimesNewRomanPS" w:cstheme="minorHAnsi"/>
          <w:b/>
          <w:bCs/>
          <w:position w:val="6"/>
          <w:sz w:val="16"/>
          <w:szCs w:val="22"/>
        </w:rPr>
        <w:footnoteReference w:id="15"/>
      </w:r>
    </w:p>
    <w:p w14:paraId="4CE6E973"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Finland has ratified the Occupational Safety and Health Convention, 1981 (No. 155) and has implemented a national OSH policy, which includes training, the adaptation of work to the physical and mental capacities of workers, and protection from reprisals against complainants. The implementation of these provisions has included protective and compensation measures in respect of third-party violence, night work and work in isolated areas.</w:t>
      </w:r>
    </w:p>
    <w:p w14:paraId="5196C63B"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In Finland, labour inspections cover violence and harassment in the world of work as part of their remit, in line with Recommendation No. 206 (Paragraph 21). Labour inspectors submit a questionnaire to </w:t>
      </w:r>
      <w:r w:rsidRPr="00DB0C40">
        <w:rPr>
          <w:rFonts w:asciiTheme="minorHAnsi" w:eastAsiaTheme="minorHAnsi" w:hAnsiTheme="minorHAnsi" w:cstheme="minorHAnsi"/>
          <w:sz w:val="22"/>
          <w:szCs w:val="22"/>
        </w:rPr>
        <w:lastRenderedPageBreak/>
        <w:t>workers before they visit a company, asking whether their health and safety is endangered by violence or the threat of violence at work. The answers to this questionnaire help the inspectors to focus their visit and enable them to offer the employer guidance on ways to address workplace issues.</w:t>
      </w:r>
    </w:p>
    <w:p w14:paraId="203F9D07"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Ministry of Justice has also launched a “Discrimination-free zone” campaign as part of its “Equality is Priority” project. It brings together over six hundred workplace communities in the fight against discrimination, bullying, and harassment. The programme gives participating communities a “discrimination-free zone” sign to display in their workplace, once they have completed an online form providing information on combating discrimination, including harassment. By completing the online form and displaying the sign, employers declare their workplaces to be “discrimination-free zones.”</w:t>
      </w:r>
    </w:p>
    <w:p w14:paraId="4377D5FB"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w:t>
      </w:r>
    </w:p>
    <w:p w14:paraId="6758E01D" w14:textId="13CE5FD0" w:rsidR="005758B6" w:rsidRPr="006667C7" w:rsidRDefault="00E6222D" w:rsidP="005758B6">
      <w:pPr>
        <w:keepNext/>
        <w:keepLines/>
        <w:spacing w:before="40"/>
        <w:outlineLvl w:val="2"/>
        <w:rPr>
          <w:rFonts w:asciiTheme="majorHAnsi" w:eastAsiaTheme="majorEastAsia" w:hAnsiTheme="majorHAnsi" w:cstheme="majorBidi"/>
          <w:color w:val="FF0000"/>
          <w:sz w:val="26"/>
          <w:szCs w:val="26"/>
        </w:rPr>
      </w:pPr>
      <w:bookmarkStart w:id="39" w:name="_Toc92359068"/>
      <w:r w:rsidRPr="00AE67F2">
        <w:rPr>
          <w:rFonts w:asciiTheme="majorHAnsi" w:eastAsiaTheme="majorEastAsia" w:hAnsiTheme="majorHAnsi" w:cstheme="majorBidi"/>
          <w:color w:val="2F5496" w:themeColor="accent1" w:themeShade="BF"/>
          <w:sz w:val="26"/>
          <w:szCs w:val="26"/>
        </w:rPr>
        <w:t>3.</w:t>
      </w:r>
      <w:r w:rsidR="00BD23D7" w:rsidRPr="00AE67F2">
        <w:rPr>
          <w:rFonts w:asciiTheme="majorHAnsi" w:eastAsiaTheme="majorEastAsia" w:hAnsiTheme="majorHAnsi" w:cstheme="majorBidi"/>
          <w:color w:val="2F5496" w:themeColor="accent1" w:themeShade="BF"/>
          <w:sz w:val="26"/>
          <w:szCs w:val="26"/>
        </w:rPr>
        <w:t>4</w:t>
      </w:r>
      <w:r w:rsidR="005758B6" w:rsidRPr="00AE67F2">
        <w:rPr>
          <w:rFonts w:asciiTheme="majorHAnsi" w:eastAsiaTheme="majorEastAsia" w:hAnsiTheme="majorHAnsi" w:cstheme="majorBidi"/>
          <w:color w:val="2F5496" w:themeColor="accent1" w:themeShade="BF"/>
          <w:sz w:val="26"/>
          <w:szCs w:val="26"/>
        </w:rPr>
        <w:t xml:space="preserve">.2.3 </w:t>
      </w:r>
      <w:bookmarkStart w:id="40" w:name="_Hlk107136109"/>
      <w:r w:rsidR="005758B6" w:rsidRPr="00AE67F2">
        <w:rPr>
          <w:rFonts w:asciiTheme="majorHAnsi" w:eastAsiaTheme="majorEastAsia" w:hAnsiTheme="majorHAnsi" w:cstheme="majorBidi"/>
          <w:color w:val="2F5496" w:themeColor="accent1" w:themeShade="BF"/>
          <w:sz w:val="26"/>
          <w:szCs w:val="26"/>
        </w:rPr>
        <w:t xml:space="preserve">Laws and </w:t>
      </w:r>
      <w:r w:rsidR="00AE67F2" w:rsidRPr="00AE67F2">
        <w:rPr>
          <w:rFonts w:asciiTheme="majorHAnsi" w:eastAsiaTheme="majorEastAsia" w:hAnsiTheme="majorHAnsi" w:cstheme="majorBidi"/>
          <w:color w:val="2F5496" w:themeColor="accent1" w:themeShade="BF"/>
          <w:sz w:val="26"/>
          <w:szCs w:val="26"/>
        </w:rPr>
        <w:t>P</w:t>
      </w:r>
      <w:r w:rsidR="005758B6" w:rsidRPr="00AE67F2">
        <w:rPr>
          <w:rFonts w:asciiTheme="majorHAnsi" w:eastAsiaTheme="majorEastAsia" w:hAnsiTheme="majorHAnsi" w:cstheme="majorBidi"/>
          <w:color w:val="2F5496" w:themeColor="accent1" w:themeShade="BF"/>
          <w:sz w:val="26"/>
          <w:szCs w:val="26"/>
        </w:rPr>
        <w:t>olicies during COVID</w:t>
      </w:r>
      <w:bookmarkEnd w:id="39"/>
      <w:r w:rsidR="005758B6" w:rsidRPr="00AE67F2">
        <w:rPr>
          <w:rFonts w:asciiTheme="majorHAnsi" w:eastAsiaTheme="majorEastAsia" w:hAnsiTheme="majorHAnsi" w:cstheme="majorBidi"/>
          <w:color w:val="2F5496" w:themeColor="accent1" w:themeShade="BF"/>
          <w:sz w:val="26"/>
          <w:szCs w:val="26"/>
        </w:rPr>
        <w:t xml:space="preserve"> </w:t>
      </w:r>
      <w:r w:rsidR="006667C7" w:rsidRPr="008C01B9">
        <w:rPr>
          <w:rFonts w:asciiTheme="majorHAnsi" w:eastAsiaTheme="majorEastAsia" w:hAnsiTheme="majorHAnsi" w:cstheme="majorBidi"/>
          <w:color w:val="4472C4" w:themeColor="accent1"/>
          <w:sz w:val="26"/>
          <w:szCs w:val="26"/>
        </w:rPr>
        <w:t>related to preventing and ending mobbing, gender-based violence and harassment in the world of work</w:t>
      </w:r>
    </w:p>
    <w:bookmarkEnd w:id="40"/>
    <w:p w14:paraId="579AA1E2" w14:textId="77777777" w:rsidR="005758B6" w:rsidRPr="00DB0C40" w:rsidRDefault="005758B6" w:rsidP="005758B6">
      <w:pPr>
        <w:jc w:val="both"/>
        <w:rPr>
          <w:rFonts w:asciiTheme="minorHAnsi" w:eastAsiaTheme="minorHAnsi" w:hAnsiTheme="minorHAnsi" w:cstheme="minorHAnsi"/>
          <w:sz w:val="22"/>
          <w:szCs w:val="22"/>
        </w:rPr>
      </w:pPr>
    </w:p>
    <w:p w14:paraId="624143C6"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COVID-19 pandemic has amplified existing gender-based violence against women, confirming long-standing research findings that the risk of domestic violence tends to increase in times of crisis. Lockdown measures were set to keep people safe at home. However, home turned out not to be safe for everyone and lockdown measures played a demonstrable role in the significant increase in reports of domestic violence and an increase in gender-based violence overall. While the collection of robust EU-level data is ongoing, preliminary findings from an assortment of independently carried-out studies point towards an escalation of psychological and physical violence against women by an intimate partner.</w:t>
      </w:r>
      <w:r w:rsidRPr="00DB0C40">
        <w:rPr>
          <w:rFonts w:asciiTheme="minorHAnsi" w:eastAsiaTheme="minorHAnsi" w:hAnsiTheme="minorHAnsi" w:cstheme="minorHAnsi"/>
          <w:position w:val="6"/>
          <w:sz w:val="22"/>
          <w:szCs w:val="22"/>
        </w:rPr>
        <w:footnoteReference w:id="16"/>
      </w:r>
      <w:r w:rsidRPr="00DB0C40">
        <w:rPr>
          <w:rFonts w:asciiTheme="minorHAnsi" w:eastAsiaTheme="minorHAnsi" w:hAnsiTheme="minorHAnsi" w:cstheme="minorHAnsi"/>
          <w:sz w:val="22"/>
          <w:szCs w:val="22"/>
        </w:rPr>
        <w:t xml:space="preserve"> </w:t>
      </w:r>
    </w:p>
    <w:p w14:paraId="7CD1F99D" w14:textId="77777777" w:rsidR="005758B6" w:rsidRPr="00DB0C40" w:rsidRDefault="005758B6" w:rsidP="005758B6">
      <w:pPr>
        <w:jc w:val="both"/>
        <w:rPr>
          <w:rFonts w:asciiTheme="minorHAnsi" w:eastAsiaTheme="minorHAnsi" w:hAnsiTheme="minorHAnsi" w:cstheme="minorHAnsi"/>
          <w:sz w:val="22"/>
          <w:szCs w:val="22"/>
        </w:rPr>
      </w:pPr>
    </w:p>
    <w:p w14:paraId="1E61F173"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To prevent further escalation or long-term consequences, action is needed to end gender-based violence against women and girls. Ensuring that victims can access adequate support at this time of crisis, including in rural areas, should be one of the priorities. In April 2020, the Commission urged Member States to guarantee that their emergency responses to the outbreak took account of the needs of groups in disadvantaged situations, such as victims of domestic violence, in line with their obligations under EU law. The Commission also stressed the importance to allocate resources to relevant support and protection services, helplines, and shelters. </w:t>
      </w:r>
    </w:p>
    <w:p w14:paraId="2E789488" w14:textId="77777777" w:rsidR="005758B6" w:rsidRPr="00DB0C40" w:rsidRDefault="005758B6" w:rsidP="005758B6">
      <w:pPr>
        <w:jc w:val="both"/>
        <w:rPr>
          <w:rFonts w:asciiTheme="minorHAnsi" w:eastAsiaTheme="minorHAnsi" w:hAnsiTheme="minorHAnsi" w:cstheme="minorHAnsi"/>
          <w:sz w:val="22"/>
          <w:szCs w:val="22"/>
        </w:rPr>
      </w:pPr>
    </w:p>
    <w:p w14:paraId="62E6F162" w14:textId="7574CA1D" w:rsidR="005758B6" w:rsidRDefault="005758B6">
      <w:pPr>
        <w:pStyle w:val="ListParagraph"/>
        <w:keepNext/>
        <w:keepLines/>
        <w:numPr>
          <w:ilvl w:val="2"/>
          <w:numId w:val="42"/>
        </w:numPr>
        <w:spacing w:before="40"/>
        <w:outlineLvl w:val="1"/>
        <w:rPr>
          <w:rFonts w:asciiTheme="majorHAnsi" w:eastAsiaTheme="majorEastAsia" w:hAnsiTheme="majorHAnsi" w:cstheme="majorBidi"/>
          <w:color w:val="2F5496" w:themeColor="accent1" w:themeShade="BF"/>
          <w:sz w:val="26"/>
          <w:szCs w:val="26"/>
        </w:rPr>
      </w:pPr>
      <w:bookmarkStart w:id="41" w:name="_Toc92359069"/>
      <w:bookmarkStart w:id="42" w:name="_Hlk107136125"/>
      <w:r w:rsidRPr="00DB0C40">
        <w:rPr>
          <w:rFonts w:asciiTheme="majorHAnsi" w:eastAsiaTheme="majorEastAsia" w:hAnsiTheme="majorHAnsi" w:cstheme="majorBidi"/>
          <w:color w:val="2F5496" w:themeColor="accent1" w:themeShade="BF"/>
          <w:sz w:val="26"/>
          <w:szCs w:val="26"/>
        </w:rPr>
        <w:t>Promoting work – life balance and equal sharing of care responsibilities</w:t>
      </w:r>
      <w:bookmarkEnd w:id="41"/>
    </w:p>
    <w:p w14:paraId="1C7A9F2B" w14:textId="77777777" w:rsidR="00AE67F2" w:rsidRPr="00DB0C40" w:rsidRDefault="00AE67F2" w:rsidP="00AE67F2">
      <w:pPr>
        <w:pStyle w:val="ListParagraph"/>
        <w:keepNext/>
        <w:keepLines/>
        <w:spacing w:before="40"/>
        <w:outlineLvl w:val="1"/>
        <w:rPr>
          <w:rFonts w:asciiTheme="majorHAnsi" w:eastAsiaTheme="majorEastAsia" w:hAnsiTheme="majorHAnsi" w:cstheme="majorBidi"/>
          <w:color w:val="2F5496" w:themeColor="accent1" w:themeShade="BF"/>
          <w:sz w:val="26"/>
          <w:szCs w:val="26"/>
        </w:rPr>
      </w:pPr>
    </w:p>
    <w:bookmarkEnd w:id="42"/>
    <w:p w14:paraId="50C71D7C"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Achieving a healthy work–life balance, given women’s disproportionate share of care responsibilities, is associated with promoting and sustaining gender equality and women’s economic empowerment. </w:t>
      </w:r>
      <w:r w:rsidRPr="00DB0C40">
        <w:rPr>
          <w:rFonts w:asciiTheme="minorHAnsi" w:eastAsiaTheme="minorHAnsi" w:hAnsiTheme="minorHAnsi" w:cstheme="minorHAnsi"/>
          <w:position w:val="6"/>
          <w:sz w:val="22"/>
          <w:szCs w:val="22"/>
        </w:rPr>
        <w:footnoteReference w:id="17"/>
      </w:r>
    </w:p>
    <w:p w14:paraId="01C2F292" w14:textId="77777777" w:rsidR="005758B6" w:rsidRPr="00DB0C40" w:rsidRDefault="005758B6" w:rsidP="005758B6">
      <w:pPr>
        <w:jc w:val="both"/>
        <w:rPr>
          <w:rFonts w:asciiTheme="minorHAnsi" w:eastAsiaTheme="minorHAnsi" w:hAnsiTheme="minorHAnsi" w:cstheme="minorHAnsi"/>
          <w:sz w:val="22"/>
          <w:szCs w:val="22"/>
        </w:rPr>
      </w:pPr>
    </w:p>
    <w:p w14:paraId="2EE07A52"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lastRenderedPageBreak/>
        <w:t xml:space="preserve">Across the world, without exception, women do most of the unpaid care work: on average 76.2 per cent of the total number of hours devoted to such tasks. In no country in the world do people perform equal shares of unpaid care work. </w:t>
      </w:r>
    </w:p>
    <w:p w14:paraId="74C166DE" w14:textId="77777777" w:rsidR="005758B6" w:rsidRPr="00DB0C40" w:rsidRDefault="005758B6" w:rsidP="005758B6">
      <w:pPr>
        <w:jc w:val="both"/>
        <w:rPr>
          <w:rFonts w:asciiTheme="minorHAnsi" w:eastAsiaTheme="minorHAnsi" w:hAnsiTheme="minorHAnsi" w:cstheme="minorHAnsi"/>
          <w:sz w:val="22"/>
          <w:szCs w:val="22"/>
        </w:rPr>
      </w:pPr>
    </w:p>
    <w:p w14:paraId="3A9443A4"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Before the COVID-19 crisis, unpaid care work was a serious barrier to women’s labour force participation and one of the main obstacles to women moving into better-quality jobs. The pandemic is aggravating the penalties that women are facing in the labour force, as well as increasing decent work deficits and discrimination. Furthermore, when gender intersects with other personal characteristics, such as ethnicity, nationality, age, disability, migration or health status, there is a risk that inequalities among distinct groups of women will also increase.</w:t>
      </w:r>
    </w:p>
    <w:p w14:paraId="64F3C11E" w14:textId="77777777" w:rsidR="005758B6" w:rsidRPr="00DB0C40" w:rsidRDefault="005758B6" w:rsidP="005758B6">
      <w:pPr>
        <w:jc w:val="both"/>
        <w:rPr>
          <w:rFonts w:asciiTheme="minorHAnsi" w:eastAsiaTheme="minorHAnsi" w:hAnsiTheme="minorHAnsi" w:cstheme="minorHAnsi"/>
          <w:sz w:val="22"/>
          <w:szCs w:val="22"/>
        </w:rPr>
      </w:pPr>
    </w:p>
    <w:p w14:paraId="160F73A6" w14:textId="1220EA5A" w:rsidR="00AE67F2" w:rsidRDefault="00E94A0E" w:rsidP="005758B6">
      <w:pPr>
        <w:keepNext/>
        <w:keepLines/>
        <w:spacing w:before="40"/>
        <w:outlineLvl w:val="2"/>
        <w:rPr>
          <w:rFonts w:asciiTheme="majorHAnsi" w:eastAsiaTheme="majorEastAsia" w:hAnsiTheme="majorHAnsi" w:cstheme="majorBidi"/>
          <w:color w:val="1F3763" w:themeColor="accent1" w:themeShade="7F"/>
        </w:rPr>
      </w:pPr>
      <w:bookmarkStart w:id="43" w:name="_Toc92359070"/>
      <w:r w:rsidRPr="00DB0C40">
        <w:rPr>
          <w:rFonts w:asciiTheme="majorHAnsi" w:eastAsiaTheme="majorEastAsia" w:hAnsiTheme="majorHAnsi" w:cstheme="majorBidi"/>
          <w:color w:val="1F3763" w:themeColor="accent1" w:themeShade="7F"/>
        </w:rPr>
        <w:t>3.4.3</w:t>
      </w:r>
      <w:r w:rsidR="005758B6" w:rsidRPr="00DB0C40">
        <w:rPr>
          <w:rFonts w:asciiTheme="majorHAnsi" w:eastAsiaTheme="majorEastAsia" w:hAnsiTheme="majorHAnsi" w:cstheme="majorBidi"/>
          <w:color w:val="1F3763" w:themeColor="accent1" w:themeShade="7F"/>
        </w:rPr>
        <w:t>.</w:t>
      </w:r>
      <w:r w:rsidRPr="00DB0C40">
        <w:rPr>
          <w:rFonts w:asciiTheme="majorHAnsi" w:eastAsiaTheme="majorEastAsia" w:hAnsiTheme="majorHAnsi" w:cstheme="majorBidi"/>
          <w:color w:val="1F3763" w:themeColor="accent1" w:themeShade="7F"/>
        </w:rPr>
        <w:t xml:space="preserve">1 </w:t>
      </w:r>
      <w:bookmarkStart w:id="44" w:name="_Hlk107136160"/>
      <w:r w:rsidR="005758B6" w:rsidRPr="00DB0C40">
        <w:rPr>
          <w:rFonts w:asciiTheme="majorHAnsi" w:eastAsiaTheme="majorEastAsia" w:hAnsiTheme="majorHAnsi" w:cstheme="majorBidi"/>
          <w:color w:val="1F3763" w:themeColor="accent1" w:themeShade="7F"/>
        </w:rPr>
        <w:t>International Labour Standards and other key instruments</w:t>
      </w:r>
      <w:bookmarkEnd w:id="43"/>
    </w:p>
    <w:p w14:paraId="01006820" w14:textId="77777777" w:rsidR="00AE67F2" w:rsidRPr="00DB0C40" w:rsidRDefault="00AE67F2" w:rsidP="005758B6">
      <w:pPr>
        <w:keepNext/>
        <w:keepLines/>
        <w:spacing w:before="40"/>
        <w:outlineLvl w:val="2"/>
        <w:rPr>
          <w:rFonts w:asciiTheme="majorHAnsi" w:eastAsiaTheme="majorEastAsia" w:hAnsiTheme="majorHAnsi" w:cstheme="majorBidi"/>
          <w:color w:val="1F3763" w:themeColor="accent1" w:themeShade="7F"/>
        </w:rPr>
      </w:pPr>
    </w:p>
    <w:bookmarkEnd w:id="44"/>
    <w:p w14:paraId="3FF790B2" w14:textId="5EA04C67" w:rsidR="005758B6" w:rsidRPr="00DB0C40" w:rsidRDefault="005758B6">
      <w:pPr>
        <w:pStyle w:val="ListParagraph"/>
        <w:numPr>
          <w:ilvl w:val="0"/>
          <w:numId w:val="43"/>
        </w:num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Maternity protection is enshrined in fundamental human rights treaties, including the 1948 Universal Declaration of Human Rights (UDHR), the International Covenant on Economic, Social and Cultural Rights (ICESCR), 1966, and the Convention for the Elimination of All Forms of Discrimination against Women (CEDAW), 1979.</w:t>
      </w:r>
    </w:p>
    <w:p w14:paraId="1776E0D9" w14:textId="77777777" w:rsidR="005758B6" w:rsidRPr="00DB0C40" w:rsidRDefault="005758B6" w:rsidP="005758B6">
      <w:pPr>
        <w:jc w:val="both"/>
        <w:rPr>
          <w:rFonts w:asciiTheme="minorHAnsi" w:eastAsiaTheme="minorHAnsi" w:hAnsiTheme="minorHAnsi" w:cstheme="minorHAnsi"/>
          <w:sz w:val="22"/>
          <w:szCs w:val="22"/>
        </w:rPr>
      </w:pPr>
    </w:p>
    <w:p w14:paraId="469C92B0" w14:textId="469FE46F" w:rsidR="005758B6" w:rsidRPr="00DB0C40" w:rsidRDefault="005758B6">
      <w:pPr>
        <w:pStyle w:val="ListParagraph"/>
        <w:numPr>
          <w:ilvl w:val="0"/>
          <w:numId w:val="43"/>
        </w:num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Several international labour standards adopted by the ILO constituents touch on crucial elements that contribute to the achievement of a healthy work–family balance. The ILO’s first maternity protection convention, the Maternity Convention, 1919 (No. 3), was adopted soon after the organization’s founding in 1919, which is indicative of its centrality in advancing social justice. The more recent Maternity Protection Convention, 2000 (No. 183) aims to preserve the health of the mother and the new-born child, to provide economic and job security – including protection from dismissal and discrimination, maintenance of earnings and benefits during maternity, including breastfeeding, and the right to resume work after giving birth – and therefore to promote equal opportunities in employment and occupation for women. The Social Security (Minimum Standards) Convention, 1952 (No. 102) and the Social Protection Floors Recommendation, 2012 (No. 202) also aim to ensure income security related to maternity.10 Furthermore, the ILO Transition from the Informal to the Formal Economy Recommendation, 2015 (No. 204) recommends that maternity protection and affordable quality care services be extended to workers in the informal economy, as a means of “[promoting] gender equality in entrepreneurship and employment opportunities and [enabling] the transition to the formal economy”.</w:t>
      </w:r>
    </w:p>
    <w:p w14:paraId="7FB44A11" w14:textId="77777777" w:rsidR="005758B6" w:rsidRPr="00DB0C40" w:rsidRDefault="005758B6" w:rsidP="005758B6">
      <w:pPr>
        <w:jc w:val="both"/>
        <w:rPr>
          <w:rFonts w:asciiTheme="minorHAnsi" w:eastAsiaTheme="minorHAnsi" w:hAnsiTheme="minorHAnsi" w:cstheme="minorHAnsi"/>
          <w:sz w:val="22"/>
          <w:szCs w:val="22"/>
        </w:rPr>
      </w:pPr>
    </w:p>
    <w:p w14:paraId="428A701A" w14:textId="7F0B4811" w:rsidR="005758B6" w:rsidRPr="00DB0C40" w:rsidRDefault="005758B6">
      <w:pPr>
        <w:pStyle w:val="ListParagraph"/>
        <w:numPr>
          <w:ilvl w:val="0"/>
          <w:numId w:val="43"/>
        </w:num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ILO Workers with Family Responsibilities Convention, 1981 (No. 156) and related Recommendation No. 165 set out a number of rights and measures, including additional family leave, childcare and family services, and social security and working conditions provisions, to enable workers to reconcile their work and family life. These standards recognize the need to counter the stereotype that women are responsible for caring and to encourage the sharing of caring responsibilities between women and men, to the benefit of the health, equality, and job quality of all.</w:t>
      </w:r>
    </w:p>
    <w:p w14:paraId="53FB6E16" w14:textId="77777777" w:rsidR="005758B6" w:rsidRPr="00DB0C40" w:rsidRDefault="005758B6" w:rsidP="005758B6">
      <w:pPr>
        <w:jc w:val="both"/>
        <w:rPr>
          <w:rFonts w:asciiTheme="minorHAnsi" w:eastAsiaTheme="minorHAnsi" w:hAnsiTheme="minorHAnsi" w:cstheme="minorHAnsi"/>
          <w:sz w:val="22"/>
          <w:szCs w:val="22"/>
        </w:rPr>
      </w:pPr>
    </w:p>
    <w:p w14:paraId="6FBB1742" w14:textId="4E788656" w:rsidR="005758B6" w:rsidRPr="00DB0C40" w:rsidRDefault="005758B6">
      <w:pPr>
        <w:pStyle w:val="ListParagraph"/>
        <w:numPr>
          <w:ilvl w:val="0"/>
          <w:numId w:val="43"/>
        </w:num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Several EU Directives have defined and advanced a common floor of maternity protection and family responsibility provisions. These include, for instance, the Pregnant Workers Directive 1992, the Gender Equality Recast Directive 2006, and the Equal Treatment Directive 2010, which extended maternity protection rights to the self-employed. More recently, the Work–Life Balance </w:t>
      </w:r>
      <w:r w:rsidRPr="00DB0C40">
        <w:rPr>
          <w:rFonts w:asciiTheme="minorHAnsi" w:eastAsiaTheme="minorHAnsi" w:hAnsiTheme="minorHAnsi" w:cstheme="minorHAnsi"/>
          <w:sz w:val="22"/>
          <w:szCs w:val="22"/>
        </w:rPr>
        <w:lastRenderedPageBreak/>
        <w:t>Directive 2019 promotes work–life balance for working parents and other carers. It introduces paid paternity (10 days) and parental leave for all workers, with earmarked periods for each of the parents, carers’ leave, the right of workers with care responsibilities to request flexible working arrangements, and freedom from discrimination for carers taking advantage of these provisions.</w:t>
      </w:r>
    </w:p>
    <w:p w14:paraId="777833F0" w14:textId="77777777" w:rsidR="005758B6" w:rsidRPr="00DB0C40" w:rsidRDefault="005758B6" w:rsidP="005758B6">
      <w:pPr>
        <w:jc w:val="both"/>
        <w:rPr>
          <w:rFonts w:asciiTheme="minorHAnsi" w:eastAsiaTheme="minorHAnsi" w:hAnsiTheme="minorHAnsi" w:cstheme="minorHAnsi"/>
        </w:rPr>
      </w:pPr>
    </w:p>
    <w:p w14:paraId="596D6CDB" w14:textId="2A797A90" w:rsidR="005758B6" w:rsidRPr="00DB0C40" w:rsidRDefault="005758B6">
      <w:pPr>
        <w:pStyle w:val="ListParagraph"/>
        <w:keepNext/>
        <w:keepLines/>
        <w:numPr>
          <w:ilvl w:val="3"/>
          <w:numId w:val="44"/>
        </w:numPr>
        <w:spacing w:before="40"/>
        <w:outlineLvl w:val="2"/>
        <w:rPr>
          <w:rFonts w:asciiTheme="majorHAnsi" w:eastAsiaTheme="majorEastAsia" w:hAnsiTheme="majorHAnsi" w:cstheme="majorBidi"/>
          <w:color w:val="1F3763" w:themeColor="accent1" w:themeShade="7F"/>
        </w:rPr>
      </w:pPr>
      <w:bookmarkStart w:id="45" w:name="_Toc92359071"/>
      <w:bookmarkStart w:id="46" w:name="_Hlk107136199"/>
      <w:r w:rsidRPr="00DB0C40">
        <w:rPr>
          <w:rFonts w:asciiTheme="majorHAnsi" w:eastAsiaTheme="majorEastAsia" w:hAnsiTheme="majorHAnsi" w:cstheme="majorBidi"/>
          <w:color w:val="1F3763" w:themeColor="accent1" w:themeShade="7F"/>
        </w:rPr>
        <w:t>Some examples of national legal framework in European (Germany and Norway)</w:t>
      </w:r>
      <w:bookmarkEnd w:id="45"/>
      <w:r w:rsidRPr="00DB0C40">
        <w:rPr>
          <w:rFonts w:asciiTheme="majorHAnsi" w:eastAsiaTheme="majorEastAsia" w:hAnsiTheme="majorHAnsi" w:cstheme="majorBidi"/>
          <w:color w:val="1F3763" w:themeColor="accent1" w:themeShade="7F"/>
        </w:rPr>
        <w:t xml:space="preserve"> </w:t>
      </w:r>
    </w:p>
    <w:bookmarkEnd w:id="46"/>
    <w:p w14:paraId="53FFDF98" w14:textId="77777777" w:rsidR="002E58DF" w:rsidRPr="00DB0C40" w:rsidRDefault="002E58DF" w:rsidP="002E58DF">
      <w:pPr>
        <w:pStyle w:val="ListParagraph"/>
        <w:keepNext/>
        <w:keepLines/>
        <w:spacing w:before="40"/>
        <w:outlineLvl w:val="2"/>
        <w:rPr>
          <w:rFonts w:asciiTheme="majorHAnsi" w:eastAsiaTheme="majorEastAsia" w:hAnsiTheme="majorHAnsi" w:cstheme="majorBidi"/>
          <w:color w:val="1F3763" w:themeColor="accent1" w:themeShade="7F"/>
        </w:rPr>
      </w:pPr>
    </w:p>
    <w:p w14:paraId="55F5F256"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As care policies are crucial in ensuring that all people can realize their full economic and social potential, they need to be transformative, gender-responsive and human-rights based and be the primary responsibility of the State. The following are some of the measures that governments can adopt according to ILO: </w:t>
      </w:r>
    </w:p>
    <w:p w14:paraId="575EB2D8" w14:textId="77777777" w:rsidR="005758B6" w:rsidRPr="00DB0C40" w:rsidRDefault="005758B6">
      <w:pPr>
        <w:numPr>
          <w:ilvl w:val="1"/>
          <w:numId w:val="19"/>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Providing universal maternity protection and inclusive leave policies</w:t>
      </w:r>
    </w:p>
    <w:p w14:paraId="66FFEDFF" w14:textId="77777777" w:rsidR="005758B6" w:rsidRPr="00DB0C40" w:rsidRDefault="005758B6">
      <w:pPr>
        <w:numPr>
          <w:ilvl w:val="1"/>
          <w:numId w:val="19"/>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Expanding quality care services</w:t>
      </w:r>
    </w:p>
    <w:p w14:paraId="035A2E33" w14:textId="77777777" w:rsidR="005758B6" w:rsidRPr="00DB0C40" w:rsidRDefault="005758B6">
      <w:pPr>
        <w:numPr>
          <w:ilvl w:val="1"/>
          <w:numId w:val="19"/>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Guaranteeing gender-responsive social protection</w:t>
      </w:r>
    </w:p>
    <w:p w14:paraId="35AB16D8" w14:textId="77777777" w:rsidR="005758B6" w:rsidRPr="00DB0C40" w:rsidRDefault="005758B6">
      <w:pPr>
        <w:numPr>
          <w:ilvl w:val="1"/>
          <w:numId w:val="19"/>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Providing family-friendly working arrangements</w:t>
      </w:r>
    </w:p>
    <w:p w14:paraId="7F983EC5" w14:textId="77777777" w:rsidR="005758B6" w:rsidRPr="00DB0C40" w:rsidRDefault="005758B6">
      <w:pPr>
        <w:numPr>
          <w:ilvl w:val="1"/>
          <w:numId w:val="19"/>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Facilitating work attachment and reintegration</w:t>
      </w:r>
    </w:p>
    <w:p w14:paraId="0EAD17C3"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Between these measures, we consider particularly two:  basic principles of care-sensitive and gender-transformative leave schemes and the facilitation of work attachment and reintegration.</w:t>
      </w:r>
    </w:p>
    <w:p w14:paraId="217541A0" w14:textId="77777777" w:rsidR="005758B6" w:rsidRPr="00DB0C40" w:rsidRDefault="005758B6" w:rsidP="005758B6">
      <w:pPr>
        <w:jc w:val="both"/>
        <w:rPr>
          <w:rFonts w:asciiTheme="minorHAnsi" w:eastAsiaTheme="minorHAnsi" w:hAnsiTheme="minorHAnsi" w:cstheme="minorHAnsi"/>
          <w:sz w:val="22"/>
          <w:szCs w:val="22"/>
        </w:rPr>
      </w:pPr>
    </w:p>
    <w:p w14:paraId="2A6349EE"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Regarding the </w:t>
      </w:r>
      <w:bookmarkStart w:id="47" w:name="_Hlk82604910"/>
      <w:r w:rsidRPr="00DB0C40">
        <w:rPr>
          <w:rFonts w:asciiTheme="minorHAnsi" w:eastAsiaTheme="minorHAnsi" w:hAnsiTheme="minorHAnsi" w:cstheme="minorHAnsi"/>
          <w:i/>
          <w:iCs/>
          <w:sz w:val="22"/>
          <w:szCs w:val="22"/>
        </w:rPr>
        <w:t>basic principles of care-sensitive and gender-transformative leave schemes</w:t>
      </w:r>
      <w:bookmarkEnd w:id="47"/>
      <w:r w:rsidRPr="00DB0C40">
        <w:rPr>
          <w:rFonts w:asciiTheme="minorHAnsi" w:eastAsiaTheme="minorHAnsi" w:hAnsiTheme="minorHAnsi" w:cstheme="minorHAnsi"/>
          <w:sz w:val="22"/>
          <w:szCs w:val="22"/>
        </w:rPr>
        <w:t xml:space="preserve">, it is important to consider: </w:t>
      </w:r>
    </w:p>
    <w:p w14:paraId="3E17E8C8" w14:textId="77777777" w:rsidR="005758B6" w:rsidRPr="00DB0C40" w:rsidRDefault="005758B6" w:rsidP="005758B6">
      <w:pPr>
        <w:jc w:val="both"/>
        <w:rPr>
          <w:rFonts w:asciiTheme="minorHAnsi" w:eastAsiaTheme="minorHAnsi" w:hAnsiTheme="minorHAnsi" w:cstheme="minorHAnsi"/>
          <w:sz w:val="22"/>
          <w:szCs w:val="22"/>
        </w:rPr>
      </w:pPr>
    </w:p>
    <w:p w14:paraId="364A18C6"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w:t>
      </w:r>
      <w:r w:rsidRPr="00DB0C40">
        <w:rPr>
          <w:rFonts w:asciiTheme="minorHAnsi" w:eastAsiaTheme="minorHAnsi" w:hAnsiTheme="minorHAnsi" w:cstheme="minorHAnsi"/>
          <w:sz w:val="22"/>
          <w:szCs w:val="22"/>
        </w:rPr>
        <w:tab/>
        <w:t>Ensure mothers are granted at least 14 weeks of leave paid at a rate of at least two-thirds of previous earnings according to Convention No. 183, or up to 18 weeks at one hundred per cent according to Recommendation No. 191.</w:t>
      </w:r>
    </w:p>
    <w:p w14:paraId="53A52EC8"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w:t>
      </w:r>
      <w:r w:rsidRPr="00DB0C40">
        <w:rPr>
          <w:rFonts w:asciiTheme="minorHAnsi" w:eastAsiaTheme="minorHAnsi" w:hAnsiTheme="minorHAnsi" w:cstheme="minorHAnsi"/>
          <w:sz w:val="22"/>
          <w:szCs w:val="22"/>
        </w:rPr>
        <w:tab/>
        <w:t>Ensure that fathers have access to compulsory paid parental leave for a meaningful period.</w:t>
      </w:r>
    </w:p>
    <w:p w14:paraId="03009A1C"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w:t>
      </w:r>
      <w:r w:rsidRPr="00DB0C40">
        <w:rPr>
          <w:rFonts w:asciiTheme="minorHAnsi" w:eastAsiaTheme="minorHAnsi" w:hAnsiTheme="minorHAnsi" w:cstheme="minorHAnsi"/>
          <w:sz w:val="22"/>
          <w:szCs w:val="22"/>
        </w:rPr>
        <w:tab/>
        <w:t>Ensure that a sizeable amount of parental leave is reserved for the father and cannot be transferred to the mother.</w:t>
      </w:r>
    </w:p>
    <w:p w14:paraId="4924C36B"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w:t>
      </w:r>
      <w:r w:rsidRPr="00DB0C40">
        <w:rPr>
          <w:rFonts w:asciiTheme="minorHAnsi" w:eastAsiaTheme="minorHAnsi" w:hAnsiTheme="minorHAnsi" w:cstheme="minorHAnsi"/>
          <w:sz w:val="22"/>
          <w:szCs w:val="22"/>
        </w:rPr>
        <w:tab/>
        <w:t>Ensure that other forms of leave, such as adoption leave or leave to care for disabled or sick children, adult, or older family members, are granted.</w:t>
      </w:r>
    </w:p>
    <w:p w14:paraId="2269AFE6"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w:t>
      </w:r>
      <w:r w:rsidRPr="00DB0C40">
        <w:rPr>
          <w:rFonts w:asciiTheme="minorHAnsi" w:eastAsiaTheme="minorHAnsi" w:hAnsiTheme="minorHAnsi" w:cstheme="minorHAnsi"/>
          <w:sz w:val="22"/>
          <w:szCs w:val="22"/>
        </w:rPr>
        <w:tab/>
        <w:t>Ensure that periods of leave are paid and that benefits correspond at least to two-thirds of previous earnings.</w:t>
      </w:r>
    </w:p>
    <w:p w14:paraId="4B8DD4BC"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w:t>
      </w:r>
      <w:r w:rsidRPr="00DB0C40">
        <w:rPr>
          <w:rFonts w:asciiTheme="minorHAnsi" w:eastAsiaTheme="minorHAnsi" w:hAnsiTheme="minorHAnsi" w:cstheme="minorHAnsi"/>
          <w:sz w:val="22"/>
          <w:szCs w:val="22"/>
        </w:rPr>
        <w:tab/>
        <w:t>Ensure that cash and medical benefits during leave are financed through collectively financed mechanisms, such as compulsory social insurance or public funds, and avoid direct costs for employers (“employer liability”).</w:t>
      </w:r>
    </w:p>
    <w:p w14:paraId="1B270365"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w:t>
      </w:r>
      <w:r w:rsidRPr="00DB0C40">
        <w:rPr>
          <w:rFonts w:asciiTheme="minorHAnsi" w:eastAsiaTheme="minorHAnsi" w:hAnsiTheme="minorHAnsi" w:cstheme="minorHAnsi"/>
          <w:sz w:val="22"/>
          <w:szCs w:val="22"/>
        </w:rPr>
        <w:tab/>
        <w:t>Ensure employment protection during leave and guarantee the right to return to the same or an equivalent position.</w:t>
      </w:r>
    </w:p>
    <w:p w14:paraId="42B9FE07"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w:t>
      </w:r>
      <w:r w:rsidRPr="00DB0C40">
        <w:rPr>
          <w:rFonts w:asciiTheme="minorHAnsi" w:eastAsiaTheme="minorHAnsi" w:hAnsiTheme="minorHAnsi" w:cstheme="minorHAnsi"/>
          <w:sz w:val="22"/>
          <w:szCs w:val="22"/>
        </w:rPr>
        <w:tab/>
        <w:t>Ensure that time spent on leave is credited for social insurance contributions and pension entitlements.</w:t>
      </w:r>
    </w:p>
    <w:p w14:paraId="74531F31"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w:t>
      </w:r>
      <w:r w:rsidRPr="00DB0C40">
        <w:rPr>
          <w:rFonts w:asciiTheme="minorHAnsi" w:eastAsiaTheme="minorHAnsi" w:hAnsiTheme="minorHAnsi" w:cstheme="minorHAnsi"/>
          <w:sz w:val="22"/>
          <w:szCs w:val="22"/>
        </w:rPr>
        <w:tab/>
        <w:t>Ensure universal access to leave rights and benefits, including for those workers in the informal economy.</w:t>
      </w:r>
    </w:p>
    <w:p w14:paraId="33E09409" w14:textId="77777777" w:rsidR="005758B6" w:rsidRPr="00A45334" w:rsidRDefault="005758B6" w:rsidP="005758B6">
      <w:pPr>
        <w:jc w:val="center"/>
        <w:rPr>
          <w:rFonts w:asciiTheme="minorHAnsi" w:eastAsiaTheme="minorHAnsi" w:hAnsiTheme="minorHAnsi" w:cstheme="minorHAnsi"/>
          <w:sz w:val="18"/>
          <w:szCs w:val="18"/>
        </w:rPr>
      </w:pPr>
      <w:r w:rsidRPr="00A45334">
        <w:rPr>
          <w:rFonts w:asciiTheme="minorHAnsi" w:eastAsiaTheme="minorHAnsi" w:hAnsiTheme="minorHAnsi" w:cstheme="minorHAnsi"/>
          <w:sz w:val="18"/>
          <w:szCs w:val="18"/>
        </w:rPr>
        <w:t>Source: ILO, Care Work and Care Jobs for the Future of Decent Work, 2018, page 312.</w:t>
      </w:r>
    </w:p>
    <w:p w14:paraId="499BF336" w14:textId="77777777" w:rsidR="005758B6" w:rsidRPr="00A45334" w:rsidRDefault="005758B6" w:rsidP="005758B6">
      <w:pPr>
        <w:jc w:val="center"/>
        <w:rPr>
          <w:rFonts w:asciiTheme="minorHAnsi" w:eastAsiaTheme="minorHAnsi" w:hAnsiTheme="minorHAnsi" w:cstheme="minorHAnsi"/>
          <w:sz w:val="18"/>
          <w:szCs w:val="18"/>
        </w:rPr>
      </w:pPr>
    </w:p>
    <w:p w14:paraId="7ECE4591"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Regarding the facilitation of work attachment and reintegration, it is important to consider that women are more likely to take parental leave and quit their jobs due to family responsibilities than men. Their disproportionate share of unpaid care work makes it more difficult for them to recover from long-term </w:t>
      </w:r>
      <w:r w:rsidRPr="00DB0C40">
        <w:rPr>
          <w:rFonts w:asciiTheme="minorHAnsi" w:eastAsiaTheme="minorHAnsi" w:hAnsiTheme="minorHAnsi" w:cstheme="minorHAnsi"/>
          <w:sz w:val="22"/>
          <w:szCs w:val="22"/>
        </w:rPr>
        <w:lastRenderedPageBreak/>
        <w:t>family leaves and career breaks, which may result in loss of skills and expertise and deprive companies and society of much-needed talent. Policies that support the permanence or reintegration of workers with family responsibilities are essential to address “motherhood penalties” and strengthen women’s attachment to the labour market.</w:t>
      </w:r>
    </w:p>
    <w:p w14:paraId="4A4FBB8B" w14:textId="77777777" w:rsidR="005758B6" w:rsidRPr="00DB0C40" w:rsidRDefault="005758B6" w:rsidP="005758B6">
      <w:pPr>
        <w:jc w:val="both"/>
        <w:rPr>
          <w:rFonts w:asciiTheme="minorHAnsi" w:eastAsiaTheme="minorHAnsi" w:hAnsiTheme="minorHAnsi" w:cstheme="minorHAnsi"/>
          <w:sz w:val="22"/>
          <w:szCs w:val="22"/>
        </w:rPr>
      </w:pPr>
    </w:p>
    <w:p w14:paraId="6FDAA4AD"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In line with the ILO Workers with Family responsibilities Recommendation, 1981 (No. 165), governments could set up or sponsor return-to-work or vocational training programmes and facilities that offer readily accessible and affordable services, such as “vocational guidance, counselling, information and placement services which are staffed by suitably trained personnel and are able to respond adequately to the special needs of workers with family responsibilities”. </w:t>
      </w:r>
    </w:p>
    <w:p w14:paraId="31EC713E" w14:textId="77777777" w:rsidR="005758B6" w:rsidRPr="00DB0C40" w:rsidRDefault="005758B6" w:rsidP="005758B6">
      <w:pPr>
        <w:jc w:val="both"/>
        <w:rPr>
          <w:rFonts w:asciiTheme="minorHAnsi" w:eastAsiaTheme="minorHAnsi" w:hAnsiTheme="minorHAnsi" w:cstheme="minorHAnsi"/>
          <w:sz w:val="22"/>
          <w:szCs w:val="22"/>
        </w:rPr>
      </w:pPr>
    </w:p>
    <w:p w14:paraId="56C11CAE" w14:textId="77777777" w:rsidR="005758B6" w:rsidRPr="00DB0C40" w:rsidRDefault="005758B6" w:rsidP="005758B6">
      <w:pPr>
        <w:jc w:val="both"/>
        <w:rPr>
          <w:rFonts w:asciiTheme="minorHAnsi" w:eastAsiaTheme="minorHAnsi" w:hAnsiTheme="minorHAnsi" w:cstheme="minorHAnsi"/>
          <w:sz w:val="22"/>
          <w:szCs w:val="22"/>
        </w:rPr>
      </w:pPr>
    </w:p>
    <w:p w14:paraId="49763227"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b/>
          <w:bCs/>
          <w:sz w:val="22"/>
          <w:szCs w:val="22"/>
        </w:rPr>
      </w:pPr>
      <w:r w:rsidRPr="00DB0C40">
        <w:rPr>
          <w:rFonts w:asciiTheme="minorHAnsi" w:eastAsiaTheme="minorHAnsi" w:hAnsiTheme="minorHAnsi" w:cstheme="minorHAnsi"/>
          <w:b/>
          <w:bCs/>
          <w:sz w:val="22"/>
          <w:szCs w:val="22"/>
        </w:rPr>
        <w:t>Germany: Leave policies, return-to-work programmes, and care services</w:t>
      </w:r>
      <w:r w:rsidRPr="00DB0C40">
        <w:rPr>
          <w:rFonts w:ascii="TimesNewRomanPS" w:eastAsiaTheme="minorHAnsi" w:hAnsi="TimesNewRomanPS" w:cstheme="minorHAnsi"/>
          <w:b/>
          <w:bCs/>
          <w:position w:val="6"/>
          <w:sz w:val="16"/>
          <w:szCs w:val="22"/>
        </w:rPr>
        <w:footnoteReference w:id="18"/>
      </w:r>
    </w:p>
    <w:p w14:paraId="566ECE12"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p>
    <w:p w14:paraId="73E46273"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Germany has implemented leave policies designed with the stated goals of giving parents more time for family life, establishing a healthy balance between family and work, promoting shared parenting, and ensuring the livelihood of mothers. The Maternity Protection Act, amended in 2017, extends parental leave (14 weeks at full pay) to students. Mothers who give birth to a child with disabilities are granted a longer leave period, while extended protections are afforded to mothers who miscarry. The law also mandates workplace risk assessments to identify potential hazards for expectant mothers and provides for two paid 30-minute nursing breaks, or one consecutive hour, every day.</w:t>
      </w:r>
    </w:p>
    <w:p w14:paraId="1BA1D4C9"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p>
    <w:p w14:paraId="2A6CD200"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Parents are entitled to receive parental leave benefits until the child’s third birthday and may resume work under their original employment contract on return from leave. Parental leave can be taken by the mother or the father, or by both parents. In 2015, Germany introduced the Parental Allowance Plus, which offers financial incentives for the parents to share parental leave and employment together. The Parental Allowance is paid for up to 14 months if both parents take parental leave (12 months if only one parent takes it). It amounts to 67 per cent of prior earnings (up to a maximum of €1,800). With the addition of the Partnership Bonus, parents can also receive an extra four months if both parents work 25–30 hours per week. Since 2008, the share of fathers who take parental leave (minimum of two months) has increased from 7 to 36 per cent.</w:t>
      </w:r>
    </w:p>
    <w:p w14:paraId="2BC11F92"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p>
    <w:p w14:paraId="2AE4E827"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As a follow-up to the G20 Employment Plan, adopted under the Australian G20 presidency, Germany has set itself the goal of increasing female labour force participation. In 2015, it launched the “</w:t>
      </w:r>
      <w:proofErr w:type="spellStart"/>
      <w:r w:rsidRPr="00DB0C40">
        <w:rPr>
          <w:rFonts w:asciiTheme="minorHAnsi" w:eastAsiaTheme="minorHAnsi" w:hAnsiTheme="minorHAnsi" w:cstheme="minorHAnsi"/>
          <w:sz w:val="22"/>
          <w:szCs w:val="22"/>
        </w:rPr>
        <w:t>Programm</w:t>
      </w:r>
      <w:proofErr w:type="spellEnd"/>
      <w:r w:rsidRPr="00DB0C40">
        <w:rPr>
          <w:rFonts w:asciiTheme="minorHAnsi" w:eastAsiaTheme="minorHAnsi" w:hAnsiTheme="minorHAnsi" w:cstheme="minorHAnsi"/>
          <w:sz w:val="22"/>
          <w:szCs w:val="22"/>
        </w:rPr>
        <w:t xml:space="preserve"> </w:t>
      </w:r>
      <w:proofErr w:type="spellStart"/>
      <w:r w:rsidRPr="00DB0C40">
        <w:rPr>
          <w:rFonts w:asciiTheme="minorHAnsi" w:eastAsiaTheme="minorHAnsi" w:hAnsiTheme="minorHAnsi" w:cstheme="minorHAnsi"/>
          <w:sz w:val="22"/>
          <w:szCs w:val="22"/>
        </w:rPr>
        <w:t>Perspektive</w:t>
      </w:r>
      <w:proofErr w:type="spellEnd"/>
      <w:r w:rsidRPr="00DB0C40">
        <w:rPr>
          <w:rFonts w:asciiTheme="minorHAnsi" w:eastAsiaTheme="minorHAnsi" w:hAnsiTheme="minorHAnsi" w:cstheme="minorHAnsi"/>
          <w:sz w:val="22"/>
          <w:szCs w:val="22"/>
        </w:rPr>
        <w:t xml:space="preserve"> </w:t>
      </w:r>
      <w:proofErr w:type="spellStart"/>
      <w:r w:rsidRPr="00DB0C40">
        <w:rPr>
          <w:rFonts w:asciiTheme="minorHAnsi" w:eastAsiaTheme="minorHAnsi" w:hAnsiTheme="minorHAnsi" w:cstheme="minorHAnsi"/>
          <w:sz w:val="22"/>
          <w:szCs w:val="22"/>
        </w:rPr>
        <w:t>Wiedereinstieg</w:t>
      </w:r>
      <w:proofErr w:type="spellEnd"/>
      <w:r w:rsidRPr="00DB0C40">
        <w:rPr>
          <w:rFonts w:asciiTheme="minorHAnsi" w:eastAsiaTheme="minorHAnsi" w:hAnsiTheme="minorHAnsi" w:cstheme="minorHAnsi"/>
          <w:sz w:val="22"/>
          <w:szCs w:val="22"/>
        </w:rPr>
        <w:t>”, a return-to-work programme for individuals who are taking a family-related break from employment. The programme is funded by the European Social Fund and offers career counselling, skills training, networking, and household support services in twenty-two locations and on-line. Since its launch, 6,300 women have joined and 36.5 per cent of them have already entered the labour market. To highlight its success, the programme has a portal publishing testimonies and good practices, along with resources and tips.66 The Federal government has also introduced a “Good early- childhood education and care” programme, allocating €5.5 billion over the period 2019- 2022 to improve the provision and quality of day care for children.</w:t>
      </w:r>
    </w:p>
    <w:p w14:paraId="2AAAD7EB"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p>
    <w:p w14:paraId="772A0B3D"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Since 28 per cent of mothers in Germany are migrants, and 48 per cent of them are unemployed, the Government has established another return-to-work programme, also funded by the European Social </w:t>
      </w:r>
      <w:r w:rsidRPr="00DB0C40">
        <w:rPr>
          <w:rFonts w:asciiTheme="minorHAnsi" w:eastAsiaTheme="minorHAnsi" w:hAnsiTheme="minorHAnsi" w:cstheme="minorHAnsi"/>
          <w:sz w:val="22"/>
          <w:szCs w:val="22"/>
        </w:rPr>
        <w:lastRenderedPageBreak/>
        <w:t>Fund, which caters specifically to migrant mothers. The programme, entitled “Strong at work – mothers with a migration background are entering the labour market,” is run at 90 locations nationwide and provides language and skills training, as well as counselling. Since its inception in 2015, two-thirds of participants have found some form of employment opportunity.</w:t>
      </w:r>
    </w:p>
    <w:p w14:paraId="22FE1E32" w14:textId="77777777" w:rsidR="005758B6" w:rsidRPr="00DB0C40" w:rsidRDefault="005758B6" w:rsidP="005758B6">
      <w:pPr>
        <w:jc w:val="both"/>
        <w:rPr>
          <w:rFonts w:asciiTheme="minorHAnsi" w:eastAsiaTheme="minorHAnsi" w:hAnsiTheme="minorHAnsi" w:cstheme="minorHAnsi"/>
          <w:sz w:val="22"/>
          <w:szCs w:val="22"/>
        </w:rPr>
      </w:pPr>
    </w:p>
    <w:p w14:paraId="09D92189" w14:textId="77777777" w:rsidR="005758B6" w:rsidRPr="00DB0C40" w:rsidRDefault="005758B6" w:rsidP="005758B6">
      <w:pPr>
        <w:jc w:val="both"/>
        <w:rPr>
          <w:rFonts w:asciiTheme="minorHAnsi" w:eastAsiaTheme="minorHAnsi" w:hAnsiTheme="minorHAnsi" w:cstheme="minorHAnsi"/>
          <w:sz w:val="22"/>
          <w:szCs w:val="22"/>
        </w:rPr>
      </w:pPr>
    </w:p>
    <w:p w14:paraId="69E82F2D" w14:textId="77777777" w:rsidR="005758B6" w:rsidRPr="00DB0C40" w:rsidRDefault="005758B6" w:rsidP="005758B6">
      <w:pPr>
        <w:jc w:val="both"/>
        <w:rPr>
          <w:rFonts w:asciiTheme="minorHAnsi" w:eastAsiaTheme="minorHAnsi" w:hAnsiTheme="minorHAnsi" w:cstheme="minorHAnsi"/>
          <w:sz w:val="22"/>
          <w:szCs w:val="22"/>
        </w:rPr>
      </w:pPr>
    </w:p>
    <w:p w14:paraId="0B66CA36"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b/>
          <w:bCs/>
          <w:sz w:val="22"/>
          <w:szCs w:val="22"/>
        </w:rPr>
      </w:pPr>
      <w:r w:rsidRPr="00DB0C40">
        <w:rPr>
          <w:rFonts w:asciiTheme="minorHAnsi" w:eastAsiaTheme="minorHAnsi" w:hAnsiTheme="minorHAnsi" w:cstheme="minorHAnsi"/>
          <w:b/>
          <w:bCs/>
          <w:sz w:val="22"/>
          <w:szCs w:val="22"/>
        </w:rPr>
        <w:t>Parental leaves in Norway</w:t>
      </w:r>
    </w:p>
    <w:p w14:paraId="01682C93"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Norway offers generous parental leave of either 49 weeks at one hundred per cent of previous earnings or 59 weeks at 80 per cent, up to a fixed ceiling. When employees are covered under a collective agreement, the employer pays the difference between their wages and this cap. Parental leave benefits are funded by social insurance or general taxation in the case of non-employed women, who receive a flat-rate payment of €7,894 per child.76 Self- employed workers are eligible for the same leave benefits as employees, as are same-sex parents.</w:t>
      </w:r>
    </w:p>
    <w:p w14:paraId="1482A44D"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p>
    <w:p w14:paraId="72E5C77B"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This system is the result of a 2013 reform designed to increase men’s take-up of leave by introducing an individual, earmarked, and non-transferable right to well-paid leave for fathers. A quota of 15 weeks’ leave paid at one hundred per cent (or 19 weeks at 80 per cent) is reserved separately for mothers and for fathers on a “use it or lose it” basis. The remaining weeks are a family entitlement that can be taken as a single block of time, on a part-time basis, or split into shorter blocks of time within a three-year period.</w:t>
      </w:r>
    </w:p>
    <w:p w14:paraId="7422B726"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p>
    <w:p w14:paraId="72D91FF7"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introduction of a “father’s’ quota” significantly increased the take-up of leave by fathers, from 4 to 90 per cent in 2019. While the length of the father’s entitlement has varied over the last decade, most fathers (seven out of ten) have taken exactly the number of weeks corresponding to the father’s quota, regardless of its length. The results of this experiment show that policy design is important and can change social norms and behaviours in less than a generation. When fathers, including managers, had the experience of being “irreplaceable” in caring for their child during parental leave, “this contributed to turning leave-taking into a norm of modern fathering.”</w:t>
      </w:r>
    </w:p>
    <w:p w14:paraId="0EAC4DFB" w14:textId="77777777" w:rsidR="005758B6" w:rsidRPr="00DB0C40" w:rsidRDefault="005758B6" w:rsidP="005758B6">
      <w:pPr>
        <w:rPr>
          <w:rFonts w:asciiTheme="minorHAnsi" w:eastAsiaTheme="minorHAnsi" w:hAnsiTheme="minorHAnsi" w:cstheme="minorHAnsi"/>
          <w:b/>
          <w:bCs/>
          <w:sz w:val="22"/>
          <w:szCs w:val="22"/>
        </w:rPr>
      </w:pPr>
    </w:p>
    <w:p w14:paraId="4E2CCF36" w14:textId="224A2BB5" w:rsidR="006667C7" w:rsidRPr="00BF6983" w:rsidRDefault="005758B6">
      <w:pPr>
        <w:pStyle w:val="ListParagraph"/>
        <w:keepNext/>
        <w:keepLines/>
        <w:numPr>
          <w:ilvl w:val="3"/>
          <w:numId w:val="44"/>
        </w:numPr>
        <w:spacing w:before="40"/>
        <w:outlineLvl w:val="2"/>
        <w:rPr>
          <w:rFonts w:asciiTheme="majorHAnsi" w:eastAsiaTheme="majorEastAsia" w:hAnsiTheme="majorHAnsi" w:cstheme="majorBidi"/>
          <w:color w:val="1F3763" w:themeColor="accent1" w:themeShade="7F"/>
        </w:rPr>
      </w:pPr>
      <w:bookmarkStart w:id="48" w:name="_Toc92359072"/>
      <w:r w:rsidRPr="00DB0C40">
        <w:rPr>
          <w:rFonts w:asciiTheme="majorHAnsi" w:eastAsiaTheme="majorEastAsia" w:hAnsiTheme="majorHAnsi" w:cstheme="majorBidi"/>
          <w:color w:val="1F3763" w:themeColor="accent1" w:themeShade="7F"/>
        </w:rPr>
        <w:t xml:space="preserve">Laws and </w:t>
      </w:r>
      <w:r w:rsidR="00AE67F2">
        <w:rPr>
          <w:rFonts w:asciiTheme="majorHAnsi" w:eastAsiaTheme="majorEastAsia" w:hAnsiTheme="majorHAnsi" w:cstheme="majorBidi"/>
          <w:color w:val="1F3763" w:themeColor="accent1" w:themeShade="7F"/>
        </w:rPr>
        <w:t>P</w:t>
      </w:r>
      <w:r w:rsidRPr="00DB0C40">
        <w:rPr>
          <w:rFonts w:asciiTheme="majorHAnsi" w:eastAsiaTheme="majorEastAsia" w:hAnsiTheme="majorHAnsi" w:cstheme="majorBidi"/>
          <w:color w:val="1F3763" w:themeColor="accent1" w:themeShade="7F"/>
        </w:rPr>
        <w:t>olicies during COVID</w:t>
      </w:r>
      <w:bookmarkEnd w:id="48"/>
      <w:r w:rsidR="006667C7">
        <w:rPr>
          <w:rFonts w:asciiTheme="majorHAnsi" w:eastAsiaTheme="majorEastAsia" w:hAnsiTheme="majorHAnsi" w:cstheme="majorBidi"/>
          <w:color w:val="1F3763" w:themeColor="accent1" w:themeShade="7F"/>
        </w:rPr>
        <w:t xml:space="preserve"> </w:t>
      </w:r>
      <w:r w:rsidR="006667C7" w:rsidRPr="00BF6983">
        <w:rPr>
          <w:rFonts w:asciiTheme="majorHAnsi" w:eastAsiaTheme="majorEastAsia" w:hAnsiTheme="majorHAnsi" w:cstheme="majorBidi"/>
          <w:color w:val="1F3763" w:themeColor="accent1" w:themeShade="7F"/>
        </w:rPr>
        <w:t>related to promoting work – life balance and equal sharing of care responsibilities</w:t>
      </w:r>
    </w:p>
    <w:p w14:paraId="0338446B" w14:textId="28163970" w:rsidR="005758B6" w:rsidRPr="006667C7" w:rsidRDefault="005758B6" w:rsidP="006667C7">
      <w:pPr>
        <w:keepNext/>
        <w:keepLines/>
        <w:spacing w:before="40"/>
        <w:outlineLvl w:val="2"/>
        <w:rPr>
          <w:rFonts w:asciiTheme="majorHAnsi" w:eastAsiaTheme="majorEastAsia" w:hAnsiTheme="majorHAnsi" w:cstheme="majorBidi"/>
          <w:color w:val="1F3763" w:themeColor="accent1" w:themeShade="7F"/>
        </w:rPr>
      </w:pPr>
    </w:p>
    <w:p w14:paraId="23FE752D" w14:textId="77777777" w:rsidR="002E58DF" w:rsidRPr="00DB0C40" w:rsidRDefault="002E58DF" w:rsidP="002E58DF">
      <w:pPr>
        <w:keepNext/>
        <w:keepLines/>
        <w:spacing w:before="40"/>
        <w:outlineLvl w:val="2"/>
        <w:rPr>
          <w:rFonts w:asciiTheme="majorHAnsi" w:eastAsiaTheme="majorEastAsia" w:hAnsiTheme="majorHAnsi" w:cstheme="majorBidi"/>
          <w:color w:val="1F3763" w:themeColor="accent1" w:themeShade="7F"/>
        </w:rPr>
      </w:pPr>
    </w:p>
    <w:p w14:paraId="20A5731F"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COVID-19 pandemic and related economic crisis are exacerbating gender inequalities in the sharing of unpaid care work. The closure of childcare centres and schools (affecting over one billion children across the world in the first half of 2020 and continuing in some countries), social distancing from relatives and home care workers, the heightened care needs of older and ill persons, and housework intensified by economic and service disruptions are disproportionally affecting women.</w:t>
      </w:r>
    </w:p>
    <w:p w14:paraId="063E333A" w14:textId="77777777" w:rsidR="005758B6" w:rsidRPr="00DB0C40" w:rsidRDefault="005758B6" w:rsidP="005758B6">
      <w:pPr>
        <w:jc w:val="both"/>
        <w:rPr>
          <w:rFonts w:asciiTheme="minorHAnsi" w:eastAsiaTheme="minorHAnsi" w:hAnsiTheme="minorHAnsi" w:cstheme="minorHAnsi"/>
          <w:sz w:val="22"/>
          <w:szCs w:val="22"/>
        </w:rPr>
      </w:pPr>
    </w:p>
    <w:p w14:paraId="1B3FDCB6"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Single parents, women with limited earnings and savings, those holding insecure jobs in the informal economy and small enterprises, who typically lack social and labour protection coverage, are among those who suffer the highest impacts. The World Bank estimates that, because of school closures, individuals in high-income countries could experience an earnings gap of USD21,158 (nearly USD5 trillion for the whole group), bringing about a drop in GDP of up to 9 per cent.</w:t>
      </w:r>
    </w:p>
    <w:p w14:paraId="7C030522" w14:textId="77777777" w:rsidR="005758B6" w:rsidRPr="00DB0C40" w:rsidRDefault="005758B6" w:rsidP="005758B6">
      <w:pPr>
        <w:jc w:val="both"/>
        <w:rPr>
          <w:rFonts w:asciiTheme="minorHAnsi" w:eastAsiaTheme="minorHAnsi" w:hAnsiTheme="minorHAnsi" w:cstheme="minorHAnsi"/>
          <w:sz w:val="22"/>
          <w:szCs w:val="22"/>
        </w:rPr>
      </w:pPr>
    </w:p>
    <w:p w14:paraId="1AE8F372"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The findings of one of the most comprehensive surveys of workers and men, conducted during the pandemic in Canada and the US, indicate that one in four women are considering leaving their jobs, cutting </w:t>
      </w:r>
      <w:r w:rsidRPr="00DB0C40">
        <w:rPr>
          <w:rFonts w:asciiTheme="minorHAnsi" w:eastAsiaTheme="minorHAnsi" w:hAnsiTheme="minorHAnsi" w:cstheme="minorHAnsi"/>
          <w:sz w:val="22"/>
          <w:szCs w:val="22"/>
        </w:rPr>
        <w:lastRenderedPageBreak/>
        <w:t>back hours, or scaling back work because of the pandemic, at least temporarily. Among women with young children, the struggle is especially acute, with one in three mothers considering scaling back or quitting altogether – compared with 11 per cent of fathers. Black women have faced major challenges due to the health impact of the pandemic.</w:t>
      </w:r>
    </w:p>
    <w:p w14:paraId="75D02D42" w14:textId="77777777" w:rsidR="005758B6" w:rsidRPr="00DB0C40" w:rsidRDefault="005758B6" w:rsidP="005758B6">
      <w:pPr>
        <w:jc w:val="both"/>
        <w:rPr>
          <w:rFonts w:asciiTheme="minorHAnsi" w:eastAsiaTheme="minorHAnsi" w:hAnsiTheme="minorHAnsi" w:cstheme="minorHAnsi"/>
          <w:sz w:val="22"/>
          <w:szCs w:val="22"/>
        </w:rPr>
      </w:pPr>
    </w:p>
    <w:p w14:paraId="4E653CCE"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A </w:t>
      </w:r>
      <w:proofErr w:type="spellStart"/>
      <w:r w:rsidRPr="00DB0C40">
        <w:rPr>
          <w:rFonts w:asciiTheme="minorHAnsi" w:eastAsiaTheme="minorHAnsi" w:hAnsiTheme="minorHAnsi" w:cstheme="minorHAnsi"/>
          <w:sz w:val="22"/>
          <w:szCs w:val="22"/>
        </w:rPr>
        <w:t>Eurofound</w:t>
      </w:r>
      <w:proofErr w:type="spellEnd"/>
      <w:r w:rsidRPr="00DB0C40">
        <w:rPr>
          <w:rFonts w:asciiTheme="minorHAnsi" w:eastAsiaTheme="minorHAnsi" w:hAnsiTheme="minorHAnsi" w:cstheme="minorHAnsi"/>
          <w:sz w:val="22"/>
          <w:szCs w:val="22"/>
        </w:rPr>
        <w:t xml:space="preserve"> survey also confirmed a general deterioration in work–life balance among workers in Europe. This trend was particularly marked among mothers of children under 12 years old, even though in most countries men slightly increased their participation in unpaid care work as compared to the pre-lockdown situation. 30 per cent of these women found it hard to concentrate on their work, as compared with 16 per cent of men. Work is also impinging on family life, with 32 per cent of young mothers reporting that during lockdowns their job prevents them from giving sufficient time to their family, as against 25 per cent of men.</w:t>
      </w:r>
    </w:p>
    <w:p w14:paraId="1CDA802F" w14:textId="77777777" w:rsidR="005758B6" w:rsidRPr="00DB0C40" w:rsidRDefault="005758B6" w:rsidP="005758B6">
      <w:pPr>
        <w:jc w:val="both"/>
        <w:rPr>
          <w:rFonts w:asciiTheme="minorHAnsi" w:eastAsiaTheme="minorHAnsi" w:hAnsiTheme="minorHAnsi" w:cstheme="minorHAnsi"/>
          <w:sz w:val="22"/>
          <w:szCs w:val="22"/>
        </w:rPr>
      </w:pPr>
    </w:p>
    <w:p w14:paraId="05743A48"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Several countries have taken temporary measures to address the needs of workers with family responsibilities in the context of ECCE and school closures during the COVID-19 crisis. In the long-term, governments should prioritize according to ILO:</w:t>
      </w:r>
    </w:p>
    <w:p w14:paraId="56ECA044" w14:textId="77777777" w:rsidR="005758B6" w:rsidRPr="00DB0C40" w:rsidRDefault="005758B6">
      <w:pPr>
        <w:numPr>
          <w:ilvl w:val="0"/>
          <w:numId w:val="20"/>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strengthening social protection systems to cover all carers and making family responsibilities a priority criterion for accessing social protection benefits.</w:t>
      </w:r>
    </w:p>
    <w:p w14:paraId="4ECD2ED0" w14:textId="77777777" w:rsidR="005758B6" w:rsidRPr="00DB0C40" w:rsidRDefault="005758B6">
      <w:pPr>
        <w:numPr>
          <w:ilvl w:val="0"/>
          <w:numId w:val="20"/>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ensuring the right to work–life balance for all workers; and</w:t>
      </w:r>
    </w:p>
    <w:p w14:paraId="3089C0CC" w14:textId="77777777" w:rsidR="005758B6" w:rsidRPr="00DB0C40" w:rsidRDefault="005758B6">
      <w:pPr>
        <w:numPr>
          <w:ilvl w:val="0"/>
          <w:numId w:val="20"/>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investing in the care economy to create more better-quality care jobs.</w:t>
      </w:r>
    </w:p>
    <w:p w14:paraId="2FB626C8" w14:textId="77777777" w:rsidR="005758B6" w:rsidRPr="00DB0C40" w:rsidRDefault="005758B6" w:rsidP="005758B6">
      <w:pPr>
        <w:jc w:val="both"/>
        <w:rPr>
          <w:rFonts w:asciiTheme="minorHAnsi" w:eastAsiaTheme="minorHAnsi" w:hAnsiTheme="minorHAnsi" w:cstheme="minorHAnsi"/>
          <w:sz w:val="22"/>
          <w:szCs w:val="22"/>
        </w:rPr>
      </w:pPr>
    </w:p>
    <w:p w14:paraId="79FA83DF" w14:textId="4D2FCBD6" w:rsidR="005758B6" w:rsidRPr="00DB0C40" w:rsidRDefault="00C00E2B" w:rsidP="005758B6">
      <w:pPr>
        <w:jc w:val="both"/>
        <w:rPr>
          <w:rFonts w:asciiTheme="minorHAnsi" w:eastAsiaTheme="minorHAnsi" w:hAnsiTheme="minorHAnsi" w:cstheme="minorHAnsi"/>
          <w:sz w:val="22"/>
          <w:szCs w:val="22"/>
        </w:rPr>
      </w:pPr>
      <w:bookmarkStart w:id="49" w:name="_Hlk107136489"/>
      <w:r w:rsidRPr="00DB0C40">
        <w:rPr>
          <w:rFonts w:asciiTheme="minorHAnsi" w:eastAsiaTheme="minorHAnsi" w:hAnsiTheme="minorHAnsi" w:cstheme="minorHAnsi"/>
          <w:b/>
          <w:sz w:val="22"/>
          <w:szCs w:val="22"/>
        </w:rPr>
        <w:t xml:space="preserve">Table 1. </w:t>
      </w:r>
      <w:r w:rsidR="005758B6" w:rsidRPr="00DB0C40">
        <w:rPr>
          <w:rFonts w:asciiTheme="minorHAnsi" w:eastAsiaTheme="minorHAnsi" w:hAnsiTheme="minorHAnsi" w:cstheme="minorHAnsi"/>
          <w:b/>
          <w:sz w:val="22"/>
          <w:szCs w:val="22"/>
        </w:rPr>
        <w:t xml:space="preserve">Policy responses to the COVID-19 pandemic in support of workers with care responsibilities in G7 and selected EU countries </w:t>
      </w:r>
    </w:p>
    <w:bookmarkEnd w:id="49"/>
    <w:p w14:paraId="1AA1EB37" w14:textId="77777777" w:rsidR="005758B6" w:rsidRPr="00DB0C40" w:rsidRDefault="005758B6" w:rsidP="005758B6">
      <w:pPr>
        <w:jc w:val="both"/>
        <w:rPr>
          <w:rFonts w:asciiTheme="minorHAnsi" w:eastAsiaTheme="minorHAnsi" w:hAnsiTheme="minorHAnsi" w:cstheme="minorHAnsi"/>
          <w:sz w:val="22"/>
          <w:szCs w:val="22"/>
        </w:rPr>
      </w:pPr>
    </w:p>
    <w:tbl>
      <w:tblPr>
        <w:tblStyle w:val="TableGrid2"/>
        <w:tblW w:w="0" w:type="auto"/>
        <w:tblLook w:val="04A0" w:firstRow="1" w:lastRow="0" w:firstColumn="1" w:lastColumn="0" w:noHBand="0" w:noVBand="1"/>
      </w:tblPr>
      <w:tblGrid>
        <w:gridCol w:w="1035"/>
        <w:gridCol w:w="2293"/>
        <w:gridCol w:w="2293"/>
        <w:gridCol w:w="3729"/>
      </w:tblGrid>
      <w:tr w:rsidR="005758B6" w:rsidRPr="00DB0C40" w14:paraId="24B829A6" w14:textId="77777777" w:rsidTr="003F7BB3">
        <w:tc>
          <w:tcPr>
            <w:tcW w:w="0" w:type="auto"/>
            <w:shd w:val="clear" w:color="auto" w:fill="D9E2F3" w:themeFill="accent1" w:themeFillTint="33"/>
          </w:tcPr>
          <w:p w14:paraId="50C9515B" w14:textId="77777777" w:rsidR="005758B6" w:rsidRPr="00DB0C40" w:rsidRDefault="005758B6" w:rsidP="005758B6">
            <w:pPr>
              <w:jc w:val="both"/>
              <w:rPr>
                <w:rFonts w:cstheme="minorHAnsi"/>
                <w:b/>
                <w:bCs/>
                <w:sz w:val="20"/>
                <w:szCs w:val="20"/>
                <w:lang w:val="en-GB"/>
              </w:rPr>
            </w:pPr>
            <w:r w:rsidRPr="00DB0C40">
              <w:rPr>
                <w:rFonts w:cstheme="minorHAnsi"/>
                <w:b/>
                <w:bCs/>
                <w:sz w:val="20"/>
                <w:szCs w:val="20"/>
                <w:lang w:val="en-GB"/>
              </w:rPr>
              <w:t>COUNTRY</w:t>
            </w:r>
          </w:p>
        </w:tc>
        <w:tc>
          <w:tcPr>
            <w:tcW w:w="0" w:type="auto"/>
            <w:shd w:val="clear" w:color="auto" w:fill="D9E2F3" w:themeFill="accent1" w:themeFillTint="33"/>
          </w:tcPr>
          <w:p w14:paraId="5642E89F" w14:textId="77777777" w:rsidR="005758B6" w:rsidRPr="00DB0C40" w:rsidRDefault="005758B6" w:rsidP="005758B6">
            <w:pPr>
              <w:jc w:val="both"/>
              <w:rPr>
                <w:rFonts w:cstheme="minorHAnsi"/>
                <w:b/>
                <w:bCs/>
                <w:sz w:val="20"/>
                <w:szCs w:val="20"/>
                <w:lang w:val="en-GB"/>
              </w:rPr>
            </w:pPr>
            <w:r w:rsidRPr="00DB0C40">
              <w:rPr>
                <w:rFonts w:cstheme="minorHAnsi"/>
                <w:b/>
                <w:bCs/>
                <w:sz w:val="20"/>
                <w:szCs w:val="20"/>
                <w:lang w:val="en-GB"/>
              </w:rPr>
              <w:t>ECCE and schools</w:t>
            </w:r>
          </w:p>
        </w:tc>
        <w:tc>
          <w:tcPr>
            <w:tcW w:w="0" w:type="auto"/>
            <w:shd w:val="clear" w:color="auto" w:fill="D9E2F3" w:themeFill="accent1" w:themeFillTint="33"/>
          </w:tcPr>
          <w:p w14:paraId="5FE3106C" w14:textId="77777777" w:rsidR="005758B6" w:rsidRPr="00DB0C40" w:rsidRDefault="005758B6" w:rsidP="005758B6">
            <w:pPr>
              <w:jc w:val="both"/>
              <w:rPr>
                <w:rFonts w:cstheme="minorHAnsi"/>
                <w:b/>
                <w:bCs/>
                <w:sz w:val="20"/>
                <w:szCs w:val="20"/>
                <w:lang w:val="en-GB"/>
              </w:rPr>
            </w:pPr>
            <w:r w:rsidRPr="00DB0C40">
              <w:rPr>
                <w:rFonts w:cstheme="minorHAnsi"/>
                <w:b/>
                <w:bCs/>
                <w:sz w:val="20"/>
                <w:szCs w:val="20"/>
                <w:lang w:val="en-GB"/>
              </w:rPr>
              <w:t>Parental leaves</w:t>
            </w:r>
          </w:p>
        </w:tc>
        <w:tc>
          <w:tcPr>
            <w:tcW w:w="0" w:type="auto"/>
            <w:shd w:val="clear" w:color="auto" w:fill="D9E2F3" w:themeFill="accent1" w:themeFillTint="33"/>
          </w:tcPr>
          <w:p w14:paraId="24F9F852" w14:textId="77777777" w:rsidR="005758B6" w:rsidRPr="00DB0C40" w:rsidRDefault="005758B6" w:rsidP="005758B6">
            <w:pPr>
              <w:jc w:val="both"/>
              <w:rPr>
                <w:rFonts w:cstheme="minorHAnsi"/>
                <w:b/>
                <w:bCs/>
                <w:sz w:val="20"/>
                <w:szCs w:val="20"/>
                <w:lang w:val="en-GB"/>
              </w:rPr>
            </w:pPr>
            <w:r w:rsidRPr="00DB0C40">
              <w:rPr>
                <w:rFonts w:cstheme="minorHAnsi"/>
                <w:b/>
                <w:bCs/>
                <w:sz w:val="20"/>
                <w:szCs w:val="20"/>
                <w:lang w:val="en-GB"/>
              </w:rPr>
              <w:t>Other measures</w:t>
            </w:r>
          </w:p>
        </w:tc>
      </w:tr>
      <w:tr w:rsidR="005758B6" w:rsidRPr="00DB0C40" w14:paraId="5B19AD33" w14:textId="77777777" w:rsidTr="003F7BB3">
        <w:tc>
          <w:tcPr>
            <w:tcW w:w="0" w:type="auto"/>
            <w:shd w:val="clear" w:color="auto" w:fill="8EAADB" w:themeFill="accent1" w:themeFillTint="99"/>
          </w:tcPr>
          <w:p w14:paraId="48228033" w14:textId="77777777" w:rsidR="005758B6" w:rsidRPr="003F7BB3" w:rsidRDefault="005758B6" w:rsidP="005758B6">
            <w:pPr>
              <w:jc w:val="both"/>
              <w:rPr>
                <w:rFonts w:cstheme="minorHAnsi"/>
                <w:b/>
                <w:bCs/>
                <w:sz w:val="20"/>
                <w:szCs w:val="20"/>
                <w:lang w:val="en-GB"/>
              </w:rPr>
            </w:pPr>
            <w:r w:rsidRPr="003F7BB3">
              <w:rPr>
                <w:rFonts w:cstheme="minorHAnsi"/>
                <w:b/>
                <w:bCs/>
                <w:sz w:val="20"/>
                <w:szCs w:val="20"/>
                <w:lang w:val="en-GB"/>
              </w:rPr>
              <w:t>Austria</w:t>
            </w:r>
          </w:p>
        </w:tc>
        <w:tc>
          <w:tcPr>
            <w:tcW w:w="0" w:type="auto"/>
            <w:shd w:val="clear" w:color="auto" w:fill="FBE4D5" w:themeFill="accent2" w:themeFillTint="33"/>
          </w:tcPr>
          <w:p w14:paraId="6E9CF586"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-Not for ECCE (trough demand)</w:t>
            </w:r>
          </w:p>
          <w:p w14:paraId="1683FD15"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-Yes for schools</w:t>
            </w:r>
          </w:p>
        </w:tc>
        <w:tc>
          <w:tcPr>
            <w:tcW w:w="0" w:type="auto"/>
            <w:shd w:val="clear" w:color="auto" w:fill="FBE4D5" w:themeFill="accent2" w:themeFillTint="33"/>
          </w:tcPr>
          <w:p w14:paraId="6090DB94"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No</w:t>
            </w:r>
          </w:p>
        </w:tc>
        <w:tc>
          <w:tcPr>
            <w:tcW w:w="0" w:type="auto"/>
            <w:shd w:val="clear" w:color="auto" w:fill="FBE4D5" w:themeFill="accent2" w:themeFillTint="33"/>
          </w:tcPr>
          <w:p w14:paraId="3044AB83"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 xml:space="preserve">-Extra social </w:t>
            </w:r>
            <w:proofErr w:type="spellStart"/>
            <w:r w:rsidRPr="00DB0C40">
              <w:rPr>
                <w:rFonts w:cstheme="minorHAnsi"/>
                <w:sz w:val="20"/>
                <w:szCs w:val="20"/>
                <w:lang w:val="en-GB"/>
              </w:rPr>
              <w:t>asistance</w:t>
            </w:r>
            <w:proofErr w:type="spellEnd"/>
            <w:r w:rsidRPr="00DB0C40">
              <w:rPr>
                <w:rFonts w:cstheme="minorHAnsi"/>
                <w:sz w:val="20"/>
                <w:szCs w:val="20"/>
                <w:lang w:val="en-GB"/>
              </w:rPr>
              <w:t xml:space="preserve"> for families </w:t>
            </w:r>
          </w:p>
          <w:p w14:paraId="557485E6"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-3 weeks’ special leave on full</w:t>
            </w:r>
          </w:p>
          <w:p w14:paraId="7241A311"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pay applies in the case of care for a relative or children under the age of fourteen</w:t>
            </w:r>
          </w:p>
        </w:tc>
      </w:tr>
      <w:tr w:rsidR="005758B6" w:rsidRPr="00DB0C40" w14:paraId="19D6788F" w14:textId="77777777" w:rsidTr="003F7BB3">
        <w:tc>
          <w:tcPr>
            <w:tcW w:w="0" w:type="auto"/>
            <w:shd w:val="clear" w:color="auto" w:fill="8EAADB" w:themeFill="accent1" w:themeFillTint="99"/>
          </w:tcPr>
          <w:p w14:paraId="03165845" w14:textId="77777777" w:rsidR="005758B6" w:rsidRPr="003F7BB3" w:rsidRDefault="005758B6" w:rsidP="005758B6">
            <w:pPr>
              <w:jc w:val="both"/>
              <w:rPr>
                <w:rFonts w:cstheme="minorHAnsi"/>
                <w:b/>
                <w:bCs/>
                <w:sz w:val="20"/>
                <w:szCs w:val="20"/>
                <w:lang w:val="en-GB"/>
              </w:rPr>
            </w:pPr>
            <w:r w:rsidRPr="003F7BB3">
              <w:rPr>
                <w:rFonts w:cstheme="minorHAnsi"/>
                <w:b/>
                <w:bCs/>
                <w:sz w:val="20"/>
                <w:szCs w:val="20"/>
                <w:lang w:val="en-GB"/>
              </w:rPr>
              <w:t>Canada</w:t>
            </w:r>
          </w:p>
        </w:tc>
        <w:tc>
          <w:tcPr>
            <w:tcW w:w="0" w:type="auto"/>
            <w:shd w:val="clear" w:color="auto" w:fill="FBE4D5" w:themeFill="accent2" w:themeFillTint="33"/>
          </w:tcPr>
          <w:p w14:paraId="0B450146"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 ECCE closures varied by province and territory</w:t>
            </w:r>
          </w:p>
          <w:p w14:paraId="714E825E" w14:textId="0CEC5051" w:rsidR="005758B6" w:rsidRPr="00DB0C40" w:rsidRDefault="005758B6" w:rsidP="005758B6">
            <w:pPr>
              <w:jc w:val="both"/>
              <w:rPr>
                <w:rFonts w:cstheme="minorHAnsi"/>
                <w:sz w:val="20"/>
                <w:szCs w:val="20"/>
                <w:lang w:val="en-GB"/>
              </w:rPr>
            </w:pPr>
            <w:r w:rsidRPr="00DB0C40">
              <w:rPr>
                <w:rFonts w:cstheme="minorHAnsi"/>
                <w:sz w:val="20"/>
                <w:szCs w:val="20"/>
                <w:lang w:val="en-GB"/>
              </w:rPr>
              <w:t>-ECCE for es</w:t>
            </w:r>
            <w:r w:rsidR="00AE67F2">
              <w:rPr>
                <w:rFonts w:cstheme="minorHAnsi"/>
                <w:sz w:val="20"/>
                <w:szCs w:val="20"/>
                <w:lang w:val="en-GB"/>
              </w:rPr>
              <w:t>s</w:t>
            </w:r>
            <w:r w:rsidRPr="00DB0C40">
              <w:rPr>
                <w:rFonts w:cstheme="minorHAnsi"/>
                <w:sz w:val="20"/>
                <w:szCs w:val="20"/>
                <w:lang w:val="en-GB"/>
              </w:rPr>
              <w:t>e</w:t>
            </w:r>
            <w:r w:rsidR="00AE67F2">
              <w:rPr>
                <w:rFonts w:cstheme="minorHAnsi"/>
                <w:sz w:val="20"/>
                <w:szCs w:val="20"/>
                <w:lang w:val="en-GB"/>
              </w:rPr>
              <w:t>n</w:t>
            </w:r>
            <w:r w:rsidRPr="00DB0C40">
              <w:rPr>
                <w:rFonts w:cstheme="minorHAnsi"/>
                <w:sz w:val="20"/>
                <w:szCs w:val="20"/>
                <w:lang w:val="en-GB"/>
              </w:rPr>
              <w:t>tial workers</w:t>
            </w:r>
          </w:p>
        </w:tc>
        <w:tc>
          <w:tcPr>
            <w:tcW w:w="0" w:type="auto"/>
            <w:shd w:val="clear" w:color="auto" w:fill="FBE4D5" w:themeFill="accent2" w:themeFillTint="33"/>
          </w:tcPr>
          <w:p w14:paraId="6BEC39DC"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No change to existing measures (except in Quebec for healthcare workers)</w:t>
            </w:r>
          </w:p>
        </w:tc>
        <w:tc>
          <w:tcPr>
            <w:tcW w:w="0" w:type="auto"/>
            <w:shd w:val="clear" w:color="auto" w:fill="FBE4D5" w:themeFill="accent2" w:themeFillTint="33"/>
          </w:tcPr>
          <w:p w14:paraId="6074A93A"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-11/13 jurisdictions created new unpaid leave</w:t>
            </w:r>
          </w:p>
          <w:p w14:paraId="768CFD18"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w:t>
            </w:r>
            <w:r w:rsidRPr="00DB0C40">
              <w:rPr>
                <w:rFonts w:eastAsia="Trebuchet MS" w:cstheme="minorHAnsi"/>
                <w:w w:val="85"/>
                <w:sz w:val="20"/>
                <w:szCs w:val="20"/>
                <w:lang w:val="en-GB"/>
              </w:rPr>
              <w:t xml:space="preserve"> </w:t>
            </w:r>
            <w:r w:rsidRPr="00DB0C40">
              <w:rPr>
                <w:rFonts w:cstheme="minorHAnsi"/>
                <w:sz w:val="20"/>
                <w:szCs w:val="20"/>
                <w:lang w:val="en-GB"/>
              </w:rPr>
              <w:t>Leave for those caring for children over 18 years</w:t>
            </w:r>
          </w:p>
        </w:tc>
      </w:tr>
      <w:tr w:rsidR="005758B6" w:rsidRPr="00DB0C40" w14:paraId="3E168FEC" w14:textId="77777777" w:rsidTr="003F7BB3">
        <w:tc>
          <w:tcPr>
            <w:tcW w:w="0" w:type="auto"/>
            <w:shd w:val="clear" w:color="auto" w:fill="8EAADB" w:themeFill="accent1" w:themeFillTint="99"/>
          </w:tcPr>
          <w:p w14:paraId="53DBBCB9" w14:textId="77777777" w:rsidR="005758B6" w:rsidRPr="003F7BB3" w:rsidRDefault="005758B6" w:rsidP="005758B6">
            <w:pPr>
              <w:jc w:val="both"/>
              <w:rPr>
                <w:rFonts w:cstheme="minorHAnsi"/>
                <w:b/>
                <w:bCs/>
                <w:sz w:val="20"/>
                <w:szCs w:val="20"/>
                <w:lang w:val="en-GB"/>
              </w:rPr>
            </w:pPr>
            <w:r w:rsidRPr="003F7BB3">
              <w:rPr>
                <w:rFonts w:cstheme="minorHAnsi"/>
                <w:b/>
                <w:bCs/>
                <w:sz w:val="20"/>
                <w:szCs w:val="20"/>
                <w:lang w:val="en-GB"/>
              </w:rPr>
              <w:t>Denmark</w:t>
            </w:r>
          </w:p>
        </w:tc>
        <w:tc>
          <w:tcPr>
            <w:tcW w:w="0" w:type="auto"/>
            <w:shd w:val="clear" w:color="auto" w:fill="FBE4D5" w:themeFill="accent2" w:themeFillTint="33"/>
          </w:tcPr>
          <w:p w14:paraId="2FE3D695"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-Yes (care for essential</w:t>
            </w:r>
            <w:r w:rsidRPr="00DB0C40">
              <w:rPr>
                <w:rFonts w:cstheme="minorHAnsi"/>
                <w:sz w:val="20"/>
                <w:szCs w:val="20"/>
                <w:lang w:val="en-GB"/>
              </w:rPr>
              <w:tab/>
            </w:r>
          </w:p>
        </w:tc>
        <w:tc>
          <w:tcPr>
            <w:tcW w:w="0" w:type="auto"/>
            <w:shd w:val="clear" w:color="auto" w:fill="FBE4D5" w:themeFill="accent2" w:themeFillTint="33"/>
          </w:tcPr>
          <w:p w14:paraId="52ABCFA5"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No</w:t>
            </w:r>
          </w:p>
        </w:tc>
        <w:tc>
          <w:tcPr>
            <w:tcW w:w="0" w:type="auto"/>
            <w:shd w:val="clear" w:color="auto" w:fill="FBE4D5" w:themeFill="accent2" w:themeFillTint="33"/>
          </w:tcPr>
          <w:p w14:paraId="2449CBA7"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-Extra pregnancy protection workers’ children available)</w:t>
            </w:r>
          </w:p>
        </w:tc>
      </w:tr>
      <w:tr w:rsidR="005758B6" w:rsidRPr="00DB0C40" w14:paraId="1229341E" w14:textId="77777777" w:rsidTr="003F7BB3">
        <w:tc>
          <w:tcPr>
            <w:tcW w:w="0" w:type="auto"/>
            <w:shd w:val="clear" w:color="auto" w:fill="8EAADB" w:themeFill="accent1" w:themeFillTint="99"/>
          </w:tcPr>
          <w:p w14:paraId="029C2ACD" w14:textId="77777777" w:rsidR="005758B6" w:rsidRPr="003F7BB3" w:rsidRDefault="005758B6" w:rsidP="005758B6">
            <w:pPr>
              <w:jc w:val="both"/>
              <w:rPr>
                <w:rFonts w:cstheme="minorHAnsi"/>
                <w:b/>
                <w:bCs/>
                <w:sz w:val="20"/>
                <w:szCs w:val="20"/>
                <w:lang w:val="en-GB"/>
              </w:rPr>
            </w:pPr>
            <w:r w:rsidRPr="003F7BB3">
              <w:rPr>
                <w:rFonts w:cstheme="minorHAnsi"/>
                <w:b/>
                <w:bCs/>
                <w:sz w:val="20"/>
                <w:szCs w:val="20"/>
                <w:lang w:val="en-GB"/>
              </w:rPr>
              <w:t>Estonia</w:t>
            </w:r>
          </w:p>
        </w:tc>
        <w:tc>
          <w:tcPr>
            <w:tcW w:w="0" w:type="auto"/>
            <w:shd w:val="clear" w:color="auto" w:fill="FBE4D5" w:themeFill="accent2" w:themeFillTint="33"/>
          </w:tcPr>
          <w:p w14:paraId="3C22BAB0"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-ECCE remained open (though demand fell), schools closed</w:t>
            </w:r>
            <w:r w:rsidRPr="00DB0C40">
              <w:rPr>
                <w:rFonts w:cstheme="minorHAnsi"/>
                <w:sz w:val="20"/>
                <w:szCs w:val="20"/>
                <w:lang w:val="en-GB"/>
              </w:rPr>
              <w:tab/>
            </w:r>
          </w:p>
        </w:tc>
        <w:tc>
          <w:tcPr>
            <w:tcW w:w="0" w:type="auto"/>
            <w:shd w:val="clear" w:color="auto" w:fill="FBE4D5" w:themeFill="accent2" w:themeFillTint="33"/>
          </w:tcPr>
          <w:p w14:paraId="1B60BEF8" w14:textId="77777777" w:rsidR="005758B6" w:rsidRPr="00DB0C40" w:rsidRDefault="005758B6" w:rsidP="005758B6">
            <w:pPr>
              <w:jc w:val="both"/>
              <w:rPr>
                <w:rFonts w:cstheme="minorHAnsi"/>
                <w:sz w:val="20"/>
                <w:szCs w:val="20"/>
                <w:lang w:val="en-GB"/>
              </w:rPr>
            </w:pPr>
          </w:p>
        </w:tc>
        <w:tc>
          <w:tcPr>
            <w:tcW w:w="0" w:type="auto"/>
            <w:shd w:val="clear" w:color="auto" w:fill="FBE4D5" w:themeFill="accent2" w:themeFillTint="33"/>
          </w:tcPr>
          <w:p w14:paraId="698AF015"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Extra benefit for parents raising a child with special needs or disability who stopped working; free meal delivery for (some) schoolchildren</w:t>
            </w:r>
          </w:p>
        </w:tc>
      </w:tr>
      <w:tr w:rsidR="005758B6" w:rsidRPr="00DB0C40" w14:paraId="536FB9BE" w14:textId="77777777" w:rsidTr="003F7BB3">
        <w:tc>
          <w:tcPr>
            <w:tcW w:w="0" w:type="auto"/>
            <w:shd w:val="clear" w:color="auto" w:fill="8EAADB" w:themeFill="accent1" w:themeFillTint="99"/>
          </w:tcPr>
          <w:p w14:paraId="51C1183F" w14:textId="77777777" w:rsidR="005758B6" w:rsidRPr="003F7BB3" w:rsidRDefault="005758B6" w:rsidP="005758B6">
            <w:pPr>
              <w:jc w:val="both"/>
              <w:rPr>
                <w:rFonts w:cstheme="minorHAnsi"/>
                <w:b/>
                <w:bCs/>
                <w:sz w:val="20"/>
                <w:szCs w:val="20"/>
                <w:lang w:val="en-GB"/>
              </w:rPr>
            </w:pPr>
            <w:r w:rsidRPr="003F7BB3">
              <w:rPr>
                <w:rFonts w:cstheme="minorHAnsi"/>
                <w:b/>
                <w:bCs/>
                <w:sz w:val="20"/>
                <w:szCs w:val="20"/>
                <w:lang w:val="en-GB"/>
              </w:rPr>
              <w:t>France</w:t>
            </w:r>
          </w:p>
        </w:tc>
        <w:tc>
          <w:tcPr>
            <w:tcW w:w="0" w:type="auto"/>
            <w:shd w:val="clear" w:color="auto" w:fill="FBE4D5" w:themeFill="accent2" w:themeFillTint="33"/>
          </w:tcPr>
          <w:p w14:paraId="77CC0F50"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-Yes</w:t>
            </w:r>
          </w:p>
          <w:p w14:paraId="6A745583" w14:textId="6BE9DF6B" w:rsidR="005758B6" w:rsidRPr="00DB0C40" w:rsidRDefault="005758B6" w:rsidP="005758B6">
            <w:pPr>
              <w:jc w:val="both"/>
              <w:rPr>
                <w:rFonts w:cstheme="minorHAnsi"/>
                <w:sz w:val="20"/>
                <w:szCs w:val="20"/>
                <w:lang w:val="en-GB"/>
              </w:rPr>
            </w:pPr>
            <w:r w:rsidRPr="00DB0C40">
              <w:rPr>
                <w:rFonts w:cstheme="minorHAnsi"/>
                <w:sz w:val="20"/>
                <w:szCs w:val="20"/>
                <w:lang w:val="en-GB"/>
              </w:rPr>
              <w:t xml:space="preserve">-ECCE for </w:t>
            </w:r>
            <w:r w:rsidR="00F37BC3" w:rsidRPr="00DB0C40">
              <w:rPr>
                <w:rFonts w:cstheme="minorHAnsi"/>
                <w:sz w:val="20"/>
                <w:szCs w:val="20"/>
                <w:lang w:val="en-GB"/>
              </w:rPr>
              <w:t>essential</w:t>
            </w:r>
            <w:r w:rsidRPr="00DB0C40">
              <w:rPr>
                <w:rFonts w:cstheme="minorHAnsi"/>
                <w:sz w:val="20"/>
                <w:szCs w:val="20"/>
                <w:lang w:val="en-GB"/>
              </w:rPr>
              <w:t xml:space="preserve"> workers´ children, with geographical</w:t>
            </w:r>
            <w:r w:rsidRPr="00DB0C40">
              <w:rPr>
                <w:rFonts w:cstheme="minorHAnsi"/>
                <w:sz w:val="20"/>
                <w:szCs w:val="20"/>
                <w:lang w:val="en-GB"/>
              </w:rPr>
              <w:tab/>
            </w:r>
          </w:p>
          <w:p w14:paraId="0C0180B3"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variation to extent of closures</w:t>
            </w:r>
          </w:p>
          <w:p w14:paraId="30B2FB0A" w14:textId="77777777" w:rsidR="005758B6" w:rsidRPr="00DB0C40" w:rsidRDefault="005758B6" w:rsidP="005758B6">
            <w:pPr>
              <w:jc w:val="both"/>
              <w:rPr>
                <w:rFonts w:cstheme="minorHAnsi"/>
                <w:sz w:val="20"/>
                <w:szCs w:val="20"/>
                <w:lang w:val="en-GB"/>
              </w:rPr>
            </w:pPr>
          </w:p>
          <w:p w14:paraId="5D558852"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-Schools partly closed</w:t>
            </w:r>
          </w:p>
        </w:tc>
        <w:tc>
          <w:tcPr>
            <w:tcW w:w="0" w:type="auto"/>
            <w:shd w:val="clear" w:color="auto" w:fill="FBE4D5" w:themeFill="accent2" w:themeFillTint="33"/>
          </w:tcPr>
          <w:p w14:paraId="355B9BE3"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No</w:t>
            </w:r>
          </w:p>
        </w:tc>
        <w:tc>
          <w:tcPr>
            <w:tcW w:w="0" w:type="auto"/>
            <w:shd w:val="clear" w:color="auto" w:fill="FBE4D5" w:themeFill="accent2" w:themeFillTint="33"/>
          </w:tcPr>
          <w:p w14:paraId="16783519"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-Support available to parents unable to work due to ECCE/school closures</w:t>
            </w:r>
          </w:p>
          <w:p w14:paraId="1C99CD8F" w14:textId="77777777" w:rsidR="005758B6" w:rsidRPr="00DB0C40" w:rsidRDefault="005758B6" w:rsidP="005758B6">
            <w:pPr>
              <w:jc w:val="both"/>
              <w:rPr>
                <w:rFonts w:cstheme="minorHAnsi"/>
                <w:sz w:val="20"/>
                <w:szCs w:val="20"/>
                <w:lang w:val="en-GB"/>
              </w:rPr>
            </w:pPr>
          </w:p>
        </w:tc>
      </w:tr>
      <w:tr w:rsidR="005758B6" w:rsidRPr="00DB0C40" w14:paraId="3808E985" w14:textId="77777777" w:rsidTr="003F7BB3">
        <w:tc>
          <w:tcPr>
            <w:tcW w:w="0" w:type="auto"/>
            <w:shd w:val="clear" w:color="auto" w:fill="8EAADB" w:themeFill="accent1" w:themeFillTint="99"/>
          </w:tcPr>
          <w:p w14:paraId="0035A337" w14:textId="77777777" w:rsidR="005758B6" w:rsidRPr="003F7BB3" w:rsidRDefault="005758B6" w:rsidP="005758B6">
            <w:pPr>
              <w:jc w:val="both"/>
              <w:rPr>
                <w:rFonts w:cstheme="minorHAnsi"/>
                <w:b/>
                <w:bCs/>
                <w:sz w:val="20"/>
                <w:szCs w:val="20"/>
                <w:lang w:val="en-GB"/>
              </w:rPr>
            </w:pPr>
            <w:r w:rsidRPr="003F7BB3">
              <w:rPr>
                <w:rFonts w:cstheme="minorHAnsi"/>
                <w:b/>
                <w:bCs/>
                <w:sz w:val="20"/>
                <w:szCs w:val="20"/>
                <w:lang w:val="en-GB"/>
              </w:rPr>
              <w:t>Germany</w:t>
            </w:r>
          </w:p>
        </w:tc>
        <w:tc>
          <w:tcPr>
            <w:tcW w:w="0" w:type="auto"/>
            <w:shd w:val="clear" w:color="auto" w:fill="FBE4D5" w:themeFill="accent2" w:themeFillTint="33"/>
          </w:tcPr>
          <w:p w14:paraId="24C32BC1"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-Yes, ECCE closures varied by state</w:t>
            </w:r>
          </w:p>
          <w:p w14:paraId="6E725C7C"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lastRenderedPageBreak/>
              <w:t>-Childcare for essential workers’ children available</w:t>
            </w:r>
          </w:p>
        </w:tc>
        <w:tc>
          <w:tcPr>
            <w:tcW w:w="0" w:type="auto"/>
            <w:shd w:val="clear" w:color="auto" w:fill="FBE4D5" w:themeFill="accent2" w:themeFillTint="33"/>
          </w:tcPr>
          <w:p w14:paraId="3452F350"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lastRenderedPageBreak/>
              <w:t>Yes (Parental leave benefit adapted for the pandemic)</w:t>
            </w:r>
          </w:p>
        </w:tc>
        <w:tc>
          <w:tcPr>
            <w:tcW w:w="0" w:type="auto"/>
            <w:shd w:val="clear" w:color="auto" w:fill="FBE4D5" w:themeFill="accent2" w:themeFillTint="33"/>
          </w:tcPr>
          <w:p w14:paraId="6D4D1E0D"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-Special (partial) income</w:t>
            </w:r>
          </w:p>
          <w:p w14:paraId="4286B855"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replacement benefit available for some parents</w:t>
            </w:r>
          </w:p>
          <w:p w14:paraId="455A6607"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lastRenderedPageBreak/>
              <w:t>- Extra social assistance, care support allowance for those affected by care shortages</w:t>
            </w:r>
          </w:p>
        </w:tc>
      </w:tr>
      <w:tr w:rsidR="005758B6" w:rsidRPr="00DB0C40" w14:paraId="436BAF6B" w14:textId="77777777" w:rsidTr="003F7BB3">
        <w:trPr>
          <w:trHeight w:val="837"/>
        </w:trPr>
        <w:tc>
          <w:tcPr>
            <w:tcW w:w="0" w:type="auto"/>
            <w:shd w:val="clear" w:color="auto" w:fill="8EAADB" w:themeFill="accent1" w:themeFillTint="99"/>
          </w:tcPr>
          <w:p w14:paraId="48F35807" w14:textId="77777777" w:rsidR="005758B6" w:rsidRPr="003F7BB3" w:rsidRDefault="005758B6" w:rsidP="005758B6">
            <w:pPr>
              <w:jc w:val="both"/>
              <w:rPr>
                <w:rFonts w:cstheme="minorHAnsi"/>
                <w:b/>
                <w:bCs/>
                <w:sz w:val="20"/>
                <w:szCs w:val="20"/>
                <w:lang w:val="en-GB"/>
              </w:rPr>
            </w:pPr>
            <w:r w:rsidRPr="003F7BB3">
              <w:rPr>
                <w:rFonts w:cstheme="minorHAnsi"/>
                <w:b/>
                <w:bCs/>
                <w:sz w:val="20"/>
                <w:szCs w:val="20"/>
                <w:lang w:val="en-GB"/>
              </w:rPr>
              <w:lastRenderedPageBreak/>
              <w:t>Hungary</w:t>
            </w:r>
          </w:p>
        </w:tc>
        <w:tc>
          <w:tcPr>
            <w:tcW w:w="0" w:type="auto"/>
            <w:shd w:val="clear" w:color="auto" w:fill="FBE4D5" w:themeFill="accent2" w:themeFillTint="33"/>
          </w:tcPr>
          <w:p w14:paraId="3A84CDAC"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-Yes</w:t>
            </w:r>
            <w:r w:rsidRPr="00DB0C40">
              <w:rPr>
                <w:rFonts w:cstheme="minorHAnsi"/>
                <w:sz w:val="20"/>
                <w:szCs w:val="20"/>
                <w:lang w:val="en-GB"/>
              </w:rPr>
              <w:tab/>
            </w:r>
          </w:p>
          <w:p w14:paraId="13D3241E" w14:textId="1F354800" w:rsidR="005758B6" w:rsidRPr="00DB0C40" w:rsidRDefault="005758B6" w:rsidP="005758B6">
            <w:pPr>
              <w:jc w:val="both"/>
              <w:rPr>
                <w:rFonts w:cstheme="minorHAnsi"/>
                <w:sz w:val="20"/>
                <w:szCs w:val="20"/>
                <w:lang w:val="en-GB"/>
              </w:rPr>
            </w:pPr>
            <w:r w:rsidRPr="00DB0C40">
              <w:rPr>
                <w:rFonts w:cstheme="minorHAnsi"/>
                <w:sz w:val="20"/>
                <w:szCs w:val="20"/>
                <w:lang w:val="en-GB"/>
              </w:rPr>
              <w:t>-Childcare for essential workers’ children available during lockdown</w:t>
            </w:r>
          </w:p>
        </w:tc>
        <w:tc>
          <w:tcPr>
            <w:tcW w:w="0" w:type="auto"/>
            <w:shd w:val="clear" w:color="auto" w:fill="FBE4D5" w:themeFill="accent2" w:themeFillTint="33"/>
          </w:tcPr>
          <w:p w14:paraId="261D4434"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Yes, end of parental benefit if due to finish</w:t>
            </w:r>
          </w:p>
        </w:tc>
        <w:tc>
          <w:tcPr>
            <w:tcW w:w="0" w:type="auto"/>
            <w:shd w:val="clear" w:color="auto" w:fill="FBE4D5" w:themeFill="accent2" w:themeFillTint="33"/>
          </w:tcPr>
          <w:p w14:paraId="4BCE464C" w14:textId="77777777" w:rsidR="005758B6" w:rsidRPr="00DB0C40" w:rsidRDefault="005758B6" w:rsidP="005758B6">
            <w:pPr>
              <w:jc w:val="both"/>
              <w:rPr>
                <w:rFonts w:cstheme="minorHAnsi"/>
                <w:sz w:val="20"/>
                <w:szCs w:val="20"/>
                <w:lang w:val="en-GB"/>
              </w:rPr>
            </w:pPr>
            <w:r w:rsidRPr="00DB0C40">
              <w:rPr>
                <w:rFonts w:cstheme="minorHAnsi"/>
                <w:sz w:val="20"/>
                <w:szCs w:val="20"/>
                <w:lang w:val="en-GB"/>
              </w:rPr>
              <w:t>-Additional or special leave duration extended</w:t>
            </w:r>
          </w:p>
        </w:tc>
      </w:tr>
    </w:tbl>
    <w:p w14:paraId="15358599" w14:textId="77777777" w:rsidR="005758B6" w:rsidRPr="00DB0C40" w:rsidRDefault="005758B6" w:rsidP="005758B6">
      <w:pPr>
        <w:jc w:val="both"/>
        <w:rPr>
          <w:rFonts w:asciiTheme="minorHAnsi" w:eastAsiaTheme="minorHAnsi" w:hAnsiTheme="minorHAnsi" w:cstheme="minorHAnsi"/>
          <w:sz w:val="20"/>
          <w:szCs w:val="20"/>
        </w:rPr>
      </w:pPr>
    </w:p>
    <w:p w14:paraId="4152FD5F" w14:textId="0863302B" w:rsidR="005758B6" w:rsidRPr="00DB0C40" w:rsidRDefault="005758B6" w:rsidP="005758B6">
      <w:pPr>
        <w:jc w:val="both"/>
        <w:rPr>
          <w:rFonts w:asciiTheme="minorHAnsi" w:eastAsiaTheme="minorHAnsi" w:hAnsiTheme="minorHAnsi" w:cstheme="minorHAnsi"/>
          <w:sz w:val="18"/>
          <w:szCs w:val="18"/>
        </w:rPr>
      </w:pPr>
      <w:r w:rsidRPr="00DB0C40">
        <w:rPr>
          <w:rFonts w:asciiTheme="minorHAnsi" w:eastAsiaTheme="minorHAnsi" w:hAnsiTheme="minorHAnsi" w:cstheme="minorHAnsi"/>
          <w:sz w:val="18"/>
          <w:szCs w:val="18"/>
        </w:rPr>
        <w:t xml:space="preserve">Sources: </w:t>
      </w:r>
      <w:r w:rsidR="00F37BC3" w:rsidRPr="00DB0C40">
        <w:rPr>
          <w:rFonts w:asciiTheme="minorHAnsi" w:eastAsiaTheme="minorHAnsi" w:hAnsiTheme="minorHAnsi" w:cstheme="minorHAnsi"/>
          <w:sz w:val="18"/>
          <w:szCs w:val="18"/>
        </w:rPr>
        <w:t>Kozlowski</w:t>
      </w:r>
      <w:r w:rsidRPr="00DB0C40">
        <w:rPr>
          <w:rFonts w:asciiTheme="minorHAnsi" w:eastAsiaTheme="minorHAnsi" w:hAnsiTheme="minorHAnsi" w:cstheme="minorHAnsi"/>
          <w:sz w:val="18"/>
          <w:szCs w:val="18"/>
        </w:rPr>
        <w:t xml:space="preserve">, A., Blum, S., </w:t>
      </w:r>
      <w:proofErr w:type="spellStart"/>
      <w:r w:rsidRPr="00DB0C40">
        <w:rPr>
          <w:rFonts w:asciiTheme="minorHAnsi" w:eastAsiaTheme="minorHAnsi" w:hAnsiTheme="minorHAnsi" w:cstheme="minorHAnsi"/>
          <w:sz w:val="18"/>
          <w:szCs w:val="18"/>
        </w:rPr>
        <w:t>Dobrotić</w:t>
      </w:r>
      <w:proofErr w:type="spellEnd"/>
      <w:r w:rsidRPr="00DB0C40">
        <w:rPr>
          <w:rFonts w:asciiTheme="minorHAnsi" w:eastAsiaTheme="minorHAnsi" w:hAnsiTheme="minorHAnsi" w:cstheme="minorHAnsi"/>
          <w:sz w:val="18"/>
          <w:szCs w:val="18"/>
        </w:rPr>
        <w:t xml:space="preserve">, I., Kaufman, G. and Moss, P. 2020. International Review of Leave Policies and Research 2020, 11-16. ILO, 2020. </w:t>
      </w:r>
      <w:hyperlink r:id="rId15">
        <w:r w:rsidRPr="00DB0C40">
          <w:rPr>
            <w:rFonts w:asciiTheme="minorHAnsi" w:eastAsiaTheme="minorHAnsi" w:hAnsiTheme="minorHAnsi" w:cstheme="minorHAnsi"/>
            <w:sz w:val="18"/>
            <w:szCs w:val="18"/>
          </w:rPr>
          <w:t>The COVID-19 response: Getting gender equality right for a better future for</w:t>
        </w:r>
      </w:hyperlink>
      <w:r w:rsidRPr="00DB0C40">
        <w:rPr>
          <w:rFonts w:asciiTheme="minorHAnsi" w:eastAsiaTheme="minorHAnsi" w:hAnsiTheme="minorHAnsi" w:cstheme="minorHAnsi"/>
          <w:sz w:val="18"/>
          <w:szCs w:val="18"/>
        </w:rPr>
        <w:t xml:space="preserve"> </w:t>
      </w:r>
      <w:hyperlink r:id="rId16">
        <w:r w:rsidRPr="00DB0C40">
          <w:rPr>
            <w:rFonts w:asciiTheme="minorHAnsi" w:eastAsiaTheme="minorHAnsi" w:hAnsiTheme="minorHAnsi" w:cstheme="minorHAnsi"/>
            <w:sz w:val="18"/>
            <w:szCs w:val="18"/>
          </w:rPr>
          <w:t>women at work</w:t>
        </w:r>
      </w:hyperlink>
      <w:r w:rsidRPr="00DB0C40">
        <w:rPr>
          <w:rFonts w:asciiTheme="minorHAnsi" w:eastAsiaTheme="minorHAnsi" w:hAnsiTheme="minorHAnsi" w:cstheme="minorHAnsi"/>
          <w:sz w:val="18"/>
          <w:szCs w:val="18"/>
        </w:rPr>
        <w:t xml:space="preserve">. ILO, </w:t>
      </w:r>
      <w:hyperlink r:id="rId17">
        <w:r w:rsidRPr="00DB0C40">
          <w:rPr>
            <w:rFonts w:asciiTheme="minorHAnsi" w:eastAsiaTheme="minorHAnsi" w:hAnsiTheme="minorHAnsi" w:cstheme="minorHAnsi"/>
            <w:sz w:val="18"/>
            <w:szCs w:val="18"/>
          </w:rPr>
          <w:t>Social Protection Responses to COVID-19 Crisis around the World</w:t>
        </w:r>
      </w:hyperlink>
      <w:r w:rsidRPr="00DB0C40">
        <w:rPr>
          <w:rFonts w:asciiTheme="minorHAnsi" w:eastAsiaTheme="minorHAnsi" w:hAnsiTheme="minorHAnsi" w:cstheme="minorHAnsi"/>
          <w:sz w:val="18"/>
          <w:szCs w:val="18"/>
        </w:rPr>
        <w:t xml:space="preserve"> </w:t>
      </w:r>
    </w:p>
    <w:p w14:paraId="27CF0798" w14:textId="77777777" w:rsidR="005758B6" w:rsidRPr="00DB0C40" w:rsidRDefault="005758B6" w:rsidP="005758B6">
      <w:pPr>
        <w:ind w:left="2160"/>
        <w:jc w:val="center"/>
        <w:rPr>
          <w:rFonts w:asciiTheme="minorHAnsi" w:eastAsiaTheme="minorHAnsi" w:hAnsiTheme="minorHAnsi" w:cstheme="minorHAnsi"/>
          <w:sz w:val="22"/>
          <w:szCs w:val="22"/>
        </w:rPr>
      </w:pPr>
    </w:p>
    <w:p w14:paraId="4C632324" w14:textId="77777777" w:rsidR="005758B6" w:rsidRPr="00DB0C40" w:rsidRDefault="005758B6">
      <w:pPr>
        <w:keepNext/>
        <w:keepLines/>
        <w:numPr>
          <w:ilvl w:val="1"/>
          <w:numId w:val="44"/>
        </w:numPr>
        <w:spacing w:before="40"/>
        <w:outlineLvl w:val="1"/>
        <w:rPr>
          <w:rFonts w:asciiTheme="majorHAnsi" w:eastAsiaTheme="majorEastAsia" w:hAnsiTheme="majorHAnsi" w:cstheme="majorBidi"/>
          <w:color w:val="2F5496" w:themeColor="accent1" w:themeShade="BF"/>
          <w:sz w:val="26"/>
          <w:szCs w:val="26"/>
        </w:rPr>
      </w:pPr>
      <w:bookmarkStart w:id="50" w:name="_Toc92359073"/>
      <w:bookmarkStart w:id="51" w:name="_Hlk107136508"/>
      <w:r w:rsidRPr="00DB0C40">
        <w:rPr>
          <w:rFonts w:asciiTheme="majorHAnsi" w:eastAsiaTheme="majorEastAsia" w:hAnsiTheme="majorHAnsi" w:cstheme="majorBidi"/>
          <w:color w:val="2F5496" w:themeColor="accent1" w:themeShade="BF"/>
          <w:sz w:val="26"/>
          <w:szCs w:val="26"/>
        </w:rPr>
        <w:t>Supporting women´s equal participation in decision-making in the world of work</w:t>
      </w:r>
      <w:bookmarkEnd w:id="50"/>
    </w:p>
    <w:bookmarkEnd w:id="51"/>
    <w:p w14:paraId="66900822" w14:textId="77777777" w:rsidR="00AE67F2" w:rsidRDefault="00AE67F2" w:rsidP="005758B6">
      <w:pPr>
        <w:jc w:val="both"/>
        <w:rPr>
          <w:rFonts w:asciiTheme="minorHAnsi" w:eastAsiaTheme="minorHAnsi" w:hAnsiTheme="minorHAnsi" w:cstheme="minorHAnsi"/>
          <w:sz w:val="22"/>
          <w:szCs w:val="22"/>
        </w:rPr>
      </w:pPr>
    </w:p>
    <w:p w14:paraId="1247FC84" w14:textId="67F2BED6"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Gender equality and women’s economic empowerment cannot be achieved without improving the gender balance at all levels of decision-making in the world of work (in the political sphere, in employer and business membership organizations, etc). Women’s participation in decision-making and leadership at work has also remained at stubbornly low levels. Globally, in 2018 women accounted for only 27.1 per cent of managers in government, large enterprises and other institutions, a proportion that has not changed significantly in three decades. Women with young children (0-5 years old) are least likely to be managers (25.1 per cent), compared with men with young children (74.9 per cent). This is another aspect of the “motherhood penalty” faced by women and the “fatherhood premium” enjoyed by men.</w:t>
      </w:r>
      <w:r w:rsidRPr="00DB0C40">
        <w:rPr>
          <w:rFonts w:asciiTheme="minorHAnsi" w:eastAsiaTheme="minorHAnsi" w:hAnsiTheme="minorHAnsi" w:cstheme="minorHAnsi"/>
          <w:position w:val="6"/>
          <w:sz w:val="22"/>
          <w:szCs w:val="22"/>
        </w:rPr>
        <w:footnoteReference w:id="19"/>
      </w:r>
    </w:p>
    <w:p w14:paraId="6EAEFEA9"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w:t>
      </w:r>
    </w:p>
    <w:p w14:paraId="4A6C87C3" w14:textId="452986C8" w:rsidR="005758B6" w:rsidRPr="00DB0C40" w:rsidRDefault="005758B6">
      <w:pPr>
        <w:pStyle w:val="ListParagraph"/>
        <w:keepNext/>
        <w:keepLines/>
        <w:numPr>
          <w:ilvl w:val="2"/>
          <w:numId w:val="45"/>
        </w:numPr>
        <w:spacing w:before="40"/>
        <w:outlineLvl w:val="2"/>
        <w:rPr>
          <w:rFonts w:asciiTheme="majorHAnsi" w:eastAsiaTheme="majorEastAsia" w:hAnsiTheme="majorHAnsi" w:cstheme="majorBidi"/>
          <w:color w:val="1F3763" w:themeColor="accent1" w:themeShade="7F"/>
        </w:rPr>
      </w:pPr>
      <w:bookmarkStart w:id="52" w:name="_Toc92359074"/>
      <w:bookmarkStart w:id="53" w:name="_Hlk107136573"/>
      <w:r w:rsidRPr="00DB0C40">
        <w:rPr>
          <w:rFonts w:asciiTheme="majorHAnsi" w:eastAsiaTheme="majorEastAsia" w:hAnsiTheme="majorHAnsi" w:cstheme="majorBidi"/>
          <w:color w:val="1F3763" w:themeColor="accent1" w:themeShade="7F"/>
        </w:rPr>
        <w:t>International labour standards and other key instruments</w:t>
      </w:r>
      <w:bookmarkEnd w:id="52"/>
    </w:p>
    <w:bookmarkEnd w:id="53"/>
    <w:p w14:paraId="40A1331C" w14:textId="77777777" w:rsidR="005758B6" w:rsidRPr="00DB0C40" w:rsidRDefault="005758B6" w:rsidP="005758B6">
      <w:pPr>
        <w:rPr>
          <w:rFonts w:asciiTheme="minorHAnsi" w:eastAsiaTheme="minorHAnsi" w:hAnsiTheme="minorHAnsi" w:cstheme="minorBidi"/>
        </w:rPr>
      </w:pPr>
    </w:p>
    <w:p w14:paraId="033288E6" w14:textId="5797FAE0" w:rsidR="005758B6" w:rsidRPr="00DB0C40" w:rsidRDefault="002E58DF" w:rsidP="005758B6">
      <w:pPr>
        <w:jc w:val="both"/>
        <w:rPr>
          <w:rFonts w:asciiTheme="minorHAnsi" w:eastAsiaTheme="minorHAnsi" w:hAnsiTheme="minorHAnsi" w:cstheme="minorHAnsi"/>
          <w:sz w:val="22"/>
          <w:szCs w:val="22"/>
        </w:rPr>
      </w:pPr>
      <w:r w:rsidRPr="00CD2A61">
        <w:rPr>
          <w:rFonts w:asciiTheme="majorHAnsi" w:eastAsiaTheme="majorEastAsia" w:hAnsiTheme="majorHAnsi" w:cstheme="majorBidi"/>
          <w:color w:val="1F3763" w:themeColor="accent1" w:themeShade="7F"/>
        </w:rPr>
        <w:t>3.</w:t>
      </w:r>
      <w:r w:rsidR="00C00E2B" w:rsidRPr="00CD2A61">
        <w:rPr>
          <w:rFonts w:asciiTheme="majorHAnsi" w:eastAsiaTheme="majorEastAsia" w:hAnsiTheme="majorHAnsi" w:cstheme="majorBidi"/>
          <w:color w:val="1F3763" w:themeColor="accent1" w:themeShade="7F"/>
        </w:rPr>
        <w:t>5</w:t>
      </w:r>
      <w:r w:rsidR="005758B6" w:rsidRPr="00CD2A61">
        <w:rPr>
          <w:rFonts w:asciiTheme="majorHAnsi" w:eastAsiaTheme="majorEastAsia" w:hAnsiTheme="majorHAnsi" w:cstheme="majorBidi"/>
          <w:color w:val="1F3763" w:themeColor="accent1" w:themeShade="7F"/>
        </w:rPr>
        <w:t>.1.1.</w:t>
      </w:r>
      <w:r w:rsidR="005758B6" w:rsidRPr="00DB0C40">
        <w:rPr>
          <w:rFonts w:asciiTheme="minorHAnsi" w:eastAsiaTheme="minorHAnsi" w:hAnsiTheme="minorHAnsi" w:cstheme="minorHAnsi"/>
          <w:sz w:val="22"/>
          <w:szCs w:val="22"/>
        </w:rPr>
        <w:t xml:space="preserve"> The ILO Discrimination (Employment and Occupation) Convention, 1958 (No. 111) and Recommendation No. 111 cover discrimination in relation to access to education and vocational training, access to employment and to occupations, as well as terms and conditions of employment. Gender equality policies and measures should be concrete and specific and may require different treatment for certain groups. </w:t>
      </w:r>
    </w:p>
    <w:p w14:paraId="44BA9D39" w14:textId="77777777" w:rsidR="005758B6" w:rsidRPr="00DB0C40" w:rsidRDefault="005758B6" w:rsidP="005758B6">
      <w:pPr>
        <w:jc w:val="both"/>
        <w:rPr>
          <w:rFonts w:asciiTheme="minorHAnsi" w:eastAsiaTheme="minorHAnsi" w:hAnsiTheme="minorHAnsi" w:cstheme="minorHAnsi"/>
          <w:sz w:val="22"/>
          <w:szCs w:val="22"/>
        </w:rPr>
      </w:pPr>
    </w:p>
    <w:p w14:paraId="462E59FE" w14:textId="6045E6CE" w:rsidR="005758B6" w:rsidRPr="00DB0C40" w:rsidRDefault="002E58DF" w:rsidP="005758B6">
      <w:pPr>
        <w:jc w:val="both"/>
        <w:rPr>
          <w:rFonts w:asciiTheme="minorHAnsi" w:eastAsiaTheme="minorHAnsi" w:hAnsiTheme="minorHAnsi" w:cstheme="minorHAnsi"/>
          <w:sz w:val="22"/>
          <w:szCs w:val="22"/>
        </w:rPr>
      </w:pPr>
      <w:r w:rsidRPr="00CD2A61">
        <w:rPr>
          <w:rFonts w:asciiTheme="majorHAnsi" w:eastAsiaTheme="majorEastAsia" w:hAnsiTheme="majorHAnsi" w:cstheme="majorBidi"/>
          <w:color w:val="1F3763" w:themeColor="accent1" w:themeShade="7F"/>
        </w:rPr>
        <w:t>3.</w:t>
      </w:r>
      <w:r w:rsidR="00C00E2B" w:rsidRPr="00CD2A61">
        <w:rPr>
          <w:rFonts w:asciiTheme="majorHAnsi" w:eastAsiaTheme="majorEastAsia" w:hAnsiTheme="majorHAnsi" w:cstheme="majorBidi"/>
          <w:color w:val="1F3763" w:themeColor="accent1" w:themeShade="7F"/>
        </w:rPr>
        <w:t>5</w:t>
      </w:r>
      <w:r w:rsidR="005758B6" w:rsidRPr="00CD2A61">
        <w:rPr>
          <w:rFonts w:asciiTheme="majorHAnsi" w:eastAsiaTheme="majorEastAsia" w:hAnsiTheme="majorHAnsi" w:cstheme="majorBidi"/>
          <w:color w:val="1F3763" w:themeColor="accent1" w:themeShade="7F"/>
        </w:rPr>
        <w:t>.1.2.</w:t>
      </w:r>
      <w:r w:rsidR="005758B6" w:rsidRPr="00DB0C40">
        <w:rPr>
          <w:rFonts w:asciiTheme="minorHAnsi" w:eastAsiaTheme="minorHAnsi" w:hAnsiTheme="minorHAnsi" w:cstheme="minorHAnsi"/>
          <w:b/>
          <w:bCs/>
          <w:sz w:val="22"/>
          <w:szCs w:val="22"/>
        </w:rPr>
        <w:t xml:space="preserve"> </w:t>
      </w:r>
      <w:r w:rsidR="005758B6" w:rsidRPr="00DB0C40">
        <w:rPr>
          <w:rFonts w:asciiTheme="minorHAnsi" w:eastAsiaTheme="minorHAnsi" w:hAnsiTheme="minorHAnsi" w:cstheme="minorHAnsi"/>
          <w:sz w:val="22"/>
          <w:szCs w:val="22"/>
        </w:rPr>
        <w:t>The EU Gender Equality Strategy 2020-2025 aims to improve the gender balance on corporate boards by introducing a Directive, first tabled in 2012, to require a minimum 40 per cent of non-executive members of the under-represented sex on the boards of listed European companies.</w:t>
      </w:r>
    </w:p>
    <w:p w14:paraId="7B3F3E49" w14:textId="77777777" w:rsidR="005758B6" w:rsidRPr="00DB0C40" w:rsidRDefault="005758B6" w:rsidP="005758B6">
      <w:pPr>
        <w:jc w:val="both"/>
        <w:rPr>
          <w:rFonts w:asciiTheme="minorHAnsi" w:eastAsiaTheme="minorHAnsi" w:hAnsiTheme="minorHAnsi" w:cstheme="minorHAnsi"/>
          <w:sz w:val="22"/>
          <w:szCs w:val="22"/>
        </w:rPr>
      </w:pPr>
    </w:p>
    <w:p w14:paraId="44456EA1" w14:textId="43F9A1A8" w:rsidR="005758B6" w:rsidRPr="00DB0C40" w:rsidRDefault="002E58DF" w:rsidP="005758B6">
      <w:pPr>
        <w:jc w:val="both"/>
        <w:rPr>
          <w:rFonts w:asciiTheme="minorHAnsi" w:eastAsiaTheme="minorHAnsi" w:hAnsiTheme="minorHAnsi" w:cstheme="minorHAnsi"/>
          <w:sz w:val="22"/>
          <w:szCs w:val="22"/>
        </w:rPr>
      </w:pPr>
      <w:r w:rsidRPr="00CD2A61">
        <w:rPr>
          <w:rFonts w:asciiTheme="majorHAnsi" w:eastAsiaTheme="majorEastAsia" w:hAnsiTheme="majorHAnsi" w:cstheme="majorBidi"/>
          <w:color w:val="1F3763" w:themeColor="accent1" w:themeShade="7F"/>
        </w:rPr>
        <w:t>3.</w:t>
      </w:r>
      <w:r w:rsidR="00C00E2B" w:rsidRPr="00CD2A61">
        <w:rPr>
          <w:rFonts w:asciiTheme="majorHAnsi" w:eastAsiaTheme="majorEastAsia" w:hAnsiTheme="majorHAnsi" w:cstheme="majorBidi"/>
          <w:color w:val="1F3763" w:themeColor="accent1" w:themeShade="7F"/>
        </w:rPr>
        <w:t>5</w:t>
      </w:r>
      <w:r w:rsidRPr="00CD2A61">
        <w:rPr>
          <w:rFonts w:asciiTheme="majorHAnsi" w:eastAsiaTheme="majorEastAsia" w:hAnsiTheme="majorHAnsi" w:cstheme="majorBidi"/>
          <w:color w:val="1F3763" w:themeColor="accent1" w:themeShade="7F"/>
        </w:rPr>
        <w:t>.</w:t>
      </w:r>
      <w:r w:rsidR="005758B6" w:rsidRPr="00CD2A61">
        <w:rPr>
          <w:rFonts w:asciiTheme="majorHAnsi" w:eastAsiaTheme="majorEastAsia" w:hAnsiTheme="majorHAnsi" w:cstheme="majorBidi"/>
          <w:color w:val="1F3763" w:themeColor="accent1" w:themeShade="7F"/>
        </w:rPr>
        <w:t>1.3.</w:t>
      </w:r>
      <w:r w:rsidR="005758B6" w:rsidRPr="00DB0C40">
        <w:rPr>
          <w:rFonts w:asciiTheme="minorHAnsi" w:eastAsiaTheme="minorHAnsi" w:hAnsiTheme="minorHAnsi" w:cstheme="minorHAnsi"/>
          <w:sz w:val="22"/>
          <w:szCs w:val="22"/>
        </w:rPr>
        <w:t xml:space="preserve"> The EU cohesion policy supports women’s entrepreneurship, women’s (re)integration into the labour market and gender equality in traditionally male-dominated sectors. In 2020, Horizon Europe’s European Innovation Council (EIC) will also bring forward measures to promote the participation of women in start-ups and innovative small and medium-sized enterprises.</w:t>
      </w:r>
    </w:p>
    <w:p w14:paraId="36B1F6EC" w14:textId="77777777" w:rsidR="005758B6" w:rsidRPr="00DB0C40" w:rsidRDefault="005758B6" w:rsidP="005758B6">
      <w:pPr>
        <w:rPr>
          <w:rFonts w:asciiTheme="minorHAnsi" w:eastAsiaTheme="minorHAnsi" w:hAnsiTheme="minorHAnsi" w:cstheme="minorHAnsi"/>
          <w:sz w:val="22"/>
          <w:szCs w:val="22"/>
        </w:rPr>
      </w:pPr>
    </w:p>
    <w:p w14:paraId="645A8CCE" w14:textId="77777777" w:rsidR="005758B6" w:rsidRPr="00DB0C40" w:rsidRDefault="005758B6" w:rsidP="005758B6">
      <w:pPr>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The main guiding principles for governments to prioritize the promotion of women’s representation and leadership in both the public and private sectors are: </w:t>
      </w:r>
    </w:p>
    <w:p w14:paraId="00D8A936" w14:textId="77777777" w:rsidR="005758B6" w:rsidRPr="00DB0C40" w:rsidRDefault="005758B6">
      <w:pPr>
        <w:numPr>
          <w:ilvl w:val="0"/>
          <w:numId w:val="21"/>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promoting women’s participation and leadership in political decision-making</w:t>
      </w:r>
    </w:p>
    <w:p w14:paraId="12E01F16" w14:textId="77777777" w:rsidR="005758B6" w:rsidRPr="00DB0C40" w:rsidRDefault="005758B6">
      <w:pPr>
        <w:numPr>
          <w:ilvl w:val="0"/>
          <w:numId w:val="21"/>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adopting gender-responsive macroeconomic policies</w:t>
      </w:r>
    </w:p>
    <w:p w14:paraId="3B1557C0" w14:textId="77777777" w:rsidR="005758B6" w:rsidRPr="00DB0C40" w:rsidRDefault="005758B6">
      <w:pPr>
        <w:numPr>
          <w:ilvl w:val="0"/>
          <w:numId w:val="21"/>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lastRenderedPageBreak/>
        <w:t>implementing proactive measures to foster gender balance in company leadership and management positions</w:t>
      </w:r>
    </w:p>
    <w:p w14:paraId="3CD42E0A" w14:textId="77777777" w:rsidR="005758B6" w:rsidRPr="00DB0C40" w:rsidRDefault="005758B6">
      <w:pPr>
        <w:numPr>
          <w:ilvl w:val="0"/>
          <w:numId w:val="21"/>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supporting and scaling up women-owned enterprises</w:t>
      </w:r>
    </w:p>
    <w:p w14:paraId="32F70A27" w14:textId="77777777" w:rsidR="005758B6" w:rsidRPr="00DB0C40" w:rsidRDefault="005758B6">
      <w:pPr>
        <w:numPr>
          <w:ilvl w:val="0"/>
          <w:numId w:val="21"/>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expanding gender-responsive procurement.</w:t>
      </w:r>
    </w:p>
    <w:p w14:paraId="4A4D4FD0" w14:textId="77777777" w:rsidR="005758B6" w:rsidRPr="00DB0C40" w:rsidRDefault="005758B6" w:rsidP="005758B6">
      <w:pPr>
        <w:spacing w:after="200"/>
        <w:ind w:left="720"/>
        <w:contextualSpacing/>
        <w:rPr>
          <w:rFonts w:asciiTheme="minorHAnsi" w:hAnsiTheme="minorHAnsi" w:cstheme="minorHAnsi"/>
          <w:sz w:val="22"/>
          <w:szCs w:val="22"/>
        </w:rPr>
      </w:pPr>
    </w:p>
    <w:p w14:paraId="12FBA9A5" w14:textId="77777777" w:rsidR="005758B6" w:rsidRPr="00DB0C40" w:rsidRDefault="005758B6">
      <w:pPr>
        <w:keepNext/>
        <w:keepLines/>
        <w:numPr>
          <w:ilvl w:val="2"/>
          <w:numId w:val="45"/>
        </w:numPr>
        <w:spacing w:before="40"/>
        <w:outlineLvl w:val="2"/>
        <w:rPr>
          <w:rFonts w:asciiTheme="majorHAnsi" w:eastAsiaTheme="majorEastAsia" w:hAnsiTheme="majorHAnsi" w:cstheme="majorBidi"/>
          <w:color w:val="1F3763" w:themeColor="accent1" w:themeShade="7F"/>
        </w:rPr>
      </w:pPr>
      <w:bookmarkStart w:id="54" w:name="_Toc92359075"/>
      <w:bookmarkStart w:id="55" w:name="_Hlk107136620"/>
      <w:r w:rsidRPr="00DB0C40">
        <w:rPr>
          <w:rFonts w:asciiTheme="majorHAnsi" w:eastAsiaTheme="majorEastAsia" w:hAnsiTheme="majorHAnsi" w:cstheme="majorBidi"/>
          <w:color w:val="1F3763" w:themeColor="accent1" w:themeShade="7F"/>
        </w:rPr>
        <w:t>Some examples of national legal framework in European (France and Italy)</w:t>
      </w:r>
      <w:r w:rsidRPr="00DB0C40">
        <w:rPr>
          <w:rFonts w:ascii="TimesNewRomanPS" w:eastAsiaTheme="majorEastAsia" w:hAnsi="TimesNewRomanPS" w:cstheme="minorHAnsi"/>
          <w:b/>
          <w:bCs/>
          <w:color w:val="1F3763" w:themeColor="accent1" w:themeShade="7F"/>
          <w:position w:val="6"/>
          <w:sz w:val="16"/>
        </w:rPr>
        <w:footnoteReference w:id="20"/>
      </w:r>
      <w:bookmarkEnd w:id="54"/>
    </w:p>
    <w:bookmarkEnd w:id="55"/>
    <w:p w14:paraId="5BA7D291" w14:textId="77777777" w:rsidR="005758B6" w:rsidRPr="00DB0C40" w:rsidRDefault="005758B6" w:rsidP="005758B6">
      <w:pPr>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 </w:t>
      </w:r>
    </w:p>
    <w:p w14:paraId="5045E449" w14:textId="77777777" w:rsidR="005758B6" w:rsidRPr="00DB0C40" w:rsidRDefault="005758B6" w:rsidP="005758B6">
      <w:pPr>
        <w:pBdr>
          <w:top w:val="single" w:sz="4" w:space="1" w:color="auto"/>
          <w:left w:val="single" w:sz="4" w:space="4" w:color="auto"/>
          <w:bottom w:val="single" w:sz="4" w:space="1" w:color="auto"/>
          <w:right w:val="single" w:sz="4" w:space="4" w:color="auto"/>
        </w:pBdr>
        <w:rPr>
          <w:rFonts w:asciiTheme="minorHAnsi" w:eastAsiaTheme="minorHAnsi" w:hAnsiTheme="minorHAnsi" w:cstheme="minorHAnsi"/>
          <w:b/>
          <w:bCs/>
          <w:sz w:val="22"/>
          <w:szCs w:val="22"/>
        </w:rPr>
      </w:pPr>
      <w:r w:rsidRPr="00DB0C40">
        <w:rPr>
          <w:rFonts w:asciiTheme="minorHAnsi" w:eastAsiaTheme="minorHAnsi" w:hAnsiTheme="minorHAnsi" w:cstheme="minorHAnsi"/>
          <w:b/>
          <w:bCs/>
          <w:sz w:val="22"/>
          <w:szCs w:val="22"/>
        </w:rPr>
        <w:t>Mandating gender-diverse boards (France)</w:t>
      </w:r>
      <w:r w:rsidRPr="00DB0C40">
        <w:rPr>
          <w:rFonts w:asciiTheme="minorHAnsi" w:eastAsiaTheme="minorHAnsi" w:hAnsiTheme="minorHAnsi" w:cstheme="minorHAnsi"/>
          <w:b/>
          <w:bCs/>
          <w:sz w:val="22"/>
          <w:szCs w:val="22"/>
        </w:rPr>
        <w:tab/>
      </w:r>
    </w:p>
    <w:p w14:paraId="245395AB" w14:textId="77777777" w:rsidR="005758B6" w:rsidRPr="00DB0C40" w:rsidRDefault="005758B6" w:rsidP="005758B6">
      <w:pPr>
        <w:pBdr>
          <w:top w:val="single" w:sz="4" w:space="1" w:color="auto"/>
          <w:left w:val="single" w:sz="4" w:space="4" w:color="auto"/>
          <w:bottom w:val="single" w:sz="4" w:space="1" w:color="auto"/>
          <w:right w:val="single" w:sz="4" w:space="4" w:color="auto"/>
        </w:pBdr>
        <w:rPr>
          <w:rFonts w:asciiTheme="minorHAnsi" w:eastAsiaTheme="minorHAnsi" w:hAnsiTheme="minorHAnsi" w:cstheme="minorHAnsi"/>
          <w:sz w:val="22"/>
          <w:szCs w:val="22"/>
        </w:rPr>
      </w:pPr>
    </w:p>
    <w:p w14:paraId="35A19019"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On 13 January 2011, France’s Cope-Zimmerman Law was passed, coming into full effect in January 2017 and mandating a quota of at least 40 per cent for all genders on company boards. The binding quota applies to publicly traded companies, or those with more than five hundred employees and a turnover of more than €50 million in the previous three years. In 2012 and 2014, two supplementary laws extended the quota to leadership in governmental bodies, social security organizations, and the cultural and sports sectors. The proportion of women on the boards of France’s largest publicly listed companies increased by almost 32 per cent between 2010 and 2018.50 As a result of the law, France stands out from the rest of EU in terms of the proportion of women serving on company boards, with the highest level among EU Member States as of April 2016 – an impressive result achieved even before the law came into full effect.</w:t>
      </w:r>
    </w:p>
    <w:p w14:paraId="1221D3CB" w14:textId="77777777" w:rsidR="005758B6" w:rsidRPr="00DB0C40" w:rsidRDefault="005758B6" w:rsidP="005758B6">
      <w:pPr>
        <w:rPr>
          <w:rFonts w:asciiTheme="minorHAnsi" w:eastAsiaTheme="minorHAnsi" w:hAnsiTheme="minorHAnsi" w:cstheme="minorHAnsi"/>
          <w:sz w:val="22"/>
          <w:szCs w:val="22"/>
        </w:rPr>
      </w:pPr>
    </w:p>
    <w:p w14:paraId="36C6DBE1" w14:textId="77777777" w:rsidR="005758B6" w:rsidRPr="00DB0C40" w:rsidRDefault="005758B6" w:rsidP="005758B6">
      <w:pPr>
        <w:pBdr>
          <w:top w:val="single" w:sz="4" w:space="1" w:color="auto"/>
          <w:left w:val="single" w:sz="4" w:space="4" w:color="auto"/>
          <w:bottom w:val="single" w:sz="4" w:space="1" w:color="auto"/>
          <w:right w:val="single" w:sz="4" w:space="4" w:color="auto"/>
        </w:pBdr>
        <w:rPr>
          <w:rFonts w:asciiTheme="minorHAnsi" w:eastAsiaTheme="minorHAnsi" w:hAnsiTheme="minorHAnsi" w:cstheme="minorHAnsi"/>
          <w:b/>
          <w:bCs/>
          <w:sz w:val="22"/>
          <w:szCs w:val="22"/>
        </w:rPr>
      </w:pPr>
      <w:r w:rsidRPr="00DB0C40">
        <w:rPr>
          <w:rFonts w:asciiTheme="minorHAnsi" w:eastAsiaTheme="minorHAnsi" w:hAnsiTheme="minorHAnsi" w:cstheme="minorHAnsi"/>
          <w:b/>
          <w:bCs/>
          <w:sz w:val="22"/>
          <w:szCs w:val="22"/>
        </w:rPr>
        <w:t xml:space="preserve"> Promoting women in economic and political leadership positions (Italy)          </w:t>
      </w:r>
    </w:p>
    <w:p w14:paraId="05EE0502" w14:textId="77777777" w:rsidR="005758B6" w:rsidRPr="00DB0C40" w:rsidRDefault="005758B6" w:rsidP="005758B6">
      <w:pPr>
        <w:pBdr>
          <w:top w:val="single" w:sz="4" w:space="1" w:color="auto"/>
          <w:left w:val="single" w:sz="4" w:space="4" w:color="auto"/>
          <w:bottom w:val="single" w:sz="4" w:space="1" w:color="auto"/>
          <w:right w:val="single" w:sz="4" w:space="4" w:color="auto"/>
        </w:pBdr>
        <w:rPr>
          <w:rFonts w:asciiTheme="minorHAnsi" w:eastAsiaTheme="minorHAnsi" w:hAnsiTheme="minorHAnsi" w:cstheme="minorHAnsi"/>
          <w:sz w:val="22"/>
          <w:szCs w:val="22"/>
        </w:rPr>
      </w:pPr>
    </w:p>
    <w:p w14:paraId="1742CF08"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Italy is another country that has established legal quotas to promote women into higher leadership positions within companies. In 2005, the proportion of Italian women in economic leadership roles were extremely low: only 3 per cent of company board members were women. To take one example, the Central Bank board consisted exclusively of men.60 To rectify this situation and achieve gender parity, the Italian Government passed laws requiring greater gender diversity on company boards. The law passed in 2011 established a one-fifth quota for gender representation, sixty-one and in 2012, this quota was extended to companies not operating in regulated markets.62 Finally, in 2016, the Italian government increased the quota to one-third board members in publicly listed companies.</w:t>
      </w:r>
    </w:p>
    <w:p w14:paraId="790D2D4F"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These quotas have strengthened women’s economic leadership in Italy. In 2018, women accounted for 22 per cent of the board of the Central Bank. In 2019, women made up over 36 per cent of the membership of the boards of publicly listed companies, the second highest figure among G7 countries. The Department for Equal Opportunities is the designated monitoring body and has so far initiated 391 administrative proceedings against non- compliant companies.</w:t>
      </w:r>
    </w:p>
    <w:p w14:paraId="099033E0"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Since 2014, Italy has also enacted numerous pieces of legislation to promote women’s quotas in local government, the federal government, and its representation in the European Parliament.66 A 2017 law stipulates that no more than 60 per cent of representatives in an uninominal electoral college can be of the same sex. Both chambers of the national Parliament also have gender-balance mandates because of this law. Consequently, there has been a significant improvement in gender parity in political representation. The Italian legislature at the time of this publication (2020) had the highest representation of women parliamentarians in Italy’s history (35.7 per cent). This proportion has doubled over the last ten years. The World Economic Forum’s ranking of Italy in terms of political empowerment rose from 72nd (out of 115 countries) in 2006 to 46th (out of 144 countries) in 2017. </w:t>
      </w:r>
    </w:p>
    <w:p w14:paraId="7C22DBBB" w14:textId="77777777" w:rsidR="005758B6" w:rsidRPr="00DB0C40" w:rsidRDefault="005758B6" w:rsidP="005758B6">
      <w:pPr>
        <w:rPr>
          <w:rFonts w:asciiTheme="minorHAnsi" w:eastAsiaTheme="minorHAnsi" w:hAnsiTheme="minorHAnsi" w:cstheme="minorHAnsi"/>
          <w:sz w:val="22"/>
          <w:szCs w:val="22"/>
        </w:rPr>
      </w:pPr>
    </w:p>
    <w:p w14:paraId="6054A073" w14:textId="77777777" w:rsidR="005758B6" w:rsidRPr="00DB0C40" w:rsidRDefault="005758B6" w:rsidP="005758B6">
      <w:pPr>
        <w:rPr>
          <w:rFonts w:asciiTheme="minorHAnsi" w:eastAsiaTheme="minorHAnsi" w:hAnsiTheme="minorHAnsi" w:cstheme="minorHAnsi"/>
          <w:sz w:val="22"/>
          <w:szCs w:val="22"/>
        </w:rPr>
      </w:pPr>
    </w:p>
    <w:p w14:paraId="088406BD" w14:textId="13CB3E76" w:rsidR="006667C7" w:rsidRPr="00C14533" w:rsidRDefault="002E58DF" w:rsidP="006667C7">
      <w:pPr>
        <w:rPr>
          <w:rFonts w:asciiTheme="majorHAnsi" w:eastAsiaTheme="majorEastAsia" w:hAnsiTheme="majorHAnsi" w:cstheme="majorBidi"/>
          <w:color w:val="1F3763" w:themeColor="accent1" w:themeShade="7F"/>
        </w:rPr>
      </w:pPr>
      <w:bookmarkStart w:id="56" w:name="_Toc92359076"/>
      <w:r w:rsidRPr="00DB0C40">
        <w:rPr>
          <w:rFonts w:asciiTheme="majorHAnsi" w:eastAsiaTheme="majorEastAsia" w:hAnsiTheme="majorHAnsi" w:cstheme="majorBidi"/>
          <w:color w:val="1F3763" w:themeColor="accent1" w:themeShade="7F"/>
        </w:rPr>
        <w:t>3.</w:t>
      </w:r>
      <w:r w:rsidR="00C00E2B" w:rsidRPr="00DB0C40">
        <w:rPr>
          <w:rFonts w:asciiTheme="majorHAnsi" w:eastAsiaTheme="majorEastAsia" w:hAnsiTheme="majorHAnsi" w:cstheme="majorBidi"/>
          <w:color w:val="1F3763" w:themeColor="accent1" w:themeShade="7F"/>
        </w:rPr>
        <w:t>5.3</w:t>
      </w:r>
      <w:r w:rsidRPr="00DB0C40">
        <w:rPr>
          <w:rFonts w:asciiTheme="majorHAnsi" w:eastAsiaTheme="majorEastAsia" w:hAnsiTheme="majorHAnsi" w:cstheme="majorBidi"/>
          <w:color w:val="1F3763" w:themeColor="accent1" w:themeShade="7F"/>
        </w:rPr>
        <w:t>.</w:t>
      </w:r>
      <w:r w:rsidR="005758B6" w:rsidRPr="00DB0C40">
        <w:rPr>
          <w:rFonts w:asciiTheme="majorHAnsi" w:eastAsiaTheme="majorEastAsia" w:hAnsiTheme="majorHAnsi" w:cstheme="majorBidi"/>
          <w:color w:val="1F3763" w:themeColor="accent1" w:themeShade="7F"/>
        </w:rPr>
        <w:t xml:space="preserve"> Laws and </w:t>
      </w:r>
      <w:r w:rsidR="00AE67F2">
        <w:rPr>
          <w:rFonts w:asciiTheme="majorHAnsi" w:eastAsiaTheme="majorEastAsia" w:hAnsiTheme="majorHAnsi" w:cstheme="majorBidi"/>
          <w:color w:val="1F3763" w:themeColor="accent1" w:themeShade="7F"/>
        </w:rPr>
        <w:t>P</w:t>
      </w:r>
      <w:r w:rsidR="005758B6" w:rsidRPr="00DB0C40">
        <w:rPr>
          <w:rFonts w:asciiTheme="majorHAnsi" w:eastAsiaTheme="majorEastAsia" w:hAnsiTheme="majorHAnsi" w:cstheme="majorBidi"/>
          <w:color w:val="1F3763" w:themeColor="accent1" w:themeShade="7F"/>
        </w:rPr>
        <w:t>olicies during COVID</w:t>
      </w:r>
      <w:bookmarkEnd w:id="56"/>
      <w:r w:rsidR="006667C7">
        <w:rPr>
          <w:rFonts w:asciiTheme="majorHAnsi" w:eastAsiaTheme="majorEastAsia" w:hAnsiTheme="majorHAnsi" w:cstheme="majorBidi"/>
          <w:color w:val="1F3763" w:themeColor="accent1" w:themeShade="7F"/>
        </w:rPr>
        <w:t xml:space="preserve"> </w:t>
      </w:r>
      <w:r w:rsidR="006667C7" w:rsidRPr="00C14533">
        <w:rPr>
          <w:rFonts w:asciiTheme="majorHAnsi" w:eastAsiaTheme="majorEastAsia" w:hAnsiTheme="majorHAnsi" w:cstheme="majorBidi"/>
          <w:color w:val="1F3763" w:themeColor="accent1" w:themeShade="7F"/>
        </w:rPr>
        <w:t>related to supporting women´s equal participation in decision-making in the world of work</w:t>
      </w:r>
    </w:p>
    <w:p w14:paraId="299C3E03" w14:textId="4C034691" w:rsidR="005758B6" w:rsidRPr="009E356C" w:rsidRDefault="005758B6" w:rsidP="005758B6">
      <w:pPr>
        <w:keepNext/>
        <w:keepLines/>
        <w:spacing w:before="40"/>
        <w:outlineLvl w:val="2"/>
        <w:rPr>
          <w:rFonts w:asciiTheme="majorHAnsi" w:eastAsiaTheme="majorEastAsia" w:hAnsiTheme="majorHAnsi" w:cstheme="majorBidi"/>
          <w:color w:val="4472C4" w:themeColor="accent1"/>
        </w:rPr>
      </w:pPr>
    </w:p>
    <w:p w14:paraId="6A03B195" w14:textId="77777777" w:rsidR="005758B6" w:rsidRPr="00DB0C40" w:rsidRDefault="005758B6" w:rsidP="005758B6">
      <w:pPr>
        <w:jc w:val="both"/>
        <w:rPr>
          <w:rFonts w:asciiTheme="minorHAnsi" w:eastAsiaTheme="minorHAnsi" w:hAnsiTheme="minorHAnsi" w:cstheme="minorHAnsi"/>
          <w:sz w:val="22"/>
          <w:szCs w:val="22"/>
        </w:rPr>
      </w:pPr>
    </w:p>
    <w:p w14:paraId="2AC09FAF"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ILO estimates that worldwide around 436 million enterprises in the sectors hardest- hit by the COVID-19 crisis are facing serious disruption. Another survey shows that over 90 per cent of women entrepreneurs suffered a decrease in sales during the pandemic and have less than three months of cash flow remaining. These challenges reflect the fact that women-owned businesses are more concentrated in the sectors most affected by lockdowns, increased care demands that have reduced their ability to focus on their businesses and generate income, and difficulty in adapting quickly to digital operations.</w:t>
      </w:r>
    </w:p>
    <w:p w14:paraId="3ABACE66" w14:textId="77777777" w:rsidR="005758B6" w:rsidRPr="00DB0C40" w:rsidRDefault="005758B6" w:rsidP="005758B6">
      <w:pPr>
        <w:jc w:val="both"/>
        <w:rPr>
          <w:rFonts w:asciiTheme="minorHAnsi" w:eastAsiaTheme="minorHAnsi" w:hAnsiTheme="minorHAnsi" w:cstheme="minorHAnsi"/>
          <w:sz w:val="22"/>
          <w:szCs w:val="22"/>
        </w:rPr>
      </w:pPr>
    </w:p>
    <w:p w14:paraId="2B8CE005"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ILO and UN Women recommends that public policies should:</w:t>
      </w:r>
    </w:p>
    <w:p w14:paraId="567AE5CC" w14:textId="77777777" w:rsidR="005758B6" w:rsidRPr="00DB0C40" w:rsidRDefault="005758B6">
      <w:pPr>
        <w:numPr>
          <w:ilvl w:val="0"/>
          <w:numId w:val="22"/>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implement employment retention measures to prevent women from losing their jobs, and focus on gender-responsive employment and entrepreneurship</w:t>
      </w:r>
    </w:p>
    <w:p w14:paraId="43CEB5F9" w14:textId="77777777" w:rsidR="005758B6" w:rsidRPr="00DB0C40" w:rsidRDefault="005758B6">
      <w:pPr>
        <w:numPr>
          <w:ilvl w:val="0"/>
          <w:numId w:val="22"/>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sustain business operations, especially MSMEs, to preserve and scale up women entrepreneurs’ contributions to growth and sustainable development during recovery</w:t>
      </w:r>
    </w:p>
    <w:p w14:paraId="6C27FCC1" w14:textId="77777777" w:rsidR="005758B6" w:rsidRPr="00DB0C40" w:rsidRDefault="005758B6">
      <w:pPr>
        <w:numPr>
          <w:ilvl w:val="0"/>
          <w:numId w:val="22"/>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use GRP to ensure that large contracts and new investments for economic recovery are distributed equally, and that women benefit from the government’s buying power</w:t>
      </w:r>
    </w:p>
    <w:p w14:paraId="55185626" w14:textId="77777777" w:rsidR="005758B6" w:rsidRPr="00DB0C40" w:rsidRDefault="005758B6">
      <w:pPr>
        <w:numPr>
          <w:ilvl w:val="0"/>
          <w:numId w:val="22"/>
        </w:numPr>
        <w:spacing w:after="200"/>
        <w:contextualSpacing/>
        <w:jc w:val="both"/>
        <w:rPr>
          <w:rFonts w:asciiTheme="minorHAnsi" w:hAnsiTheme="minorHAnsi" w:cstheme="minorHAnsi"/>
          <w:sz w:val="22"/>
          <w:szCs w:val="22"/>
        </w:rPr>
      </w:pPr>
      <w:r w:rsidRPr="00DB0C40">
        <w:rPr>
          <w:rFonts w:asciiTheme="minorHAnsi" w:hAnsiTheme="minorHAnsi" w:cstheme="minorHAnsi"/>
          <w:sz w:val="22"/>
          <w:szCs w:val="22"/>
        </w:rPr>
        <w:t>invest in the care economy to support more and better-quality care jobs, which are crucial in times of both crisis and prosperity.</w:t>
      </w:r>
    </w:p>
    <w:p w14:paraId="21ADC826" w14:textId="77777777" w:rsidR="005758B6" w:rsidRPr="00DB0C40" w:rsidRDefault="005758B6" w:rsidP="005758B6">
      <w:pPr>
        <w:rPr>
          <w:rFonts w:asciiTheme="minorHAnsi" w:eastAsiaTheme="minorHAnsi" w:hAnsiTheme="minorHAnsi" w:cstheme="minorHAnsi"/>
          <w:sz w:val="22"/>
          <w:szCs w:val="22"/>
        </w:rPr>
      </w:pPr>
    </w:p>
    <w:p w14:paraId="02FD09A1" w14:textId="18A9A36F" w:rsidR="002E58DF" w:rsidRPr="00DB0C40" w:rsidRDefault="005758B6">
      <w:pPr>
        <w:pStyle w:val="ListParagraph"/>
        <w:keepNext/>
        <w:keepLines/>
        <w:numPr>
          <w:ilvl w:val="1"/>
          <w:numId w:val="45"/>
        </w:numPr>
        <w:spacing w:before="40"/>
        <w:outlineLvl w:val="1"/>
        <w:rPr>
          <w:rFonts w:asciiTheme="majorHAnsi" w:eastAsiaTheme="majorEastAsia" w:hAnsiTheme="majorHAnsi" w:cstheme="majorBidi"/>
          <w:color w:val="2F5496" w:themeColor="accent1" w:themeShade="BF"/>
          <w:sz w:val="26"/>
          <w:szCs w:val="26"/>
        </w:rPr>
      </w:pPr>
      <w:bookmarkStart w:id="57" w:name="_Toc92359077"/>
      <w:r w:rsidRPr="00DB0C40">
        <w:rPr>
          <w:rFonts w:asciiTheme="majorHAnsi" w:eastAsiaTheme="majorEastAsia" w:hAnsiTheme="majorHAnsi" w:cstheme="majorBidi"/>
          <w:color w:val="2F5496" w:themeColor="accent1" w:themeShade="BF"/>
          <w:sz w:val="26"/>
          <w:szCs w:val="26"/>
        </w:rPr>
        <w:t>Building a future of work that works for women</w:t>
      </w:r>
      <w:bookmarkEnd w:id="57"/>
    </w:p>
    <w:p w14:paraId="22C16A9D" w14:textId="77777777" w:rsidR="005758B6" w:rsidRPr="00DB0C40" w:rsidRDefault="005758B6" w:rsidP="005758B6">
      <w:pPr>
        <w:spacing w:after="200" w:line="276" w:lineRule="auto"/>
        <w:ind w:left="720"/>
        <w:contextualSpacing/>
        <w:rPr>
          <w:rFonts w:cstheme="minorHAnsi"/>
          <w:b/>
          <w:bCs/>
          <w:sz w:val="22"/>
          <w:szCs w:val="22"/>
        </w:rPr>
      </w:pPr>
    </w:p>
    <w:p w14:paraId="7123CFC4"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 levelling the playing field for people, governments face the ongoing challenge of the global transformations arising from modern technology, demographic shifts, and climate change. Rapid technological advances in automation, artificial intelligence, robotics, and the digital economy are transforming the world of work, with mixed implications for the future of gender equality.</w:t>
      </w:r>
    </w:p>
    <w:p w14:paraId="05E67E07" w14:textId="77777777" w:rsidR="005758B6" w:rsidRPr="00DB0C40" w:rsidRDefault="005758B6" w:rsidP="005758B6">
      <w:pPr>
        <w:jc w:val="both"/>
        <w:rPr>
          <w:rFonts w:asciiTheme="minorHAnsi" w:eastAsiaTheme="minorHAnsi" w:hAnsiTheme="minorHAnsi" w:cstheme="minorHAnsi"/>
          <w:sz w:val="22"/>
          <w:szCs w:val="22"/>
        </w:rPr>
      </w:pPr>
    </w:p>
    <w:p w14:paraId="767D94B4"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Persistent occupational segregation means that people are likely to be impacted differently by automation. ILO research shows that the impacts of automation are likely to vary across sectors, with women predominant in sectors that are both at highest risk (accommodation and restaurants, manufacturing) and lowest (education, health, and social work) where job losses are concerned.</w:t>
      </w:r>
    </w:p>
    <w:p w14:paraId="4ABEA624" w14:textId="77777777" w:rsidR="005758B6" w:rsidRPr="00DB0C40" w:rsidRDefault="005758B6" w:rsidP="005758B6">
      <w:pPr>
        <w:jc w:val="both"/>
        <w:rPr>
          <w:rFonts w:asciiTheme="minorHAnsi" w:eastAsiaTheme="minorHAnsi" w:hAnsiTheme="minorHAnsi" w:cstheme="minorHAnsi"/>
          <w:sz w:val="22"/>
          <w:szCs w:val="22"/>
        </w:rPr>
      </w:pPr>
    </w:p>
    <w:p w14:paraId="0EF88A86"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Modern technologies have also increased employment mediated through digital platforms (platform employment or crowd work), which often precludes access to basic labour and social protections. The incidence of such work as a proportion of total employment is estimated to vary from 0.5 per cent in the United States to 5 per cent in Europe. Women are less likely than men to engage in digital employment (in high-income countries, one in three crowd workers is a woman) and, when they do, they tend to accept gigs with lower added value, to combine paid work with care responsibilities.</w:t>
      </w:r>
    </w:p>
    <w:p w14:paraId="6FE6E92E" w14:textId="77777777" w:rsidR="005758B6" w:rsidRPr="00DB0C40" w:rsidRDefault="005758B6" w:rsidP="005758B6">
      <w:pPr>
        <w:jc w:val="both"/>
        <w:rPr>
          <w:rFonts w:asciiTheme="minorHAnsi" w:eastAsiaTheme="minorHAnsi" w:hAnsiTheme="minorHAnsi" w:cstheme="minorHAnsi"/>
          <w:sz w:val="22"/>
          <w:szCs w:val="22"/>
        </w:rPr>
      </w:pPr>
    </w:p>
    <w:p w14:paraId="088C73E3"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These gender gaps also reflect the fact that women are significantly under-represented in the science, technology, engineering, and mathematics (STEM) fields, which generate high- paying jobs that are shaping the future of work. Women are less likely to have digital skills, and the digital skills they do have earn lower returns than those of their male counterparts.</w:t>
      </w:r>
    </w:p>
    <w:p w14:paraId="0F468DC8" w14:textId="77777777" w:rsidR="005758B6" w:rsidRPr="00DB0C40" w:rsidRDefault="005758B6" w:rsidP="005758B6">
      <w:pPr>
        <w:rPr>
          <w:rFonts w:asciiTheme="minorHAnsi" w:eastAsiaTheme="minorHAnsi" w:hAnsiTheme="minorHAnsi" w:cstheme="minorHAnsi"/>
          <w:sz w:val="22"/>
          <w:szCs w:val="22"/>
        </w:rPr>
      </w:pPr>
    </w:p>
    <w:p w14:paraId="20B9DB9E"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lastRenderedPageBreak/>
        <w:t xml:space="preserve">In EU countries, women comprise only 17 percent of people on ICT courses and in ICT careers10 and only 36 per cent of STEM graduates, although girls were outpacing boys in digital literacy in 2018.11 In G7 countries, too, women continue to be under-represented among STEM graduates. This gap in tech education has knock-on effects in the labour market. Women are less likely to be employed in the ICT sector and, when they do get a digital job, they face a gender pay gap significantly larger than the gender pay gap for the overall economy. </w:t>
      </w:r>
    </w:p>
    <w:p w14:paraId="152B0B73" w14:textId="77777777" w:rsidR="005758B6" w:rsidRPr="00DB0C40" w:rsidRDefault="005758B6" w:rsidP="005758B6">
      <w:pPr>
        <w:rPr>
          <w:rFonts w:asciiTheme="minorHAnsi" w:eastAsiaTheme="minorHAnsi" w:hAnsiTheme="minorHAnsi" w:cstheme="minorHAnsi"/>
          <w:sz w:val="22"/>
          <w:szCs w:val="22"/>
        </w:rPr>
      </w:pPr>
    </w:p>
    <w:p w14:paraId="2F630675" w14:textId="77777777" w:rsidR="005758B6" w:rsidRPr="00DB0C40" w:rsidRDefault="005758B6" w:rsidP="005758B6">
      <w:pP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Innovative technologies have also stirred concerns about privacy and gender bias in artificial intelligence and robotics, and about accountability and transparency, including the amplified exposure of women and girls to the risk of violence and harassment in technology-enabled spaces.</w:t>
      </w:r>
    </w:p>
    <w:p w14:paraId="04FB7B84" w14:textId="77777777" w:rsidR="005758B6" w:rsidRPr="00DB0C40" w:rsidRDefault="005758B6" w:rsidP="005758B6">
      <w:pPr>
        <w:rPr>
          <w:rFonts w:asciiTheme="minorHAnsi" w:eastAsiaTheme="minorHAnsi" w:hAnsiTheme="minorHAnsi" w:cstheme="minorHAnsi"/>
          <w:sz w:val="22"/>
          <w:szCs w:val="22"/>
        </w:rPr>
      </w:pPr>
    </w:p>
    <w:p w14:paraId="3EBE3598" w14:textId="6B8BECA7" w:rsidR="005758B6" w:rsidRPr="00DB0C40" w:rsidRDefault="002E58DF" w:rsidP="005758B6">
      <w:pPr>
        <w:keepNext/>
        <w:keepLines/>
        <w:spacing w:before="40"/>
        <w:outlineLvl w:val="2"/>
        <w:rPr>
          <w:rFonts w:asciiTheme="majorHAnsi" w:eastAsiaTheme="majorEastAsia" w:hAnsiTheme="majorHAnsi" w:cstheme="majorBidi"/>
          <w:color w:val="1F3763" w:themeColor="accent1" w:themeShade="7F"/>
        </w:rPr>
      </w:pPr>
      <w:bookmarkStart w:id="58" w:name="_Toc92359078"/>
      <w:bookmarkStart w:id="59" w:name="_Hlk107136746"/>
      <w:r w:rsidRPr="00DB0C40">
        <w:rPr>
          <w:rFonts w:asciiTheme="majorHAnsi" w:eastAsiaTheme="majorEastAsia" w:hAnsiTheme="majorHAnsi" w:cstheme="majorBidi"/>
          <w:color w:val="1F3763" w:themeColor="accent1" w:themeShade="7F"/>
        </w:rPr>
        <w:t>3.</w:t>
      </w:r>
      <w:r w:rsidR="00AF1B5D" w:rsidRPr="00DB0C40">
        <w:rPr>
          <w:rFonts w:asciiTheme="majorHAnsi" w:eastAsiaTheme="majorEastAsia" w:hAnsiTheme="majorHAnsi" w:cstheme="majorBidi"/>
          <w:color w:val="1F3763" w:themeColor="accent1" w:themeShade="7F"/>
        </w:rPr>
        <w:t>6</w:t>
      </w:r>
      <w:r w:rsidRPr="00DB0C40">
        <w:rPr>
          <w:rFonts w:asciiTheme="majorHAnsi" w:eastAsiaTheme="majorEastAsia" w:hAnsiTheme="majorHAnsi" w:cstheme="majorBidi"/>
          <w:color w:val="1F3763" w:themeColor="accent1" w:themeShade="7F"/>
        </w:rPr>
        <w:t>.1.</w:t>
      </w:r>
      <w:r w:rsidR="005758B6" w:rsidRPr="00DB0C40">
        <w:rPr>
          <w:rFonts w:asciiTheme="majorHAnsi" w:eastAsiaTheme="majorEastAsia" w:hAnsiTheme="majorHAnsi" w:cstheme="majorBidi"/>
          <w:color w:val="1F3763" w:themeColor="accent1" w:themeShade="7F"/>
        </w:rPr>
        <w:t xml:space="preserve"> International Labour Standards and other key instruments</w:t>
      </w:r>
      <w:bookmarkEnd w:id="58"/>
    </w:p>
    <w:bookmarkEnd w:id="59"/>
    <w:p w14:paraId="221ADC5E" w14:textId="77777777" w:rsidR="005758B6" w:rsidRPr="00DB0C40" w:rsidRDefault="005758B6" w:rsidP="005758B6">
      <w:pPr>
        <w:rPr>
          <w:rFonts w:asciiTheme="minorHAnsi" w:eastAsiaTheme="minorHAnsi" w:hAnsiTheme="minorHAnsi" w:cstheme="minorHAnsi"/>
          <w:sz w:val="22"/>
          <w:szCs w:val="22"/>
        </w:rPr>
      </w:pPr>
    </w:p>
    <w:p w14:paraId="7B84B4F2" w14:textId="0CDCCEC6" w:rsidR="005758B6" w:rsidRPr="00DB0C40" w:rsidRDefault="002E58DF" w:rsidP="005758B6">
      <w:pPr>
        <w:jc w:val="both"/>
        <w:rPr>
          <w:rFonts w:asciiTheme="minorHAnsi" w:eastAsiaTheme="minorHAnsi" w:hAnsiTheme="minorHAnsi" w:cstheme="minorHAnsi"/>
          <w:sz w:val="22"/>
          <w:szCs w:val="22"/>
        </w:rPr>
      </w:pPr>
      <w:r w:rsidRPr="00CD2A61">
        <w:rPr>
          <w:rFonts w:asciiTheme="majorHAnsi" w:eastAsiaTheme="majorEastAsia" w:hAnsiTheme="majorHAnsi" w:cstheme="majorBidi"/>
          <w:color w:val="1F3763" w:themeColor="accent1" w:themeShade="7F"/>
        </w:rPr>
        <w:t>3.</w:t>
      </w:r>
      <w:r w:rsidR="00AF1B5D" w:rsidRPr="00CD2A61">
        <w:rPr>
          <w:rFonts w:asciiTheme="majorHAnsi" w:eastAsiaTheme="majorEastAsia" w:hAnsiTheme="majorHAnsi" w:cstheme="majorBidi"/>
          <w:color w:val="1F3763" w:themeColor="accent1" w:themeShade="7F"/>
        </w:rPr>
        <w:t>6</w:t>
      </w:r>
      <w:r w:rsidR="005758B6" w:rsidRPr="00CD2A61">
        <w:rPr>
          <w:rFonts w:asciiTheme="majorHAnsi" w:eastAsiaTheme="majorEastAsia" w:hAnsiTheme="majorHAnsi" w:cstheme="majorBidi"/>
          <w:color w:val="1F3763" w:themeColor="accent1" w:themeShade="7F"/>
        </w:rPr>
        <w:t>.1.1.</w:t>
      </w:r>
      <w:r w:rsidR="005758B6" w:rsidRPr="00DB0C40">
        <w:rPr>
          <w:rFonts w:asciiTheme="minorHAnsi" w:eastAsiaTheme="minorHAnsi" w:hAnsiTheme="minorHAnsi" w:cstheme="minorHAnsi"/>
          <w:sz w:val="22"/>
          <w:szCs w:val="22"/>
        </w:rPr>
        <w:t xml:space="preserve"> The ILO Centenary Declaration for the Future of Work, adopted in 2019, focuses its “human- centred approach” on three areas of action: 1) Increasing investment in people’s capabilities; 2) Increasing investment in the institutions of work; 3) Increasing investment in decent and sustainable work. The Declaration recognizes the challenges posed by technological innovation, demographic shifts, climate change and globalization, and commits the ILO to focusing its efforts on “promoting the acquisition of skills, competencies and qualifications for all workers throughout their working lives as a joint responsibility of governments and social partners.” Specific areas for action include addressing existing and anticipated skills gaps; ensuring that education and training systems are responsive to labour market needs, considering the evolution of work; and enhancing workers’ capacity to make use of the opportunities available for decent work. The Declaration also calls for the achievement of gender equality at work through a transformative agenda that includes the promotion of investment in the care economy.</w:t>
      </w:r>
    </w:p>
    <w:p w14:paraId="2D1EADF6" w14:textId="77777777" w:rsidR="005758B6" w:rsidRPr="00DB0C40" w:rsidRDefault="005758B6" w:rsidP="005758B6">
      <w:pPr>
        <w:jc w:val="both"/>
        <w:rPr>
          <w:rFonts w:asciiTheme="minorHAnsi" w:eastAsiaTheme="minorHAnsi" w:hAnsiTheme="minorHAnsi" w:cstheme="minorHAnsi"/>
          <w:b/>
          <w:bCs/>
          <w:sz w:val="22"/>
          <w:szCs w:val="22"/>
        </w:rPr>
      </w:pPr>
    </w:p>
    <w:p w14:paraId="0D048E90" w14:textId="246F7461" w:rsidR="005758B6" w:rsidRPr="00DB0C40" w:rsidRDefault="002E58DF" w:rsidP="005758B6">
      <w:pPr>
        <w:jc w:val="both"/>
        <w:rPr>
          <w:rFonts w:asciiTheme="minorHAnsi" w:eastAsiaTheme="minorHAnsi" w:hAnsiTheme="minorHAnsi" w:cstheme="minorHAnsi"/>
          <w:sz w:val="22"/>
          <w:szCs w:val="22"/>
        </w:rPr>
      </w:pPr>
      <w:r w:rsidRPr="00CD2A61">
        <w:rPr>
          <w:rFonts w:asciiTheme="majorHAnsi" w:eastAsiaTheme="majorEastAsia" w:hAnsiTheme="majorHAnsi" w:cstheme="majorBidi"/>
          <w:color w:val="1F3763" w:themeColor="accent1" w:themeShade="7F"/>
        </w:rPr>
        <w:t>3.</w:t>
      </w:r>
      <w:r w:rsidR="00AF1B5D" w:rsidRPr="00CD2A61">
        <w:rPr>
          <w:rFonts w:asciiTheme="majorHAnsi" w:eastAsiaTheme="majorEastAsia" w:hAnsiTheme="majorHAnsi" w:cstheme="majorBidi"/>
          <w:color w:val="1F3763" w:themeColor="accent1" w:themeShade="7F"/>
        </w:rPr>
        <w:t>6</w:t>
      </w:r>
      <w:r w:rsidRPr="00CD2A61">
        <w:rPr>
          <w:rFonts w:asciiTheme="majorHAnsi" w:eastAsiaTheme="majorEastAsia" w:hAnsiTheme="majorHAnsi" w:cstheme="majorBidi"/>
          <w:color w:val="1F3763" w:themeColor="accent1" w:themeShade="7F"/>
        </w:rPr>
        <w:t>.1.2.</w:t>
      </w:r>
      <w:r w:rsidR="005758B6" w:rsidRPr="00DB0C40">
        <w:rPr>
          <w:rFonts w:asciiTheme="minorHAnsi" w:eastAsiaTheme="minorHAnsi" w:hAnsiTheme="minorHAnsi" w:cstheme="minorHAnsi"/>
          <w:sz w:val="22"/>
          <w:szCs w:val="22"/>
        </w:rPr>
        <w:t>The EU Gender Equality Strategy 2020-25 aims to address gender gaps in STEM-related occupations through the “Updated Digital Education Action Plan” and the implementation of the Ministerial Declaration of commitment on “Women in Digital”. The aim of the Declaration is to encourage women to play an active and prominent role in the digital and technology sectors. In addition, the new “European Skills Agenda” places “access to education, training and lifelong learning for everybody, everywhere in the EU” at the heart of building resilience in the aftermath of the COVID-19 crisis. It focuses on skills and upskilling initiatives, increasing the numbers of STEM graduates, and fostering entrepreneurial and transversal skills (Action 7). The EC has put forward a proposal for an “EU Council recommendation on vocational education and training,” which would address horizontal segregation and gender stereotypes.</w:t>
      </w:r>
    </w:p>
    <w:p w14:paraId="02DDD5C6" w14:textId="77777777" w:rsidR="005758B6" w:rsidRPr="00DB0C40" w:rsidRDefault="005758B6" w:rsidP="005758B6">
      <w:pPr>
        <w:rPr>
          <w:rFonts w:asciiTheme="minorHAnsi" w:eastAsiaTheme="minorHAnsi" w:hAnsiTheme="minorHAnsi" w:cstheme="minorHAnsi"/>
          <w:sz w:val="22"/>
          <w:szCs w:val="22"/>
        </w:rPr>
      </w:pPr>
    </w:p>
    <w:p w14:paraId="135ECDE5" w14:textId="77777777" w:rsidR="005758B6" w:rsidRPr="00DB0C40" w:rsidRDefault="005758B6" w:rsidP="005758B6">
      <w:pPr>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Government policies can help to achieve a future of work that is more gender-equal and contributes to the economic empowerment of women by:</w:t>
      </w:r>
    </w:p>
    <w:p w14:paraId="370D902D" w14:textId="77777777" w:rsidR="005758B6" w:rsidRPr="00DB0C40" w:rsidRDefault="005758B6">
      <w:pPr>
        <w:numPr>
          <w:ilvl w:val="1"/>
          <w:numId w:val="23"/>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facilitating lifelong learning</w:t>
      </w:r>
    </w:p>
    <w:p w14:paraId="1E60F1DB" w14:textId="77777777" w:rsidR="005758B6" w:rsidRPr="00DB0C40" w:rsidRDefault="005758B6">
      <w:pPr>
        <w:numPr>
          <w:ilvl w:val="1"/>
          <w:numId w:val="23"/>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closing the gender-related digital divide</w:t>
      </w:r>
    </w:p>
    <w:p w14:paraId="082B1A6E" w14:textId="77777777" w:rsidR="005758B6" w:rsidRPr="00DB0C40" w:rsidRDefault="005758B6">
      <w:pPr>
        <w:numPr>
          <w:ilvl w:val="1"/>
          <w:numId w:val="23"/>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creating and protecting quality jobs in the care economy; and</w:t>
      </w:r>
    </w:p>
    <w:p w14:paraId="78A1A674" w14:textId="77777777" w:rsidR="005758B6" w:rsidRPr="00DB0C40" w:rsidRDefault="005758B6">
      <w:pPr>
        <w:numPr>
          <w:ilvl w:val="1"/>
          <w:numId w:val="23"/>
        </w:numPr>
        <w:spacing w:after="200"/>
        <w:contextualSpacing/>
        <w:rPr>
          <w:rFonts w:asciiTheme="minorHAnsi" w:hAnsiTheme="minorHAnsi" w:cstheme="minorHAnsi"/>
          <w:sz w:val="22"/>
          <w:szCs w:val="22"/>
        </w:rPr>
      </w:pPr>
      <w:r w:rsidRPr="00DB0C40">
        <w:rPr>
          <w:rFonts w:asciiTheme="minorHAnsi" w:hAnsiTheme="minorHAnsi" w:cstheme="minorHAnsi"/>
          <w:sz w:val="22"/>
          <w:szCs w:val="22"/>
        </w:rPr>
        <w:t>harnessing technology to promote decent care work.</w:t>
      </w:r>
    </w:p>
    <w:p w14:paraId="6C7BAEB1" w14:textId="77777777" w:rsidR="005758B6" w:rsidRPr="00DB0C40" w:rsidRDefault="005758B6" w:rsidP="005758B6">
      <w:pPr>
        <w:rPr>
          <w:rFonts w:asciiTheme="minorHAnsi" w:eastAsiaTheme="minorHAnsi" w:hAnsiTheme="minorHAnsi" w:cstheme="minorHAnsi"/>
        </w:rPr>
      </w:pPr>
    </w:p>
    <w:p w14:paraId="5FE9B48F" w14:textId="245ED37C" w:rsidR="005758B6" w:rsidRPr="00DB0C40" w:rsidRDefault="002E58DF" w:rsidP="005758B6">
      <w:pPr>
        <w:keepNext/>
        <w:keepLines/>
        <w:spacing w:before="40"/>
        <w:outlineLvl w:val="2"/>
        <w:rPr>
          <w:rFonts w:asciiTheme="majorHAnsi" w:eastAsiaTheme="majorEastAsia" w:hAnsiTheme="majorHAnsi" w:cstheme="majorBidi"/>
          <w:color w:val="1F3763" w:themeColor="accent1" w:themeShade="7F"/>
        </w:rPr>
      </w:pPr>
      <w:bookmarkStart w:id="60" w:name="_Toc92359079"/>
      <w:r w:rsidRPr="00DB0C40">
        <w:rPr>
          <w:rFonts w:asciiTheme="majorHAnsi" w:eastAsiaTheme="majorEastAsia" w:hAnsiTheme="majorHAnsi" w:cstheme="majorBidi"/>
          <w:color w:val="1F3763" w:themeColor="accent1" w:themeShade="7F"/>
        </w:rPr>
        <w:lastRenderedPageBreak/>
        <w:t>3.</w:t>
      </w:r>
      <w:r w:rsidR="00940930" w:rsidRPr="00DB0C40">
        <w:rPr>
          <w:rFonts w:asciiTheme="majorHAnsi" w:eastAsiaTheme="majorEastAsia" w:hAnsiTheme="majorHAnsi" w:cstheme="majorBidi"/>
          <w:color w:val="1F3763" w:themeColor="accent1" w:themeShade="7F"/>
        </w:rPr>
        <w:t>6</w:t>
      </w:r>
      <w:r w:rsidR="005758B6" w:rsidRPr="00DB0C40">
        <w:rPr>
          <w:rFonts w:asciiTheme="majorHAnsi" w:eastAsiaTheme="majorEastAsia" w:hAnsiTheme="majorHAnsi" w:cstheme="majorBidi"/>
          <w:color w:val="1F3763" w:themeColor="accent1" w:themeShade="7F"/>
        </w:rPr>
        <w:t xml:space="preserve">.2. </w:t>
      </w:r>
      <w:bookmarkStart w:id="61" w:name="_Hlk107136799"/>
      <w:r w:rsidR="005758B6" w:rsidRPr="00DB0C40">
        <w:rPr>
          <w:rFonts w:asciiTheme="majorHAnsi" w:eastAsiaTheme="majorEastAsia" w:hAnsiTheme="majorHAnsi" w:cstheme="majorBidi"/>
          <w:color w:val="1F3763" w:themeColor="accent1" w:themeShade="7F"/>
        </w:rPr>
        <w:t>Some examples of national legal framework in European countries (Belgium and Denmark</w:t>
      </w:r>
      <w:bookmarkEnd w:id="61"/>
      <w:r w:rsidR="005758B6" w:rsidRPr="00DB0C40">
        <w:rPr>
          <w:rFonts w:asciiTheme="majorHAnsi" w:eastAsiaTheme="majorEastAsia" w:hAnsiTheme="majorHAnsi" w:cstheme="majorBidi"/>
          <w:color w:val="1F3763" w:themeColor="accent1" w:themeShade="7F"/>
        </w:rPr>
        <w:t>)</w:t>
      </w:r>
      <w:r w:rsidR="005758B6" w:rsidRPr="00DB0C40">
        <w:rPr>
          <w:rFonts w:ascii="TimesNewRomanPS" w:eastAsiaTheme="majorEastAsia" w:hAnsi="TimesNewRomanPS" w:cstheme="minorHAnsi"/>
          <w:b/>
          <w:bCs/>
          <w:color w:val="1F3763" w:themeColor="accent1" w:themeShade="7F"/>
          <w:position w:val="6"/>
          <w:sz w:val="16"/>
          <w:szCs w:val="22"/>
        </w:rPr>
        <w:footnoteReference w:id="21"/>
      </w:r>
      <w:bookmarkEnd w:id="60"/>
    </w:p>
    <w:p w14:paraId="23C0C052" w14:textId="77777777" w:rsidR="005758B6" w:rsidRPr="00DB0C40" w:rsidRDefault="005758B6" w:rsidP="005758B6">
      <w:pPr>
        <w:rPr>
          <w:rFonts w:asciiTheme="minorHAnsi" w:eastAsiaTheme="minorHAnsi" w:hAnsiTheme="minorHAnsi" w:cstheme="minorHAnsi"/>
          <w:sz w:val="22"/>
          <w:szCs w:val="22"/>
        </w:rPr>
      </w:pPr>
    </w:p>
    <w:p w14:paraId="349ED29F" w14:textId="77777777" w:rsidR="005758B6" w:rsidRPr="00DB0C40" w:rsidRDefault="005758B6" w:rsidP="005758B6">
      <w:pPr>
        <w:pBdr>
          <w:top w:val="single" w:sz="4" w:space="1" w:color="auto"/>
          <w:left w:val="single" w:sz="4" w:space="4" w:color="auto"/>
          <w:bottom w:val="single" w:sz="4" w:space="1" w:color="auto"/>
          <w:right w:val="single" w:sz="4" w:space="4" w:color="auto"/>
        </w:pBdr>
        <w:rPr>
          <w:rFonts w:asciiTheme="minorHAnsi" w:eastAsiaTheme="minorHAnsi" w:hAnsiTheme="minorHAnsi" w:cstheme="minorHAnsi"/>
          <w:b/>
          <w:bCs/>
          <w:sz w:val="22"/>
          <w:szCs w:val="22"/>
        </w:rPr>
      </w:pPr>
      <w:r w:rsidRPr="00DB0C40">
        <w:rPr>
          <w:rFonts w:asciiTheme="minorHAnsi" w:eastAsiaTheme="minorHAnsi" w:hAnsiTheme="minorHAnsi" w:cstheme="minorHAnsi"/>
          <w:b/>
          <w:bCs/>
          <w:sz w:val="22"/>
          <w:szCs w:val="22"/>
        </w:rPr>
        <w:t xml:space="preserve">Breaking down occupational segregation in the care workforce (Belgium)       </w:t>
      </w:r>
    </w:p>
    <w:p w14:paraId="4C02E684" w14:textId="77777777" w:rsidR="005758B6" w:rsidRPr="00DB0C40" w:rsidRDefault="005758B6" w:rsidP="005758B6">
      <w:pPr>
        <w:pBdr>
          <w:top w:val="single" w:sz="4" w:space="1" w:color="auto"/>
          <w:left w:val="single" w:sz="4" w:space="4" w:color="auto"/>
          <w:bottom w:val="single" w:sz="4" w:space="1" w:color="auto"/>
          <w:right w:val="single" w:sz="4" w:space="4" w:color="auto"/>
        </w:pBdr>
        <w:rPr>
          <w:rFonts w:asciiTheme="minorHAnsi" w:eastAsiaTheme="minorHAnsi" w:hAnsiTheme="minorHAnsi" w:cstheme="minorHAnsi"/>
          <w:sz w:val="22"/>
          <w:szCs w:val="22"/>
        </w:rPr>
      </w:pPr>
    </w:p>
    <w:p w14:paraId="26523E1B"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European Social Fund sponsored a project entitled “Men into Childcare” (2001-2003), to increase the proportion of men working in ECCE, as part of a broader ten-year plan initiated by the European Commission Network on Childcare.48 The objective was to increase gender-neutral professionalism in the childcare sector so as to decrease gender-related bias and social expectations.49 One significant outcome of this project was the shift to a gender- neutral, less emotional term for the members of the profession: “</w:t>
      </w:r>
      <w:proofErr w:type="spellStart"/>
      <w:r w:rsidRPr="00DB0C40">
        <w:rPr>
          <w:rFonts w:asciiTheme="minorHAnsi" w:eastAsiaTheme="minorHAnsi" w:hAnsiTheme="minorHAnsi" w:cstheme="minorHAnsi"/>
          <w:sz w:val="22"/>
          <w:szCs w:val="22"/>
        </w:rPr>
        <w:t>Kinderbegeleiter</w:t>
      </w:r>
      <w:proofErr w:type="spellEnd"/>
      <w:r w:rsidRPr="00DB0C40">
        <w:rPr>
          <w:rFonts w:asciiTheme="minorHAnsi" w:eastAsiaTheme="minorHAnsi" w:hAnsiTheme="minorHAnsi" w:cstheme="minorHAnsi"/>
          <w:sz w:val="22"/>
          <w:szCs w:val="22"/>
        </w:rPr>
        <w:t>”, meaning “companions of children”.</w:t>
      </w:r>
    </w:p>
    <w:p w14:paraId="3C2557B8"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 2002, the Government of the Flanders region of Belgium mandated a more diverse hiring protocol, emphasizing the need for gender and ethnic diversity in hiring. The training was reformed to be more inclusive of men, and the salaries of all employees in day-care centres were increased. To encourage men to work in childcare, the Government of Flanders also sponsored media campaigns and distributed marketing materials. Although the proportion of men working in ECCE in Flanders rose from 0.9 per cent in 2002 to 3.4 per cent in 2010, the EC’s goal of having 20 per cent male representation in this sector was not achieved.</w:t>
      </w:r>
    </w:p>
    <w:p w14:paraId="7FA2F360"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 2012, the Government adopted a new Childcare Law, which established minimum qualifications for working in ECCE, thus creating new skills development opportunities.</w:t>
      </w:r>
    </w:p>
    <w:p w14:paraId="295F994C" w14:textId="77777777" w:rsidR="005758B6" w:rsidRPr="00DB0C40" w:rsidRDefault="005758B6" w:rsidP="005758B6">
      <w:pPr>
        <w:rPr>
          <w:rFonts w:asciiTheme="minorHAnsi" w:eastAsiaTheme="minorHAnsi" w:hAnsiTheme="minorHAnsi" w:cstheme="minorHAnsi"/>
          <w:sz w:val="22"/>
          <w:szCs w:val="22"/>
        </w:rPr>
      </w:pPr>
    </w:p>
    <w:p w14:paraId="5388AFFB" w14:textId="77777777" w:rsidR="005758B6" w:rsidRPr="00DB0C40" w:rsidRDefault="005758B6" w:rsidP="005758B6">
      <w:pPr>
        <w:rPr>
          <w:rFonts w:asciiTheme="minorHAnsi" w:eastAsiaTheme="minorHAnsi" w:hAnsiTheme="minorHAnsi" w:cstheme="minorHAnsi"/>
          <w:sz w:val="22"/>
          <w:szCs w:val="22"/>
        </w:rPr>
      </w:pPr>
    </w:p>
    <w:p w14:paraId="3DD412F1" w14:textId="77777777" w:rsidR="005758B6" w:rsidRPr="00DB0C40" w:rsidRDefault="005758B6" w:rsidP="005758B6">
      <w:pPr>
        <w:rPr>
          <w:rFonts w:asciiTheme="minorHAnsi" w:eastAsiaTheme="minorHAnsi" w:hAnsiTheme="minorHAnsi" w:cstheme="minorHAnsi"/>
          <w:sz w:val="22"/>
          <w:szCs w:val="22"/>
        </w:rPr>
      </w:pPr>
    </w:p>
    <w:p w14:paraId="52FD0482" w14:textId="77777777" w:rsidR="005758B6" w:rsidRPr="00DB0C40" w:rsidRDefault="005758B6" w:rsidP="005758B6">
      <w:pPr>
        <w:rPr>
          <w:rFonts w:asciiTheme="minorHAnsi" w:eastAsiaTheme="minorHAnsi" w:hAnsiTheme="minorHAnsi" w:cstheme="minorHAnsi"/>
          <w:b/>
          <w:bCs/>
          <w:sz w:val="22"/>
          <w:szCs w:val="22"/>
        </w:rPr>
      </w:pPr>
      <w:r w:rsidRPr="00DB0C40">
        <w:rPr>
          <w:rFonts w:asciiTheme="minorHAnsi" w:eastAsiaTheme="minorHAnsi" w:hAnsiTheme="minorHAnsi" w:cstheme="minorHAnsi"/>
          <w:b/>
          <w:bCs/>
          <w:sz w:val="22"/>
          <w:szCs w:val="22"/>
        </w:rPr>
        <w:t>Supporting lifelong learning (Denmark)</w:t>
      </w:r>
      <w:r w:rsidRPr="00DB0C40">
        <w:rPr>
          <w:rFonts w:asciiTheme="minorHAnsi" w:eastAsiaTheme="minorHAnsi" w:hAnsiTheme="minorHAnsi" w:cstheme="minorHAnsi"/>
          <w:b/>
          <w:bCs/>
          <w:sz w:val="22"/>
          <w:szCs w:val="22"/>
        </w:rPr>
        <w:tab/>
      </w:r>
    </w:p>
    <w:p w14:paraId="4FA2BE6D" w14:textId="77777777" w:rsidR="005758B6" w:rsidRPr="00DB0C40" w:rsidRDefault="005758B6" w:rsidP="005758B6">
      <w:pPr>
        <w:pBdr>
          <w:top w:val="single" w:sz="4" w:space="1" w:color="auto"/>
          <w:left w:val="single" w:sz="4" w:space="4" w:color="auto"/>
          <w:bottom w:val="single" w:sz="4" w:space="1" w:color="auto"/>
          <w:right w:val="single" w:sz="4" w:space="4" w:color="auto"/>
        </w:pBdr>
        <w:rPr>
          <w:rFonts w:asciiTheme="minorHAnsi" w:eastAsiaTheme="minorHAnsi" w:hAnsiTheme="minorHAnsi" w:cstheme="minorHAnsi"/>
          <w:sz w:val="22"/>
          <w:szCs w:val="22"/>
        </w:rPr>
      </w:pPr>
    </w:p>
    <w:p w14:paraId="31703537"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Government’s lifelong learning policy provides adult education in a variety of formats, from informal learning programmes, e-learning and vocational training to formal programmes delivered in adult education centres. The programme is overseen by five government ministries, and performed in partnership with municipalities, non-profit organisations, research centres and social partners.</w:t>
      </w:r>
    </w:p>
    <w:p w14:paraId="38B63BC0"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Adult vocational training programmes target both low-skilled and skilled workers, to enable them to maintain their skill levels, up-skill, and acquire new skills as required by the labour market. Some 3,000 adult vocational programmes on two hundred different subjects are on offer, ranging in duration from half a day to six weeks. All adult vocational programmes are publicly financed, developed by social partners, and approved by the Ministry of Education. Participants who are in employment may have to pay modest user fees, which are typically reimbursed by their employers, while the unemployed are exempted. Providers of the training programmes are required to measure and publicly report the satisfaction rates of participants, which serves to maintain ambitious standards. </w:t>
      </w:r>
    </w:p>
    <w:p w14:paraId="421EF424" w14:textId="77777777" w:rsidR="005758B6" w:rsidRPr="00DB0C40" w:rsidRDefault="005758B6" w:rsidP="005758B6">
      <w:pPr>
        <w:pBdr>
          <w:top w:val="single" w:sz="4" w:space="1" w:color="auto"/>
          <w:left w:val="single" w:sz="4" w:space="4" w:color="auto"/>
          <w:bottom w:val="single" w:sz="4" w:space="1" w:color="auto"/>
          <w:right w:val="single" w:sz="4" w:space="4" w:color="auto"/>
        </w:pBdr>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lifelong learning opportunities provided by the general adult education programme are taken up by 90,000 adults each year, with numbers having increased in recent years. Non-formal education programmes attract 700,000 participants annually.</w:t>
      </w:r>
    </w:p>
    <w:p w14:paraId="3888D62E" w14:textId="77777777" w:rsidR="005758B6" w:rsidRPr="00DB0C40" w:rsidRDefault="005758B6" w:rsidP="005758B6">
      <w:pPr>
        <w:rPr>
          <w:rFonts w:asciiTheme="minorHAnsi" w:eastAsiaTheme="minorHAnsi" w:hAnsiTheme="minorHAnsi" w:cstheme="minorHAnsi"/>
          <w:sz w:val="22"/>
          <w:szCs w:val="22"/>
        </w:rPr>
      </w:pPr>
    </w:p>
    <w:p w14:paraId="0757523D" w14:textId="77777777" w:rsidR="00940930" w:rsidRPr="00DB0C40" w:rsidRDefault="00940930" w:rsidP="00940930">
      <w:pPr>
        <w:keepNext/>
        <w:keepLines/>
        <w:pBdr>
          <w:top w:val="nil"/>
          <w:left w:val="nil"/>
          <w:bottom w:val="nil"/>
          <w:right w:val="nil"/>
          <w:between w:val="nil"/>
        </w:pBdr>
        <w:spacing w:after="120"/>
        <w:rPr>
          <w:rFonts w:asciiTheme="minorHAnsi" w:eastAsiaTheme="minorHAnsi" w:hAnsiTheme="minorHAnsi" w:cstheme="minorHAnsi"/>
          <w:sz w:val="22"/>
          <w:szCs w:val="22"/>
        </w:rPr>
      </w:pPr>
      <w:bookmarkStart w:id="63" w:name="_heading=h.2et92p0" w:colFirst="0" w:colLast="0"/>
      <w:bookmarkEnd w:id="63"/>
    </w:p>
    <w:p w14:paraId="28299CAF" w14:textId="0A11AB61" w:rsidR="00BB44E1" w:rsidRPr="00CD2A61" w:rsidRDefault="00230B49">
      <w:pPr>
        <w:pStyle w:val="ListParagraph"/>
        <w:keepNext/>
        <w:keepLines/>
        <w:numPr>
          <w:ilvl w:val="1"/>
          <w:numId w:val="45"/>
        </w:numPr>
        <w:pBdr>
          <w:top w:val="nil"/>
          <w:left w:val="nil"/>
          <w:bottom w:val="nil"/>
          <w:right w:val="nil"/>
          <w:between w:val="nil"/>
        </w:pBdr>
        <w:spacing w:after="120"/>
        <w:rPr>
          <w:rFonts w:asciiTheme="majorHAnsi" w:eastAsiaTheme="majorEastAsia" w:hAnsiTheme="majorHAnsi" w:cstheme="majorBidi"/>
          <w:color w:val="1F3763" w:themeColor="accent1" w:themeShade="7F"/>
        </w:rPr>
      </w:pPr>
      <w:r w:rsidRPr="00CD2A61">
        <w:rPr>
          <w:rFonts w:asciiTheme="majorHAnsi" w:eastAsiaTheme="majorEastAsia" w:hAnsiTheme="majorHAnsi" w:cstheme="majorBidi"/>
          <w:color w:val="1F3763" w:themeColor="accent1" w:themeShade="7F"/>
        </w:rPr>
        <w:t xml:space="preserve">REVIEW OF NATIONAL LEGISLATION IN </w:t>
      </w:r>
      <w:r w:rsidR="00AC20EA">
        <w:rPr>
          <w:rFonts w:asciiTheme="majorHAnsi" w:eastAsiaTheme="majorEastAsia" w:hAnsiTheme="majorHAnsi" w:cstheme="majorBidi"/>
          <w:color w:val="1F3763" w:themeColor="accent1" w:themeShade="7F"/>
        </w:rPr>
        <w:t>TÜRKIYE</w:t>
      </w:r>
      <w:r w:rsidRPr="00CD2A61">
        <w:rPr>
          <w:rFonts w:asciiTheme="majorHAnsi" w:eastAsiaTheme="majorEastAsia" w:hAnsiTheme="majorHAnsi" w:cstheme="majorBidi"/>
          <w:color w:val="1F3763" w:themeColor="accent1" w:themeShade="7F"/>
        </w:rPr>
        <w:t xml:space="preserve"> IN TERMS OF WOMEN’S EMPLOYMENT</w:t>
      </w:r>
    </w:p>
    <w:p w14:paraId="399A1B47" w14:textId="77777777" w:rsidR="002E58DF" w:rsidRPr="00DB0C40" w:rsidRDefault="002E58DF" w:rsidP="002E58DF">
      <w:pPr>
        <w:pStyle w:val="ListParagraph"/>
        <w:keepNext/>
        <w:keepLines/>
        <w:pBdr>
          <w:top w:val="nil"/>
          <w:left w:val="nil"/>
          <w:bottom w:val="nil"/>
          <w:right w:val="nil"/>
          <w:between w:val="nil"/>
        </w:pBdr>
        <w:spacing w:after="120"/>
        <w:ind w:left="450"/>
        <w:rPr>
          <w:b/>
          <w:color w:val="000000"/>
          <w:sz w:val="22"/>
          <w:szCs w:val="22"/>
        </w:rPr>
      </w:pPr>
    </w:p>
    <w:p w14:paraId="5F6CB8BE" w14:textId="56E52D7C" w:rsidR="00BB44E1" w:rsidRPr="00DB0C40" w:rsidRDefault="00230B49">
      <w:pPr>
        <w:jc w:val="both"/>
        <w:rPr>
          <w:color w:val="211D1E"/>
          <w:sz w:val="22"/>
          <w:szCs w:val="22"/>
        </w:rPr>
      </w:pPr>
      <w:r w:rsidRPr="00DB0C40">
        <w:rPr>
          <w:color w:val="211D1E"/>
          <w:sz w:val="22"/>
          <w:szCs w:val="22"/>
        </w:rPr>
        <w:t xml:space="preserve">This Review is included in the Desk Research Report made on Int. 11. The goal of increasing women's employment is considered in all </w:t>
      </w:r>
      <w:r w:rsidR="00AC20EA">
        <w:rPr>
          <w:color w:val="211D1E"/>
          <w:sz w:val="22"/>
          <w:szCs w:val="22"/>
        </w:rPr>
        <w:t>Türkiye</w:t>
      </w:r>
      <w:r w:rsidRPr="00DB0C40">
        <w:rPr>
          <w:color w:val="211D1E"/>
          <w:sz w:val="22"/>
          <w:szCs w:val="22"/>
        </w:rPr>
        <w:t xml:space="preserve"> Development Plans (particularly in 10</w:t>
      </w:r>
      <w:r w:rsidRPr="00DB0C40">
        <w:rPr>
          <w:color w:val="211D1E"/>
          <w:sz w:val="22"/>
          <w:szCs w:val="22"/>
          <w:vertAlign w:val="superscript"/>
        </w:rPr>
        <w:t>th</w:t>
      </w:r>
      <w:r w:rsidRPr="00DB0C40">
        <w:rPr>
          <w:color w:val="211D1E"/>
          <w:sz w:val="22"/>
          <w:szCs w:val="22"/>
        </w:rPr>
        <w:t xml:space="preserve"> Development Plan 2014 – 2018 and 11</w:t>
      </w:r>
      <w:r w:rsidRPr="00DB0C40">
        <w:rPr>
          <w:color w:val="211D1E"/>
          <w:sz w:val="22"/>
          <w:szCs w:val="22"/>
          <w:vertAlign w:val="superscript"/>
        </w:rPr>
        <w:t>th</w:t>
      </w:r>
      <w:r w:rsidRPr="00DB0C40">
        <w:rPr>
          <w:color w:val="211D1E"/>
          <w:sz w:val="22"/>
          <w:szCs w:val="22"/>
        </w:rPr>
        <w:t xml:space="preserve"> Development Plan 2019 – 2023), National Employment Strategies and National Plans for gender equality. At the same time, in the negotiations in the EU membership process, the female employment rate is constantly emphasised as one of the macro indicators that </w:t>
      </w:r>
      <w:r w:rsidR="00AC20EA">
        <w:rPr>
          <w:color w:val="211D1E"/>
          <w:sz w:val="22"/>
          <w:szCs w:val="22"/>
        </w:rPr>
        <w:t>Türkiye</w:t>
      </w:r>
      <w:r w:rsidRPr="00DB0C40">
        <w:rPr>
          <w:color w:val="211D1E"/>
          <w:sz w:val="22"/>
          <w:szCs w:val="22"/>
        </w:rPr>
        <w:t xml:space="preserve"> should make progress on. In this context, there have been considerable legislative amendments and also some regulations were introduced in </w:t>
      </w:r>
      <w:r w:rsidR="00AC20EA">
        <w:rPr>
          <w:color w:val="211D1E"/>
          <w:sz w:val="22"/>
          <w:szCs w:val="22"/>
        </w:rPr>
        <w:t>Türkiye</w:t>
      </w:r>
      <w:r w:rsidRPr="00DB0C40">
        <w:rPr>
          <w:color w:val="211D1E"/>
          <w:sz w:val="22"/>
          <w:szCs w:val="22"/>
        </w:rPr>
        <w:t xml:space="preserve"> in the last two decades which should be analysed in terms of their impact on women’s employment.</w:t>
      </w:r>
    </w:p>
    <w:p w14:paraId="68F842B0" w14:textId="77777777" w:rsidR="00BB44E1" w:rsidRPr="00DB0C40" w:rsidRDefault="00BB44E1">
      <w:pPr>
        <w:jc w:val="both"/>
        <w:rPr>
          <w:color w:val="211D1E"/>
          <w:sz w:val="22"/>
          <w:szCs w:val="22"/>
        </w:rPr>
      </w:pPr>
    </w:p>
    <w:p w14:paraId="172348D6" w14:textId="77777777" w:rsidR="00BB44E1" w:rsidRPr="00DB0C40" w:rsidRDefault="00230B49">
      <w:pPr>
        <w:jc w:val="both"/>
        <w:rPr>
          <w:color w:val="211D1E"/>
          <w:sz w:val="22"/>
          <w:szCs w:val="22"/>
        </w:rPr>
      </w:pPr>
      <w:r w:rsidRPr="00DB0C40">
        <w:rPr>
          <w:color w:val="211D1E"/>
          <w:sz w:val="22"/>
          <w:szCs w:val="22"/>
        </w:rPr>
        <w:t>Particularly on gender equality at work as it is also suggested in the Technical Proposal, the review on national legislation will include a desk study on the Constitution, The Civil Code No. 4721, Debts Law No. 6098, Labour Law No. 4857, Law No. 5510, Law No 657, Criminal Law No. 5237, Municipality Law No. 5393, Law No. 6284, Law No. 4447; relevant regulations such as Regulation on Minimum Wage, Regulation on Working Conditions of Pregnant and Breastfeeding Women and Breastfeeding Rooms and Childcare Dormitories, Regulation on Working Conditions of Women Employees in Night Shifts, Implementing Regulation on Part-time Work after Maternity Leave or Unpaid Leave, and Regulation on Dangerous and Very Dangerous Jobs.</w:t>
      </w:r>
    </w:p>
    <w:p w14:paraId="3FADE6A0" w14:textId="77777777" w:rsidR="00BB44E1" w:rsidRPr="00DB0C40" w:rsidRDefault="00BB44E1">
      <w:pPr>
        <w:jc w:val="both"/>
        <w:rPr>
          <w:color w:val="211D1E"/>
          <w:sz w:val="22"/>
          <w:szCs w:val="22"/>
        </w:rPr>
      </w:pPr>
    </w:p>
    <w:p w14:paraId="0D755A66" w14:textId="72C2BDFD" w:rsidR="00BB44E1" w:rsidRPr="00DB0C40" w:rsidRDefault="00230B49">
      <w:pPr>
        <w:jc w:val="both"/>
        <w:rPr>
          <w:color w:val="211D1E"/>
          <w:sz w:val="22"/>
          <w:szCs w:val="22"/>
        </w:rPr>
      </w:pPr>
      <w:r w:rsidRPr="00DB0C40">
        <w:rPr>
          <w:color w:val="211D1E"/>
          <w:sz w:val="22"/>
          <w:szCs w:val="22"/>
        </w:rPr>
        <w:t>In the below table, the most fundamental legislative changes considered in this desk research report are listed with a brief note on their scope.</w:t>
      </w:r>
    </w:p>
    <w:p w14:paraId="33FF778A" w14:textId="6A99C0DF" w:rsidR="00940930" w:rsidRPr="00DB0C40" w:rsidRDefault="00940930">
      <w:pPr>
        <w:jc w:val="both"/>
        <w:rPr>
          <w:color w:val="211D1E"/>
          <w:sz w:val="22"/>
          <w:szCs w:val="22"/>
        </w:rPr>
      </w:pPr>
    </w:p>
    <w:p w14:paraId="27891FC0" w14:textId="20F16BCD" w:rsidR="00940930" w:rsidRPr="00DB0C40" w:rsidRDefault="00940930" w:rsidP="00940930">
      <w:pPr>
        <w:jc w:val="center"/>
        <w:rPr>
          <w:b/>
          <w:bCs/>
          <w:color w:val="211D1E"/>
          <w:sz w:val="22"/>
          <w:szCs w:val="22"/>
        </w:rPr>
      </w:pPr>
      <w:bookmarkStart w:id="64" w:name="_Hlk107136969"/>
      <w:r w:rsidRPr="00DB0C40">
        <w:rPr>
          <w:b/>
          <w:bCs/>
          <w:color w:val="211D1E"/>
          <w:sz w:val="22"/>
          <w:szCs w:val="22"/>
        </w:rPr>
        <w:t xml:space="preserve">Table 2. Laws and Regulations in </w:t>
      </w:r>
      <w:r w:rsidR="00AC20EA">
        <w:rPr>
          <w:b/>
          <w:bCs/>
          <w:color w:val="211D1E"/>
          <w:sz w:val="22"/>
          <w:szCs w:val="22"/>
        </w:rPr>
        <w:t>Türkiye</w:t>
      </w:r>
    </w:p>
    <w:bookmarkEnd w:id="64"/>
    <w:p w14:paraId="6A19BF76" w14:textId="77777777" w:rsidR="00BB44E1" w:rsidRPr="00DB0C40" w:rsidRDefault="00BB44E1">
      <w:pPr>
        <w:jc w:val="both"/>
        <w:rPr>
          <w:color w:val="211D1E"/>
          <w:sz w:val="22"/>
          <w:szCs w:val="22"/>
        </w:rPr>
      </w:pPr>
    </w:p>
    <w:tbl>
      <w:tblPr>
        <w:tblStyle w:val="a1"/>
        <w:tblW w:w="90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07"/>
        <w:gridCol w:w="2997"/>
        <w:gridCol w:w="3006"/>
      </w:tblGrid>
      <w:tr w:rsidR="00BB44E1" w:rsidRPr="00DB0C40" w14:paraId="438584FE" w14:textId="77777777" w:rsidTr="003F7BB3">
        <w:tc>
          <w:tcPr>
            <w:tcW w:w="3007" w:type="dxa"/>
            <w:shd w:val="clear" w:color="auto" w:fill="D9E2F3" w:themeFill="accent1" w:themeFillTint="33"/>
          </w:tcPr>
          <w:p w14:paraId="78D30BD9" w14:textId="77777777" w:rsidR="00BB44E1" w:rsidRPr="00DB0C40" w:rsidRDefault="00230B49">
            <w:pPr>
              <w:jc w:val="both"/>
              <w:rPr>
                <w:b/>
              </w:rPr>
            </w:pPr>
            <w:r w:rsidRPr="00DB0C40">
              <w:rPr>
                <w:b/>
              </w:rPr>
              <w:t>Related Laws and Regulations</w:t>
            </w:r>
          </w:p>
        </w:tc>
        <w:tc>
          <w:tcPr>
            <w:tcW w:w="2997" w:type="dxa"/>
            <w:shd w:val="clear" w:color="auto" w:fill="D9E2F3" w:themeFill="accent1" w:themeFillTint="33"/>
          </w:tcPr>
          <w:p w14:paraId="537A78F2" w14:textId="77777777" w:rsidR="00BB44E1" w:rsidRPr="00DB0C40" w:rsidRDefault="00230B49">
            <w:pPr>
              <w:jc w:val="both"/>
              <w:rPr>
                <w:b/>
              </w:rPr>
            </w:pPr>
            <w:r w:rsidRPr="00DB0C40">
              <w:rPr>
                <w:b/>
              </w:rPr>
              <w:t>Article</w:t>
            </w:r>
          </w:p>
        </w:tc>
        <w:tc>
          <w:tcPr>
            <w:tcW w:w="3006" w:type="dxa"/>
            <w:shd w:val="clear" w:color="auto" w:fill="D9E2F3" w:themeFill="accent1" w:themeFillTint="33"/>
          </w:tcPr>
          <w:p w14:paraId="1C7EB229" w14:textId="77777777" w:rsidR="00BB44E1" w:rsidRPr="00DB0C40" w:rsidRDefault="00230B49">
            <w:pPr>
              <w:jc w:val="both"/>
              <w:rPr>
                <w:b/>
              </w:rPr>
            </w:pPr>
            <w:r w:rsidRPr="00DB0C40">
              <w:rPr>
                <w:b/>
              </w:rPr>
              <w:t>Scope</w:t>
            </w:r>
          </w:p>
        </w:tc>
      </w:tr>
      <w:tr w:rsidR="00BB44E1" w:rsidRPr="00DB0C40" w14:paraId="4325692C" w14:textId="77777777" w:rsidTr="003F7BB3">
        <w:tc>
          <w:tcPr>
            <w:tcW w:w="3007" w:type="dxa"/>
            <w:shd w:val="clear" w:color="auto" w:fill="8EAADB" w:themeFill="accent1" w:themeFillTint="99"/>
          </w:tcPr>
          <w:p w14:paraId="744BE3A7" w14:textId="77777777" w:rsidR="00BB44E1" w:rsidRPr="00DB0C40" w:rsidRDefault="00230B49">
            <w:pPr>
              <w:jc w:val="both"/>
            </w:pPr>
            <w:r w:rsidRPr="00DB0C40">
              <w:t>The Constitution</w:t>
            </w:r>
          </w:p>
        </w:tc>
        <w:tc>
          <w:tcPr>
            <w:tcW w:w="2997" w:type="dxa"/>
            <w:shd w:val="clear" w:color="auto" w:fill="FBE4D5" w:themeFill="accent2" w:themeFillTint="33"/>
          </w:tcPr>
          <w:p w14:paraId="1E6986A4" w14:textId="77777777" w:rsidR="00BB44E1" w:rsidRPr="00DB0C40" w:rsidRDefault="00230B49">
            <w:pPr>
              <w:jc w:val="both"/>
            </w:pPr>
            <w:r w:rsidRPr="00DB0C40">
              <w:t>Article 10, 48, 50</w:t>
            </w:r>
          </w:p>
        </w:tc>
        <w:tc>
          <w:tcPr>
            <w:tcW w:w="3006" w:type="dxa"/>
            <w:shd w:val="clear" w:color="auto" w:fill="FBE4D5" w:themeFill="accent2" w:themeFillTint="33"/>
          </w:tcPr>
          <w:p w14:paraId="515EF68D" w14:textId="77777777" w:rsidR="00BB44E1" w:rsidRPr="00DB0C40" w:rsidRDefault="00230B49">
            <w:pPr>
              <w:jc w:val="both"/>
            </w:pPr>
            <w:r w:rsidRPr="00DB0C40">
              <w:t xml:space="preserve">harassment and sexual harassment </w:t>
            </w:r>
          </w:p>
        </w:tc>
      </w:tr>
      <w:tr w:rsidR="00BB44E1" w:rsidRPr="00DB0C40" w14:paraId="33BC5519" w14:textId="77777777" w:rsidTr="003F7BB3">
        <w:tc>
          <w:tcPr>
            <w:tcW w:w="3007" w:type="dxa"/>
            <w:shd w:val="clear" w:color="auto" w:fill="8EAADB" w:themeFill="accent1" w:themeFillTint="99"/>
          </w:tcPr>
          <w:p w14:paraId="0D4090AF" w14:textId="77777777" w:rsidR="00BB44E1" w:rsidRPr="00DB0C40" w:rsidRDefault="00230B49">
            <w:pPr>
              <w:jc w:val="both"/>
            </w:pPr>
            <w:r w:rsidRPr="00DB0C40">
              <w:rPr>
                <w:color w:val="211D1E"/>
              </w:rPr>
              <w:t>Debts Law No. 6098</w:t>
            </w:r>
          </w:p>
        </w:tc>
        <w:tc>
          <w:tcPr>
            <w:tcW w:w="2997" w:type="dxa"/>
            <w:shd w:val="clear" w:color="auto" w:fill="FBE4D5" w:themeFill="accent2" w:themeFillTint="33"/>
          </w:tcPr>
          <w:p w14:paraId="00FB38EF" w14:textId="77777777" w:rsidR="00BB44E1" w:rsidRPr="00DB0C40" w:rsidRDefault="00230B49">
            <w:pPr>
              <w:jc w:val="both"/>
            </w:pPr>
            <w:r w:rsidRPr="00DB0C40">
              <w:t>Article 417, 418, 423</w:t>
            </w:r>
          </w:p>
        </w:tc>
        <w:tc>
          <w:tcPr>
            <w:tcW w:w="3006" w:type="dxa"/>
            <w:shd w:val="clear" w:color="auto" w:fill="FBE4D5" w:themeFill="accent2" w:themeFillTint="33"/>
          </w:tcPr>
          <w:p w14:paraId="40C3D482" w14:textId="77777777" w:rsidR="00BB44E1" w:rsidRPr="00DB0C40" w:rsidRDefault="00BB44E1">
            <w:pPr>
              <w:jc w:val="both"/>
            </w:pPr>
          </w:p>
        </w:tc>
      </w:tr>
      <w:tr w:rsidR="00BB44E1" w:rsidRPr="00DB0C40" w14:paraId="00DE350C" w14:textId="77777777" w:rsidTr="003F7BB3">
        <w:tc>
          <w:tcPr>
            <w:tcW w:w="3007" w:type="dxa"/>
            <w:shd w:val="clear" w:color="auto" w:fill="8EAADB" w:themeFill="accent1" w:themeFillTint="99"/>
          </w:tcPr>
          <w:p w14:paraId="5B19652A" w14:textId="77777777" w:rsidR="00BB44E1" w:rsidRPr="00DB0C40" w:rsidRDefault="00230B49">
            <w:pPr>
              <w:jc w:val="both"/>
            </w:pPr>
            <w:r w:rsidRPr="00DB0C40">
              <w:rPr>
                <w:color w:val="211D1E"/>
              </w:rPr>
              <w:t>Labour Law No. 4857</w:t>
            </w:r>
          </w:p>
        </w:tc>
        <w:tc>
          <w:tcPr>
            <w:tcW w:w="2997" w:type="dxa"/>
            <w:shd w:val="clear" w:color="auto" w:fill="FBE4D5" w:themeFill="accent2" w:themeFillTint="33"/>
          </w:tcPr>
          <w:p w14:paraId="784AE83A" w14:textId="77777777" w:rsidR="00BB44E1" w:rsidRPr="00DB0C40" w:rsidRDefault="00230B49">
            <w:pPr>
              <w:jc w:val="both"/>
            </w:pPr>
            <w:r w:rsidRPr="00DB0C40">
              <w:t>Article 5, Article 74/1, article 24</w:t>
            </w:r>
          </w:p>
        </w:tc>
        <w:tc>
          <w:tcPr>
            <w:tcW w:w="3006" w:type="dxa"/>
            <w:shd w:val="clear" w:color="auto" w:fill="FBE4D5" w:themeFill="accent2" w:themeFillTint="33"/>
          </w:tcPr>
          <w:p w14:paraId="6CBBEF74" w14:textId="77777777" w:rsidR="00BB44E1" w:rsidRPr="00DB0C40" w:rsidRDefault="00230B49">
            <w:pPr>
              <w:jc w:val="both"/>
            </w:pPr>
            <w:r w:rsidRPr="00DB0C40">
              <w:t xml:space="preserve">equality and no discrimination, maternal leave, workplace harassment </w:t>
            </w:r>
          </w:p>
        </w:tc>
      </w:tr>
      <w:tr w:rsidR="00BB44E1" w:rsidRPr="00DB0C40" w14:paraId="3EB5027B" w14:textId="77777777" w:rsidTr="003F7BB3">
        <w:tc>
          <w:tcPr>
            <w:tcW w:w="3007" w:type="dxa"/>
            <w:shd w:val="clear" w:color="auto" w:fill="8EAADB" w:themeFill="accent1" w:themeFillTint="99"/>
          </w:tcPr>
          <w:p w14:paraId="67A5C33B" w14:textId="77777777" w:rsidR="00BB44E1" w:rsidRPr="00DB0C40" w:rsidRDefault="00230B49">
            <w:pPr>
              <w:jc w:val="both"/>
            </w:pPr>
            <w:r w:rsidRPr="00DB0C40">
              <w:rPr>
                <w:color w:val="211D1E"/>
              </w:rPr>
              <w:t>Law No. 5510</w:t>
            </w:r>
          </w:p>
        </w:tc>
        <w:tc>
          <w:tcPr>
            <w:tcW w:w="2997" w:type="dxa"/>
            <w:shd w:val="clear" w:color="auto" w:fill="FBE4D5" w:themeFill="accent2" w:themeFillTint="33"/>
          </w:tcPr>
          <w:p w14:paraId="5D3F9F46" w14:textId="77777777" w:rsidR="00BB44E1" w:rsidRPr="00DB0C40" w:rsidRDefault="00230B49">
            <w:pPr>
              <w:jc w:val="both"/>
            </w:pPr>
            <w:r w:rsidRPr="00DB0C40">
              <w:t>Article 18/1d Md. 29, Art 4a</w:t>
            </w:r>
          </w:p>
        </w:tc>
        <w:tc>
          <w:tcPr>
            <w:tcW w:w="3006" w:type="dxa"/>
            <w:shd w:val="clear" w:color="auto" w:fill="FBE4D5" w:themeFill="accent2" w:themeFillTint="33"/>
          </w:tcPr>
          <w:p w14:paraId="6CCE3ADC" w14:textId="77777777" w:rsidR="00BB44E1" w:rsidRPr="00DB0C40" w:rsidRDefault="00230B49">
            <w:pPr>
              <w:jc w:val="both"/>
            </w:pPr>
            <w:r w:rsidRPr="00DB0C40">
              <w:t xml:space="preserve">maternal leave; premium calculation for maternal leave  </w:t>
            </w:r>
          </w:p>
        </w:tc>
      </w:tr>
      <w:tr w:rsidR="00BB44E1" w:rsidRPr="00DB0C40" w14:paraId="5C6AF376" w14:textId="77777777" w:rsidTr="003F7BB3">
        <w:tc>
          <w:tcPr>
            <w:tcW w:w="3007" w:type="dxa"/>
            <w:shd w:val="clear" w:color="auto" w:fill="8EAADB" w:themeFill="accent1" w:themeFillTint="99"/>
          </w:tcPr>
          <w:p w14:paraId="412D0C90" w14:textId="77777777" w:rsidR="00BB44E1" w:rsidRPr="00DB0C40" w:rsidRDefault="00230B49">
            <w:pPr>
              <w:jc w:val="both"/>
            </w:pPr>
            <w:r w:rsidRPr="00DB0C40">
              <w:rPr>
                <w:color w:val="211D1E"/>
              </w:rPr>
              <w:t>Law No 657</w:t>
            </w:r>
          </w:p>
        </w:tc>
        <w:tc>
          <w:tcPr>
            <w:tcW w:w="2997" w:type="dxa"/>
            <w:shd w:val="clear" w:color="auto" w:fill="FBE4D5" w:themeFill="accent2" w:themeFillTint="33"/>
          </w:tcPr>
          <w:p w14:paraId="7847CF05" w14:textId="77777777" w:rsidR="00BB44E1" w:rsidRPr="00DB0C40" w:rsidRDefault="00230B49">
            <w:pPr>
              <w:jc w:val="both"/>
            </w:pPr>
            <w:r w:rsidRPr="00DB0C40">
              <w:t>Article 101, 104a, 104b 108b</w:t>
            </w:r>
          </w:p>
        </w:tc>
        <w:tc>
          <w:tcPr>
            <w:tcW w:w="3006" w:type="dxa"/>
            <w:shd w:val="clear" w:color="auto" w:fill="FBE4D5" w:themeFill="accent2" w:themeFillTint="33"/>
          </w:tcPr>
          <w:p w14:paraId="75DDE36E" w14:textId="77777777" w:rsidR="00BB44E1" w:rsidRPr="00DB0C40" w:rsidRDefault="00230B49">
            <w:pPr>
              <w:jc w:val="both"/>
            </w:pPr>
            <w:r w:rsidRPr="00DB0C40">
              <w:t xml:space="preserve">working during pregnancy, maternal leave, paternal leave, breastfeeding leave  </w:t>
            </w:r>
          </w:p>
        </w:tc>
      </w:tr>
      <w:tr w:rsidR="00BB44E1" w:rsidRPr="00DB0C40" w14:paraId="238A67AB" w14:textId="77777777" w:rsidTr="003F7BB3">
        <w:tc>
          <w:tcPr>
            <w:tcW w:w="3007" w:type="dxa"/>
            <w:shd w:val="clear" w:color="auto" w:fill="8EAADB" w:themeFill="accent1" w:themeFillTint="99"/>
          </w:tcPr>
          <w:p w14:paraId="0E0AE37E" w14:textId="77777777" w:rsidR="00BB44E1" w:rsidRPr="00DB0C40" w:rsidRDefault="00230B49">
            <w:pPr>
              <w:jc w:val="both"/>
              <w:rPr>
                <w:color w:val="211D1E"/>
              </w:rPr>
            </w:pPr>
            <w:r w:rsidRPr="00DB0C40">
              <w:rPr>
                <w:color w:val="211D1E"/>
              </w:rPr>
              <w:t xml:space="preserve">Law No. 6331 on Occupation Health and Safety </w:t>
            </w:r>
          </w:p>
        </w:tc>
        <w:tc>
          <w:tcPr>
            <w:tcW w:w="2997" w:type="dxa"/>
            <w:shd w:val="clear" w:color="auto" w:fill="FBE4D5" w:themeFill="accent2" w:themeFillTint="33"/>
          </w:tcPr>
          <w:p w14:paraId="52C60248" w14:textId="77777777" w:rsidR="00BB44E1" w:rsidRPr="00DB0C40" w:rsidRDefault="00230B49">
            <w:pPr>
              <w:jc w:val="both"/>
            </w:pPr>
            <w:r w:rsidRPr="00DB0C40">
              <w:t>Article 10</w:t>
            </w:r>
          </w:p>
        </w:tc>
        <w:tc>
          <w:tcPr>
            <w:tcW w:w="3006" w:type="dxa"/>
            <w:shd w:val="clear" w:color="auto" w:fill="FBE4D5" w:themeFill="accent2" w:themeFillTint="33"/>
          </w:tcPr>
          <w:p w14:paraId="11527620" w14:textId="77777777" w:rsidR="00BB44E1" w:rsidRPr="00DB0C40" w:rsidRDefault="00230B49">
            <w:pPr>
              <w:jc w:val="both"/>
            </w:pPr>
            <w:r w:rsidRPr="00DB0C40">
              <w:t xml:space="preserve">Night shifts </w:t>
            </w:r>
          </w:p>
        </w:tc>
      </w:tr>
      <w:tr w:rsidR="00BB44E1" w:rsidRPr="00DB0C40" w14:paraId="169665F5" w14:textId="77777777" w:rsidTr="003F7BB3">
        <w:tc>
          <w:tcPr>
            <w:tcW w:w="3007" w:type="dxa"/>
            <w:shd w:val="clear" w:color="auto" w:fill="8EAADB" w:themeFill="accent1" w:themeFillTint="99"/>
          </w:tcPr>
          <w:p w14:paraId="0FB7CDE3" w14:textId="77777777" w:rsidR="00BB44E1" w:rsidRPr="00DB0C40" w:rsidRDefault="00230B49">
            <w:pPr>
              <w:jc w:val="both"/>
              <w:rPr>
                <w:color w:val="211D1E"/>
              </w:rPr>
            </w:pPr>
            <w:r w:rsidRPr="00DB0C40">
              <w:rPr>
                <w:color w:val="211D1E"/>
              </w:rPr>
              <w:t>Criminal Law No. 5237</w:t>
            </w:r>
          </w:p>
        </w:tc>
        <w:tc>
          <w:tcPr>
            <w:tcW w:w="2997" w:type="dxa"/>
            <w:shd w:val="clear" w:color="auto" w:fill="FBE4D5" w:themeFill="accent2" w:themeFillTint="33"/>
          </w:tcPr>
          <w:p w14:paraId="19622AE0" w14:textId="77777777" w:rsidR="00BB44E1" w:rsidRPr="00DB0C40" w:rsidRDefault="00230B49">
            <w:pPr>
              <w:jc w:val="both"/>
            </w:pPr>
            <w:r w:rsidRPr="00DB0C40">
              <w:t>Article 105, 122</w:t>
            </w:r>
          </w:p>
        </w:tc>
        <w:tc>
          <w:tcPr>
            <w:tcW w:w="3006" w:type="dxa"/>
            <w:shd w:val="clear" w:color="auto" w:fill="FBE4D5" w:themeFill="accent2" w:themeFillTint="33"/>
          </w:tcPr>
          <w:p w14:paraId="661389B2" w14:textId="77777777" w:rsidR="00BB44E1" w:rsidRPr="00DB0C40" w:rsidRDefault="00230B49">
            <w:pPr>
              <w:jc w:val="both"/>
            </w:pPr>
            <w:r w:rsidRPr="00DB0C40">
              <w:t xml:space="preserve">mobbing and harassment at workplace </w:t>
            </w:r>
          </w:p>
        </w:tc>
      </w:tr>
      <w:tr w:rsidR="00BB44E1" w:rsidRPr="00DB0C40" w14:paraId="75D1D357" w14:textId="77777777" w:rsidTr="003F7BB3">
        <w:tc>
          <w:tcPr>
            <w:tcW w:w="3007" w:type="dxa"/>
            <w:shd w:val="clear" w:color="auto" w:fill="8EAADB" w:themeFill="accent1" w:themeFillTint="99"/>
          </w:tcPr>
          <w:p w14:paraId="22D217E3" w14:textId="77777777" w:rsidR="00BB44E1" w:rsidRPr="00DB0C40" w:rsidRDefault="00230B49">
            <w:pPr>
              <w:jc w:val="both"/>
              <w:rPr>
                <w:color w:val="211D1E"/>
              </w:rPr>
            </w:pPr>
            <w:r w:rsidRPr="00DB0C40">
              <w:rPr>
                <w:color w:val="211D1E"/>
              </w:rPr>
              <w:t>Municipality Law No. 5393</w:t>
            </w:r>
          </w:p>
        </w:tc>
        <w:tc>
          <w:tcPr>
            <w:tcW w:w="2997" w:type="dxa"/>
            <w:shd w:val="clear" w:color="auto" w:fill="FBE4D5" w:themeFill="accent2" w:themeFillTint="33"/>
          </w:tcPr>
          <w:p w14:paraId="70EB158F" w14:textId="77777777" w:rsidR="00BB44E1" w:rsidRPr="00DB0C40" w:rsidRDefault="00230B49">
            <w:pPr>
              <w:jc w:val="both"/>
            </w:pPr>
            <w:r w:rsidRPr="00DB0C40">
              <w:t>Article 14</w:t>
            </w:r>
          </w:p>
        </w:tc>
        <w:tc>
          <w:tcPr>
            <w:tcW w:w="3006" w:type="dxa"/>
            <w:shd w:val="clear" w:color="auto" w:fill="FBE4D5" w:themeFill="accent2" w:themeFillTint="33"/>
          </w:tcPr>
          <w:p w14:paraId="05A714B3" w14:textId="77777777" w:rsidR="00BB44E1" w:rsidRPr="00DB0C40" w:rsidRDefault="00230B49">
            <w:pPr>
              <w:jc w:val="both"/>
            </w:pPr>
            <w:r w:rsidRPr="00DB0C40">
              <w:t xml:space="preserve">shelters for women and children </w:t>
            </w:r>
          </w:p>
        </w:tc>
      </w:tr>
      <w:tr w:rsidR="00BB44E1" w:rsidRPr="00DB0C40" w14:paraId="6FD7CE8E" w14:textId="77777777" w:rsidTr="003F7BB3">
        <w:tc>
          <w:tcPr>
            <w:tcW w:w="3007" w:type="dxa"/>
            <w:shd w:val="clear" w:color="auto" w:fill="8EAADB" w:themeFill="accent1" w:themeFillTint="99"/>
          </w:tcPr>
          <w:p w14:paraId="0DA5B947" w14:textId="77777777" w:rsidR="00BB44E1" w:rsidRPr="00DB0C40" w:rsidRDefault="00230B49">
            <w:pPr>
              <w:jc w:val="both"/>
              <w:rPr>
                <w:color w:val="211D1E"/>
              </w:rPr>
            </w:pPr>
            <w:r w:rsidRPr="00DB0C40">
              <w:rPr>
                <w:color w:val="211D1E"/>
              </w:rPr>
              <w:t xml:space="preserve">Law No. 6284 </w:t>
            </w:r>
          </w:p>
        </w:tc>
        <w:tc>
          <w:tcPr>
            <w:tcW w:w="2997" w:type="dxa"/>
            <w:shd w:val="clear" w:color="auto" w:fill="FBE4D5" w:themeFill="accent2" w:themeFillTint="33"/>
          </w:tcPr>
          <w:p w14:paraId="29C19842" w14:textId="77777777" w:rsidR="00BB44E1" w:rsidRPr="00DB0C40" w:rsidRDefault="00230B49">
            <w:pPr>
              <w:jc w:val="both"/>
            </w:pPr>
            <w:r w:rsidRPr="00DB0C40">
              <w:t>Article 3</w:t>
            </w:r>
          </w:p>
        </w:tc>
        <w:tc>
          <w:tcPr>
            <w:tcW w:w="3006" w:type="dxa"/>
            <w:shd w:val="clear" w:color="auto" w:fill="FBE4D5" w:themeFill="accent2" w:themeFillTint="33"/>
          </w:tcPr>
          <w:p w14:paraId="02FAF00D" w14:textId="77777777" w:rsidR="00BB44E1" w:rsidRPr="00DB0C40" w:rsidRDefault="00230B49">
            <w:pPr>
              <w:jc w:val="both"/>
            </w:pPr>
            <w:r w:rsidRPr="00DB0C40">
              <w:t xml:space="preserve">child care facilities for protected women  </w:t>
            </w:r>
          </w:p>
        </w:tc>
      </w:tr>
      <w:tr w:rsidR="00BB44E1" w:rsidRPr="00DB0C40" w14:paraId="773A4A05" w14:textId="77777777" w:rsidTr="003F7BB3">
        <w:tc>
          <w:tcPr>
            <w:tcW w:w="3007" w:type="dxa"/>
            <w:shd w:val="clear" w:color="auto" w:fill="8EAADB" w:themeFill="accent1" w:themeFillTint="99"/>
          </w:tcPr>
          <w:p w14:paraId="451C0165" w14:textId="77777777" w:rsidR="00BB44E1" w:rsidRPr="00DB0C40" w:rsidRDefault="00230B49">
            <w:pPr>
              <w:jc w:val="both"/>
              <w:rPr>
                <w:color w:val="211D1E"/>
              </w:rPr>
            </w:pPr>
            <w:r w:rsidRPr="00DB0C40">
              <w:rPr>
                <w:color w:val="211D1E"/>
              </w:rPr>
              <w:lastRenderedPageBreak/>
              <w:t xml:space="preserve">Law No. 4447 on Unemployment Insurance </w:t>
            </w:r>
          </w:p>
        </w:tc>
        <w:tc>
          <w:tcPr>
            <w:tcW w:w="2997" w:type="dxa"/>
            <w:shd w:val="clear" w:color="auto" w:fill="FBE4D5" w:themeFill="accent2" w:themeFillTint="33"/>
          </w:tcPr>
          <w:p w14:paraId="5E6E4825" w14:textId="77777777" w:rsidR="00BB44E1" w:rsidRPr="00DB0C40" w:rsidRDefault="00230B49">
            <w:pPr>
              <w:jc w:val="both"/>
            </w:pPr>
            <w:r w:rsidRPr="00DB0C40">
              <w:t>Article 7</w:t>
            </w:r>
          </w:p>
        </w:tc>
        <w:tc>
          <w:tcPr>
            <w:tcW w:w="3006" w:type="dxa"/>
            <w:shd w:val="clear" w:color="auto" w:fill="FBE4D5" w:themeFill="accent2" w:themeFillTint="33"/>
          </w:tcPr>
          <w:p w14:paraId="47D2A615" w14:textId="77777777" w:rsidR="00BB44E1" w:rsidRPr="00DB0C40" w:rsidRDefault="00230B49">
            <w:pPr>
              <w:jc w:val="both"/>
            </w:pPr>
            <w:r w:rsidRPr="00DB0C40">
              <w:t xml:space="preserve">employment incentives for women </w:t>
            </w:r>
          </w:p>
        </w:tc>
      </w:tr>
      <w:tr w:rsidR="003F7BB3" w:rsidRPr="00DB0C40" w14:paraId="663222B1" w14:textId="77777777" w:rsidTr="003F7BB3">
        <w:tc>
          <w:tcPr>
            <w:tcW w:w="9010" w:type="dxa"/>
            <w:gridSpan w:val="3"/>
            <w:shd w:val="clear" w:color="auto" w:fill="D9E2F3" w:themeFill="accent1" w:themeFillTint="33"/>
          </w:tcPr>
          <w:p w14:paraId="1908159F" w14:textId="1A29F926" w:rsidR="003F7BB3" w:rsidRPr="00DB0C40" w:rsidRDefault="003F7BB3">
            <w:pPr>
              <w:jc w:val="both"/>
            </w:pPr>
            <w:r w:rsidRPr="00DB0C40">
              <w:rPr>
                <w:b/>
                <w:color w:val="211D1E"/>
              </w:rPr>
              <w:t>REGULATIONS</w:t>
            </w:r>
          </w:p>
        </w:tc>
      </w:tr>
      <w:tr w:rsidR="00BB44E1" w:rsidRPr="00DB0C40" w14:paraId="711391DB" w14:textId="77777777" w:rsidTr="003F7BB3">
        <w:tc>
          <w:tcPr>
            <w:tcW w:w="9010" w:type="dxa"/>
            <w:gridSpan w:val="3"/>
            <w:shd w:val="clear" w:color="auto" w:fill="FBE4D5" w:themeFill="accent2" w:themeFillTint="33"/>
          </w:tcPr>
          <w:p w14:paraId="2C69C767" w14:textId="77777777" w:rsidR="00BB44E1" w:rsidRPr="00DB0C40" w:rsidRDefault="00230B49">
            <w:pPr>
              <w:jc w:val="both"/>
            </w:pPr>
            <w:r w:rsidRPr="00DB0C40">
              <w:rPr>
                <w:color w:val="211D1E"/>
              </w:rPr>
              <w:t>Regulation on Minimum Wage</w:t>
            </w:r>
          </w:p>
        </w:tc>
      </w:tr>
      <w:tr w:rsidR="00BB44E1" w:rsidRPr="00DB0C40" w14:paraId="31197258" w14:textId="77777777" w:rsidTr="003F7BB3">
        <w:tc>
          <w:tcPr>
            <w:tcW w:w="9010" w:type="dxa"/>
            <w:gridSpan w:val="3"/>
            <w:shd w:val="clear" w:color="auto" w:fill="FBE4D5" w:themeFill="accent2" w:themeFillTint="33"/>
          </w:tcPr>
          <w:p w14:paraId="16CF7DCA" w14:textId="77777777" w:rsidR="00BB44E1" w:rsidRPr="00DB0C40" w:rsidRDefault="00230B49">
            <w:pPr>
              <w:jc w:val="both"/>
            </w:pPr>
            <w:r w:rsidRPr="00DB0C40">
              <w:rPr>
                <w:color w:val="211D1E"/>
              </w:rPr>
              <w:t>Regulation on Working Conditions of Pregnant and Breastfeeding Women and Breastfeeding Rooms and Childcare Dormitories</w:t>
            </w:r>
          </w:p>
        </w:tc>
      </w:tr>
      <w:tr w:rsidR="00BB44E1" w:rsidRPr="00DB0C40" w14:paraId="33A8CE8E" w14:textId="77777777" w:rsidTr="003F7BB3">
        <w:tc>
          <w:tcPr>
            <w:tcW w:w="9010" w:type="dxa"/>
            <w:gridSpan w:val="3"/>
            <w:shd w:val="clear" w:color="auto" w:fill="FBE4D5" w:themeFill="accent2" w:themeFillTint="33"/>
          </w:tcPr>
          <w:p w14:paraId="38446A25" w14:textId="77777777" w:rsidR="00BB44E1" w:rsidRPr="00DB0C40" w:rsidRDefault="00230B49">
            <w:pPr>
              <w:jc w:val="both"/>
            </w:pPr>
            <w:r w:rsidRPr="00DB0C40">
              <w:rPr>
                <w:color w:val="211D1E"/>
              </w:rPr>
              <w:t>Regulation on Working Conditions of Women Employees in Night Shifts</w:t>
            </w:r>
          </w:p>
        </w:tc>
      </w:tr>
      <w:tr w:rsidR="00BB44E1" w:rsidRPr="00DB0C40" w14:paraId="6825CC7C" w14:textId="77777777" w:rsidTr="003F7BB3">
        <w:tc>
          <w:tcPr>
            <w:tcW w:w="9010" w:type="dxa"/>
            <w:gridSpan w:val="3"/>
            <w:shd w:val="clear" w:color="auto" w:fill="FBE4D5" w:themeFill="accent2" w:themeFillTint="33"/>
          </w:tcPr>
          <w:p w14:paraId="6E08F181" w14:textId="77777777" w:rsidR="00BB44E1" w:rsidRPr="00DB0C40" w:rsidRDefault="00230B49">
            <w:pPr>
              <w:jc w:val="both"/>
            </w:pPr>
            <w:r w:rsidRPr="00DB0C40">
              <w:rPr>
                <w:color w:val="211D1E"/>
              </w:rPr>
              <w:t>Implementing Regulation on Part-time Work after Maternity Leave or Unpaid Leave</w:t>
            </w:r>
          </w:p>
        </w:tc>
      </w:tr>
      <w:tr w:rsidR="00BB44E1" w:rsidRPr="00DB0C40" w14:paraId="03F45896" w14:textId="77777777" w:rsidTr="003F7BB3">
        <w:tc>
          <w:tcPr>
            <w:tcW w:w="9010" w:type="dxa"/>
            <w:gridSpan w:val="3"/>
            <w:shd w:val="clear" w:color="auto" w:fill="FBE4D5" w:themeFill="accent2" w:themeFillTint="33"/>
          </w:tcPr>
          <w:p w14:paraId="0D229D2C" w14:textId="77777777" w:rsidR="00BB44E1" w:rsidRPr="00DB0C40" w:rsidRDefault="00230B49">
            <w:pPr>
              <w:jc w:val="both"/>
            </w:pPr>
            <w:r w:rsidRPr="00DB0C40">
              <w:rPr>
                <w:color w:val="211D1E"/>
              </w:rPr>
              <w:t>Regulation on Dangerous and Very Dangerous Jobs</w:t>
            </w:r>
          </w:p>
        </w:tc>
      </w:tr>
    </w:tbl>
    <w:p w14:paraId="4FF71D6D" w14:textId="77777777" w:rsidR="00BB44E1" w:rsidRPr="00DB0C40" w:rsidRDefault="00BB44E1">
      <w:pPr>
        <w:jc w:val="both"/>
        <w:rPr>
          <w:sz w:val="22"/>
          <w:szCs w:val="22"/>
        </w:rPr>
      </w:pPr>
    </w:p>
    <w:p w14:paraId="5630BB82" w14:textId="77777777" w:rsidR="00BB44E1" w:rsidRPr="00DB0C40" w:rsidRDefault="00BB44E1">
      <w:pPr>
        <w:jc w:val="both"/>
        <w:rPr>
          <w:b/>
          <w:sz w:val="22"/>
          <w:szCs w:val="22"/>
        </w:rPr>
      </w:pPr>
    </w:p>
    <w:p w14:paraId="59D15769" w14:textId="062E6B93" w:rsidR="00BA33A9" w:rsidRPr="00CD2A61" w:rsidRDefault="00230B49" w:rsidP="00CD2A61">
      <w:pPr>
        <w:keepNext/>
        <w:keepLines/>
        <w:pBdr>
          <w:top w:val="nil"/>
          <w:left w:val="nil"/>
          <w:bottom w:val="nil"/>
          <w:right w:val="nil"/>
          <w:between w:val="nil"/>
        </w:pBdr>
        <w:spacing w:after="120"/>
        <w:rPr>
          <w:rFonts w:asciiTheme="majorHAnsi" w:eastAsiaTheme="majorEastAsia" w:hAnsiTheme="majorHAnsi" w:cstheme="majorBidi"/>
          <w:color w:val="1F3763" w:themeColor="accent1" w:themeShade="7F"/>
        </w:rPr>
      </w:pPr>
      <w:bookmarkStart w:id="65" w:name="_heading=h.tyjcwt" w:colFirst="0" w:colLast="0"/>
      <w:bookmarkEnd w:id="65"/>
      <w:r w:rsidRPr="00CD2A61">
        <w:rPr>
          <w:rFonts w:asciiTheme="majorHAnsi" w:eastAsiaTheme="majorEastAsia" w:hAnsiTheme="majorHAnsi" w:cstheme="majorBidi"/>
          <w:color w:val="1F3763" w:themeColor="accent1" w:themeShade="7F"/>
        </w:rPr>
        <w:t>3.</w:t>
      </w:r>
      <w:r w:rsidR="00940930" w:rsidRPr="00CD2A61">
        <w:rPr>
          <w:rFonts w:asciiTheme="majorHAnsi" w:eastAsiaTheme="majorEastAsia" w:hAnsiTheme="majorHAnsi" w:cstheme="majorBidi"/>
          <w:color w:val="1F3763" w:themeColor="accent1" w:themeShade="7F"/>
        </w:rPr>
        <w:t>7</w:t>
      </w:r>
      <w:r w:rsidRPr="00CD2A61">
        <w:rPr>
          <w:rFonts w:asciiTheme="majorHAnsi" w:eastAsiaTheme="majorEastAsia" w:hAnsiTheme="majorHAnsi" w:cstheme="majorBidi"/>
          <w:color w:val="1F3763" w:themeColor="accent1" w:themeShade="7F"/>
        </w:rPr>
        <w:t>.</w:t>
      </w:r>
      <w:r w:rsidR="00BA33A9" w:rsidRPr="00CD2A61">
        <w:rPr>
          <w:rFonts w:asciiTheme="majorHAnsi" w:eastAsiaTheme="majorEastAsia" w:hAnsiTheme="majorHAnsi" w:cstheme="majorBidi"/>
          <w:color w:val="1F3763" w:themeColor="accent1" w:themeShade="7F"/>
        </w:rPr>
        <w:t>1.</w:t>
      </w:r>
      <w:r w:rsidRPr="00CD2A61">
        <w:rPr>
          <w:rFonts w:asciiTheme="majorHAnsi" w:eastAsiaTheme="majorEastAsia" w:hAnsiTheme="majorHAnsi" w:cstheme="majorBidi"/>
          <w:color w:val="1F3763" w:themeColor="accent1" w:themeShade="7F"/>
        </w:rPr>
        <w:t xml:space="preserve"> The Constitution of 1982 </w:t>
      </w:r>
    </w:p>
    <w:p w14:paraId="26964D0F" w14:textId="1B76C925" w:rsidR="00BB44E1" w:rsidRPr="00DB0C40" w:rsidRDefault="00BA33A9">
      <w:pPr>
        <w:jc w:val="both"/>
        <w:rPr>
          <w:sz w:val="22"/>
          <w:szCs w:val="22"/>
        </w:rPr>
      </w:pPr>
      <w:r w:rsidRPr="00DB0C40">
        <w:rPr>
          <w:sz w:val="22"/>
          <w:szCs w:val="22"/>
        </w:rPr>
        <w:t xml:space="preserve">This </w:t>
      </w:r>
      <w:r w:rsidR="00230B49" w:rsidRPr="00DB0C40">
        <w:rPr>
          <w:sz w:val="22"/>
          <w:szCs w:val="22"/>
        </w:rPr>
        <w:t>is fundamental with its equality principles in front of law. With the Law No. 5170, a new paragraph was added to the 10th article of the constitution in 2004, following this first paragraph: "Women and men have equal rights. The state is obliged to ensure that this equality is realized.” Pursuant to Article 50 of the Constitution, titled “Working conditions and the right to rest”, “No one can be employed in jobs that do not comply with their age, gender and strength (f.1). Minors, women and those with physical and mental disabilities are specially protected in terms of working conditions.</w:t>
      </w:r>
    </w:p>
    <w:p w14:paraId="6F170253" w14:textId="77777777" w:rsidR="00BB44E1" w:rsidRPr="00DB0C40" w:rsidRDefault="00BB44E1">
      <w:pPr>
        <w:jc w:val="both"/>
        <w:rPr>
          <w:sz w:val="22"/>
          <w:szCs w:val="22"/>
        </w:rPr>
      </w:pPr>
    </w:p>
    <w:p w14:paraId="60C12E19" w14:textId="77777777" w:rsidR="00BB44E1" w:rsidRPr="00DB0C40" w:rsidRDefault="00230B49">
      <w:pPr>
        <w:jc w:val="both"/>
        <w:rPr>
          <w:sz w:val="22"/>
          <w:szCs w:val="22"/>
        </w:rPr>
      </w:pPr>
      <w:r w:rsidRPr="00DB0C40">
        <w:rPr>
          <w:sz w:val="22"/>
          <w:szCs w:val="22"/>
        </w:rPr>
        <w:t>In 2005, the new Penal Code (No. 5237) came into force giving priority to the protection of individuals’ rights and freedoms. With the law, offensive acts towards women are exposed and classified as an “offense against an individual” rather than a public offense. New significant changes were also introduced to the definition of sexual violence and of sexual harassment in the workplace and punishments for these offences were reinforced. Furthermore, Articles 5 and 122 of the Penal Code state “no discrimination shall be made between persons with respect of sex.”</w:t>
      </w:r>
    </w:p>
    <w:p w14:paraId="6E127056" w14:textId="77777777" w:rsidR="00BB44E1" w:rsidRPr="00DB0C40" w:rsidRDefault="00BB44E1">
      <w:pPr>
        <w:jc w:val="both"/>
        <w:rPr>
          <w:sz w:val="22"/>
          <w:szCs w:val="22"/>
        </w:rPr>
      </w:pPr>
    </w:p>
    <w:p w14:paraId="546C8BBA" w14:textId="577936D6" w:rsidR="00BB44E1" w:rsidRPr="00CD2A61" w:rsidRDefault="00230B49" w:rsidP="00CD2A61">
      <w:pPr>
        <w:keepNext/>
        <w:keepLines/>
        <w:pBdr>
          <w:top w:val="nil"/>
          <w:left w:val="nil"/>
          <w:bottom w:val="nil"/>
          <w:right w:val="nil"/>
          <w:between w:val="nil"/>
        </w:pBdr>
        <w:spacing w:after="120"/>
        <w:rPr>
          <w:rFonts w:asciiTheme="majorHAnsi" w:eastAsiaTheme="majorEastAsia" w:hAnsiTheme="majorHAnsi" w:cstheme="majorBidi"/>
          <w:color w:val="1F3763" w:themeColor="accent1" w:themeShade="7F"/>
        </w:rPr>
      </w:pPr>
      <w:bookmarkStart w:id="66" w:name="_heading=h.3dy6vkm" w:colFirst="0" w:colLast="0"/>
      <w:bookmarkEnd w:id="66"/>
      <w:r w:rsidRPr="00CD2A61">
        <w:rPr>
          <w:rFonts w:asciiTheme="majorHAnsi" w:eastAsiaTheme="majorEastAsia" w:hAnsiTheme="majorHAnsi" w:cstheme="majorBidi"/>
          <w:color w:val="1F3763" w:themeColor="accent1" w:themeShade="7F"/>
        </w:rPr>
        <w:t>3.</w:t>
      </w:r>
      <w:r w:rsidR="00940930" w:rsidRPr="00CD2A61">
        <w:rPr>
          <w:rFonts w:asciiTheme="majorHAnsi" w:eastAsiaTheme="majorEastAsia" w:hAnsiTheme="majorHAnsi" w:cstheme="majorBidi"/>
          <w:color w:val="1F3763" w:themeColor="accent1" w:themeShade="7F"/>
        </w:rPr>
        <w:t>7</w:t>
      </w:r>
      <w:r w:rsidRPr="00CD2A61">
        <w:rPr>
          <w:rFonts w:asciiTheme="majorHAnsi" w:eastAsiaTheme="majorEastAsia" w:hAnsiTheme="majorHAnsi" w:cstheme="majorBidi"/>
          <w:color w:val="1F3763" w:themeColor="accent1" w:themeShade="7F"/>
        </w:rPr>
        <w:t>.</w:t>
      </w:r>
      <w:r w:rsidR="00BA33A9" w:rsidRPr="00CD2A61">
        <w:rPr>
          <w:rFonts w:asciiTheme="majorHAnsi" w:eastAsiaTheme="majorEastAsia" w:hAnsiTheme="majorHAnsi" w:cstheme="majorBidi"/>
          <w:color w:val="1F3763" w:themeColor="accent1" w:themeShade="7F"/>
        </w:rPr>
        <w:t>2.</w:t>
      </w:r>
      <w:r w:rsidRPr="00CD2A61">
        <w:rPr>
          <w:rFonts w:asciiTheme="majorHAnsi" w:eastAsiaTheme="majorEastAsia" w:hAnsiTheme="majorHAnsi" w:cstheme="majorBidi"/>
          <w:color w:val="1F3763" w:themeColor="accent1" w:themeShade="7F"/>
        </w:rPr>
        <w:t xml:space="preserve"> Labour Law No. 4857 </w:t>
      </w:r>
    </w:p>
    <w:p w14:paraId="63393B68" w14:textId="7D303D73" w:rsidR="00BB44E1" w:rsidRPr="00DB0C40" w:rsidRDefault="00230B49">
      <w:pPr>
        <w:jc w:val="both"/>
        <w:rPr>
          <w:sz w:val="22"/>
          <w:szCs w:val="22"/>
        </w:rPr>
      </w:pPr>
      <w:r w:rsidRPr="00DB0C40">
        <w:rPr>
          <w:sz w:val="22"/>
          <w:szCs w:val="22"/>
        </w:rPr>
        <w:t>In 2003, the new Labo</w:t>
      </w:r>
      <w:r w:rsidR="00EA37BB">
        <w:rPr>
          <w:sz w:val="22"/>
          <w:szCs w:val="22"/>
        </w:rPr>
        <w:t>u</w:t>
      </w:r>
      <w:r w:rsidRPr="00DB0C40">
        <w:rPr>
          <w:sz w:val="22"/>
          <w:szCs w:val="22"/>
        </w:rPr>
        <w:t xml:space="preserve">r Law (No.4857) came into force against all manner of discrimination concerning human rights, including gender, between employer and employees. The new </w:t>
      </w:r>
      <w:r w:rsidR="00AE67F2">
        <w:rPr>
          <w:sz w:val="22"/>
          <w:szCs w:val="22"/>
        </w:rPr>
        <w:t>Labour</w:t>
      </w:r>
      <w:r w:rsidRPr="00DB0C40">
        <w:rPr>
          <w:sz w:val="22"/>
          <w:szCs w:val="22"/>
        </w:rPr>
        <w:t xml:space="preserve"> Law reinforced existing provisions including prohibiting of gender discrimination and introduced new prohibitions of discriminatory practices owing to marital status or family responsibilities including the prohibition of dismissal on grounds of pregnancy. It also brought provisions prohibiting sexual harassment in the workplace. </w:t>
      </w:r>
    </w:p>
    <w:p w14:paraId="25A8E0A5" w14:textId="77777777" w:rsidR="00BB44E1" w:rsidRPr="00DB0C40" w:rsidRDefault="00BB44E1">
      <w:pPr>
        <w:jc w:val="both"/>
        <w:rPr>
          <w:sz w:val="22"/>
          <w:szCs w:val="22"/>
        </w:rPr>
      </w:pPr>
    </w:p>
    <w:p w14:paraId="5ABEE7F1" w14:textId="6ECD4A31" w:rsidR="00BB44E1" w:rsidRPr="00DB0C40" w:rsidRDefault="00230B49">
      <w:pPr>
        <w:jc w:val="both"/>
        <w:rPr>
          <w:sz w:val="22"/>
          <w:szCs w:val="22"/>
        </w:rPr>
      </w:pPr>
      <w:r w:rsidRPr="00DB0C40">
        <w:rPr>
          <w:sz w:val="22"/>
          <w:szCs w:val="22"/>
        </w:rPr>
        <w:t>The Labo</w:t>
      </w:r>
      <w:r w:rsidR="00EA37BB">
        <w:rPr>
          <w:sz w:val="22"/>
          <w:szCs w:val="22"/>
        </w:rPr>
        <w:t>u</w:t>
      </w:r>
      <w:r w:rsidRPr="00DB0C40">
        <w:rPr>
          <w:sz w:val="22"/>
          <w:szCs w:val="22"/>
        </w:rPr>
        <w:t>r Law emphasizes the principle that no discrimination can be made in terms of fundamental human rights for any reason, including gender, from the perspective of the employee-employer relationship.</w:t>
      </w:r>
    </w:p>
    <w:p w14:paraId="68D4E5C2" w14:textId="77777777" w:rsidR="00BB44E1" w:rsidRPr="00DB0C40" w:rsidRDefault="00230B49">
      <w:pPr>
        <w:jc w:val="both"/>
        <w:rPr>
          <w:sz w:val="22"/>
          <w:szCs w:val="22"/>
        </w:rPr>
      </w:pPr>
      <w:r w:rsidRPr="00DB0C40">
        <w:rPr>
          <w:sz w:val="22"/>
          <w:szCs w:val="22"/>
        </w:rPr>
        <w:t>Article 5 of the law states that:</w:t>
      </w:r>
    </w:p>
    <w:p w14:paraId="4A7F422E" w14:textId="77777777" w:rsidR="00BB44E1" w:rsidRPr="00DB0C40" w:rsidRDefault="00230B49">
      <w:pPr>
        <w:numPr>
          <w:ilvl w:val="0"/>
          <w:numId w:val="1"/>
        </w:numPr>
        <w:jc w:val="both"/>
        <w:rPr>
          <w:sz w:val="22"/>
          <w:szCs w:val="22"/>
        </w:rPr>
      </w:pPr>
      <w:r w:rsidRPr="00DB0C40">
        <w:rPr>
          <w:sz w:val="22"/>
          <w:szCs w:val="22"/>
        </w:rPr>
        <w:t>No discrimination based on language, race, gender, political opinion, philosophical belief, religion, sect and similar reasons can be made in the business relationship,</w:t>
      </w:r>
    </w:p>
    <w:p w14:paraId="0F1ABE79" w14:textId="77777777" w:rsidR="00BB44E1" w:rsidRPr="00DB0C40" w:rsidRDefault="00230B49">
      <w:pPr>
        <w:numPr>
          <w:ilvl w:val="0"/>
          <w:numId w:val="1"/>
        </w:numPr>
        <w:jc w:val="both"/>
        <w:rPr>
          <w:sz w:val="22"/>
          <w:szCs w:val="22"/>
        </w:rPr>
      </w:pPr>
      <w:r w:rsidRPr="00DB0C40">
        <w:rPr>
          <w:sz w:val="22"/>
          <w:szCs w:val="22"/>
        </w:rPr>
        <w:t>Unless biological or work-related reasons necessitate, the employer cannot directly or indirectly treat a worker differently in the termination, creation, or implementation of the employment contract due to gender or pregnancy</w:t>
      </w:r>
    </w:p>
    <w:p w14:paraId="1009E0AE" w14:textId="77777777" w:rsidR="00BB44E1" w:rsidRPr="00DB0C40" w:rsidRDefault="00230B49">
      <w:pPr>
        <w:numPr>
          <w:ilvl w:val="0"/>
          <w:numId w:val="1"/>
        </w:numPr>
        <w:jc w:val="both"/>
        <w:rPr>
          <w:sz w:val="22"/>
          <w:szCs w:val="22"/>
        </w:rPr>
      </w:pPr>
      <w:r w:rsidRPr="00DB0C40">
        <w:rPr>
          <w:sz w:val="22"/>
          <w:szCs w:val="22"/>
        </w:rPr>
        <w:t>It is not possible to decide on a lower wage due to gender for a job of the same or equal value,</w:t>
      </w:r>
    </w:p>
    <w:p w14:paraId="65FD39F1" w14:textId="77777777" w:rsidR="00BB44E1" w:rsidRPr="00DB0C40" w:rsidRDefault="00230B49">
      <w:pPr>
        <w:numPr>
          <w:ilvl w:val="0"/>
          <w:numId w:val="1"/>
        </w:numPr>
        <w:jc w:val="both"/>
        <w:rPr>
          <w:sz w:val="22"/>
          <w:szCs w:val="22"/>
        </w:rPr>
      </w:pPr>
      <w:r w:rsidRPr="00DB0C40">
        <w:rPr>
          <w:sz w:val="22"/>
          <w:szCs w:val="22"/>
        </w:rPr>
        <w:t xml:space="preserve">The application of special protective provisions due to the gender of the worker does not justify the application of a lower wage. </w:t>
      </w:r>
    </w:p>
    <w:p w14:paraId="3EA4BE5F" w14:textId="77777777" w:rsidR="00BB44E1" w:rsidRPr="00DB0C40" w:rsidRDefault="00BB44E1">
      <w:pPr>
        <w:jc w:val="both"/>
        <w:rPr>
          <w:sz w:val="22"/>
          <w:szCs w:val="22"/>
        </w:rPr>
      </w:pPr>
    </w:p>
    <w:p w14:paraId="51282AF6" w14:textId="77777777" w:rsidR="00BB44E1" w:rsidRPr="00DB0C40" w:rsidRDefault="00230B49">
      <w:pPr>
        <w:jc w:val="both"/>
        <w:rPr>
          <w:sz w:val="22"/>
          <w:szCs w:val="22"/>
        </w:rPr>
      </w:pPr>
      <w:r w:rsidRPr="00DB0C40">
        <w:rPr>
          <w:sz w:val="22"/>
          <w:szCs w:val="22"/>
        </w:rPr>
        <w:t>Notwithstanding, the new Labour Act enacted in 2003 was an important step towards establishing the principle of anti-discrimination in employment and securing more equal rights between women and men. Article 5, the principle of equal treatment, clearly states that “No discrimination based on language, race, sex, political opinion, philosophical belief, religion and sex or similar reasons is permissible in the employment relationship.”</w:t>
      </w:r>
    </w:p>
    <w:p w14:paraId="0D050127" w14:textId="77777777" w:rsidR="00BB44E1" w:rsidRPr="00DB0C40" w:rsidRDefault="00BB44E1">
      <w:pPr>
        <w:jc w:val="both"/>
        <w:rPr>
          <w:sz w:val="22"/>
          <w:szCs w:val="22"/>
        </w:rPr>
      </w:pPr>
    </w:p>
    <w:p w14:paraId="1409EA38" w14:textId="5CFE212C" w:rsidR="00BB44E1" w:rsidRPr="00DB0C40" w:rsidRDefault="00230B49">
      <w:pPr>
        <w:jc w:val="both"/>
        <w:rPr>
          <w:sz w:val="22"/>
          <w:szCs w:val="22"/>
        </w:rPr>
      </w:pPr>
      <w:r w:rsidRPr="00DB0C40">
        <w:rPr>
          <w:sz w:val="22"/>
          <w:szCs w:val="22"/>
        </w:rPr>
        <w:t xml:space="preserve">Pursuant to Article 72 of the Labour Law, it is prohibited to employ men and women of any age who have not completed the age of eighteen in underground or underwater works such as mines, cable laying, sewerage and tunnel construction. In the Labour Law (art. 74), breastfeeding leave is given to female workers for a total of one and a half hours a day to breastfeed their children under the age of one. Sexual harassment is included in the “regulations on termination without notice” in the </w:t>
      </w:r>
      <w:r w:rsidR="00AE67F2">
        <w:rPr>
          <w:sz w:val="22"/>
          <w:szCs w:val="22"/>
        </w:rPr>
        <w:t>Labour</w:t>
      </w:r>
      <w:r w:rsidRPr="00DB0C40">
        <w:rPr>
          <w:sz w:val="22"/>
          <w:szCs w:val="22"/>
        </w:rPr>
        <w:t xml:space="preserve"> Law. According to Article 24 of the Labo</w:t>
      </w:r>
      <w:r w:rsidR="00EA37BB">
        <w:rPr>
          <w:sz w:val="22"/>
          <w:szCs w:val="22"/>
        </w:rPr>
        <w:t>u</w:t>
      </w:r>
      <w:r w:rsidRPr="00DB0C40">
        <w:rPr>
          <w:sz w:val="22"/>
          <w:szCs w:val="22"/>
        </w:rPr>
        <w:t xml:space="preserve">r Law, if the employer speaks or acts in a way that harms and </w:t>
      </w:r>
      <w:r w:rsidR="00E0559E" w:rsidRPr="00DB0C40">
        <w:rPr>
          <w:sz w:val="22"/>
          <w:szCs w:val="22"/>
        </w:rPr>
        <w:t>honour</w:t>
      </w:r>
      <w:r w:rsidRPr="00DB0C40">
        <w:rPr>
          <w:sz w:val="22"/>
          <w:szCs w:val="22"/>
        </w:rPr>
        <w:t xml:space="preserve"> of the employee or one of the family members, or sexually harasses the employee, the employee has the right to terminate immediately for just cause.</w:t>
      </w:r>
    </w:p>
    <w:p w14:paraId="5B6B30E5" w14:textId="77777777" w:rsidR="00BB44E1" w:rsidRPr="00DB0C40" w:rsidRDefault="00BB44E1">
      <w:pPr>
        <w:jc w:val="both"/>
        <w:rPr>
          <w:sz w:val="22"/>
          <w:szCs w:val="22"/>
        </w:rPr>
      </w:pPr>
    </w:p>
    <w:p w14:paraId="3A3FB721" w14:textId="37A8F445" w:rsidR="00BB44E1" w:rsidRPr="00DB0C40" w:rsidRDefault="00230B49">
      <w:pPr>
        <w:jc w:val="both"/>
        <w:rPr>
          <w:sz w:val="22"/>
          <w:szCs w:val="22"/>
        </w:rPr>
      </w:pPr>
      <w:r w:rsidRPr="00DB0C40">
        <w:rPr>
          <w:sz w:val="22"/>
          <w:szCs w:val="22"/>
        </w:rPr>
        <w:t>In accordance with the relevant provisions, a woman who terminated her employment due to marriage is entitled to severance pay. The Labo</w:t>
      </w:r>
      <w:r w:rsidR="00EA37BB">
        <w:rPr>
          <w:sz w:val="22"/>
          <w:szCs w:val="22"/>
        </w:rPr>
        <w:t>u</w:t>
      </w:r>
      <w:r w:rsidRPr="00DB0C40">
        <w:rPr>
          <w:sz w:val="22"/>
          <w:szCs w:val="22"/>
        </w:rPr>
        <w:t xml:space="preserve">r Law extended paid maternity leave from 12 to 16 weeks; eight weeks before and eight weeks after birth (Article 74). Under the maternity benefit scheme women receive an Incapacity for work compensation amounting to two-thirds (2/3) of their full salary from the Social Security </w:t>
      </w:r>
      <w:r w:rsidR="00E0559E" w:rsidRPr="00DB0C40">
        <w:rPr>
          <w:sz w:val="22"/>
          <w:szCs w:val="22"/>
        </w:rPr>
        <w:t>Institution. Women</w:t>
      </w:r>
      <w:r w:rsidRPr="00DB0C40">
        <w:rPr>
          <w:sz w:val="22"/>
          <w:szCs w:val="22"/>
        </w:rPr>
        <w:t xml:space="preserve"> also receive a lump sum pregnancy benefit (subject to the certification of pregnancy before the date of birth), childbirth benefit and nursing grant. 2011 law extended maternity leave to twelve months for civil servants and six months for others on an unpaid basis. It also granted a 10-day paternity leave to civil servants whose wives have given birth. However, paternity leave is voluntary and not foreseen for workers or employees in the law.</w:t>
      </w:r>
    </w:p>
    <w:p w14:paraId="39614315" w14:textId="77777777" w:rsidR="00BB44E1" w:rsidRPr="00DB0C40" w:rsidRDefault="00BB44E1">
      <w:pPr>
        <w:jc w:val="both"/>
        <w:rPr>
          <w:sz w:val="22"/>
          <w:szCs w:val="22"/>
        </w:rPr>
      </w:pPr>
    </w:p>
    <w:p w14:paraId="2CA644AF" w14:textId="6875574E" w:rsidR="00BA33A9" w:rsidRPr="00CD2A61" w:rsidRDefault="00230B49">
      <w:pPr>
        <w:jc w:val="both"/>
        <w:rPr>
          <w:rFonts w:asciiTheme="majorHAnsi" w:eastAsiaTheme="majorEastAsia" w:hAnsiTheme="majorHAnsi" w:cstheme="majorBidi"/>
          <w:color w:val="1F3763" w:themeColor="accent1" w:themeShade="7F"/>
        </w:rPr>
      </w:pPr>
      <w:bookmarkStart w:id="67" w:name="_heading=h.1t3h5sf" w:colFirst="0" w:colLast="0"/>
      <w:bookmarkEnd w:id="67"/>
      <w:r w:rsidRPr="00CD2A61">
        <w:rPr>
          <w:rFonts w:asciiTheme="majorHAnsi" w:eastAsiaTheme="majorEastAsia" w:hAnsiTheme="majorHAnsi" w:cstheme="majorBidi"/>
          <w:color w:val="1F3763" w:themeColor="accent1" w:themeShade="7F"/>
        </w:rPr>
        <w:t>3.</w:t>
      </w:r>
      <w:r w:rsidR="00940930" w:rsidRPr="00CD2A61">
        <w:rPr>
          <w:rFonts w:asciiTheme="majorHAnsi" w:eastAsiaTheme="majorEastAsia" w:hAnsiTheme="majorHAnsi" w:cstheme="majorBidi"/>
          <w:color w:val="1F3763" w:themeColor="accent1" w:themeShade="7F"/>
        </w:rPr>
        <w:t>7</w:t>
      </w:r>
      <w:r w:rsidR="00BA33A9" w:rsidRPr="00CD2A61">
        <w:rPr>
          <w:rFonts w:asciiTheme="majorHAnsi" w:eastAsiaTheme="majorEastAsia" w:hAnsiTheme="majorHAnsi" w:cstheme="majorBidi"/>
          <w:color w:val="1F3763" w:themeColor="accent1" w:themeShade="7F"/>
        </w:rPr>
        <w:t>.</w:t>
      </w:r>
      <w:r w:rsidRPr="00CD2A61">
        <w:rPr>
          <w:rFonts w:asciiTheme="majorHAnsi" w:eastAsiaTheme="majorEastAsia" w:hAnsiTheme="majorHAnsi" w:cstheme="majorBidi"/>
          <w:color w:val="1F3763" w:themeColor="accent1" w:themeShade="7F"/>
        </w:rPr>
        <w:t xml:space="preserve">3. Regulation on Minimum Wage (No. 25540) </w:t>
      </w:r>
    </w:p>
    <w:p w14:paraId="198AE0F2" w14:textId="77777777" w:rsidR="00AE67F2" w:rsidRDefault="00AE67F2">
      <w:pPr>
        <w:jc w:val="both"/>
        <w:rPr>
          <w:sz w:val="22"/>
          <w:szCs w:val="22"/>
        </w:rPr>
      </w:pPr>
    </w:p>
    <w:p w14:paraId="63574B27" w14:textId="41594A79" w:rsidR="00BB44E1" w:rsidRPr="00DB0C40" w:rsidRDefault="00BA33A9">
      <w:pPr>
        <w:jc w:val="both"/>
        <w:rPr>
          <w:sz w:val="22"/>
          <w:szCs w:val="22"/>
        </w:rPr>
      </w:pPr>
      <w:r w:rsidRPr="00DB0C40">
        <w:rPr>
          <w:sz w:val="22"/>
          <w:szCs w:val="22"/>
        </w:rPr>
        <w:t xml:space="preserve">This </w:t>
      </w:r>
      <w:r w:rsidR="00230B49" w:rsidRPr="00DB0C40">
        <w:rPr>
          <w:sz w:val="22"/>
          <w:szCs w:val="22"/>
        </w:rPr>
        <w:t xml:space="preserve">prohibits discrimination based on sex in the determination of the minimum wage. The Regulation also published in 2004 aimed to regulate the Minimum Wage Fixing Board. </w:t>
      </w:r>
      <w:r w:rsidR="00230B49" w:rsidRPr="00DB0C40">
        <w:rPr>
          <w:b/>
          <w:sz w:val="22"/>
          <w:szCs w:val="22"/>
        </w:rPr>
        <w:t>The Trade Unions and Collective Bargaining Law</w:t>
      </w:r>
      <w:r w:rsidR="00230B49" w:rsidRPr="00DB0C40">
        <w:rPr>
          <w:sz w:val="22"/>
          <w:szCs w:val="22"/>
        </w:rPr>
        <w:t xml:space="preserve"> uphold that institutions (unions and confederations) must treat members equally and take gender equality into account in their dealings.</w:t>
      </w:r>
    </w:p>
    <w:p w14:paraId="203D939B" w14:textId="77777777" w:rsidR="00BB44E1" w:rsidRPr="00DB0C40" w:rsidRDefault="00BB44E1">
      <w:pPr>
        <w:jc w:val="both"/>
        <w:rPr>
          <w:sz w:val="22"/>
          <w:szCs w:val="22"/>
        </w:rPr>
      </w:pPr>
    </w:p>
    <w:p w14:paraId="75545D53" w14:textId="3708E26F" w:rsidR="00BB44E1" w:rsidRPr="00CD2A61" w:rsidRDefault="00230B49" w:rsidP="00CD2A61">
      <w:pPr>
        <w:jc w:val="both"/>
        <w:rPr>
          <w:rFonts w:asciiTheme="majorHAnsi" w:eastAsiaTheme="majorEastAsia" w:hAnsiTheme="majorHAnsi" w:cstheme="majorBidi"/>
          <w:color w:val="1F3763" w:themeColor="accent1" w:themeShade="7F"/>
        </w:rPr>
      </w:pPr>
      <w:bookmarkStart w:id="68" w:name="_heading=h.4d34og8" w:colFirst="0" w:colLast="0"/>
      <w:bookmarkEnd w:id="68"/>
      <w:r w:rsidRPr="00CD2A61">
        <w:rPr>
          <w:rFonts w:asciiTheme="majorHAnsi" w:eastAsiaTheme="majorEastAsia" w:hAnsiTheme="majorHAnsi" w:cstheme="majorBidi"/>
          <w:color w:val="1F3763" w:themeColor="accent1" w:themeShade="7F"/>
        </w:rPr>
        <w:t>3.</w:t>
      </w:r>
      <w:r w:rsidR="00940930" w:rsidRPr="00CD2A61">
        <w:rPr>
          <w:rFonts w:asciiTheme="majorHAnsi" w:eastAsiaTheme="majorEastAsia" w:hAnsiTheme="majorHAnsi" w:cstheme="majorBidi"/>
          <w:color w:val="1F3763" w:themeColor="accent1" w:themeShade="7F"/>
        </w:rPr>
        <w:t>7</w:t>
      </w:r>
      <w:r w:rsidR="00BA33A9" w:rsidRPr="00CD2A61">
        <w:rPr>
          <w:rFonts w:asciiTheme="majorHAnsi" w:eastAsiaTheme="majorEastAsia" w:hAnsiTheme="majorHAnsi" w:cstheme="majorBidi"/>
          <w:color w:val="1F3763" w:themeColor="accent1" w:themeShade="7F"/>
        </w:rPr>
        <w:t>.</w:t>
      </w:r>
      <w:r w:rsidRPr="00CD2A61">
        <w:rPr>
          <w:rFonts w:asciiTheme="majorHAnsi" w:eastAsiaTheme="majorEastAsia" w:hAnsiTheme="majorHAnsi" w:cstheme="majorBidi"/>
          <w:color w:val="1F3763" w:themeColor="accent1" w:themeShade="7F"/>
        </w:rPr>
        <w:t>4. Law No 5510 on Social Insurance and Universal Health Insurance</w:t>
      </w:r>
    </w:p>
    <w:p w14:paraId="6682C1FF" w14:textId="77777777" w:rsidR="00AE67F2" w:rsidRDefault="00AE67F2">
      <w:pPr>
        <w:jc w:val="both"/>
        <w:rPr>
          <w:sz w:val="22"/>
          <w:szCs w:val="22"/>
        </w:rPr>
      </w:pPr>
    </w:p>
    <w:p w14:paraId="408D25F3" w14:textId="25AC854E" w:rsidR="00BB44E1" w:rsidRPr="00DB0C40" w:rsidRDefault="00230B49">
      <w:pPr>
        <w:jc w:val="both"/>
        <w:rPr>
          <w:sz w:val="22"/>
          <w:szCs w:val="22"/>
        </w:rPr>
      </w:pPr>
      <w:r w:rsidRPr="00DB0C40">
        <w:rPr>
          <w:sz w:val="22"/>
          <w:szCs w:val="22"/>
        </w:rPr>
        <w:t xml:space="preserve">The following articles of the law was amended to include equality principle: Article 28, Article 4/a, Article 41, Article 16, and 18. In particular, Article 16 regulates home-based working. </w:t>
      </w:r>
    </w:p>
    <w:p w14:paraId="01F5AB3B" w14:textId="77777777" w:rsidR="00BB44E1" w:rsidRPr="00DB0C40" w:rsidRDefault="00230B49">
      <w:pPr>
        <w:jc w:val="both"/>
        <w:rPr>
          <w:sz w:val="22"/>
          <w:szCs w:val="22"/>
        </w:rPr>
      </w:pPr>
      <w:r w:rsidRPr="00DB0C40">
        <w:rPr>
          <w:sz w:val="22"/>
          <w:szCs w:val="22"/>
        </w:rPr>
        <w:t>With the temporary article 16 added to the Law No. 5510 with the Law No. 5763, and according to the Income Tax Law No. 193 (art. 9/6), those who offer products such as the towel, bed linen, knitting work, tarhana or similar for sale in places such as bazaars, fairs, etc., without opening a workplace, have the right to be covered by social security by temporarily paying a lower premium than normal.</w:t>
      </w:r>
    </w:p>
    <w:p w14:paraId="48B6A2A4" w14:textId="77777777" w:rsidR="00BB44E1" w:rsidRPr="00DB0C40" w:rsidRDefault="00BB44E1">
      <w:pPr>
        <w:jc w:val="both"/>
        <w:rPr>
          <w:sz w:val="22"/>
          <w:szCs w:val="22"/>
        </w:rPr>
      </w:pPr>
    </w:p>
    <w:p w14:paraId="218A4DDE" w14:textId="45A21567" w:rsidR="00BB44E1" w:rsidRPr="00CD2A61" w:rsidRDefault="00230B49" w:rsidP="00CD2A61">
      <w:pPr>
        <w:jc w:val="both"/>
        <w:rPr>
          <w:rFonts w:asciiTheme="majorHAnsi" w:eastAsiaTheme="majorEastAsia" w:hAnsiTheme="majorHAnsi" w:cstheme="majorBidi"/>
          <w:color w:val="1F3763" w:themeColor="accent1" w:themeShade="7F"/>
        </w:rPr>
      </w:pPr>
      <w:bookmarkStart w:id="69" w:name="_heading=h.2s8eyo1" w:colFirst="0" w:colLast="0"/>
      <w:bookmarkEnd w:id="69"/>
      <w:r w:rsidRPr="00CD2A61">
        <w:rPr>
          <w:rFonts w:asciiTheme="majorHAnsi" w:eastAsiaTheme="majorEastAsia" w:hAnsiTheme="majorHAnsi" w:cstheme="majorBidi"/>
          <w:color w:val="1F3763" w:themeColor="accent1" w:themeShade="7F"/>
        </w:rPr>
        <w:t>3.</w:t>
      </w:r>
      <w:r w:rsidR="00940930" w:rsidRPr="00CD2A61">
        <w:rPr>
          <w:rFonts w:asciiTheme="majorHAnsi" w:eastAsiaTheme="majorEastAsia" w:hAnsiTheme="majorHAnsi" w:cstheme="majorBidi"/>
          <w:color w:val="1F3763" w:themeColor="accent1" w:themeShade="7F"/>
        </w:rPr>
        <w:t>7</w:t>
      </w:r>
      <w:r w:rsidR="00BA33A9" w:rsidRPr="00CD2A61">
        <w:rPr>
          <w:rFonts w:asciiTheme="majorHAnsi" w:eastAsiaTheme="majorEastAsia" w:hAnsiTheme="majorHAnsi" w:cstheme="majorBidi"/>
          <w:color w:val="1F3763" w:themeColor="accent1" w:themeShade="7F"/>
        </w:rPr>
        <w:t>.</w:t>
      </w:r>
      <w:r w:rsidRPr="00CD2A61">
        <w:rPr>
          <w:rFonts w:asciiTheme="majorHAnsi" w:eastAsiaTheme="majorEastAsia" w:hAnsiTheme="majorHAnsi" w:cstheme="majorBidi"/>
          <w:color w:val="1F3763" w:themeColor="accent1" w:themeShade="7F"/>
        </w:rPr>
        <w:t>5. Regulation on Working Conditions of Women Employees in Night Shifts</w:t>
      </w:r>
    </w:p>
    <w:p w14:paraId="79113F0B" w14:textId="77777777" w:rsidR="00AE67F2" w:rsidRDefault="00AE67F2">
      <w:pPr>
        <w:jc w:val="both"/>
        <w:rPr>
          <w:sz w:val="22"/>
          <w:szCs w:val="22"/>
        </w:rPr>
      </w:pPr>
    </w:p>
    <w:p w14:paraId="51D9F16C" w14:textId="762B6010" w:rsidR="00BB44E1" w:rsidRPr="00DB0C40" w:rsidRDefault="00230B49">
      <w:pPr>
        <w:jc w:val="both"/>
        <w:rPr>
          <w:sz w:val="22"/>
          <w:szCs w:val="22"/>
        </w:rPr>
      </w:pPr>
      <w:r w:rsidRPr="00DB0C40">
        <w:rPr>
          <w:sz w:val="22"/>
          <w:szCs w:val="22"/>
        </w:rPr>
        <w:t xml:space="preserve">Article 5 of the Regulation controls the procedures and principles regarding the employment of female employees over the age of 18 in night shifts. Female employees cannot work more than 7.5 hours in night shift. Women employees cannot be employed in night shifts for a period of one year from the date they </w:t>
      </w:r>
      <w:r w:rsidRPr="00DB0C40">
        <w:rPr>
          <w:sz w:val="22"/>
          <w:szCs w:val="22"/>
        </w:rPr>
        <w:lastRenderedPageBreak/>
        <w:t>are determined by a doctor's report to be pregnant, and women who are breastfeeding, from the date of birth, without prejudice to the provisions of their own legislation.</w:t>
      </w:r>
    </w:p>
    <w:p w14:paraId="310FA9C8" w14:textId="77777777" w:rsidR="00BB44E1" w:rsidRPr="00DB0C40" w:rsidRDefault="00BB44E1">
      <w:pPr>
        <w:jc w:val="both"/>
        <w:rPr>
          <w:sz w:val="22"/>
          <w:szCs w:val="22"/>
        </w:rPr>
      </w:pPr>
    </w:p>
    <w:p w14:paraId="40F12690" w14:textId="4D1A3CF7" w:rsidR="00BB44E1" w:rsidRPr="00CD2A61" w:rsidRDefault="00230B49" w:rsidP="00CD2A61">
      <w:pPr>
        <w:jc w:val="both"/>
        <w:rPr>
          <w:rFonts w:asciiTheme="majorHAnsi" w:eastAsiaTheme="majorEastAsia" w:hAnsiTheme="majorHAnsi" w:cstheme="majorBidi"/>
          <w:color w:val="1F3763" w:themeColor="accent1" w:themeShade="7F"/>
        </w:rPr>
      </w:pPr>
      <w:bookmarkStart w:id="70" w:name="_heading=h.17dp8vu" w:colFirst="0" w:colLast="0"/>
      <w:bookmarkEnd w:id="70"/>
      <w:r w:rsidRPr="00CD2A61">
        <w:rPr>
          <w:rFonts w:asciiTheme="majorHAnsi" w:eastAsiaTheme="majorEastAsia" w:hAnsiTheme="majorHAnsi" w:cstheme="majorBidi"/>
          <w:color w:val="1F3763" w:themeColor="accent1" w:themeShade="7F"/>
        </w:rPr>
        <w:t>3.</w:t>
      </w:r>
      <w:r w:rsidR="00940930" w:rsidRPr="00CD2A61">
        <w:rPr>
          <w:rFonts w:asciiTheme="majorHAnsi" w:eastAsiaTheme="majorEastAsia" w:hAnsiTheme="majorHAnsi" w:cstheme="majorBidi"/>
          <w:color w:val="1F3763" w:themeColor="accent1" w:themeShade="7F"/>
        </w:rPr>
        <w:t>7</w:t>
      </w:r>
      <w:r w:rsidR="00BA33A9" w:rsidRPr="00CD2A61">
        <w:rPr>
          <w:rFonts w:asciiTheme="majorHAnsi" w:eastAsiaTheme="majorEastAsia" w:hAnsiTheme="majorHAnsi" w:cstheme="majorBidi"/>
          <w:color w:val="1F3763" w:themeColor="accent1" w:themeShade="7F"/>
        </w:rPr>
        <w:t>.</w:t>
      </w:r>
      <w:r w:rsidRPr="00CD2A61">
        <w:rPr>
          <w:rFonts w:asciiTheme="majorHAnsi" w:eastAsiaTheme="majorEastAsia" w:hAnsiTheme="majorHAnsi" w:cstheme="majorBidi"/>
          <w:color w:val="1F3763" w:themeColor="accent1" w:themeShade="7F"/>
        </w:rPr>
        <w:t>6. Regulation on Working Conditions of Pregnant and Breastfeeding Women and Breastfeeding Rooms and Childcare Dormitories</w:t>
      </w:r>
    </w:p>
    <w:p w14:paraId="07AF9673" w14:textId="77777777" w:rsidR="00AE67F2" w:rsidRDefault="00AE67F2">
      <w:pPr>
        <w:jc w:val="both"/>
        <w:rPr>
          <w:sz w:val="22"/>
          <w:szCs w:val="22"/>
        </w:rPr>
      </w:pPr>
    </w:p>
    <w:p w14:paraId="7E613208" w14:textId="7F7D5EED" w:rsidR="00BB44E1" w:rsidRPr="00DB0C40" w:rsidRDefault="00230B49">
      <w:pPr>
        <w:jc w:val="both"/>
        <w:rPr>
          <w:sz w:val="22"/>
          <w:szCs w:val="22"/>
        </w:rPr>
      </w:pPr>
      <w:r w:rsidRPr="00DB0C40">
        <w:rPr>
          <w:sz w:val="22"/>
          <w:szCs w:val="22"/>
        </w:rPr>
        <w:t xml:space="preserve">Female employees cannot be forced to work at night from the time they are found to be pregnant with a health report until delivery. If an employee has recently given birth, she cannot be forced to work at night for a year following the delivery. Pursuant to Article 13 of the Regulation, in workplaces with 100-150 female employees, regardless of their age and marital status, it is obligatory to establish a breastfeeding room separate from the workplace and at a distance of 250 meters from the workplace at most. Regardless of their age and marital status, in workplaces with more than 150 female employees, it is obligatory for the employer to establish a dormitory close to the workplace for the care of employees’ children. </w:t>
      </w:r>
    </w:p>
    <w:p w14:paraId="71C9674C" w14:textId="77777777" w:rsidR="00BB44E1" w:rsidRPr="00DB0C40" w:rsidRDefault="00BB44E1">
      <w:pPr>
        <w:keepNext/>
        <w:keepLines/>
        <w:spacing w:before="40"/>
        <w:rPr>
          <w:color w:val="2F5496"/>
          <w:sz w:val="26"/>
          <w:szCs w:val="26"/>
        </w:rPr>
      </w:pPr>
    </w:p>
    <w:p w14:paraId="568CBB54" w14:textId="4A4D8E4E" w:rsidR="00BB44E1" w:rsidRPr="00DB0C40" w:rsidRDefault="00230B49" w:rsidP="00CD2A61">
      <w:pPr>
        <w:jc w:val="both"/>
        <w:rPr>
          <w:b/>
          <w:bCs/>
          <w:sz w:val="22"/>
          <w:szCs w:val="22"/>
        </w:rPr>
      </w:pPr>
      <w:bookmarkStart w:id="71" w:name="_heading=h.3rdcrjn" w:colFirst="0" w:colLast="0"/>
      <w:bookmarkEnd w:id="71"/>
      <w:r w:rsidRPr="00CD2A61">
        <w:rPr>
          <w:rFonts w:asciiTheme="majorHAnsi" w:eastAsiaTheme="majorEastAsia" w:hAnsiTheme="majorHAnsi" w:cstheme="majorBidi"/>
          <w:color w:val="1F3763" w:themeColor="accent1" w:themeShade="7F"/>
        </w:rPr>
        <w:t>3.</w:t>
      </w:r>
      <w:r w:rsidR="00940930" w:rsidRPr="00CD2A61">
        <w:rPr>
          <w:rFonts w:asciiTheme="majorHAnsi" w:eastAsiaTheme="majorEastAsia" w:hAnsiTheme="majorHAnsi" w:cstheme="majorBidi"/>
          <w:color w:val="1F3763" w:themeColor="accent1" w:themeShade="7F"/>
        </w:rPr>
        <w:t>7</w:t>
      </w:r>
      <w:r w:rsidR="00BA33A9" w:rsidRPr="00CD2A61">
        <w:rPr>
          <w:rFonts w:asciiTheme="majorHAnsi" w:eastAsiaTheme="majorEastAsia" w:hAnsiTheme="majorHAnsi" w:cstheme="majorBidi"/>
          <w:color w:val="1F3763" w:themeColor="accent1" w:themeShade="7F"/>
        </w:rPr>
        <w:t>.</w:t>
      </w:r>
      <w:r w:rsidRPr="00CD2A61">
        <w:rPr>
          <w:rFonts w:asciiTheme="majorHAnsi" w:eastAsiaTheme="majorEastAsia" w:hAnsiTheme="majorHAnsi" w:cstheme="majorBidi"/>
          <w:color w:val="1F3763" w:themeColor="accent1" w:themeShade="7F"/>
        </w:rPr>
        <w:t>7.</w:t>
      </w:r>
      <w:r w:rsidR="00BA33A9" w:rsidRPr="00CD2A61">
        <w:rPr>
          <w:rFonts w:asciiTheme="majorHAnsi" w:eastAsiaTheme="majorEastAsia" w:hAnsiTheme="majorHAnsi" w:cstheme="majorBidi"/>
          <w:color w:val="1F3763" w:themeColor="accent1" w:themeShade="7F"/>
        </w:rPr>
        <w:t xml:space="preserve"> </w:t>
      </w:r>
      <w:r w:rsidRPr="00CD2A61">
        <w:rPr>
          <w:rFonts w:asciiTheme="majorHAnsi" w:eastAsiaTheme="majorEastAsia" w:hAnsiTheme="majorHAnsi" w:cstheme="majorBidi"/>
          <w:color w:val="1F3763" w:themeColor="accent1" w:themeShade="7F"/>
        </w:rPr>
        <w:t>Law No. 6331 on Occupational Health and Safety</w:t>
      </w:r>
      <w:r w:rsidRPr="00DB0C40">
        <w:rPr>
          <w:b/>
          <w:bCs/>
          <w:sz w:val="22"/>
          <w:szCs w:val="22"/>
        </w:rPr>
        <w:t xml:space="preserve"> </w:t>
      </w:r>
    </w:p>
    <w:p w14:paraId="433C6862" w14:textId="77777777" w:rsidR="00AE67F2" w:rsidRDefault="00AE67F2">
      <w:pPr>
        <w:jc w:val="both"/>
        <w:rPr>
          <w:sz w:val="22"/>
          <w:szCs w:val="22"/>
        </w:rPr>
      </w:pPr>
    </w:p>
    <w:p w14:paraId="6FFB74EE" w14:textId="6BEB76E0" w:rsidR="00BB44E1" w:rsidRPr="00DB0C40" w:rsidRDefault="00230B49">
      <w:pPr>
        <w:jc w:val="both"/>
        <w:rPr>
          <w:sz w:val="22"/>
          <w:szCs w:val="22"/>
        </w:rPr>
      </w:pPr>
      <w:r w:rsidRPr="00DB0C40">
        <w:rPr>
          <w:sz w:val="22"/>
          <w:szCs w:val="22"/>
        </w:rPr>
        <w:t>In Article 10 of the Law No. 6331, titled risk assessment, control, measurement and research, it is stated that the employer is obliged to make or have a risk assessment in terms of occupational health and safety for groups that require special policies, such as pregnant or breastfeeding employees, and female employees.</w:t>
      </w:r>
    </w:p>
    <w:p w14:paraId="1CC1D27D" w14:textId="77777777" w:rsidR="00BB44E1" w:rsidRPr="00DB0C40" w:rsidRDefault="00BB44E1">
      <w:pPr>
        <w:jc w:val="both"/>
        <w:rPr>
          <w:sz w:val="22"/>
          <w:szCs w:val="22"/>
        </w:rPr>
      </w:pPr>
    </w:p>
    <w:p w14:paraId="52B4BAFC" w14:textId="1A0E4B90" w:rsidR="00BB44E1" w:rsidRPr="00CD2A61" w:rsidRDefault="00230B49" w:rsidP="00CD2A61">
      <w:pPr>
        <w:jc w:val="both"/>
        <w:rPr>
          <w:rFonts w:asciiTheme="majorHAnsi" w:eastAsiaTheme="majorEastAsia" w:hAnsiTheme="majorHAnsi" w:cstheme="majorBidi"/>
          <w:color w:val="1F3763" w:themeColor="accent1" w:themeShade="7F"/>
        </w:rPr>
      </w:pPr>
      <w:bookmarkStart w:id="72" w:name="_heading=h.26in1rg" w:colFirst="0" w:colLast="0"/>
      <w:bookmarkEnd w:id="72"/>
      <w:r w:rsidRPr="00CD2A61">
        <w:rPr>
          <w:rFonts w:asciiTheme="majorHAnsi" w:eastAsiaTheme="majorEastAsia" w:hAnsiTheme="majorHAnsi" w:cstheme="majorBidi"/>
          <w:color w:val="1F3763" w:themeColor="accent1" w:themeShade="7F"/>
        </w:rPr>
        <w:t>3.</w:t>
      </w:r>
      <w:r w:rsidR="00940930" w:rsidRPr="00CD2A61">
        <w:rPr>
          <w:rFonts w:asciiTheme="majorHAnsi" w:eastAsiaTheme="majorEastAsia" w:hAnsiTheme="majorHAnsi" w:cstheme="majorBidi"/>
          <w:color w:val="1F3763" w:themeColor="accent1" w:themeShade="7F"/>
        </w:rPr>
        <w:t>7</w:t>
      </w:r>
      <w:r w:rsidR="00BA33A9" w:rsidRPr="00CD2A61">
        <w:rPr>
          <w:rFonts w:asciiTheme="majorHAnsi" w:eastAsiaTheme="majorEastAsia" w:hAnsiTheme="majorHAnsi" w:cstheme="majorBidi"/>
          <w:color w:val="1F3763" w:themeColor="accent1" w:themeShade="7F"/>
        </w:rPr>
        <w:t>.</w:t>
      </w:r>
      <w:r w:rsidRPr="00CD2A61">
        <w:rPr>
          <w:rFonts w:asciiTheme="majorHAnsi" w:eastAsiaTheme="majorEastAsia" w:hAnsiTheme="majorHAnsi" w:cstheme="majorBidi"/>
          <w:color w:val="1F3763" w:themeColor="accent1" w:themeShade="7F"/>
        </w:rPr>
        <w:t>8. Debts Law No. 6098</w:t>
      </w:r>
    </w:p>
    <w:p w14:paraId="1F8928B5" w14:textId="77777777" w:rsidR="00AE67F2" w:rsidRDefault="00AE67F2">
      <w:pPr>
        <w:jc w:val="both"/>
        <w:rPr>
          <w:sz w:val="22"/>
          <w:szCs w:val="22"/>
        </w:rPr>
      </w:pPr>
    </w:p>
    <w:p w14:paraId="7A762A83" w14:textId="3A9920B9" w:rsidR="00BB44E1" w:rsidRPr="00DB0C40" w:rsidRDefault="00230B49">
      <w:pPr>
        <w:jc w:val="both"/>
        <w:rPr>
          <w:sz w:val="22"/>
          <w:szCs w:val="22"/>
        </w:rPr>
      </w:pPr>
      <w:r w:rsidRPr="00DB0C40">
        <w:rPr>
          <w:sz w:val="22"/>
          <w:szCs w:val="22"/>
        </w:rPr>
        <w:t xml:space="preserve">In Article 417 on the protection of the employee's personality, the employer is obliged to take the necessary measures to prevent the workers from being subjected to psychological and sexual harassment and to prevent further harm to those who have been subjected to such harassment. Article 418 stipulates that the employer should provide care and treatment for a certain period of time in case of pregnancy and childbirth of a female worker who works at home and cannot benefit from social insurance benefits. According to Article 423/3, the employer will not be able to deduct the annual paid leave period of the female worker, who cannot </w:t>
      </w:r>
      <w:r w:rsidR="00E0559E" w:rsidRPr="00DB0C40">
        <w:rPr>
          <w:sz w:val="22"/>
          <w:szCs w:val="22"/>
        </w:rPr>
        <w:t>fulfil</w:t>
      </w:r>
      <w:r w:rsidRPr="00DB0C40">
        <w:rPr>
          <w:sz w:val="22"/>
          <w:szCs w:val="22"/>
        </w:rPr>
        <w:t xml:space="preserve"> the act of working for a maximum of three months due to pregnancy and giving birth. </w:t>
      </w:r>
    </w:p>
    <w:p w14:paraId="2249E30C" w14:textId="77777777" w:rsidR="00BB44E1" w:rsidRPr="00DB0C40" w:rsidRDefault="00BB44E1">
      <w:pPr>
        <w:jc w:val="both"/>
        <w:rPr>
          <w:sz w:val="22"/>
          <w:szCs w:val="22"/>
        </w:rPr>
      </w:pPr>
    </w:p>
    <w:p w14:paraId="0797F5CA" w14:textId="65F2423C" w:rsidR="00BB44E1" w:rsidRPr="00CD2A61" w:rsidRDefault="00230B49" w:rsidP="00CD2A61">
      <w:pPr>
        <w:jc w:val="both"/>
        <w:rPr>
          <w:rFonts w:asciiTheme="majorHAnsi" w:eastAsiaTheme="majorEastAsia" w:hAnsiTheme="majorHAnsi" w:cstheme="majorBidi"/>
          <w:color w:val="1F3763" w:themeColor="accent1" w:themeShade="7F"/>
        </w:rPr>
      </w:pPr>
      <w:bookmarkStart w:id="73" w:name="_heading=h.lnxbz9" w:colFirst="0" w:colLast="0"/>
      <w:bookmarkEnd w:id="73"/>
      <w:r w:rsidRPr="00CD2A61">
        <w:rPr>
          <w:rFonts w:asciiTheme="majorHAnsi" w:eastAsiaTheme="majorEastAsia" w:hAnsiTheme="majorHAnsi" w:cstheme="majorBidi"/>
          <w:color w:val="1F3763" w:themeColor="accent1" w:themeShade="7F"/>
        </w:rPr>
        <w:t>3.</w:t>
      </w:r>
      <w:r w:rsidR="00940930" w:rsidRPr="00CD2A61">
        <w:rPr>
          <w:rFonts w:asciiTheme="majorHAnsi" w:eastAsiaTheme="majorEastAsia" w:hAnsiTheme="majorHAnsi" w:cstheme="majorBidi"/>
          <w:color w:val="1F3763" w:themeColor="accent1" w:themeShade="7F"/>
        </w:rPr>
        <w:t>7</w:t>
      </w:r>
      <w:r w:rsidR="00BA33A9" w:rsidRPr="00CD2A61">
        <w:rPr>
          <w:rFonts w:asciiTheme="majorHAnsi" w:eastAsiaTheme="majorEastAsia" w:hAnsiTheme="majorHAnsi" w:cstheme="majorBidi"/>
          <w:color w:val="1F3763" w:themeColor="accent1" w:themeShade="7F"/>
        </w:rPr>
        <w:t>.</w:t>
      </w:r>
      <w:r w:rsidR="002E58DF" w:rsidRPr="00CD2A61">
        <w:rPr>
          <w:rFonts w:asciiTheme="majorHAnsi" w:eastAsiaTheme="majorEastAsia" w:hAnsiTheme="majorHAnsi" w:cstheme="majorBidi"/>
          <w:color w:val="1F3763" w:themeColor="accent1" w:themeShade="7F"/>
        </w:rPr>
        <w:t>9</w:t>
      </w:r>
      <w:r w:rsidRPr="00CD2A61">
        <w:rPr>
          <w:rFonts w:asciiTheme="majorHAnsi" w:eastAsiaTheme="majorEastAsia" w:hAnsiTheme="majorHAnsi" w:cstheme="majorBidi"/>
          <w:color w:val="1F3763" w:themeColor="accent1" w:themeShade="7F"/>
        </w:rPr>
        <w:t xml:space="preserve"> Law No 6284 on Protection of Family and Prevention of Violence Against Women</w:t>
      </w:r>
    </w:p>
    <w:p w14:paraId="6152A537" w14:textId="77777777" w:rsidR="00AE67F2" w:rsidRDefault="00AE67F2">
      <w:pPr>
        <w:jc w:val="both"/>
        <w:rPr>
          <w:sz w:val="22"/>
          <w:szCs w:val="22"/>
        </w:rPr>
      </w:pPr>
    </w:p>
    <w:p w14:paraId="6BBD0339" w14:textId="2ADC526B" w:rsidR="00BB44E1" w:rsidRPr="00DB0C40" w:rsidRDefault="00230B49">
      <w:pPr>
        <w:jc w:val="both"/>
        <w:rPr>
          <w:sz w:val="22"/>
          <w:szCs w:val="22"/>
        </w:rPr>
      </w:pPr>
      <w:r w:rsidRPr="00DB0C40">
        <w:rPr>
          <w:sz w:val="22"/>
          <w:szCs w:val="22"/>
        </w:rPr>
        <w:t xml:space="preserve">In accordance with Article 3 of the Law, if the person protected against violence has children, nursery facilities will be provided to support their participation in working life. In addition, the law includes protective measures that can be taken for protecting woman from violence by changing her workplace and not disclosing the workplace address to the violence perpetrator. </w:t>
      </w:r>
    </w:p>
    <w:p w14:paraId="4D318E6D" w14:textId="77777777" w:rsidR="00BB44E1" w:rsidRPr="00DB0C40" w:rsidRDefault="00BB44E1">
      <w:pPr>
        <w:jc w:val="both"/>
        <w:rPr>
          <w:sz w:val="22"/>
          <w:szCs w:val="22"/>
        </w:rPr>
      </w:pPr>
    </w:p>
    <w:p w14:paraId="0131DB05" w14:textId="7339DC00" w:rsidR="00BB44E1" w:rsidRPr="00CD2A61" w:rsidRDefault="00230B49" w:rsidP="00CD2A61">
      <w:pPr>
        <w:jc w:val="both"/>
        <w:rPr>
          <w:rFonts w:asciiTheme="majorHAnsi" w:eastAsiaTheme="majorEastAsia" w:hAnsiTheme="majorHAnsi" w:cstheme="majorBidi"/>
          <w:color w:val="1F3763" w:themeColor="accent1" w:themeShade="7F"/>
        </w:rPr>
      </w:pPr>
      <w:bookmarkStart w:id="74" w:name="_heading=h.35nkun2" w:colFirst="0" w:colLast="0"/>
      <w:bookmarkEnd w:id="74"/>
      <w:r w:rsidRPr="00CD2A61">
        <w:rPr>
          <w:rFonts w:asciiTheme="majorHAnsi" w:eastAsiaTheme="majorEastAsia" w:hAnsiTheme="majorHAnsi" w:cstheme="majorBidi"/>
          <w:color w:val="1F3763" w:themeColor="accent1" w:themeShade="7F"/>
        </w:rPr>
        <w:t>3.</w:t>
      </w:r>
      <w:r w:rsidR="00940930" w:rsidRPr="00CD2A61">
        <w:rPr>
          <w:rFonts w:asciiTheme="majorHAnsi" w:eastAsiaTheme="majorEastAsia" w:hAnsiTheme="majorHAnsi" w:cstheme="majorBidi"/>
          <w:color w:val="1F3763" w:themeColor="accent1" w:themeShade="7F"/>
        </w:rPr>
        <w:t>7</w:t>
      </w:r>
      <w:r w:rsidR="002E58DF" w:rsidRPr="00CD2A61">
        <w:rPr>
          <w:rFonts w:asciiTheme="majorHAnsi" w:eastAsiaTheme="majorEastAsia" w:hAnsiTheme="majorHAnsi" w:cstheme="majorBidi"/>
          <w:color w:val="1F3763" w:themeColor="accent1" w:themeShade="7F"/>
        </w:rPr>
        <w:t>.</w:t>
      </w:r>
      <w:r w:rsidR="00940930" w:rsidRPr="00CD2A61">
        <w:rPr>
          <w:rFonts w:asciiTheme="majorHAnsi" w:eastAsiaTheme="majorEastAsia" w:hAnsiTheme="majorHAnsi" w:cstheme="majorBidi"/>
          <w:color w:val="1F3763" w:themeColor="accent1" w:themeShade="7F"/>
        </w:rPr>
        <w:t>10</w:t>
      </w:r>
      <w:r w:rsidRPr="00CD2A61">
        <w:rPr>
          <w:rFonts w:asciiTheme="majorHAnsi" w:eastAsiaTheme="majorEastAsia" w:hAnsiTheme="majorHAnsi" w:cstheme="majorBidi"/>
          <w:color w:val="1F3763" w:themeColor="accent1" w:themeShade="7F"/>
        </w:rPr>
        <w:t xml:space="preserve">. Employment </w:t>
      </w:r>
      <w:r w:rsidR="00BA33A9" w:rsidRPr="00CD2A61">
        <w:rPr>
          <w:rFonts w:asciiTheme="majorHAnsi" w:eastAsiaTheme="majorEastAsia" w:hAnsiTheme="majorHAnsi" w:cstheme="majorBidi"/>
          <w:color w:val="1F3763" w:themeColor="accent1" w:themeShade="7F"/>
        </w:rPr>
        <w:t>I</w:t>
      </w:r>
      <w:r w:rsidRPr="00CD2A61">
        <w:rPr>
          <w:rFonts w:asciiTheme="majorHAnsi" w:eastAsiaTheme="majorEastAsia" w:hAnsiTheme="majorHAnsi" w:cstheme="majorBidi"/>
          <w:color w:val="1F3763" w:themeColor="accent1" w:themeShade="7F"/>
        </w:rPr>
        <w:t>ncentives</w:t>
      </w:r>
    </w:p>
    <w:p w14:paraId="6F33A20A" w14:textId="77777777" w:rsidR="00AE67F2" w:rsidRDefault="00AE67F2">
      <w:pPr>
        <w:jc w:val="both"/>
        <w:rPr>
          <w:sz w:val="22"/>
          <w:szCs w:val="22"/>
        </w:rPr>
      </w:pPr>
    </w:p>
    <w:p w14:paraId="70AC061C" w14:textId="3549E71A" w:rsidR="00BB44E1" w:rsidRPr="00DB0C40" w:rsidRDefault="00230B49">
      <w:pPr>
        <w:jc w:val="both"/>
        <w:rPr>
          <w:sz w:val="22"/>
          <w:szCs w:val="22"/>
        </w:rPr>
      </w:pPr>
      <w:r w:rsidRPr="00DB0C40">
        <w:rPr>
          <w:sz w:val="22"/>
          <w:szCs w:val="22"/>
        </w:rPr>
        <w:t xml:space="preserve">Several laws and related articles pursue increasing women’s employment through providing incentives towards employment of women. In 2010, the Prime Minister Circular 2010/14 on Increasing Women’s employment and achieving equality of opportunity was adopted specifying the measures to be taken to increase women’s employment. In February 2011, the government passed Law No. 6111 that would discriminate positively for women over the age of 18 by granting the employers who hire female workers </w:t>
      </w:r>
      <w:r w:rsidRPr="00DB0C40">
        <w:rPr>
          <w:sz w:val="22"/>
          <w:szCs w:val="22"/>
        </w:rPr>
        <w:lastRenderedPageBreak/>
        <w:t>exemptions for social security payments. The government has also created investment incentives to underdeveloped regions; most significantly, the Regional Investment Incentives Scheme, which is specifically directed towards regional development.</w:t>
      </w:r>
    </w:p>
    <w:p w14:paraId="12736254" w14:textId="77777777" w:rsidR="00BB44E1" w:rsidRPr="00DB0C40" w:rsidRDefault="00BB44E1">
      <w:pPr>
        <w:jc w:val="both"/>
        <w:rPr>
          <w:sz w:val="22"/>
          <w:szCs w:val="22"/>
        </w:rPr>
      </w:pPr>
    </w:p>
    <w:p w14:paraId="6F8FDCCC" w14:textId="77777777" w:rsidR="00BB44E1" w:rsidRPr="00DB0C40" w:rsidRDefault="00230B49">
      <w:pPr>
        <w:jc w:val="both"/>
        <w:rPr>
          <w:sz w:val="22"/>
          <w:szCs w:val="22"/>
        </w:rPr>
      </w:pPr>
      <w:r w:rsidRPr="00DB0C40">
        <w:rPr>
          <w:sz w:val="22"/>
          <w:szCs w:val="22"/>
        </w:rPr>
        <w:t>In 2008 and 2011, important reforms were made in terms of the extension of social insurance coverage (Law No. 5754 and Law No. 6111, respectively). The first reform incorporated salaried domestic workers with steady jobs. The 2011 reform extended coverage to occupations such as casual agricultural workers and home-based workers, thereby giving a large proportion of women access to key social rights and protection mechanisms.</w:t>
      </w:r>
    </w:p>
    <w:p w14:paraId="7D16655B" w14:textId="77777777" w:rsidR="00BB44E1" w:rsidRPr="00DB0C40" w:rsidRDefault="00BB44E1">
      <w:pPr>
        <w:jc w:val="both"/>
        <w:rPr>
          <w:sz w:val="22"/>
          <w:szCs w:val="22"/>
        </w:rPr>
      </w:pPr>
    </w:p>
    <w:p w14:paraId="5F3B5FF3" w14:textId="77777777" w:rsidR="00BB44E1" w:rsidRPr="00DB0C40" w:rsidRDefault="00230B49">
      <w:pPr>
        <w:jc w:val="both"/>
        <w:rPr>
          <w:sz w:val="22"/>
          <w:szCs w:val="22"/>
        </w:rPr>
      </w:pPr>
      <w:r w:rsidRPr="00DB0C40">
        <w:rPr>
          <w:sz w:val="22"/>
          <w:szCs w:val="22"/>
        </w:rPr>
        <w:t>With the Law No. 5763, in order to encourage women's employment, an incentive has been introduced to provide employers' shares of insurance premiums from the unemployment insurance fund. In addition, the employers who are obliged to establish a kindergarten have been provided with the opportunity to outsource this service.</w:t>
      </w:r>
    </w:p>
    <w:p w14:paraId="03DCCBEA" w14:textId="77777777" w:rsidR="00BB44E1" w:rsidRPr="00DB0C40" w:rsidRDefault="00BB44E1">
      <w:pPr>
        <w:jc w:val="both"/>
        <w:rPr>
          <w:sz w:val="22"/>
          <w:szCs w:val="22"/>
        </w:rPr>
      </w:pPr>
    </w:p>
    <w:p w14:paraId="4887934B" w14:textId="77777777" w:rsidR="00BB44E1" w:rsidRPr="00DB0C40" w:rsidRDefault="00230B49">
      <w:pPr>
        <w:jc w:val="both"/>
        <w:rPr>
          <w:sz w:val="22"/>
          <w:szCs w:val="22"/>
        </w:rPr>
      </w:pPr>
      <w:r w:rsidRPr="00DB0C40">
        <w:rPr>
          <w:sz w:val="22"/>
          <w:szCs w:val="22"/>
        </w:rPr>
        <w:t xml:space="preserve">As another positive development, the discriminatory practices in job advertisements were abolished in 2006 with changes in “Procedures and Principles Regarding Those Who Will Be Taken to the Permanent Staff of Public Institutions and Organizations as Workers for the First Time”. In 2006 the General Directorate of the Turkish Employment Agency (İŞKUR) issued a communiqué prohibiting discrimination on grounds of gender in employment relationships in the public sector. </w:t>
      </w:r>
    </w:p>
    <w:p w14:paraId="142A826F" w14:textId="77777777" w:rsidR="00BB44E1" w:rsidRPr="00DB0C40" w:rsidRDefault="00BB44E1">
      <w:pPr>
        <w:jc w:val="both"/>
        <w:rPr>
          <w:sz w:val="22"/>
          <w:szCs w:val="22"/>
        </w:rPr>
      </w:pPr>
    </w:p>
    <w:p w14:paraId="3DDA9C2A" w14:textId="5F5FC1C6" w:rsidR="00BB44E1" w:rsidRPr="00DB0C40" w:rsidRDefault="00230B49">
      <w:pPr>
        <w:jc w:val="both"/>
        <w:rPr>
          <w:sz w:val="22"/>
          <w:szCs w:val="22"/>
        </w:rPr>
      </w:pPr>
      <w:r w:rsidRPr="00DB0C40">
        <w:rPr>
          <w:sz w:val="22"/>
          <w:szCs w:val="22"/>
        </w:rPr>
        <w:t xml:space="preserve">As seen, there has been a number of developments in legislations regulating women’s employment and position in the workplace based on equality and anti-discrimination principles. However, the positive developments </w:t>
      </w:r>
      <w:r w:rsidR="00E0559E" w:rsidRPr="00DB0C40">
        <w:rPr>
          <w:sz w:val="22"/>
          <w:szCs w:val="22"/>
        </w:rPr>
        <w:t>need</w:t>
      </w:r>
      <w:r w:rsidRPr="00DB0C40">
        <w:rPr>
          <w:sz w:val="22"/>
          <w:szCs w:val="22"/>
        </w:rPr>
        <w:t xml:space="preserve"> to be assessed in terms of de facto discrimination which still hinders women’s participation in the labour market mostly due to the unpaid care work. It is important to conduct the impact assessment as </w:t>
      </w:r>
      <w:r w:rsidR="00E0559E" w:rsidRPr="00DB0C40">
        <w:rPr>
          <w:sz w:val="22"/>
          <w:szCs w:val="22"/>
        </w:rPr>
        <w:t>foreseen</w:t>
      </w:r>
      <w:r w:rsidRPr="00DB0C40">
        <w:rPr>
          <w:sz w:val="22"/>
          <w:szCs w:val="22"/>
        </w:rPr>
        <w:t xml:space="preserve"> under the project to determine what is working and what is not in terms of increasing women’s employment. In addition, the national legislation should be also reviewed in terms of compliance to the future of work concept which brings new challenges for women in terms of updating their skills to match the new requirements of the digital future of work. </w:t>
      </w:r>
    </w:p>
    <w:p w14:paraId="06A5C7CF" w14:textId="77777777" w:rsidR="00BB44E1" w:rsidRPr="00DB0C40" w:rsidRDefault="00BB44E1">
      <w:pPr>
        <w:rPr>
          <w:sz w:val="22"/>
          <w:szCs w:val="22"/>
        </w:rPr>
      </w:pPr>
    </w:p>
    <w:p w14:paraId="20EF0DCB" w14:textId="3D0C6BC9" w:rsidR="00BB44E1" w:rsidRPr="00CD2A61" w:rsidRDefault="00230B49" w:rsidP="00CD2A61">
      <w:pPr>
        <w:jc w:val="both"/>
        <w:rPr>
          <w:rFonts w:asciiTheme="majorHAnsi" w:eastAsiaTheme="majorEastAsia" w:hAnsiTheme="majorHAnsi" w:cstheme="majorBidi"/>
          <w:color w:val="1F3763" w:themeColor="accent1" w:themeShade="7F"/>
        </w:rPr>
      </w:pPr>
      <w:bookmarkStart w:id="75" w:name="_heading=h.1ksv4uv" w:colFirst="0" w:colLast="0"/>
      <w:bookmarkEnd w:id="75"/>
      <w:r w:rsidRPr="00CD2A61">
        <w:rPr>
          <w:rFonts w:asciiTheme="majorHAnsi" w:eastAsiaTheme="majorEastAsia" w:hAnsiTheme="majorHAnsi" w:cstheme="majorBidi"/>
          <w:color w:val="1F3763" w:themeColor="accent1" w:themeShade="7F"/>
        </w:rPr>
        <w:t>3.</w:t>
      </w:r>
      <w:r w:rsidR="008C4D23" w:rsidRPr="00CD2A61">
        <w:rPr>
          <w:rFonts w:asciiTheme="majorHAnsi" w:eastAsiaTheme="majorEastAsia" w:hAnsiTheme="majorHAnsi" w:cstheme="majorBidi"/>
          <w:color w:val="1F3763" w:themeColor="accent1" w:themeShade="7F"/>
        </w:rPr>
        <w:t>7</w:t>
      </w:r>
      <w:r w:rsidR="002E58DF" w:rsidRPr="00CD2A61">
        <w:rPr>
          <w:rFonts w:asciiTheme="majorHAnsi" w:eastAsiaTheme="majorEastAsia" w:hAnsiTheme="majorHAnsi" w:cstheme="majorBidi"/>
          <w:color w:val="1F3763" w:themeColor="accent1" w:themeShade="7F"/>
        </w:rPr>
        <w:t>.1</w:t>
      </w:r>
      <w:r w:rsidR="008C4D23" w:rsidRPr="00CD2A61">
        <w:rPr>
          <w:rFonts w:asciiTheme="majorHAnsi" w:eastAsiaTheme="majorEastAsia" w:hAnsiTheme="majorHAnsi" w:cstheme="majorBidi"/>
          <w:color w:val="1F3763" w:themeColor="accent1" w:themeShade="7F"/>
        </w:rPr>
        <w:t>1</w:t>
      </w:r>
      <w:r w:rsidRPr="00CD2A61">
        <w:rPr>
          <w:rFonts w:asciiTheme="majorHAnsi" w:eastAsiaTheme="majorEastAsia" w:hAnsiTheme="majorHAnsi" w:cstheme="majorBidi"/>
          <w:color w:val="1F3763" w:themeColor="accent1" w:themeShade="7F"/>
        </w:rPr>
        <w:t xml:space="preserve">. Some National Policies on </w:t>
      </w:r>
      <w:r w:rsidR="00BA33A9" w:rsidRPr="00CD2A61">
        <w:rPr>
          <w:rFonts w:asciiTheme="majorHAnsi" w:eastAsiaTheme="majorEastAsia" w:hAnsiTheme="majorHAnsi" w:cstheme="majorBidi"/>
          <w:color w:val="1F3763" w:themeColor="accent1" w:themeShade="7F"/>
        </w:rPr>
        <w:t>W</w:t>
      </w:r>
      <w:r w:rsidRPr="00CD2A61">
        <w:rPr>
          <w:rFonts w:asciiTheme="majorHAnsi" w:eastAsiaTheme="majorEastAsia" w:hAnsiTheme="majorHAnsi" w:cstheme="majorBidi"/>
          <w:color w:val="1F3763" w:themeColor="accent1" w:themeShade="7F"/>
        </w:rPr>
        <w:t xml:space="preserve">omen's </w:t>
      </w:r>
      <w:r w:rsidR="00BA33A9" w:rsidRPr="00CD2A61">
        <w:rPr>
          <w:rFonts w:asciiTheme="majorHAnsi" w:eastAsiaTheme="majorEastAsia" w:hAnsiTheme="majorHAnsi" w:cstheme="majorBidi"/>
          <w:color w:val="1F3763" w:themeColor="accent1" w:themeShade="7F"/>
        </w:rPr>
        <w:t>E</w:t>
      </w:r>
      <w:r w:rsidRPr="00CD2A61">
        <w:rPr>
          <w:rFonts w:asciiTheme="majorHAnsi" w:eastAsiaTheme="majorEastAsia" w:hAnsiTheme="majorHAnsi" w:cstheme="majorBidi"/>
          <w:color w:val="1F3763" w:themeColor="accent1" w:themeShade="7F"/>
        </w:rPr>
        <w:t xml:space="preserve">mployment and </w:t>
      </w:r>
      <w:r w:rsidR="00BA33A9" w:rsidRPr="00CD2A61">
        <w:rPr>
          <w:rFonts w:asciiTheme="majorHAnsi" w:eastAsiaTheme="majorEastAsia" w:hAnsiTheme="majorHAnsi" w:cstheme="majorBidi"/>
          <w:color w:val="1F3763" w:themeColor="accent1" w:themeShade="7F"/>
        </w:rPr>
        <w:t>G</w:t>
      </w:r>
      <w:r w:rsidRPr="00CD2A61">
        <w:rPr>
          <w:rFonts w:asciiTheme="majorHAnsi" w:eastAsiaTheme="majorEastAsia" w:hAnsiTheme="majorHAnsi" w:cstheme="majorBidi"/>
          <w:color w:val="1F3763" w:themeColor="accent1" w:themeShade="7F"/>
        </w:rPr>
        <w:t xml:space="preserve">ender </w:t>
      </w:r>
      <w:r w:rsidR="00BA33A9" w:rsidRPr="00CD2A61">
        <w:rPr>
          <w:rFonts w:asciiTheme="majorHAnsi" w:eastAsiaTheme="majorEastAsia" w:hAnsiTheme="majorHAnsi" w:cstheme="majorBidi"/>
          <w:color w:val="1F3763" w:themeColor="accent1" w:themeShade="7F"/>
        </w:rPr>
        <w:t>E</w:t>
      </w:r>
      <w:r w:rsidRPr="00CD2A61">
        <w:rPr>
          <w:rFonts w:asciiTheme="majorHAnsi" w:eastAsiaTheme="majorEastAsia" w:hAnsiTheme="majorHAnsi" w:cstheme="majorBidi"/>
          <w:color w:val="1F3763" w:themeColor="accent1" w:themeShade="7F"/>
        </w:rPr>
        <w:t>quality</w:t>
      </w:r>
    </w:p>
    <w:p w14:paraId="0DF0E410" w14:textId="77777777" w:rsidR="00BB44E1" w:rsidRPr="00DB0C40" w:rsidRDefault="00BB44E1">
      <w:pPr>
        <w:rPr>
          <w:sz w:val="22"/>
          <w:szCs w:val="22"/>
        </w:rPr>
      </w:pPr>
    </w:p>
    <w:p w14:paraId="6D69FFF1" w14:textId="77777777" w:rsidR="00BB44E1" w:rsidRPr="00DB0C40" w:rsidRDefault="00230B49">
      <w:pPr>
        <w:rPr>
          <w:sz w:val="22"/>
          <w:szCs w:val="22"/>
        </w:rPr>
      </w:pPr>
      <w:r w:rsidRPr="00DB0C40">
        <w:rPr>
          <w:sz w:val="22"/>
          <w:szCs w:val="22"/>
        </w:rPr>
        <w:t>Between the main national policies on women's employment and gender equality, we can mention:</w:t>
      </w:r>
    </w:p>
    <w:p w14:paraId="168CC15B" w14:textId="77777777" w:rsidR="00BB44E1" w:rsidRPr="00DB0C40" w:rsidRDefault="00BB44E1">
      <w:pPr>
        <w:rPr>
          <w:sz w:val="22"/>
          <w:szCs w:val="22"/>
        </w:rPr>
      </w:pPr>
    </w:p>
    <w:p w14:paraId="30E27CD4" w14:textId="5BE92C7D" w:rsidR="00BB44E1" w:rsidRPr="00DB0C40" w:rsidRDefault="00230B49" w:rsidP="00FB59BE">
      <w:pPr>
        <w:numPr>
          <w:ilvl w:val="0"/>
          <w:numId w:val="13"/>
        </w:numPr>
        <w:pBdr>
          <w:top w:val="nil"/>
          <w:left w:val="nil"/>
          <w:bottom w:val="nil"/>
          <w:right w:val="nil"/>
          <w:between w:val="nil"/>
        </w:pBdr>
        <w:jc w:val="both"/>
        <w:rPr>
          <w:color w:val="000000"/>
          <w:sz w:val="22"/>
          <w:szCs w:val="22"/>
        </w:rPr>
      </w:pPr>
      <w:r w:rsidRPr="00DB0C40">
        <w:rPr>
          <w:color w:val="000000"/>
          <w:sz w:val="22"/>
          <w:szCs w:val="22"/>
        </w:rPr>
        <w:t xml:space="preserve">The </w:t>
      </w:r>
      <w:r w:rsidR="00AC20EA">
        <w:rPr>
          <w:color w:val="000000"/>
          <w:sz w:val="22"/>
          <w:szCs w:val="22"/>
        </w:rPr>
        <w:t>Türkiye</w:t>
      </w:r>
      <w:r w:rsidRPr="00DB0C40">
        <w:rPr>
          <w:color w:val="000000"/>
          <w:sz w:val="22"/>
          <w:szCs w:val="22"/>
        </w:rPr>
        <w:t xml:space="preserve"> Government in their Development Plans, particularly in the 11</w:t>
      </w:r>
      <w:r w:rsidRPr="00DB0C40">
        <w:rPr>
          <w:color w:val="000000"/>
          <w:sz w:val="22"/>
          <w:szCs w:val="22"/>
          <w:vertAlign w:val="superscript"/>
        </w:rPr>
        <w:t>th</w:t>
      </w:r>
      <w:r w:rsidRPr="00DB0C40">
        <w:rPr>
          <w:color w:val="000000"/>
          <w:sz w:val="22"/>
          <w:szCs w:val="22"/>
        </w:rPr>
        <w:t xml:space="preserve"> one (2019 – 2023) has a main objective regarding to women:  to prevent all kinds of discrimination against women, to ensure that women benefit from equally the rights, opportunities and facilities in all areas of the social life and to empower them. </w:t>
      </w:r>
      <w:r w:rsidRPr="00DB0C40">
        <w:rPr>
          <w:rFonts w:ascii="Times" w:eastAsia="Times" w:hAnsi="Times" w:cs="Times"/>
          <w:color w:val="000000"/>
          <w:sz w:val="26"/>
          <w:szCs w:val="26"/>
          <w:vertAlign w:val="superscript"/>
        </w:rPr>
        <w:footnoteReference w:id="22"/>
      </w:r>
      <w:r w:rsidRPr="00DB0C40">
        <w:rPr>
          <w:color w:val="000000"/>
          <w:sz w:val="22"/>
          <w:szCs w:val="22"/>
        </w:rPr>
        <w:t xml:space="preserve"> The 11</w:t>
      </w:r>
      <w:r w:rsidRPr="00DB0C40">
        <w:rPr>
          <w:color w:val="000000"/>
          <w:sz w:val="22"/>
          <w:szCs w:val="22"/>
          <w:vertAlign w:val="superscript"/>
        </w:rPr>
        <w:t>th</w:t>
      </w:r>
      <w:r w:rsidRPr="00DB0C40">
        <w:rPr>
          <w:color w:val="000000"/>
          <w:sz w:val="22"/>
          <w:szCs w:val="22"/>
        </w:rPr>
        <w:t xml:space="preserve"> Development Plan also include some policies regarding the encouragement of the active participation of women in economic, social, cultural life and decision-making mechanisms at all levels offering possibilities for entrepreneurs, and internship and on-the-job-training to increase the active participation of women in economic life. The inclusion of the women in the digital economy is another important issue included. </w:t>
      </w:r>
    </w:p>
    <w:p w14:paraId="7BDB9067" w14:textId="77777777" w:rsidR="00BB44E1" w:rsidRPr="00DB0C40" w:rsidRDefault="00BB44E1">
      <w:pPr>
        <w:jc w:val="both"/>
        <w:rPr>
          <w:sz w:val="22"/>
          <w:szCs w:val="22"/>
        </w:rPr>
      </w:pPr>
    </w:p>
    <w:p w14:paraId="313FB2E2" w14:textId="77777777" w:rsidR="00BB44E1" w:rsidRPr="00DB0C40" w:rsidRDefault="00230B49" w:rsidP="00FB59BE">
      <w:pPr>
        <w:numPr>
          <w:ilvl w:val="0"/>
          <w:numId w:val="13"/>
        </w:numPr>
        <w:pBdr>
          <w:top w:val="nil"/>
          <w:left w:val="nil"/>
          <w:bottom w:val="nil"/>
          <w:right w:val="nil"/>
          <w:between w:val="nil"/>
        </w:pBdr>
        <w:jc w:val="both"/>
        <w:rPr>
          <w:color w:val="000000"/>
          <w:sz w:val="22"/>
          <w:szCs w:val="22"/>
        </w:rPr>
      </w:pPr>
      <w:r w:rsidRPr="00DB0C40">
        <w:rPr>
          <w:color w:val="000000"/>
          <w:sz w:val="22"/>
          <w:szCs w:val="22"/>
        </w:rPr>
        <w:t>The National Employment Strategy 2014 – 2023</w:t>
      </w:r>
      <w:r w:rsidRPr="00DB0C40">
        <w:rPr>
          <w:rFonts w:ascii="Roboto" w:eastAsia="Roboto" w:hAnsi="Roboto" w:cs="Roboto"/>
          <w:color w:val="666666"/>
          <w:highlight w:val="white"/>
        </w:rPr>
        <w:t xml:space="preserve"> </w:t>
      </w:r>
      <w:r w:rsidRPr="00DB0C40">
        <w:rPr>
          <w:rFonts w:ascii="Roboto" w:eastAsia="Roboto" w:hAnsi="Roboto" w:cs="Roboto"/>
          <w:color w:val="666666"/>
          <w:sz w:val="22"/>
          <w:szCs w:val="22"/>
          <w:highlight w:val="white"/>
        </w:rPr>
        <w:t>i</w:t>
      </w:r>
      <w:r w:rsidRPr="00DB0C40">
        <w:rPr>
          <w:color w:val="000000"/>
          <w:sz w:val="22"/>
          <w:szCs w:val="22"/>
        </w:rPr>
        <w:t xml:space="preserve">s a national policy with a multi-sectoral approach. The timeframe of the Strategy is 10 years between 2014 and 2023. The overall goal of </w:t>
      </w:r>
      <w:r w:rsidRPr="00DB0C40">
        <w:rPr>
          <w:color w:val="000000"/>
          <w:sz w:val="22"/>
          <w:szCs w:val="22"/>
        </w:rPr>
        <w:lastRenderedPageBreak/>
        <w:t>the Strategy is to reduce the unemployment rate including unregistered employment rate in the agriculture sector and to increase employment rate by 2023 with holistic approach, equal opportunities, labour protection, strengthened social dialogue and incentive approach.</w:t>
      </w:r>
      <w:r w:rsidRPr="00DB0C40">
        <w:rPr>
          <w:color w:val="000000"/>
        </w:rPr>
        <w:t xml:space="preserve"> </w:t>
      </w:r>
      <w:r w:rsidRPr="00DB0C40">
        <w:rPr>
          <w:color w:val="000000"/>
          <w:sz w:val="22"/>
          <w:szCs w:val="22"/>
        </w:rPr>
        <w:t>One of the main objectives is to achieve Equal Opportunities: “It is crucial to develop policies addressing specific conditions of certain demographic groups, in order to provide equal opportunities for all. It is definitive to ensure equal opportunities from education to all relevant sectors and anti-discrimination practices for the vulnerable people, such as women, people with disabilities, the poor, youth, and the population living in rural areas”</w:t>
      </w:r>
      <w:r w:rsidRPr="00DB0C40">
        <w:rPr>
          <w:rFonts w:ascii="Times" w:eastAsia="Times" w:hAnsi="Times" w:cs="Times"/>
          <w:color w:val="000000"/>
          <w:sz w:val="26"/>
          <w:szCs w:val="26"/>
          <w:vertAlign w:val="superscript"/>
        </w:rPr>
        <w:footnoteReference w:id="23"/>
      </w:r>
      <w:r w:rsidRPr="00DB0C40">
        <w:rPr>
          <w:color w:val="000000"/>
          <w:sz w:val="22"/>
          <w:szCs w:val="22"/>
        </w:rPr>
        <w:t xml:space="preserve">. </w:t>
      </w:r>
    </w:p>
    <w:p w14:paraId="73BE5E7E" w14:textId="77777777" w:rsidR="00BB44E1" w:rsidRPr="00DB0C40" w:rsidRDefault="00BB44E1">
      <w:pPr>
        <w:jc w:val="both"/>
        <w:rPr>
          <w:sz w:val="22"/>
          <w:szCs w:val="22"/>
        </w:rPr>
      </w:pPr>
    </w:p>
    <w:p w14:paraId="693BF22B" w14:textId="4C08D5B8" w:rsidR="00BB44E1" w:rsidRPr="00DB0C40" w:rsidRDefault="00230B49" w:rsidP="00FB59BE">
      <w:pPr>
        <w:numPr>
          <w:ilvl w:val="0"/>
          <w:numId w:val="13"/>
        </w:numPr>
        <w:pBdr>
          <w:top w:val="nil"/>
          <w:left w:val="nil"/>
          <w:bottom w:val="nil"/>
          <w:right w:val="nil"/>
          <w:between w:val="nil"/>
        </w:pBdr>
        <w:jc w:val="both"/>
        <w:rPr>
          <w:color w:val="000000"/>
          <w:sz w:val="22"/>
          <w:szCs w:val="22"/>
        </w:rPr>
      </w:pPr>
      <w:r w:rsidRPr="00DB0C40">
        <w:rPr>
          <w:color w:val="000000"/>
          <w:sz w:val="22"/>
          <w:szCs w:val="22"/>
        </w:rPr>
        <w:t xml:space="preserve">Measures on vulnerable groups especially women are included (the Strategy includes in this category: youth, long term unemployed and disabled) and specifically mentioned that the main </w:t>
      </w:r>
      <w:r w:rsidR="00E0559E" w:rsidRPr="00DB0C40">
        <w:rPr>
          <w:color w:val="000000"/>
          <w:sz w:val="22"/>
          <w:szCs w:val="22"/>
        </w:rPr>
        <w:t>characteristics</w:t>
      </w:r>
      <w:r w:rsidRPr="00DB0C40">
        <w:rPr>
          <w:color w:val="000000"/>
          <w:sz w:val="22"/>
          <w:szCs w:val="22"/>
        </w:rPr>
        <w:t xml:space="preserve"> of the group are: low labour force participation rates, work in unregistered and underpaying jobs called “indecent work” and face a higher risk of unemployment despite positive discrimination and no legal obstacles. In their diagnosis, the Strategy pointed out that besides the low level of education, social gender roles which burden the men with the responsibility of work and the women with the responsibility of homework and provision of care to children, elderly and disabled persons are among the reasons of the labour force participation and employment rates of women. Improving and extending institutional support mechanisms of care services are important for increasing the labour force participation rate of women. Among with the low level of labour force participation of women in </w:t>
      </w:r>
      <w:r w:rsidR="00AC20EA">
        <w:rPr>
          <w:color w:val="000000"/>
          <w:sz w:val="22"/>
          <w:szCs w:val="22"/>
        </w:rPr>
        <w:t>Türkiye</w:t>
      </w:r>
      <w:r w:rsidRPr="00DB0C40">
        <w:rPr>
          <w:color w:val="000000"/>
          <w:sz w:val="22"/>
          <w:szCs w:val="22"/>
        </w:rPr>
        <w:t xml:space="preserve">, the high level of unemployment rate reveals a negative picture in regards to OECD and EU countries. </w:t>
      </w:r>
    </w:p>
    <w:p w14:paraId="3BC65920" w14:textId="77777777" w:rsidR="00BB44E1" w:rsidRPr="00DB0C40" w:rsidRDefault="00BB44E1">
      <w:pPr>
        <w:jc w:val="both"/>
        <w:rPr>
          <w:sz w:val="22"/>
          <w:szCs w:val="22"/>
        </w:rPr>
      </w:pPr>
    </w:p>
    <w:p w14:paraId="435603FB" w14:textId="77777777" w:rsidR="00BB44E1" w:rsidRPr="00DB0C40" w:rsidRDefault="00230B49" w:rsidP="00FB59BE">
      <w:pPr>
        <w:numPr>
          <w:ilvl w:val="0"/>
          <w:numId w:val="13"/>
        </w:numPr>
        <w:pBdr>
          <w:top w:val="nil"/>
          <w:left w:val="nil"/>
          <w:bottom w:val="nil"/>
          <w:right w:val="nil"/>
          <w:between w:val="nil"/>
        </w:pBdr>
        <w:jc w:val="both"/>
        <w:rPr>
          <w:color w:val="000000"/>
          <w:sz w:val="22"/>
          <w:szCs w:val="22"/>
        </w:rPr>
      </w:pPr>
      <w:r w:rsidRPr="00DB0C40">
        <w:rPr>
          <w:color w:val="000000"/>
          <w:sz w:val="22"/>
          <w:szCs w:val="22"/>
        </w:rPr>
        <w:t>The Strategy also mentions the importance to eliminate the barriers for labour force and employment participation of vulnerable groups such as women, disabled, youth and long term unemployed. The main targets were: 1. Labour force participation rate of women will increase to 41 percent until 2023. 2. From 2012 to 2023, the unregistered employment of women will be reduced from 54,2 percent to 30 percent.</w:t>
      </w:r>
    </w:p>
    <w:p w14:paraId="55E3887A" w14:textId="77777777" w:rsidR="00BB44E1" w:rsidRPr="00DB0C40" w:rsidRDefault="00BB44E1">
      <w:pPr>
        <w:jc w:val="both"/>
        <w:rPr>
          <w:sz w:val="22"/>
          <w:szCs w:val="22"/>
        </w:rPr>
      </w:pPr>
    </w:p>
    <w:p w14:paraId="14F7976D" w14:textId="77777777" w:rsidR="00BB44E1" w:rsidRPr="00DB0C40" w:rsidRDefault="00230B49" w:rsidP="00FB59BE">
      <w:pPr>
        <w:numPr>
          <w:ilvl w:val="0"/>
          <w:numId w:val="13"/>
        </w:numPr>
        <w:pBdr>
          <w:top w:val="nil"/>
          <w:left w:val="nil"/>
          <w:bottom w:val="nil"/>
          <w:right w:val="nil"/>
          <w:between w:val="nil"/>
        </w:pBdr>
        <w:jc w:val="both"/>
        <w:rPr>
          <w:color w:val="000000"/>
          <w:sz w:val="22"/>
          <w:szCs w:val="22"/>
        </w:rPr>
      </w:pPr>
      <w:r w:rsidRPr="00DB0C40">
        <w:rPr>
          <w:color w:val="000000"/>
          <w:sz w:val="22"/>
          <w:szCs w:val="22"/>
        </w:rPr>
        <w:t xml:space="preserve">As we mentioned before, in May 2003, a new labour law, Law no.4857, revised the legislation on employment to ensure equal treatment regardless of gender, ethnicity, or race. This law, establishing the principle of anti-discrimination in employment became operational on June 10, 2003. Accordingly, on January 22, 2004, a Prime Minister Decree aimed at protecting the gender equality principle in civil officials' hirings. The Decree ordered the public institutions to protect the gender equality principle in hirings in line with the Constitution and the international agreements that the Turkish government is party to. In line with the National Action Plan on Gender Equality, in 2008, the government amended the Labour Law to promote women’s employment under an "Employment Package". </w:t>
      </w:r>
    </w:p>
    <w:p w14:paraId="7978E1AC" w14:textId="77777777" w:rsidR="00BB44E1" w:rsidRPr="00DB0C40" w:rsidRDefault="00BB44E1">
      <w:pPr>
        <w:jc w:val="both"/>
        <w:rPr>
          <w:sz w:val="22"/>
          <w:szCs w:val="22"/>
        </w:rPr>
      </w:pPr>
    </w:p>
    <w:p w14:paraId="2D7682B7" w14:textId="447A3B31" w:rsidR="00BB44E1" w:rsidRPr="00DB0C40" w:rsidRDefault="00230B49" w:rsidP="00FB59BE">
      <w:pPr>
        <w:numPr>
          <w:ilvl w:val="0"/>
          <w:numId w:val="13"/>
        </w:numPr>
        <w:pBdr>
          <w:top w:val="nil"/>
          <w:left w:val="nil"/>
          <w:bottom w:val="nil"/>
          <w:right w:val="nil"/>
          <w:between w:val="nil"/>
        </w:pBdr>
        <w:jc w:val="both"/>
        <w:rPr>
          <w:color w:val="000000"/>
          <w:sz w:val="22"/>
          <w:szCs w:val="22"/>
        </w:rPr>
      </w:pPr>
      <w:r w:rsidRPr="00DB0C40">
        <w:rPr>
          <w:color w:val="000000"/>
          <w:sz w:val="22"/>
          <w:szCs w:val="22"/>
        </w:rPr>
        <w:t xml:space="preserve">In 2010, the Prime Minister Circular 2010/14 on “Increasing Women’s employment and achieving equality of opportunity” was adopted specifying the measures to be taken to increase women’s employment, Accordingly, the Turkish government adopted a measure that would discriminate positively the female workers over the age of 18 by granting the employers who hire them exceptions in social security payments. Turkish </w:t>
      </w:r>
      <w:r w:rsidR="00E0559E" w:rsidRPr="00DB0C40">
        <w:rPr>
          <w:color w:val="000000"/>
          <w:sz w:val="22"/>
          <w:szCs w:val="22"/>
        </w:rPr>
        <w:t>Is</w:t>
      </w:r>
      <w:r w:rsidRPr="00DB0C40">
        <w:rPr>
          <w:color w:val="000000"/>
          <w:sz w:val="22"/>
          <w:szCs w:val="22"/>
        </w:rPr>
        <w:t xml:space="preserve"> </w:t>
      </w:r>
      <w:r w:rsidR="00E0559E" w:rsidRPr="00DB0C40">
        <w:rPr>
          <w:color w:val="000000"/>
          <w:sz w:val="22"/>
          <w:szCs w:val="22"/>
        </w:rPr>
        <w:t>Kurume</w:t>
      </w:r>
      <w:r w:rsidRPr="00DB0C40">
        <w:rPr>
          <w:color w:val="000000"/>
          <w:sz w:val="22"/>
          <w:szCs w:val="22"/>
        </w:rPr>
        <w:t xml:space="preserve"> </w:t>
      </w:r>
      <w:r w:rsidR="00E0559E" w:rsidRPr="00DB0C40">
        <w:rPr>
          <w:color w:val="000000"/>
          <w:sz w:val="22"/>
          <w:szCs w:val="22"/>
        </w:rPr>
        <w:t>Gene</w:t>
      </w:r>
      <w:r w:rsidRPr="00DB0C40">
        <w:rPr>
          <w:color w:val="000000"/>
          <w:sz w:val="22"/>
          <w:szCs w:val="22"/>
        </w:rPr>
        <w:t xml:space="preserve"> </w:t>
      </w:r>
      <w:proofErr w:type="spellStart"/>
      <w:r w:rsidRPr="00DB0C40">
        <w:rPr>
          <w:color w:val="000000"/>
          <w:sz w:val="22"/>
          <w:szCs w:val="22"/>
        </w:rPr>
        <w:t>Müdürlüğü</w:t>
      </w:r>
      <w:proofErr w:type="spellEnd"/>
      <w:r w:rsidRPr="00DB0C40">
        <w:rPr>
          <w:color w:val="000000"/>
          <w:sz w:val="22"/>
          <w:szCs w:val="22"/>
        </w:rPr>
        <w:t xml:space="preserve"> and the European Commission cooperated in two different projects “Active Labour program projects I and II” for 2003-2006 and 2008-2010 periods. There was also a “Twinning project for promoting gender </w:t>
      </w:r>
      <w:r w:rsidRPr="00DB0C40">
        <w:rPr>
          <w:color w:val="000000"/>
          <w:sz w:val="22"/>
          <w:szCs w:val="22"/>
        </w:rPr>
        <w:lastRenderedPageBreak/>
        <w:t>equality in working life” with funding from the European Commission for 2010-2012 period. A critical matter in increasing women’s employment is balancing mothering duties and work responsibilities. The social customs also act as effective barriers to women’s access to jobs.</w:t>
      </w:r>
      <w:r w:rsidRPr="00DB0C40">
        <w:rPr>
          <w:color w:val="000000"/>
          <w:vertAlign w:val="superscript"/>
        </w:rPr>
        <w:footnoteReference w:id="24"/>
      </w:r>
    </w:p>
    <w:p w14:paraId="36816A71" w14:textId="77777777" w:rsidR="00BB44E1" w:rsidRPr="00DB0C40" w:rsidRDefault="00BB44E1">
      <w:pPr>
        <w:jc w:val="both"/>
        <w:rPr>
          <w:sz w:val="22"/>
          <w:szCs w:val="22"/>
        </w:rPr>
      </w:pPr>
    </w:p>
    <w:p w14:paraId="1DDD413A" w14:textId="184E5F24" w:rsidR="00BB44E1" w:rsidRPr="00DB0C40" w:rsidRDefault="00230B49" w:rsidP="00FB59BE">
      <w:pPr>
        <w:numPr>
          <w:ilvl w:val="0"/>
          <w:numId w:val="13"/>
        </w:numPr>
        <w:pBdr>
          <w:top w:val="nil"/>
          <w:left w:val="nil"/>
          <w:bottom w:val="nil"/>
          <w:right w:val="nil"/>
          <w:between w:val="nil"/>
        </w:pBdr>
        <w:jc w:val="both"/>
        <w:rPr>
          <w:color w:val="000000"/>
          <w:sz w:val="22"/>
          <w:szCs w:val="22"/>
        </w:rPr>
      </w:pPr>
      <w:r w:rsidRPr="00DB0C40">
        <w:rPr>
          <w:color w:val="000000"/>
          <w:sz w:val="22"/>
          <w:szCs w:val="22"/>
        </w:rPr>
        <w:t>Other important action was the creation of the General Directorate on the Status of Women in 1990</w:t>
      </w:r>
      <w:r w:rsidRPr="00DB0C40">
        <w:rPr>
          <w:rFonts w:ascii="Arial" w:eastAsia="Arial" w:hAnsi="Arial" w:cs="Arial"/>
          <w:color w:val="575757"/>
          <w:sz w:val="33"/>
          <w:szCs w:val="33"/>
        </w:rPr>
        <w:t xml:space="preserve">, </w:t>
      </w:r>
      <w:r w:rsidRPr="00DB0C40">
        <w:rPr>
          <w:color w:val="000000"/>
          <w:sz w:val="22"/>
          <w:szCs w:val="22"/>
        </w:rPr>
        <w:t xml:space="preserve">in line with the requirements of the United Nations Convention on Elimination of All Kinds of Discrimination against Women. Attached to the Turkish Prime Ministry, its activities are supervised by the State Ministry responsible for women and the family. Its major objectives are to protect and to promote women's rights; to improve women's social, economic, cultural, and political status; and to ensure that women enjoy equal rights and opportunities in all walks of life. To these ends, it conducts and finances research projects with a policy orientation; </w:t>
      </w:r>
      <w:proofErr w:type="spellStart"/>
      <w:r w:rsidRPr="00DB0C40">
        <w:rPr>
          <w:color w:val="000000"/>
          <w:sz w:val="22"/>
          <w:szCs w:val="22"/>
        </w:rPr>
        <w:t>col</w:t>
      </w:r>
      <w:r w:rsidR="00AE67F2">
        <w:rPr>
          <w:color w:val="000000"/>
          <w:sz w:val="22"/>
          <w:szCs w:val="22"/>
        </w:rPr>
        <w:t>Labour</w:t>
      </w:r>
      <w:r w:rsidRPr="00DB0C40">
        <w:rPr>
          <w:color w:val="000000"/>
          <w:sz w:val="22"/>
          <w:szCs w:val="22"/>
        </w:rPr>
        <w:t>ates</w:t>
      </w:r>
      <w:proofErr w:type="spellEnd"/>
      <w:r w:rsidRPr="00DB0C40">
        <w:rPr>
          <w:color w:val="000000"/>
          <w:sz w:val="22"/>
          <w:szCs w:val="22"/>
        </w:rPr>
        <w:t xml:space="preserve"> with other public institutions, local administrations, and women's associations; and raises consciousness through the mass media about women's issues.</w:t>
      </w:r>
    </w:p>
    <w:p w14:paraId="4C1C0F2F" w14:textId="77777777" w:rsidR="00BB44E1" w:rsidRPr="00DB0C40" w:rsidRDefault="00BB44E1">
      <w:pPr>
        <w:jc w:val="both"/>
        <w:rPr>
          <w:sz w:val="22"/>
          <w:szCs w:val="22"/>
        </w:rPr>
      </w:pPr>
    </w:p>
    <w:p w14:paraId="6B7F51FE" w14:textId="4F79A8B4" w:rsidR="00BB44E1" w:rsidRPr="00DB0C40" w:rsidRDefault="00230B49">
      <w:pPr>
        <w:jc w:val="both"/>
        <w:rPr>
          <w:sz w:val="22"/>
          <w:szCs w:val="22"/>
        </w:rPr>
      </w:pPr>
      <w:r w:rsidRPr="00DB0C40">
        <w:rPr>
          <w:sz w:val="22"/>
          <w:szCs w:val="22"/>
        </w:rPr>
        <w:t>The Directorate (depending of the Ministry of Family and Social Services)</w:t>
      </w:r>
      <w:r w:rsidRPr="00DB0C40">
        <w:rPr>
          <w:rFonts w:ascii="Times" w:eastAsia="Times" w:hAnsi="Times" w:cs="Times"/>
          <w:sz w:val="26"/>
          <w:szCs w:val="26"/>
          <w:vertAlign w:val="superscript"/>
        </w:rPr>
        <w:footnoteReference w:id="25"/>
      </w:r>
      <w:r w:rsidRPr="00DB0C40">
        <w:rPr>
          <w:sz w:val="22"/>
          <w:szCs w:val="22"/>
        </w:rPr>
        <w:t>, ha</w:t>
      </w:r>
      <w:r w:rsidR="00BA33A9" w:rsidRPr="00DB0C40">
        <w:rPr>
          <w:sz w:val="22"/>
          <w:szCs w:val="22"/>
        </w:rPr>
        <w:t>s</w:t>
      </w:r>
      <w:r w:rsidRPr="00DB0C40">
        <w:rPr>
          <w:sz w:val="22"/>
          <w:szCs w:val="22"/>
        </w:rPr>
        <w:t xml:space="preserve"> many policies and actions</w:t>
      </w:r>
      <w:r w:rsidR="00BA33A9" w:rsidRPr="00DB0C40">
        <w:rPr>
          <w:sz w:val="22"/>
          <w:szCs w:val="22"/>
        </w:rPr>
        <w:t xml:space="preserve"> in this area, among which are:</w:t>
      </w:r>
      <w:r w:rsidRPr="00DB0C40">
        <w:rPr>
          <w:sz w:val="22"/>
          <w:szCs w:val="22"/>
        </w:rPr>
        <w:t xml:space="preserve"> </w:t>
      </w:r>
    </w:p>
    <w:p w14:paraId="0E7967E6" w14:textId="77777777" w:rsidR="00BB44E1" w:rsidRPr="00DB0C40" w:rsidRDefault="00BB44E1">
      <w:pPr>
        <w:jc w:val="both"/>
        <w:rPr>
          <w:sz w:val="22"/>
          <w:szCs w:val="22"/>
        </w:rPr>
      </w:pPr>
    </w:p>
    <w:p w14:paraId="6293A850" w14:textId="77777777" w:rsidR="00BB44E1" w:rsidRPr="00DB0C40" w:rsidRDefault="00230B49" w:rsidP="00FB59BE">
      <w:pPr>
        <w:numPr>
          <w:ilvl w:val="0"/>
          <w:numId w:val="12"/>
        </w:numPr>
        <w:pBdr>
          <w:top w:val="nil"/>
          <w:left w:val="nil"/>
          <w:bottom w:val="nil"/>
          <w:right w:val="nil"/>
          <w:between w:val="nil"/>
        </w:pBdr>
        <w:jc w:val="both"/>
        <w:rPr>
          <w:color w:val="000000"/>
          <w:sz w:val="22"/>
          <w:szCs w:val="22"/>
        </w:rPr>
      </w:pPr>
      <w:r w:rsidRPr="00DB0C40">
        <w:rPr>
          <w:color w:val="000000"/>
          <w:sz w:val="22"/>
          <w:szCs w:val="22"/>
        </w:rPr>
        <w:t>Women's Empowerment Strategy Document and Action Plan (2018-2023), under the coordination of the Ministry of Family and Social Policies, General Directorate on the Status of Women, regulates the current situation, main objectives, targets, strategies and activities regarding five main policy axes: education, health, economy, participation in decision-making mechanisms, media.</w:t>
      </w:r>
    </w:p>
    <w:p w14:paraId="55ACE306" w14:textId="77777777" w:rsidR="00BB44E1" w:rsidRPr="00DB0C40" w:rsidRDefault="00230B49" w:rsidP="00FB59BE">
      <w:pPr>
        <w:numPr>
          <w:ilvl w:val="0"/>
          <w:numId w:val="12"/>
        </w:numPr>
        <w:pBdr>
          <w:top w:val="nil"/>
          <w:left w:val="nil"/>
          <w:bottom w:val="nil"/>
          <w:right w:val="nil"/>
          <w:between w:val="nil"/>
        </w:pBdr>
        <w:jc w:val="both"/>
        <w:rPr>
          <w:color w:val="000000"/>
          <w:sz w:val="22"/>
          <w:szCs w:val="22"/>
        </w:rPr>
      </w:pPr>
      <w:r w:rsidRPr="00DB0C40">
        <w:rPr>
          <w:color w:val="000000"/>
          <w:sz w:val="22"/>
          <w:szCs w:val="22"/>
        </w:rPr>
        <w:t xml:space="preserve">Gender Equality National Action Plan (2008-2013) Policy related to 7 critical areas (education, health, economy, participation in authority and decision-making processes, poverty, media and environment) to be used as inputs within the scope of the preparation of the "National Action Plan Draft", which will form the basis of public policies and ensure gender equality. </w:t>
      </w:r>
    </w:p>
    <w:p w14:paraId="648E2E7A" w14:textId="0B9CE962" w:rsidR="00BB44E1" w:rsidRPr="00DB0C40" w:rsidRDefault="00230B49" w:rsidP="00FB59BE">
      <w:pPr>
        <w:numPr>
          <w:ilvl w:val="0"/>
          <w:numId w:val="12"/>
        </w:numPr>
        <w:pBdr>
          <w:top w:val="nil"/>
          <w:left w:val="nil"/>
          <w:bottom w:val="nil"/>
          <w:right w:val="nil"/>
          <w:between w:val="nil"/>
        </w:pBdr>
        <w:jc w:val="both"/>
        <w:rPr>
          <w:color w:val="000000"/>
          <w:sz w:val="22"/>
          <w:szCs w:val="22"/>
        </w:rPr>
      </w:pPr>
      <w:r w:rsidRPr="00DB0C40">
        <w:rPr>
          <w:color w:val="000000"/>
          <w:sz w:val="22"/>
          <w:szCs w:val="22"/>
        </w:rPr>
        <w:t xml:space="preserve">With  UN Women </w:t>
      </w:r>
      <w:r w:rsidR="00AC20EA">
        <w:rPr>
          <w:color w:val="000000"/>
          <w:sz w:val="22"/>
          <w:szCs w:val="22"/>
        </w:rPr>
        <w:t>Türkiye</w:t>
      </w:r>
      <w:r w:rsidRPr="00DB0C40">
        <w:rPr>
          <w:color w:val="000000"/>
          <w:sz w:val="22"/>
          <w:szCs w:val="22"/>
        </w:rPr>
        <w:t xml:space="preserve"> for instance, launched the three-year project, "Implementing Gender Responsive Planning and Budgeting in </w:t>
      </w:r>
      <w:r w:rsidR="00AC20EA">
        <w:rPr>
          <w:color w:val="000000"/>
          <w:sz w:val="22"/>
          <w:szCs w:val="22"/>
        </w:rPr>
        <w:t>Türkiye</w:t>
      </w:r>
      <w:r w:rsidRPr="00DB0C40">
        <w:rPr>
          <w:color w:val="000000"/>
          <w:sz w:val="22"/>
          <w:szCs w:val="22"/>
        </w:rPr>
        <w:t xml:space="preserve">". The project aims to eradicate gender inequalities and create a society where everyone has access to equal rights, opportunities, and services. The project's main objective is to empower women and further strengthen gender equality in </w:t>
      </w:r>
      <w:r w:rsidR="00AC20EA">
        <w:rPr>
          <w:color w:val="000000"/>
          <w:sz w:val="22"/>
          <w:szCs w:val="22"/>
        </w:rPr>
        <w:t>Türkiye</w:t>
      </w:r>
      <w:r w:rsidRPr="00DB0C40">
        <w:rPr>
          <w:color w:val="000000"/>
          <w:sz w:val="22"/>
          <w:szCs w:val="22"/>
        </w:rPr>
        <w:t xml:space="preserve"> through systematic and sustainable integration of gender perspectives at all stages of national and local policy-making and budgeting processes.</w:t>
      </w:r>
    </w:p>
    <w:p w14:paraId="3D99DB3B" w14:textId="4050C8AA" w:rsidR="00BB44E1" w:rsidRPr="00DB0C40" w:rsidRDefault="00230B49" w:rsidP="00FB59BE">
      <w:pPr>
        <w:numPr>
          <w:ilvl w:val="0"/>
          <w:numId w:val="12"/>
        </w:numPr>
        <w:pBdr>
          <w:top w:val="nil"/>
          <w:left w:val="nil"/>
          <w:bottom w:val="nil"/>
          <w:right w:val="nil"/>
          <w:between w:val="nil"/>
        </w:pBdr>
        <w:jc w:val="both"/>
        <w:rPr>
          <w:color w:val="000000"/>
          <w:sz w:val="22"/>
          <w:szCs w:val="22"/>
        </w:rPr>
      </w:pPr>
      <w:r w:rsidRPr="00DB0C40">
        <w:rPr>
          <w:color w:val="000000"/>
          <w:sz w:val="22"/>
          <w:szCs w:val="22"/>
        </w:rPr>
        <w:t xml:space="preserve">Finally, it is needed to mention  the women's employment action plan currently carried out by İŞKUR. There </w:t>
      </w:r>
      <w:r w:rsidR="00E0559E" w:rsidRPr="00DB0C40">
        <w:rPr>
          <w:color w:val="000000"/>
          <w:sz w:val="22"/>
          <w:szCs w:val="22"/>
        </w:rPr>
        <w:t>are</w:t>
      </w:r>
      <w:r w:rsidRPr="00DB0C40">
        <w:rPr>
          <w:color w:val="000000"/>
          <w:sz w:val="22"/>
          <w:szCs w:val="22"/>
        </w:rPr>
        <w:t xml:space="preserve"> two projects to increase women’s employment jointly conducted by the International Labour Organization (ILO) and the Turkish Employment Organization (İŞKUR): </w:t>
      </w:r>
    </w:p>
    <w:p w14:paraId="527C4943" w14:textId="23F82C82" w:rsidR="00BB44E1" w:rsidRPr="00DB0C40" w:rsidRDefault="00230B49" w:rsidP="00FB59BE">
      <w:pPr>
        <w:numPr>
          <w:ilvl w:val="0"/>
          <w:numId w:val="12"/>
        </w:numPr>
        <w:pBdr>
          <w:top w:val="nil"/>
          <w:left w:val="nil"/>
          <w:bottom w:val="nil"/>
          <w:right w:val="nil"/>
          <w:between w:val="nil"/>
        </w:pBdr>
        <w:jc w:val="both"/>
        <w:rPr>
          <w:color w:val="000000"/>
          <w:sz w:val="22"/>
          <w:szCs w:val="22"/>
        </w:rPr>
      </w:pPr>
      <w:r w:rsidRPr="00DB0C40">
        <w:rPr>
          <w:color w:val="000000"/>
          <w:sz w:val="22"/>
          <w:szCs w:val="22"/>
        </w:rPr>
        <w:t xml:space="preserve">Phase I of the Project “More and Better Jobs for Women: Women’s Empowerment through Decent Work in </w:t>
      </w:r>
      <w:r w:rsidR="00AC20EA">
        <w:rPr>
          <w:color w:val="000000"/>
          <w:sz w:val="22"/>
          <w:szCs w:val="22"/>
        </w:rPr>
        <w:t>Türkiye</w:t>
      </w:r>
      <w:r w:rsidRPr="00DB0C40">
        <w:rPr>
          <w:color w:val="000000"/>
          <w:sz w:val="22"/>
          <w:szCs w:val="22"/>
        </w:rPr>
        <w:t xml:space="preserve">,” was implemented by the International Labour Organization (ILO) and Turkish Employment Agency (ISKUR) with funding from the Swedish International Development Cooperation Agency (SIDA) in 2013-2018. Important outcomes have been achieved in the Phase I of the Project at the policy level as well as in terms of ensuring access for women to decent work opportunities and raising awareness on gender equality and working conditions in order to support strengthening of women's employment in </w:t>
      </w:r>
      <w:r w:rsidR="00AC20EA">
        <w:rPr>
          <w:color w:val="000000"/>
          <w:sz w:val="22"/>
          <w:szCs w:val="22"/>
        </w:rPr>
        <w:t>Türkiye</w:t>
      </w:r>
      <w:r w:rsidRPr="00DB0C40">
        <w:rPr>
          <w:color w:val="000000"/>
          <w:sz w:val="22"/>
          <w:szCs w:val="22"/>
        </w:rPr>
        <w:t>.</w:t>
      </w:r>
    </w:p>
    <w:p w14:paraId="05137F96" w14:textId="0B7B1998" w:rsidR="00BB44E1" w:rsidRPr="00DB0C40" w:rsidRDefault="00230B49" w:rsidP="00FB59BE">
      <w:pPr>
        <w:numPr>
          <w:ilvl w:val="0"/>
          <w:numId w:val="12"/>
        </w:numPr>
        <w:pBdr>
          <w:top w:val="nil"/>
          <w:left w:val="nil"/>
          <w:bottom w:val="nil"/>
          <w:right w:val="nil"/>
          <w:between w:val="nil"/>
        </w:pBdr>
        <w:jc w:val="both"/>
        <w:rPr>
          <w:color w:val="000000"/>
          <w:sz w:val="22"/>
          <w:szCs w:val="22"/>
        </w:rPr>
      </w:pPr>
      <w:r w:rsidRPr="00DB0C40">
        <w:rPr>
          <w:color w:val="000000"/>
          <w:sz w:val="22"/>
          <w:szCs w:val="22"/>
        </w:rPr>
        <w:lastRenderedPageBreak/>
        <w:t xml:space="preserve">Phase II, which is designed as ‘More and Better Jobs for Women Programme funded by SIDA is implemented under the “Gender Equality at Work Portfolio” of the ILO Office for </w:t>
      </w:r>
      <w:r w:rsidR="00AC20EA">
        <w:rPr>
          <w:color w:val="000000"/>
          <w:sz w:val="22"/>
          <w:szCs w:val="22"/>
        </w:rPr>
        <w:t>Türkiye</w:t>
      </w:r>
      <w:r w:rsidRPr="00DB0C40">
        <w:rPr>
          <w:color w:val="000000"/>
          <w:sz w:val="22"/>
          <w:szCs w:val="22"/>
        </w:rPr>
        <w:t>.</w:t>
      </w:r>
      <w:r w:rsidRPr="00DB0C40">
        <w:rPr>
          <w:color w:val="000000"/>
          <w:sz w:val="22"/>
          <w:szCs w:val="22"/>
        </w:rPr>
        <w:br/>
        <w:t xml:space="preserve">Under the programme, various projects will be carried out in the provinces of Ankara, Bursa, Istanbul, Izmir, </w:t>
      </w:r>
      <w:proofErr w:type="spellStart"/>
      <w:r w:rsidRPr="00DB0C40">
        <w:rPr>
          <w:color w:val="000000"/>
          <w:sz w:val="22"/>
          <w:szCs w:val="22"/>
        </w:rPr>
        <w:t>Kocaeli</w:t>
      </w:r>
      <w:proofErr w:type="spellEnd"/>
      <w:r w:rsidRPr="00DB0C40">
        <w:rPr>
          <w:color w:val="000000"/>
          <w:sz w:val="22"/>
          <w:szCs w:val="22"/>
        </w:rPr>
        <w:t xml:space="preserve"> and Konya to promote women’s access to employment opportunities and improve women’s working conditions.</w:t>
      </w:r>
    </w:p>
    <w:p w14:paraId="581254B7" w14:textId="77777777" w:rsidR="00BB44E1" w:rsidRPr="00DB0C40" w:rsidRDefault="00BB44E1">
      <w:pPr>
        <w:jc w:val="both"/>
        <w:rPr>
          <w:sz w:val="22"/>
          <w:szCs w:val="22"/>
        </w:rPr>
      </w:pPr>
    </w:p>
    <w:p w14:paraId="7942D498" w14:textId="0B88F83F" w:rsidR="002557B7" w:rsidRPr="00CD2A61" w:rsidRDefault="002557B7">
      <w:pPr>
        <w:pStyle w:val="ListParagraph"/>
        <w:numPr>
          <w:ilvl w:val="1"/>
          <w:numId w:val="45"/>
        </w:numPr>
        <w:spacing w:after="160" w:line="259" w:lineRule="auto"/>
        <w:rPr>
          <w:rFonts w:asciiTheme="majorHAnsi" w:eastAsiaTheme="majorEastAsia" w:hAnsiTheme="majorHAnsi" w:cstheme="majorBidi"/>
          <w:color w:val="1F3763" w:themeColor="accent1" w:themeShade="7F"/>
        </w:rPr>
      </w:pPr>
      <w:bookmarkStart w:id="76" w:name="_Hlk107137126"/>
      <w:r w:rsidRPr="00CD2A61">
        <w:rPr>
          <w:rFonts w:asciiTheme="majorHAnsi" w:eastAsiaTheme="majorEastAsia" w:hAnsiTheme="majorHAnsi" w:cstheme="majorBidi"/>
          <w:color w:val="1F3763" w:themeColor="accent1" w:themeShade="7F"/>
        </w:rPr>
        <w:t>THE IMPACT OF LABOUR LAW ON WOMEN EMPLOYMENT IN TÜRKIYE. A BRIEF COMPARISON STUDY.</w:t>
      </w:r>
    </w:p>
    <w:p w14:paraId="13E2D46B" w14:textId="79B20407" w:rsidR="002557B7" w:rsidRPr="00CD2A61" w:rsidRDefault="00EA37BB">
      <w:pPr>
        <w:pStyle w:val="ListParagraph"/>
        <w:numPr>
          <w:ilvl w:val="2"/>
          <w:numId w:val="45"/>
        </w:numPr>
        <w:spacing w:after="160" w:line="259" w:lineRule="auto"/>
        <w:jc w:val="both"/>
        <w:rPr>
          <w:rFonts w:asciiTheme="majorHAnsi" w:eastAsiaTheme="majorEastAsia" w:hAnsiTheme="majorHAnsi" w:cstheme="majorBidi"/>
          <w:color w:val="1F3763" w:themeColor="accent1" w:themeShade="7F"/>
        </w:rPr>
      </w:pPr>
      <w:r w:rsidRPr="00EA37BB">
        <w:rPr>
          <w:rFonts w:asciiTheme="majorHAnsi" w:eastAsiaTheme="majorEastAsia" w:hAnsiTheme="majorHAnsi" w:cstheme="majorBidi"/>
          <w:color w:val="1F3763" w:themeColor="accent1" w:themeShade="7F"/>
        </w:rPr>
        <w:t xml:space="preserve">An Introduction </w:t>
      </w:r>
      <w:r>
        <w:rPr>
          <w:rFonts w:asciiTheme="majorHAnsi" w:eastAsiaTheme="majorEastAsia" w:hAnsiTheme="majorHAnsi" w:cstheme="majorBidi"/>
          <w:color w:val="1F3763" w:themeColor="accent1" w:themeShade="7F"/>
        </w:rPr>
        <w:t>t</w:t>
      </w:r>
      <w:r w:rsidRPr="00EA37BB">
        <w:rPr>
          <w:rFonts w:asciiTheme="majorHAnsi" w:eastAsiaTheme="majorEastAsia" w:hAnsiTheme="majorHAnsi" w:cstheme="majorBidi"/>
          <w:color w:val="1F3763" w:themeColor="accent1" w:themeShade="7F"/>
        </w:rPr>
        <w:t xml:space="preserve">o </w:t>
      </w:r>
      <w:r>
        <w:rPr>
          <w:rFonts w:asciiTheme="majorHAnsi" w:eastAsiaTheme="majorEastAsia" w:hAnsiTheme="majorHAnsi" w:cstheme="majorBidi"/>
          <w:color w:val="1F3763" w:themeColor="accent1" w:themeShade="7F"/>
        </w:rPr>
        <w:t>t</w:t>
      </w:r>
      <w:r w:rsidRPr="00EA37BB">
        <w:rPr>
          <w:rFonts w:asciiTheme="majorHAnsi" w:eastAsiaTheme="majorEastAsia" w:hAnsiTheme="majorHAnsi" w:cstheme="majorBidi"/>
          <w:color w:val="1F3763" w:themeColor="accent1" w:themeShade="7F"/>
        </w:rPr>
        <w:t xml:space="preserve">he Main Impacts </w:t>
      </w:r>
      <w:r>
        <w:rPr>
          <w:rFonts w:asciiTheme="majorHAnsi" w:eastAsiaTheme="majorEastAsia" w:hAnsiTheme="majorHAnsi" w:cstheme="majorBidi"/>
          <w:color w:val="1F3763" w:themeColor="accent1" w:themeShade="7F"/>
        </w:rPr>
        <w:t>o</w:t>
      </w:r>
      <w:r w:rsidRPr="00EA37BB">
        <w:rPr>
          <w:rFonts w:asciiTheme="majorHAnsi" w:eastAsiaTheme="majorEastAsia" w:hAnsiTheme="majorHAnsi" w:cstheme="majorBidi"/>
          <w:color w:val="1F3763" w:themeColor="accent1" w:themeShade="7F"/>
        </w:rPr>
        <w:t xml:space="preserve">f Laws </w:t>
      </w:r>
      <w:r>
        <w:rPr>
          <w:rFonts w:asciiTheme="majorHAnsi" w:eastAsiaTheme="majorEastAsia" w:hAnsiTheme="majorHAnsi" w:cstheme="majorBidi"/>
          <w:color w:val="1F3763" w:themeColor="accent1" w:themeShade="7F"/>
        </w:rPr>
        <w:t>a</w:t>
      </w:r>
      <w:r w:rsidRPr="00EA37BB">
        <w:rPr>
          <w:rFonts w:asciiTheme="majorHAnsi" w:eastAsiaTheme="majorEastAsia" w:hAnsiTheme="majorHAnsi" w:cstheme="majorBidi"/>
          <w:color w:val="1F3763" w:themeColor="accent1" w:themeShade="7F"/>
        </w:rPr>
        <w:t xml:space="preserve">nd Policies </w:t>
      </w:r>
      <w:r>
        <w:rPr>
          <w:rFonts w:asciiTheme="majorHAnsi" w:eastAsiaTheme="majorEastAsia" w:hAnsiTheme="majorHAnsi" w:cstheme="majorBidi"/>
          <w:color w:val="1F3763" w:themeColor="accent1" w:themeShade="7F"/>
        </w:rPr>
        <w:t>o</w:t>
      </w:r>
      <w:r w:rsidRPr="00EA37BB">
        <w:rPr>
          <w:rFonts w:asciiTheme="majorHAnsi" w:eastAsiaTheme="majorEastAsia" w:hAnsiTheme="majorHAnsi" w:cstheme="majorBidi"/>
          <w:color w:val="1F3763" w:themeColor="accent1" w:themeShade="7F"/>
        </w:rPr>
        <w:t>n Female Labour</w:t>
      </w:r>
      <w:r w:rsidR="002557B7" w:rsidRPr="00CD2A61">
        <w:rPr>
          <w:rFonts w:asciiTheme="majorHAnsi" w:eastAsiaTheme="majorEastAsia" w:hAnsiTheme="majorHAnsi" w:cstheme="majorBidi"/>
          <w:color w:val="1F3763" w:themeColor="accent1" w:themeShade="7F"/>
        </w:rPr>
        <w:t xml:space="preserve"> </w:t>
      </w:r>
      <w:r w:rsidRPr="00EA37BB">
        <w:rPr>
          <w:rFonts w:asciiTheme="majorHAnsi" w:eastAsiaTheme="majorEastAsia" w:hAnsiTheme="majorHAnsi" w:cstheme="majorBidi"/>
          <w:color w:val="1F3763" w:themeColor="accent1" w:themeShade="7F"/>
        </w:rPr>
        <w:t>Participation</w:t>
      </w:r>
    </w:p>
    <w:p w14:paraId="7FFBC763"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bookmarkStart w:id="77" w:name="_Hlk106374285"/>
      <w:bookmarkEnd w:id="76"/>
      <w:r w:rsidRPr="00DB0C40">
        <w:rPr>
          <w:rFonts w:asciiTheme="minorHAnsi" w:eastAsiaTheme="minorHAnsi" w:hAnsiTheme="minorHAnsi" w:cstheme="minorHAnsi"/>
          <w:sz w:val="22"/>
          <w:szCs w:val="22"/>
        </w:rPr>
        <w:t xml:space="preserve">The impact of laws and government policies as the key drivers of female labour force participation can be summarised as follows: </w:t>
      </w:r>
    </w:p>
    <w:p w14:paraId="791D1BD8" w14:textId="77777777" w:rsidR="002557B7" w:rsidRPr="00DB0C40" w:rsidRDefault="002557B7">
      <w:pPr>
        <w:numPr>
          <w:ilvl w:val="0"/>
          <w:numId w:val="28"/>
        </w:numPr>
        <w:spacing w:after="160" w:line="259" w:lineRule="auto"/>
        <w:contextualSpacing/>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Previous empirical work</w:t>
      </w:r>
      <w:r w:rsidRPr="00DB0C40">
        <w:rPr>
          <w:rFonts w:asciiTheme="minorHAnsi" w:eastAsiaTheme="minorHAnsi" w:hAnsiTheme="minorHAnsi" w:cstheme="minorHAnsi"/>
          <w:sz w:val="22"/>
          <w:szCs w:val="22"/>
          <w:vertAlign w:val="superscript"/>
        </w:rPr>
        <w:footnoteReference w:id="26"/>
      </w:r>
      <w:r w:rsidRPr="00DB0C40">
        <w:rPr>
          <w:rFonts w:asciiTheme="minorHAnsi" w:eastAsiaTheme="minorHAnsi" w:hAnsiTheme="minorHAnsi" w:cstheme="minorHAnsi"/>
          <w:sz w:val="22"/>
          <w:szCs w:val="22"/>
        </w:rPr>
        <w:t xml:space="preserve"> has identified laws and government policies as the key drivers of female labour force participation. Government expenditure policies, including maternity leave and child benefits as well as tax policies, have also been shown to significantly affect women’s economic participation. The effect of legal gender-based restrictions on women’s labour force participation, however, has been less explored in a systematic way. </w:t>
      </w:r>
    </w:p>
    <w:p w14:paraId="6CC22979" w14:textId="77777777" w:rsidR="002557B7" w:rsidRPr="00DB0C40" w:rsidRDefault="002557B7">
      <w:pPr>
        <w:numPr>
          <w:ilvl w:val="0"/>
          <w:numId w:val="28"/>
        </w:numPr>
        <w:spacing w:after="160" w:line="259" w:lineRule="auto"/>
        <w:contextualSpacing/>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World Bank’s Women, Business and the Law Database (WBL)</w:t>
      </w:r>
      <w:r w:rsidRPr="00DB0C40">
        <w:rPr>
          <w:rFonts w:asciiTheme="minorHAnsi" w:eastAsiaTheme="minorHAnsi" w:hAnsiTheme="minorHAnsi" w:cstheme="minorHAnsi"/>
          <w:sz w:val="22"/>
          <w:szCs w:val="22"/>
          <w:vertAlign w:val="superscript"/>
        </w:rPr>
        <w:footnoteReference w:id="27"/>
      </w:r>
      <w:r w:rsidRPr="00DB0C40">
        <w:rPr>
          <w:rFonts w:asciiTheme="minorHAnsi" w:eastAsiaTheme="minorHAnsi" w:hAnsiTheme="minorHAnsi" w:cstheme="minorHAnsi"/>
          <w:sz w:val="22"/>
          <w:szCs w:val="22"/>
        </w:rPr>
        <w:t xml:space="preserve"> presents a number of indicators on legal restrictions and regulations relating to women’s economic participation and entrepreneurship, including limitations related to accessing institutions, owning and managing property, getting a job (such as restrictions on women’s work, including working at night or in certain industries), building credit, and going to court. The database provides detailed information on the manner in which laws and regulations have been used to establish differences on the basis of gender, generally to the disadvantage of women. For selected indicators, the database allows for tracking legal changes back to 1960, providing ample information to assess the economic effects of such restrictions. </w:t>
      </w:r>
    </w:p>
    <w:p w14:paraId="6FBDF879" w14:textId="77777777" w:rsidR="002557B7" w:rsidRPr="00DB0C40" w:rsidRDefault="002557B7">
      <w:pPr>
        <w:numPr>
          <w:ilvl w:val="0"/>
          <w:numId w:val="28"/>
        </w:numPr>
        <w:spacing w:after="160" w:line="259" w:lineRule="auto"/>
        <w:contextualSpacing/>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Less legal discrimination against women is strongly associated with higher female labour force participation. The empirical results highlight that legal equality in economic rights significantly contributes to explaining the variation of labour force participation gaps across countries and time. In particular, the following factors are all related to a statistically significant decrease in the gender gap in labour force participation: legally guaranteed equality between men and women; equal property rights; equal inheritance rights for sons and daughters; joint titling for married couples; women’s liberty to pursue a profession, obtain a job, or open a bank account; a woman’s right to initiate legal proceedings without her husband’s permission; right to sign a contract; and a woman’s right to be the head of a household. These effects come in addition to other factors, </w:t>
      </w:r>
      <w:r w:rsidRPr="00DB0C40">
        <w:rPr>
          <w:rFonts w:asciiTheme="minorHAnsi" w:eastAsiaTheme="minorHAnsi" w:hAnsiTheme="minorHAnsi" w:cstheme="minorHAnsi"/>
          <w:sz w:val="22"/>
          <w:szCs w:val="22"/>
        </w:rPr>
        <w:lastRenderedPageBreak/>
        <w:t xml:space="preserve">such as demographics, education, and family policies that have the expected sign and are statistically significant in the regression analysis. </w:t>
      </w:r>
      <w:r w:rsidRPr="00DB0C40">
        <w:rPr>
          <w:rFonts w:asciiTheme="minorHAnsi" w:eastAsiaTheme="minorHAnsi" w:hAnsiTheme="minorHAnsi" w:cstheme="minorHAnsi"/>
          <w:sz w:val="22"/>
          <w:szCs w:val="22"/>
          <w:vertAlign w:val="superscript"/>
        </w:rPr>
        <w:footnoteReference w:id="28"/>
      </w:r>
    </w:p>
    <w:p w14:paraId="65F21AFD" w14:textId="77777777" w:rsidR="002557B7" w:rsidRPr="00DB0C40" w:rsidRDefault="002557B7">
      <w:pPr>
        <w:numPr>
          <w:ilvl w:val="0"/>
          <w:numId w:val="28"/>
        </w:numPr>
        <w:spacing w:after="160" w:line="259" w:lineRule="auto"/>
        <w:contextualSpacing/>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Changes in the law may follow from changes in social attitudes that themselves can lead to changes in women’s economic behaviour. At the same time, legal changes enable women to enter into economic activity, which may change social attitudes. </w:t>
      </w:r>
    </w:p>
    <w:p w14:paraId="14023E72" w14:textId="77777777" w:rsidR="002557B7" w:rsidRPr="00DB0C40" w:rsidRDefault="002557B7">
      <w:pPr>
        <w:numPr>
          <w:ilvl w:val="0"/>
          <w:numId w:val="28"/>
        </w:numPr>
        <w:spacing w:after="160" w:line="259" w:lineRule="auto"/>
        <w:contextualSpacing/>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As for expenditure policy, better access to comprehensive, affordable, and high-quality child care frees up women’s time for formal employment</w:t>
      </w:r>
      <w:r w:rsidRPr="00DB0C40">
        <w:rPr>
          <w:rFonts w:asciiTheme="minorHAnsi" w:eastAsiaTheme="minorHAnsi" w:hAnsiTheme="minorHAnsi" w:cstheme="minorHAnsi"/>
          <w:sz w:val="22"/>
          <w:szCs w:val="22"/>
          <w:vertAlign w:val="superscript"/>
        </w:rPr>
        <w:footnoteReference w:id="29"/>
      </w:r>
      <w:r w:rsidRPr="00DB0C40">
        <w:rPr>
          <w:rFonts w:asciiTheme="minorHAnsi" w:eastAsiaTheme="minorHAnsi" w:hAnsiTheme="minorHAnsi" w:cstheme="minorHAnsi"/>
          <w:sz w:val="22"/>
          <w:szCs w:val="22"/>
        </w:rPr>
        <w:t xml:space="preserve"> . Thus, reducing the price of childcare by 50 percent could be associated with an increase of 6.5 to 10 percent in the labour supply of young mothers. Other studies document the importance of public infrastructure to boost the participation of women in the labour force. Inadequate infrastructure affects women’s participation more than that of men because women are more often responsible for household activities.  </w:t>
      </w:r>
      <w:r w:rsidRPr="00DB0C40">
        <w:rPr>
          <w:rFonts w:asciiTheme="minorHAnsi" w:eastAsiaTheme="minorHAnsi" w:hAnsiTheme="minorHAnsi" w:cstheme="minorHAnsi"/>
          <w:sz w:val="22"/>
          <w:szCs w:val="22"/>
          <w:vertAlign w:val="superscript"/>
        </w:rPr>
        <w:footnoteReference w:id="30"/>
      </w:r>
    </w:p>
    <w:p w14:paraId="3522496C" w14:textId="77777777" w:rsidR="002557B7" w:rsidRPr="00DB0C40" w:rsidRDefault="002557B7">
      <w:pPr>
        <w:numPr>
          <w:ilvl w:val="0"/>
          <w:numId w:val="28"/>
        </w:numPr>
        <w:spacing w:after="160" w:line="259" w:lineRule="auto"/>
        <w:contextualSpacing/>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The availability of maternity leave can encourage greater participation, but its effects can be nonlinear. In other words, while properly designed family benefits can help support female labour force participation, long periods outside the labour market also risk reducing skills and earnings </w:t>
      </w:r>
      <w:r w:rsidRPr="00DB0C40">
        <w:rPr>
          <w:rFonts w:asciiTheme="minorHAnsi" w:eastAsiaTheme="minorHAnsi" w:hAnsiTheme="minorHAnsi" w:cstheme="minorHAnsi"/>
          <w:sz w:val="22"/>
          <w:szCs w:val="22"/>
          <w:vertAlign w:val="superscript"/>
        </w:rPr>
        <w:footnoteReference w:id="31"/>
      </w:r>
      <w:r w:rsidRPr="00DB0C40">
        <w:rPr>
          <w:rFonts w:asciiTheme="minorHAnsi" w:eastAsiaTheme="minorHAnsi" w:hAnsiTheme="minorHAnsi" w:cstheme="minorHAnsi"/>
          <w:sz w:val="22"/>
          <w:szCs w:val="22"/>
        </w:rPr>
        <w:t xml:space="preserve">. As parental leave is mostly taken by women, it can indirectly encourage employer discrimination and discourage employers from hiring women for positions that require costly qualification and training periods. This implies that policies that encourage greater parity between paternity and maternity leave could support a more rapid return to work among mothers and help shift underlying gender norms </w:t>
      </w:r>
      <w:r w:rsidRPr="00DB0C40">
        <w:rPr>
          <w:rFonts w:asciiTheme="minorHAnsi" w:eastAsiaTheme="minorHAnsi" w:hAnsiTheme="minorHAnsi" w:cstheme="minorHAnsi"/>
          <w:sz w:val="22"/>
          <w:szCs w:val="22"/>
          <w:vertAlign w:val="superscript"/>
        </w:rPr>
        <w:footnoteReference w:id="32"/>
      </w:r>
      <w:r w:rsidRPr="00DB0C40">
        <w:rPr>
          <w:rFonts w:asciiTheme="minorHAnsi" w:eastAsiaTheme="minorHAnsi" w:hAnsiTheme="minorHAnsi" w:cstheme="minorHAnsi"/>
          <w:sz w:val="22"/>
          <w:szCs w:val="22"/>
        </w:rPr>
        <w:t xml:space="preserve">. </w:t>
      </w:r>
    </w:p>
    <w:p w14:paraId="7F677BF0" w14:textId="77777777" w:rsidR="002557B7" w:rsidRPr="00DB0C40" w:rsidRDefault="002557B7">
      <w:pPr>
        <w:numPr>
          <w:ilvl w:val="0"/>
          <w:numId w:val="28"/>
        </w:numPr>
        <w:spacing w:after="160" w:line="259" w:lineRule="auto"/>
        <w:contextualSpacing/>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Institutions Gender-based legal restrictions impede women’s empowerment and thus their economic participation. In addition, weak or restrictive laws related to family, gender-based violence, and economic opportunities are most likely to impede women’s empowerment, with a lack of gender parity in business and institutional laws strongly associated with lower levels of economic participation by women</w:t>
      </w:r>
      <w:r w:rsidRPr="00DB0C40">
        <w:rPr>
          <w:rFonts w:asciiTheme="minorHAnsi" w:eastAsiaTheme="minorHAnsi" w:hAnsiTheme="minorHAnsi" w:cstheme="minorHAnsi"/>
          <w:sz w:val="22"/>
          <w:szCs w:val="22"/>
          <w:vertAlign w:val="superscript"/>
        </w:rPr>
        <w:footnoteReference w:id="33"/>
      </w:r>
      <w:r w:rsidRPr="00DB0C40">
        <w:rPr>
          <w:rFonts w:asciiTheme="minorHAnsi" w:eastAsiaTheme="minorHAnsi" w:hAnsiTheme="minorHAnsi" w:cstheme="minorHAnsi"/>
          <w:sz w:val="22"/>
          <w:szCs w:val="22"/>
        </w:rPr>
        <w:t xml:space="preserve">. </w:t>
      </w:r>
    </w:p>
    <w:bookmarkEnd w:id="77"/>
    <w:p w14:paraId="400A9FDF" w14:textId="77777777" w:rsidR="002557B7" w:rsidRPr="00DB0C40" w:rsidRDefault="002557B7" w:rsidP="002557B7">
      <w:pPr>
        <w:spacing w:after="160" w:line="259" w:lineRule="auto"/>
        <w:ind w:left="720"/>
        <w:contextualSpacing/>
        <w:jc w:val="both"/>
        <w:rPr>
          <w:rFonts w:asciiTheme="minorHAnsi" w:eastAsiaTheme="minorHAnsi" w:hAnsiTheme="minorHAnsi" w:cstheme="minorHAnsi"/>
          <w:sz w:val="22"/>
          <w:szCs w:val="22"/>
        </w:rPr>
      </w:pPr>
    </w:p>
    <w:p w14:paraId="72A40740" w14:textId="77EB7435" w:rsidR="002557B7" w:rsidRDefault="00EF6EB8">
      <w:pPr>
        <w:pStyle w:val="ListParagraph"/>
        <w:numPr>
          <w:ilvl w:val="2"/>
          <w:numId w:val="45"/>
        </w:numPr>
        <w:spacing w:after="160" w:line="259" w:lineRule="auto"/>
        <w:jc w:val="both"/>
        <w:rPr>
          <w:rFonts w:asciiTheme="majorHAnsi" w:eastAsiaTheme="majorEastAsia" w:hAnsiTheme="majorHAnsi" w:cstheme="majorBidi"/>
          <w:color w:val="1F3763" w:themeColor="accent1" w:themeShade="7F"/>
        </w:rPr>
      </w:pPr>
      <w:bookmarkStart w:id="78" w:name="_Hlk107137210"/>
      <w:r w:rsidRPr="00CD2A61">
        <w:rPr>
          <w:rFonts w:asciiTheme="majorHAnsi" w:eastAsiaTheme="majorEastAsia" w:hAnsiTheme="majorHAnsi" w:cstheme="majorBidi"/>
          <w:color w:val="1F3763" w:themeColor="accent1" w:themeShade="7F"/>
        </w:rPr>
        <w:t>A Comparison of Türkiye with Other Countries</w:t>
      </w:r>
    </w:p>
    <w:p w14:paraId="1ED5FA30" w14:textId="77777777" w:rsidR="00D93026" w:rsidRPr="00CD2A61" w:rsidRDefault="00D93026" w:rsidP="00D93026">
      <w:pPr>
        <w:pStyle w:val="ListParagraph"/>
        <w:spacing w:after="160" w:line="259" w:lineRule="auto"/>
        <w:jc w:val="both"/>
        <w:rPr>
          <w:rFonts w:asciiTheme="majorHAnsi" w:eastAsiaTheme="majorEastAsia" w:hAnsiTheme="majorHAnsi" w:cstheme="majorBidi"/>
          <w:color w:val="1F3763" w:themeColor="accent1" w:themeShade="7F"/>
        </w:rPr>
      </w:pPr>
    </w:p>
    <w:p w14:paraId="1DDD5A11" w14:textId="3FB6137B" w:rsidR="002557B7" w:rsidRPr="00CD2A61" w:rsidRDefault="002557B7">
      <w:pPr>
        <w:pStyle w:val="ListParagraph"/>
        <w:numPr>
          <w:ilvl w:val="3"/>
          <w:numId w:val="45"/>
        </w:numPr>
        <w:spacing w:after="160" w:line="259" w:lineRule="auto"/>
        <w:jc w:val="both"/>
        <w:rPr>
          <w:rFonts w:asciiTheme="majorHAnsi" w:eastAsiaTheme="majorEastAsia" w:hAnsiTheme="majorHAnsi" w:cstheme="majorBidi"/>
          <w:color w:val="1F3763" w:themeColor="accent1" w:themeShade="7F"/>
        </w:rPr>
      </w:pPr>
      <w:bookmarkStart w:id="79" w:name="_Hlk107137315"/>
      <w:bookmarkEnd w:id="78"/>
      <w:r w:rsidRPr="00CD2A61">
        <w:rPr>
          <w:rFonts w:asciiTheme="majorHAnsi" w:eastAsiaTheme="majorEastAsia" w:hAnsiTheme="majorHAnsi" w:cstheme="majorBidi"/>
          <w:color w:val="1F3763" w:themeColor="accent1" w:themeShade="7F"/>
        </w:rPr>
        <w:t xml:space="preserve">A Brief Analysis of G20 Countries </w:t>
      </w:r>
    </w:p>
    <w:bookmarkEnd w:id="79"/>
    <w:p w14:paraId="4FD4F0FA"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At the 2014 Summit in Brisbane, G20 leaders committed to reduce the gender gap in labour force participation by 25 per cent by the year 2025 compared to 2012 (the 25x25 goal). G20 Ministers of Labour further agreed on a set of key principles to improve the quality of women’s employment. At the request </w:t>
      </w:r>
      <w:r w:rsidRPr="00DB0C40">
        <w:rPr>
          <w:rFonts w:asciiTheme="minorHAnsi" w:eastAsiaTheme="minorHAnsi" w:hAnsiTheme="minorHAnsi" w:cstheme="minorHAnsi"/>
          <w:sz w:val="22"/>
          <w:szCs w:val="22"/>
        </w:rPr>
        <w:lastRenderedPageBreak/>
        <w:t xml:space="preserve">of the Japanese Presidency of the G20, the ILO and the OECD have prepared a paper in 2019 to assess progress in reducing gender gaps in the labour market and recent policy development as reported by G20 countries using the template agreed upon during the Turkish presidency in 2015. </w:t>
      </w:r>
    </w:p>
    <w:p w14:paraId="372D8681" w14:textId="0005C1E1" w:rsidR="002557B7" w:rsidRPr="00DB0C40" w:rsidRDefault="002557B7" w:rsidP="002557B7">
      <w:pPr>
        <w:spacing w:after="160" w:line="259" w:lineRule="auto"/>
        <w:jc w:val="both"/>
        <w:rPr>
          <w:rFonts w:asciiTheme="minorHAnsi" w:eastAsiaTheme="minorHAnsi" w:hAnsiTheme="minorHAnsi" w:cstheme="minorHAnsi"/>
          <w:iCs/>
          <w:sz w:val="22"/>
          <w:szCs w:val="22"/>
        </w:rPr>
      </w:pPr>
      <w:r w:rsidRPr="00DB0C40">
        <w:rPr>
          <w:rFonts w:asciiTheme="minorHAnsi" w:eastAsiaTheme="minorHAnsi" w:hAnsiTheme="minorHAnsi" w:cstheme="minorHAnsi"/>
          <w:sz w:val="22"/>
          <w:szCs w:val="22"/>
        </w:rPr>
        <w:t>The comparison between the countries allows to understand some causes of the delay in achieve the reduction of the gender gap. In all G20 economies, there was an increase in the labour force participation rate of women aged 15‐64 between 2012 and 2018.</w:t>
      </w:r>
      <w:r w:rsidRPr="00DB0C40">
        <w:rPr>
          <w:rFonts w:asciiTheme="minorHAnsi" w:eastAsiaTheme="minorHAnsi" w:hAnsiTheme="minorHAnsi" w:cstheme="minorHAnsi"/>
          <w:sz w:val="22"/>
          <w:szCs w:val="22"/>
          <w:vertAlign w:val="superscript"/>
        </w:rPr>
        <w:t>2</w:t>
      </w:r>
      <w:r w:rsidRPr="00DB0C40">
        <w:rPr>
          <w:rFonts w:asciiTheme="minorHAnsi" w:eastAsiaTheme="minorHAnsi" w:hAnsiTheme="minorHAnsi" w:cstheme="minorHAnsi"/>
          <w:sz w:val="22"/>
          <w:szCs w:val="22"/>
        </w:rPr>
        <w:t xml:space="preserve"> Nevertheless, there remain large country differences in the participation of women and, consequently, in the gender gap in participation. As a result of rising female participation rates, and either smaller rises in male rates or even declines, </w:t>
      </w:r>
      <w:r w:rsidRPr="00DB0C40">
        <w:rPr>
          <w:rFonts w:asciiTheme="minorHAnsi" w:eastAsiaTheme="minorHAnsi" w:hAnsiTheme="minorHAnsi" w:cstheme="minorHAnsi"/>
          <w:iCs/>
          <w:sz w:val="22"/>
          <w:szCs w:val="22"/>
        </w:rPr>
        <w:t>there has been a decline in the gender gap in participation in almost all G20 economies for which data are available with the exception of Russia.</w:t>
      </w:r>
      <w:r w:rsidRPr="00DB0C40">
        <w:rPr>
          <w:rFonts w:asciiTheme="minorHAnsi" w:eastAsiaTheme="minorHAnsi" w:hAnsiTheme="minorHAnsi" w:cstheme="minorHAnsi"/>
          <w:iCs/>
          <w:sz w:val="22"/>
          <w:szCs w:val="22"/>
          <w:vertAlign w:val="superscript"/>
        </w:rPr>
        <w:t>3</w:t>
      </w:r>
      <w:r w:rsidRPr="00DB0C40">
        <w:rPr>
          <w:rFonts w:asciiTheme="minorHAnsi" w:eastAsiaTheme="minorHAnsi" w:hAnsiTheme="minorHAnsi" w:cstheme="minorHAnsi"/>
          <w:iCs/>
          <w:sz w:val="22"/>
          <w:szCs w:val="22"/>
        </w:rPr>
        <w:t xml:space="preserve"> </w:t>
      </w:r>
    </w:p>
    <w:p w14:paraId="688DDAFA"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r w:rsidRPr="00DB0C40">
        <w:rPr>
          <w:rFonts w:asciiTheme="minorHAnsi" w:eastAsiaTheme="minorHAnsi" w:hAnsiTheme="minorHAnsi" w:cstheme="minorHAnsi"/>
          <w:iCs/>
          <w:sz w:val="22"/>
          <w:szCs w:val="22"/>
        </w:rPr>
        <w:t>In around half of G20 members, the decline in the gender gap is in line with, or better than the targeted progress towards meeting the 2025 goal of a 25% reduction in the gender gap in each country from its value in 2012. In other words, the actual decline in the gender gap between 2012 and 2018 has been around the same or greater than what would be expected assuming a linear decline in the gap each year to reach the 2025 goal. Among this group of countries, particularly large reductions occurred in Japan, Argentina, Brazil and Korea. The actual decline was also noticeably greater than the expected decline in Australia, the United Kingdom and Germany. Of the G20 economies where the decline in the gap was less than expected, there was, nevertheless, a sizeable reduction in Türkiye.</w:t>
      </w:r>
    </w:p>
    <w:p w14:paraId="25169A0A" w14:textId="012FFB37" w:rsidR="002557B7" w:rsidRPr="00DB0C40" w:rsidRDefault="002557B7" w:rsidP="002557B7">
      <w:pPr>
        <w:spacing w:after="160" w:line="259" w:lineRule="auto"/>
        <w:jc w:val="center"/>
        <w:rPr>
          <w:rFonts w:asciiTheme="minorHAnsi" w:eastAsiaTheme="minorHAnsi" w:hAnsiTheme="minorHAnsi" w:cstheme="minorHAnsi"/>
          <w:b/>
          <w:sz w:val="22"/>
          <w:szCs w:val="22"/>
        </w:rPr>
      </w:pPr>
      <w:bookmarkStart w:id="80" w:name="_Hlk107137367"/>
      <w:r w:rsidRPr="00DB0C40">
        <w:rPr>
          <w:rFonts w:asciiTheme="minorHAnsi" w:eastAsiaTheme="minorHAnsi" w:hAnsiTheme="minorHAnsi" w:cstheme="minorHAnsi"/>
          <w:b/>
          <w:sz w:val="22"/>
          <w:szCs w:val="22"/>
        </w:rPr>
        <w:t xml:space="preserve">Figure </w:t>
      </w:r>
      <w:r w:rsidR="000E3BF5" w:rsidRPr="00DB0C40">
        <w:rPr>
          <w:rFonts w:asciiTheme="minorHAnsi" w:eastAsiaTheme="minorHAnsi" w:hAnsiTheme="minorHAnsi" w:cstheme="minorHAnsi"/>
          <w:b/>
          <w:sz w:val="22"/>
          <w:szCs w:val="22"/>
        </w:rPr>
        <w:t xml:space="preserve">2. </w:t>
      </w:r>
      <w:r w:rsidRPr="00DB0C40">
        <w:rPr>
          <w:rFonts w:asciiTheme="minorHAnsi" w:eastAsiaTheme="minorHAnsi" w:hAnsiTheme="minorHAnsi" w:cstheme="minorHAnsi"/>
          <w:b/>
          <w:sz w:val="22"/>
          <w:szCs w:val="22"/>
        </w:rPr>
        <w:t xml:space="preserve"> Actual versus expected decline in the gender gap in participation</w:t>
      </w:r>
      <w:r w:rsidR="000E3BF5" w:rsidRPr="00DB0C40">
        <w:rPr>
          <w:rFonts w:asciiTheme="minorHAnsi" w:eastAsiaTheme="minorHAnsi" w:hAnsiTheme="minorHAnsi" w:cstheme="minorHAnsi"/>
          <w:b/>
          <w:sz w:val="22"/>
          <w:szCs w:val="22"/>
        </w:rPr>
        <w:t xml:space="preserve"> for G20 countries</w:t>
      </w:r>
      <w:r w:rsidRPr="00DB0C40">
        <w:rPr>
          <w:rFonts w:asciiTheme="minorHAnsi" w:eastAsiaTheme="minorHAnsi" w:hAnsiTheme="minorHAnsi" w:cstheme="minorHAnsi"/>
          <w:b/>
          <w:sz w:val="22"/>
          <w:szCs w:val="22"/>
        </w:rPr>
        <w:t>, 2012-2018</w:t>
      </w:r>
    </w:p>
    <w:bookmarkEnd w:id="80"/>
    <w:p w14:paraId="6F2036B7" w14:textId="77777777" w:rsidR="002557B7" w:rsidRPr="00DB0C40" w:rsidRDefault="002557B7" w:rsidP="002557B7">
      <w:pPr>
        <w:spacing w:after="160" w:line="259" w:lineRule="auto"/>
        <w:jc w:val="center"/>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Percentage points</w:t>
      </w:r>
    </w:p>
    <w:p w14:paraId="41DFF674"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noProof/>
          <w:sz w:val="22"/>
          <w:szCs w:val="22"/>
        </w:rPr>
        <w:drawing>
          <wp:inline distT="0" distB="0" distL="0" distR="0" wp14:anchorId="19356B03" wp14:editId="3157245D">
            <wp:extent cx="5943600" cy="358013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3580130"/>
                    </a:xfrm>
                    <a:prstGeom prst="rect">
                      <a:avLst/>
                    </a:prstGeom>
                  </pic:spPr>
                </pic:pic>
              </a:graphicData>
            </a:graphic>
          </wp:inline>
        </w:drawing>
      </w:r>
    </w:p>
    <w:p w14:paraId="47FE903D" w14:textId="77777777" w:rsidR="002557B7" w:rsidRPr="00DB0C40" w:rsidRDefault="002557B7" w:rsidP="002557B7">
      <w:pPr>
        <w:spacing w:before="41" w:after="120" w:line="259" w:lineRule="auto"/>
        <w:ind w:right="155"/>
        <w:jc w:val="both"/>
        <w:rPr>
          <w:rFonts w:asciiTheme="minorHAnsi" w:eastAsia="Calibri Light" w:hAnsiTheme="minorHAnsi" w:cstheme="minorHAnsi"/>
          <w:sz w:val="22"/>
          <w:szCs w:val="22"/>
        </w:rPr>
      </w:pPr>
      <w:r w:rsidRPr="00DB0C40">
        <w:rPr>
          <w:rFonts w:asciiTheme="minorHAnsi" w:eastAsiaTheme="minorHAnsi" w:hAnsiTheme="minorHAnsi" w:cstheme="minorHAnsi"/>
          <w:iCs/>
          <w:sz w:val="22"/>
          <w:szCs w:val="22"/>
        </w:rPr>
        <w:lastRenderedPageBreak/>
        <w:t>A special remark was made in the Report that w</w:t>
      </w:r>
      <w:r w:rsidRPr="00DB0C40">
        <w:rPr>
          <w:rFonts w:asciiTheme="minorHAnsi" w:eastAsia="Calibri Light" w:hAnsiTheme="minorHAnsi" w:cstheme="minorHAnsi"/>
          <w:sz w:val="22"/>
          <w:szCs w:val="22"/>
        </w:rPr>
        <w:t>omen</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are</w:t>
      </w:r>
      <w:r w:rsidRPr="00DB0C40">
        <w:rPr>
          <w:rFonts w:asciiTheme="minorHAnsi" w:eastAsia="Calibri Light" w:hAnsiTheme="minorHAnsi" w:cstheme="minorHAnsi"/>
          <w:spacing w:val="-5"/>
          <w:sz w:val="22"/>
          <w:szCs w:val="22"/>
        </w:rPr>
        <w:t xml:space="preserve"> </w:t>
      </w:r>
      <w:r w:rsidRPr="00DB0C40">
        <w:rPr>
          <w:rFonts w:asciiTheme="minorHAnsi" w:eastAsia="Calibri Light" w:hAnsiTheme="minorHAnsi" w:cstheme="minorHAnsi"/>
          <w:sz w:val="22"/>
          <w:szCs w:val="22"/>
        </w:rPr>
        <w:t>also</w:t>
      </w:r>
      <w:r w:rsidRPr="00DB0C40">
        <w:rPr>
          <w:rFonts w:asciiTheme="minorHAnsi" w:eastAsia="Calibri Light" w:hAnsiTheme="minorHAnsi" w:cstheme="minorHAnsi"/>
          <w:spacing w:val="-5"/>
          <w:sz w:val="22"/>
          <w:szCs w:val="22"/>
        </w:rPr>
        <w:t xml:space="preserve"> </w:t>
      </w:r>
      <w:r w:rsidRPr="00DB0C40">
        <w:rPr>
          <w:rFonts w:asciiTheme="minorHAnsi" w:eastAsia="Calibri Light" w:hAnsiTheme="minorHAnsi" w:cstheme="minorHAnsi"/>
          <w:sz w:val="22"/>
          <w:szCs w:val="22"/>
        </w:rPr>
        <w:t>more</w:t>
      </w:r>
      <w:r w:rsidRPr="00DB0C40">
        <w:rPr>
          <w:rFonts w:asciiTheme="minorHAnsi" w:eastAsia="Calibri Light" w:hAnsiTheme="minorHAnsi" w:cstheme="minorHAnsi"/>
          <w:spacing w:val="-3"/>
          <w:sz w:val="22"/>
          <w:szCs w:val="22"/>
        </w:rPr>
        <w:t xml:space="preserve"> </w:t>
      </w:r>
      <w:r w:rsidRPr="00DB0C40">
        <w:rPr>
          <w:rFonts w:asciiTheme="minorHAnsi" w:eastAsia="Calibri Light" w:hAnsiTheme="minorHAnsi" w:cstheme="minorHAnsi"/>
          <w:sz w:val="22"/>
          <w:szCs w:val="22"/>
        </w:rPr>
        <w:t>likely</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than</w:t>
      </w:r>
      <w:r w:rsidRPr="00DB0C40">
        <w:rPr>
          <w:rFonts w:asciiTheme="minorHAnsi" w:eastAsia="Calibri Light" w:hAnsiTheme="minorHAnsi" w:cstheme="minorHAnsi"/>
          <w:spacing w:val="-5"/>
          <w:sz w:val="22"/>
          <w:szCs w:val="22"/>
        </w:rPr>
        <w:t xml:space="preserve"> </w:t>
      </w:r>
      <w:r w:rsidRPr="00DB0C40">
        <w:rPr>
          <w:rFonts w:asciiTheme="minorHAnsi" w:eastAsia="Calibri Light" w:hAnsiTheme="minorHAnsi" w:cstheme="minorHAnsi"/>
          <w:sz w:val="22"/>
          <w:szCs w:val="22"/>
        </w:rPr>
        <w:t>men</w:t>
      </w:r>
      <w:r w:rsidRPr="00DB0C40">
        <w:rPr>
          <w:rFonts w:asciiTheme="minorHAnsi" w:eastAsia="Calibri Light" w:hAnsiTheme="minorHAnsi" w:cstheme="minorHAnsi"/>
          <w:spacing w:val="-3"/>
          <w:sz w:val="22"/>
          <w:szCs w:val="22"/>
        </w:rPr>
        <w:t xml:space="preserve"> </w:t>
      </w:r>
      <w:r w:rsidRPr="00DB0C40">
        <w:rPr>
          <w:rFonts w:asciiTheme="minorHAnsi" w:eastAsia="Calibri Light" w:hAnsiTheme="minorHAnsi" w:cstheme="minorHAnsi"/>
          <w:sz w:val="22"/>
          <w:szCs w:val="22"/>
        </w:rPr>
        <w:t>to</w:t>
      </w:r>
      <w:r w:rsidRPr="00DB0C40">
        <w:rPr>
          <w:rFonts w:asciiTheme="minorHAnsi" w:eastAsia="Calibri Light" w:hAnsiTheme="minorHAnsi" w:cstheme="minorHAnsi"/>
          <w:spacing w:val="-5"/>
          <w:sz w:val="22"/>
          <w:szCs w:val="22"/>
        </w:rPr>
        <w:t xml:space="preserve"> </w:t>
      </w:r>
      <w:r w:rsidRPr="00DB0C40">
        <w:rPr>
          <w:rFonts w:asciiTheme="minorHAnsi" w:eastAsia="Calibri Light" w:hAnsiTheme="minorHAnsi" w:cstheme="minorHAnsi"/>
          <w:sz w:val="22"/>
          <w:szCs w:val="22"/>
        </w:rPr>
        <w:t>work</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in</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some</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non‐standard</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forms</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of</w:t>
      </w:r>
      <w:r w:rsidRPr="00DB0C40">
        <w:rPr>
          <w:rFonts w:asciiTheme="minorHAnsi" w:eastAsia="Calibri Light" w:hAnsiTheme="minorHAnsi" w:cstheme="minorHAnsi"/>
          <w:spacing w:val="-2"/>
          <w:sz w:val="22"/>
          <w:szCs w:val="22"/>
        </w:rPr>
        <w:t xml:space="preserve"> </w:t>
      </w:r>
      <w:r w:rsidRPr="00DB0C40">
        <w:rPr>
          <w:rFonts w:asciiTheme="minorHAnsi" w:eastAsia="Calibri Light" w:hAnsiTheme="minorHAnsi" w:cstheme="minorHAnsi"/>
          <w:sz w:val="22"/>
          <w:szCs w:val="22"/>
        </w:rPr>
        <w:t>employment</w:t>
      </w:r>
      <w:r w:rsidRPr="00DB0C40">
        <w:rPr>
          <w:rFonts w:asciiTheme="minorHAnsi" w:eastAsia="Calibri Light" w:hAnsiTheme="minorHAnsi" w:cstheme="minorHAnsi"/>
          <w:spacing w:val="-3"/>
          <w:sz w:val="22"/>
          <w:szCs w:val="22"/>
        </w:rPr>
        <w:t xml:space="preserve"> </w:t>
      </w:r>
      <w:r w:rsidRPr="00DB0C40">
        <w:rPr>
          <w:rFonts w:asciiTheme="minorHAnsi" w:eastAsia="Calibri Light" w:hAnsiTheme="minorHAnsi" w:cstheme="minorHAnsi"/>
          <w:sz w:val="22"/>
          <w:szCs w:val="22"/>
        </w:rPr>
        <w:t>(NSFE),</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i.e.</w:t>
      </w:r>
      <w:r w:rsidRPr="00DB0C40">
        <w:rPr>
          <w:rFonts w:asciiTheme="minorHAnsi" w:eastAsia="Calibri Light" w:hAnsiTheme="minorHAnsi" w:cstheme="minorHAnsi"/>
          <w:spacing w:val="-47"/>
          <w:sz w:val="22"/>
          <w:szCs w:val="22"/>
        </w:rPr>
        <w:t xml:space="preserve">  </w:t>
      </w:r>
      <w:r w:rsidRPr="00DB0C40">
        <w:rPr>
          <w:rFonts w:asciiTheme="minorHAnsi" w:eastAsia="Calibri Light" w:hAnsiTheme="minorHAnsi" w:cstheme="minorHAnsi"/>
          <w:sz w:val="22"/>
          <w:szCs w:val="22"/>
        </w:rPr>
        <w:t>temporary employment, part‐time and on‐call work, temporary agency work and other multi-party</w:t>
      </w:r>
      <w:r w:rsidRPr="00DB0C40">
        <w:rPr>
          <w:rFonts w:asciiTheme="minorHAnsi" w:eastAsia="Calibri Light" w:hAnsiTheme="minorHAnsi" w:cstheme="minorHAnsi"/>
          <w:spacing w:val="1"/>
          <w:sz w:val="22"/>
          <w:szCs w:val="22"/>
        </w:rPr>
        <w:t xml:space="preserve"> </w:t>
      </w:r>
      <w:r w:rsidRPr="00DB0C40">
        <w:rPr>
          <w:rFonts w:asciiTheme="minorHAnsi" w:eastAsia="Calibri Light" w:hAnsiTheme="minorHAnsi" w:cstheme="minorHAnsi"/>
          <w:sz w:val="22"/>
          <w:szCs w:val="22"/>
        </w:rPr>
        <w:t>employment</w:t>
      </w:r>
      <w:r w:rsidRPr="00DB0C40">
        <w:rPr>
          <w:rFonts w:asciiTheme="minorHAnsi" w:eastAsia="Calibri Light" w:hAnsiTheme="minorHAnsi" w:cstheme="minorHAnsi"/>
          <w:spacing w:val="-6"/>
          <w:sz w:val="22"/>
          <w:szCs w:val="22"/>
        </w:rPr>
        <w:t xml:space="preserve"> </w:t>
      </w:r>
      <w:r w:rsidRPr="00DB0C40">
        <w:rPr>
          <w:rFonts w:asciiTheme="minorHAnsi" w:eastAsia="Calibri Light" w:hAnsiTheme="minorHAnsi" w:cstheme="minorHAnsi"/>
          <w:sz w:val="22"/>
          <w:szCs w:val="22"/>
        </w:rPr>
        <w:t>relationships,</w:t>
      </w:r>
      <w:r w:rsidRPr="00DB0C40">
        <w:rPr>
          <w:rFonts w:asciiTheme="minorHAnsi" w:eastAsia="Calibri Light" w:hAnsiTheme="minorHAnsi" w:cstheme="minorHAnsi"/>
          <w:spacing w:val="-7"/>
          <w:sz w:val="22"/>
          <w:szCs w:val="22"/>
        </w:rPr>
        <w:t xml:space="preserve"> </w:t>
      </w:r>
      <w:r w:rsidRPr="00DB0C40">
        <w:rPr>
          <w:rFonts w:asciiTheme="minorHAnsi" w:eastAsia="Calibri Light" w:hAnsiTheme="minorHAnsi" w:cstheme="minorHAnsi"/>
          <w:sz w:val="22"/>
          <w:szCs w:val="22"/>
        </w:rPr>
        <w:t>as</w:t>
      </w:r>
      <w:r w:rsidRPr="00DB0C40">
        <w:rPr>
          <w:rFonts w:asciiTheme="minorHAnsi" w:eastAsia="Calibri Light" w:hAnsiTheme="minorHAnsi" w:cstheme="minorHAnsi"/>
          <w:spacing w:val="-7"/>
          <w:sz w:val="22"/>
          <w:szCs w:val="22"/>
        </w:rPr>
        <w:t xml:space="preserve"> </w:t>
      </w:r>
      <w:r w:rsidRPr="00DB0C40">
        <w:rPr>
          <w:rFonts w:asciiTheme="minorHAnsi" w:eastAsia="Calibri Light" w:hAnsiTheme="minorHAnsi" w:cstheme="minorHAnsi"/>
          <w:sz w:val="22"/>
          <w:szCs w:val="22"/>
        </w:rPr>
        <w:t>well</w:t>
      </w:r>
      <w:r w:rsidRPr="00DB0C40">
        <w:rPr>
          <w:rFonts w:asciiTheme="minorHAnsi" w:eastAsia="Calibri Light" w:hAnsiTheme="minorHAnsi" w:cstheme="minorHAnsi"/>
          <w:spacing w:val="-7"/>
          <w:sz w:val="22"/>
          <w:szCs w:val="22"/>
        </w:rPr>
        <w:t xml:space="preserve"> </w:t>
      </w:r>
      <w:r w:rsidRPr="00DB0C40">
        <w:rPr>
          <w:rFonts w:asciiTheme="minorHAnsi" w:eastAsia="Calibri Light" w:hAnsiTheme="minorHAnsi" w:cstheme="minorHAnsi"/>
          <w:sz w:val="22"/>
          <w:szCs w:val="22"/>
        </w:rPr>
        <w:t>as</w:t>
      </w:r>
      <w:r w:rsidRPr="00DB0C40">
        <w:rPr>
          <w:rFonts w:asciiTheme="minorHAnsi" w:eastAsia="Calibri Light" w:hAnsiTheme="minorHAnsi" w:cstheme="minorHAnsi"/>
          <w:spacing w:val="-6"/>
          <w:sz w:val="22"/>
          <w:szCs w:val="22"/>
        </w:rPr>
        <w:t xml:space="preserve"> </w:t>
      </w:r>
      <w:r w:rsidRPr="00DB0C40">
        <w:rPr>
          <w:rFonts w:asciiTheme="minorHAnsi" w:eastAsia="Calibri Light" w:hAnsiTheme="minorHAnsi" w:cstheme="minorHAnsi"/>
          <w:sz w:val="22"/>
          <w:szCs w:val="22"/>
        </w:rPr>
        <w:t>disguised</w:t>
      </w:r>
      <w:r w:rsidRPr="00DB0C40">
        <w:rPr>
          <w:rFonts w:asciiTheme="minorHAnsi" w:eastAsia="Calibri Light" w:hAnsiTheme="minorHAnsi" w:cstheme="minorHAnsi"/>
          <w:spacing w:val="-6"/>
          <w:sz w:val="22"/>
          <w:szCs w:val="22"/>
        </w:rPr>
        <w:t xml:space="preserve"> </w:t>
      </w:r>
      <w:r w:rsidRPr="00DB0C40">
        <w:rPr>
          <w:rFonts w:asciiTheme="minorHAnsi" w:eastAsia="Calibri Light" w:hAnsiTheme="minorHAnsi" w:cstheme="minorHAnsi"/>
          <w:sz w:val="22"/>
          <w:szCs w:val="22"/>
        </w:rPr>
        <w:t>employment</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and</w:t>
      </w:r>
      <w:r w:rsidRPr="00DB0C40">
        <w:rPr>
          <w:rFonts w:asciiTheme="minorHAnsi" w:eastAsia="Calibri Light" w:hAnsiTheme="minorHAnsi" w:cstheme="minorHAnsi"/>
          <w:spacing w:val="-7"/>
          <w:sz w:val="22"/>
          <w:szCs w:val="22"/>
        </w:rPr>
        <w:t xml:space="preserve"> </w:t>
      </w:r>
      <w:r w:rsidRPr="00DB0C40">
        <w:rPr>
          <w:rFonts w:asciiTheme="minorHAnsi" w:eastAsia="Calibri Light" w:hAnsiTheme="minorHAnsi" w:cstheme="minorHAnsi"/>
          <w:sz w:val="22"/>
          <w:szCs w:val="22"/>
        </w:rPr>
        <w:t>dependent</w:t>
      </w:r>
      <w:r w:rsidRPr="00DB0C40">
        <w:rPr>
          <w:rFonts w:asciiTheme="minorHAnsi" w:eastAsia="Calibri Light" w:hAnsiTheme="minorHAnsi" w:cstheme="minorHAnsi"/>
          <w:spacing w:val="-7"/>
          <w:sz w:val="22"/>
          <w:szCs w:val="22"/>
        </w:rPr>
        <w:t xml:space="preserve"> </w:t>
      </w:r>
      <w:r w:rsidRPr="00DB0C40">
        <w:rPr>
          <w:rFonts w:asciiTheme="minorHAnsi" w:eastAsia="Calibri Light" w:hAnsiTheme="minorHAnsi" w:cstheme="minorHAnsi"/>
          <w:sz w:val="22"/>
          <w:szCs w:val="22"/>
        </w:rPr>
        <w:t>self‐employment.</w:t>
      </w:r>
      <w:r w:rsidRPr="00DB0C40">
        <w:rPr>
          <w:rFonts w:asciiTheme="minorHAnsi" w:eastAsia="Calibri Light" w:hAnsiTheme="minorHAnsi" w:cstheme="minorHAnsi"/>
          <w:spacing w:val="-6"/>
          <w:sz w:val="22"/>
          <w:szCs w:val="22"/>
        </w:rPr>
        <w:t xml:space="preserve"> </w:t>
      </w:r>
      <w:r w:rsidRPr="00DB0C40">
        <w:rPr>
          <w:rFonts w:asciiTheme="minorHAnsi" w:eastAsia="Calibri Light" w:hAnsiTheme="minorHAnsi" w:cstheme="minorHAnsi"/>
          <w:sz w:val="22"/>
          <w:szCs w:val="22"/>
        </w:rPr>
        <w:t>In</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2017,</w:t>
      </w:r>
      <w:r w:rsidRPr="00DB0C40">
        <w:rPr>
          <w:rFonts w:asciiTheme="minorHAnsi" w:eastAsia="Calibri Light" w:hAnsiTheme="minorHAnsi" w:cstheme="minorHAnsi"/>
          <w:spacing w:val="-47"/>
          <w:sz w:val="22"/>
          <w:szCs w:val="22"/>
        </w:rPr>
        <w:t xml:space="preserve"> </w:t>
      </w:r>
      <w:r w:rsidRPr="00DB0C40">
        <w:rPr>
          <w:rFonts w:asciiTheme="minorHAnsi" w:eastAsia="Calibri Light" w:hAnsiTheme="minorHAnsi" w:cstheme="minorHAnsi"/>
          <w:sz w:val="22"/>
          <w:szCs w:val="22"/>
        </w:rPr>
        <w:t>in all G20 countries, the share of part‐time employment in total employment was higher for women</w:t>
      </w:r>
      <w:r w:rsidRPr="00DB0C40">
        <w:rPr>
          <w:rFonts w:asciiTheme="minorHAnsi" w:eastAsia="Calibri Light" w:hAnsiTheme="minorHAnsi" w:cstheme="minorHAnsi"/>
          <w:spacing w:val="1"/>
          <w:sz w:val="22"/>
          <w:szCs w:val="22"/>
        </w:rPr>
        <w:t xml:space="preserve"> </w:t>
      </w:r>
      <w:r w:rsidRPr="00DB0C40">
        <w:rPr>
          <w:rFonts w:asciiTheme="minorHAnsi" w:eastAsia="Calibri Light" w:hAnsiTheme="minorHAnsi" w:cstheme="minorHAnsi"/>
          <w:sz w:val="22"/>
          <w:szCs w:val="22"/>
        </w:rPr>
        <w:t>than</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men.</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The</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gender</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gap</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in</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part‐time</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share</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of</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employment</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is</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around</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30</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percentage</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points</w:t>
      </w:r>
      <w:r w:rsidRPr="00DB0C40">
        <w:rPr>
          <w:rFonts w:asciiTheme="minorHAnsi" w:eastAsia="Calibri Light" w:hAnsiTheme="minorHAnsi" w:cstheme="minorHAnsi"/>
          <w:spacing w:val="-48"/>
          <w:sz w:val="22"/>
          <w:szCs w:val="22"/>
        </w:rPr>
        <w:t xml:space="preserve"> </w:t>
      </w:r>
      <w:r w:rsidRPr="00DB0C40">
        <w:rPr>
          <w:rFonts w:asciiTheme="minorHAnsi" w:eastAsia="Calibri Light" w:hAnsiTheme="minorHAnsi" w:cstheme="minorHAnsi"/>
          <w:sz w:val="22"/>
          <w:szCs w:val="22"/>
        </w:rPr>
        <w:t>or</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more</w:t>
      </w:r>
      <w:r w:rsidRPr="00DB0C40">
        <w:rPr>
          <w:rFonts w:asciiTheme="minorHAnsi" w:eastAsia="Calibri Light" w:hAnsiTheme="minorHAnsi" w:cstheme="minorHAnsi"/>
          <w:spacing w:val="-5"/>
          <w:sz w:val="22"/>
          <w:szCs w:val="22"/>
        </w:rPr>
        <w:t xml:space="preserve"> </w:t>
      </w:r>
      <w:r w:rsidRPr="00DB0C40">
        <w:rPr>
          <w:rFonts w:asciiTheme="minorHAnsi" w:eastAsia="Calibri Light" w:hAnsiTheme="minorHAnsi" w:cstheme="minorHAnsi"/>
          <w:sz w:val="22"/>
          <w:szCs w:val="22"/>
        </w:rPr>
        <w:t>in</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Germany,</w:t>
      </w:r>
      <w:r w:rsidRPr="00DB0C40">
        <w:rPr>
          <w:rFonts w:asciiTheme="minorHAnsi" w:eastAsia="Calibri Light" w:hAnsiTheme="minorHAnsi" w:cstheme="minorHAnsi"/>
          <w:spacing w:val="-2"/>
          <w:sz w:val="22"/>
          <w:szCs w:val="22"/>
        </w:rPr>
        <w:t xml:space="preserve"> </w:t>
      </w:r>
      <w:r w:rsidRPr="00DB0C40">
        <w:rPr>
          <w:rFonts w:asciiTheme="minorHAnsi" w:eastAsia="Calibri Light" w:hAnsiTheme="minorHAnsi" w:cstheme="minorHAnsi"/>
          <w:sz w:val="22"/>
          <w:szCs w:val="22"/>
        </w:rPr>
        <w:t>Italy,</w:t>
      </w:r>
      <w:r w:rsidRPr="00DB0C40">
        <w:rPr>
          <w:rFonts w:asciiTheme="minorHAnsi" w:eastAsia="Calibri Light" w:hAnsiTheme="minorHAnsi" w:cstheme="minorHAnsi"/>
          <w:spacing w:val="-3"/>
          <w:sz w:val="22"/>
          <w:szCs w:val="22"/>
        </w:rPr>
        <w:t xml:space="preserve"> </w:t>
      </w:r>
      <w:r w:rsidRPr="00DB0C40">
        <w:rPr>
          <w:rFonts w:asciiTheme="minorHAnsi" w:eastAsia="Calibri Light" w:hAnsiTheme="minorHAnsi" w:cstheme="minorHAnsi"/>
          <w:sz w:val="22"/>
          <w:szCs w:val="22"/>
        </w:rPr>
        <w:t>the</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United</w:t>
      </w:r>
      <w:r w:rsidRPr="00DB0C40">
        <w:rPr>
          <w:rFonts w:asciiTheme="minorHAnsi" w:eastAsia="Calibri Light" w:hAnsiTheme="minorHAnsi" w:cstheme="minorHAnsi"/>
          <w:spacing w:val="-2"/>
          <w:sz w:val="22"/>
          <w:szCs w:val="22"/>
        </w:rPr>
        <w:t xml:space="preserve"> </w:t>
      </w:r>
      <w:r w:rsidRPr="00DB0C40">
        <w:rPr>
          <w:rFonts w:asciiTheme="minorHAnsi" w:eastAsia="Calibri Light" w:hAnsiTheme="minorHAnsi" w:cstheme="minorHAnsi"/>
          <w:sz w:val="22"/>
          <w:szCs w:val="22"/>
        </w:rPr>
        <w:t>Kingdom,</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Argentina,</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Australia</w:t>
      </w:r>
      <w:r w:rsidRPr="00DB0C40">
        <w:rPr>
          <w:rFonts w:asciiTheme="minorHAnsi" w:eastAsia="Calibri Light" w:hAnsiTheme="minorHAnsi" w:cstheme="minorHAnsi"/>
          <w:spacing w:val="-3"/>
          <w:sz w:val="22"/>
          <w:szCs w:val="22"/>
        </w:rPr>
        <w:t xml:space="preserve"> </w:t>
      </w:r>
      <w:r w:rsidRPr="00DB0C40">
        <w:rPr>
          <w:rFonts w:asciiTheme="minorHAnsi" w:eastAsia="Calibri Light" w:hAnsiTheme="minorHAnsi" w:cstheme="minorHAnsi"/>
          <w:sz w:val="22"/>
          <w:szCs w:val="22"/>
        </w:rPr>
        <w:t>and</w:t>
      </w:r>
      <w:r w:rsidRPr="00DB0C40">
        <w:rPr>
          <w:rFonts w:asciiTheme="minorHAnsi" w:eastAsia="Calibri Light" w:hAnsiTheme="minorHAnsi" w:cstheme="minorHAnsi"/>
          <w:spacing w:val="-3"/>
          <w:sz w:val="22"/>
          <w:szCs w:val="22"/>
        </w:rPr>
        <w:t xml:space="preserve"> </w:t>
      </w:r>
      <w:r w:rsidRPr="00DB0C40">
        <w:rPr>
          <w:rFonts w:asciiTheme="minorHAnsi" w:eastAsia="Calibri Light" w:hAnsiTheme="minorHAnsi" w:cstheme="minorHAnsi"/>
          <w:sz w:val="22"/>
          <w:szCs w:val="22"/>
        </w:rPr>
        <w:t>Japan.</w:t>
      </w:r>
      <w:r w:rsidRPr="00DB0C40">
        <w:rPr>
          <w:rFonts w:asciiTheme="minorHAnsi" w:eastAsia="Calibri Light" w:hAnsiTheme="minorHAnsi" w:cstheme="minorHAnsi"/>
          <w:spacing w:val="-3"/>
          <w:sz w:val="22"/>
          <w:szCs w:val="22"/>
        </w:rPr>
        <w:t xml:space="preserve"> </w:t>
      </w:r>
      <w:r w:rsidRPr="00DB0C40">
        <w:rPr>
          <w:rFonts w:asciiTheme="minorHAnsi" w:eastAsia="Calibri Light" w:hAnsiTheme="minorHAnsi" w:cstheme="minorHAnsi"/>
          <w:sz w:val="22"/>
          <w:szCs w:val="22"/>
        </w:rPr>
        <w:t>Since</w:t>
      </w:r>
      <w:r w:rsidRPr="00DB0C40">
        <w:rPr>
          <w:rFonts w:asciiTheme="minorHAnsi" w:eastAsia="Calibri Light" w:hAnsiTheme="minorHAnsi" w:cstheme="minorHAnsi"/>
          <w:spacing w:val="-5"/>
          <w:sz w:val="22"/>
          <w:szCs w:val="22"/>
        </w:rPr>
        <w:t xml:space="preserve"> </w:t>
      </w:r>
      <w:r w:rsidRPr="00DB0C40">
        <w:rPr>
          <w:rFonts w:asciiTheme="minorHAnsi" w:eastAsia="Calibri Light" w:hAnsiTheme="minorHAnsi" w:cstheme="minorHAnsi"/>
          <w:sz w:val="22"/>
          <w:szCs w:val="22"/>
        </w:rPr>
        <w:t>2012,</w:t>
      </w:r>
      <w:r w:rsidRPr="00DB0C40">
        <w:rPr>
          <w:rFonts w:asciiTheme="minorHAnsi" w:eastAsia="Calibri Light" w:hAnsiTheme="minorHAnsi" w:cstheme="minorHAnsi"/>
          <w:spacing w:val="-3"/>
          <w:sz w:val="22"/>
          <w:szCs w:val="22"/>
        </w:rPr>
        <w:t xml:space="preserve"> </w:t>
      </w:r>
      <w:r w:rsidRPr="00DB0C40">
        <w:rPr>
          <w:rFonts w:asciiTheme="minorHAnsi" w:eastAsia="Calibri Light" w:hAnsiTheme="minorHAnsi" w:cstheme="minorHAnsi"/>
          <w:sz w:val="22"/>
          <w:szCs w:val="22"/>
        </w:rPr>
        <w:t>there</w:t>
      </w:r>
      <w:r w:rsidRPr="00DB0C40">
        <w:rPr>
          <w:rFonts w:asciiTheme="minorHAnsi" w:eastAsia="Calibri Light" w:hAnsiTheme="minorHAnsi" w:cstheme="minorHAnsi"/>
          <w:spacing w:val="-5"/>
          <w:sz w:val="22"/>
          <w:szCs w:val="22"/>
        </w:rPr>
        <w:t xml:space="preserve"> </w:t>
      </w:r>
      <w:r w:rsidRPr="00DB0C40">
        <w:rPr>
          <w:rFonts w:asciiTheme="minorHAnsi" w:eastAsia="Calibri Light" w:hAnsiTheme="minorHAnsi" w:cstheme="minorHAnsi"/>
          <w:sz w:val="22"/>
          <w:szCs w:val="22"/>
        </w:rPr>
        <w:t xml:space="preserve">have </w:t>
      </w:r>
      <w:r w:rsidRPr="00DB0C40">
        <w:rPr>
          <w:rFonts w:asciiTheme="minorHAnsi" w:eastAsia="Calibri Light" w:hAnsiTheme="minorHAnsi" w:cstheme="minorHAnsi"/>
          <w:spacing w:val="-47"/>
          <w:sz w:val="22"/>
          <w:szCs w:val="22"/>
        </w:rPr>
        <w:t xml:space="preserve"> </w:t>
      </w:r>
      <w:r w:rsidRPr="00DB0C40">
        <w:rPr>
          <w:rFonts w:asciiTheme="minorHAnsi" w:eastAsia="Calibri Light" w:hAnsiTheme="minorHAnsi" w:cstheme="minorHAnsi"/>
          <w:sz w:val="22"/>
          <w:szCs w:val="22"/>
        </w:rPr>
        <w:t>been mixed trends across G20 countries in the importance of part‐time work as a share of total</w:t>
      </w:r>
      <w:r w:rsidRPr="00DB0C40">
        <w:rPr>
          <w:rFonts w:asciiTheme="minorHAnsi" w:eastAsia="Calibri Light" w:hAnsiTheme="minorHAnsi" w:cstheme="minorHAnsi"/>
          <w:spacing w:val="1"/>
          <w:sz w:val="22"/>
          <w:szCs w:val="22"/>
        </w:rPr>
        <w:t xml:space="preserve"> </w:t>
      </w:r>
      <w:r w:rsidRPr="00DB0C40">
        <w:rPr>
          <w:rFonts w:asciiTheme="minorHAnsi" w:eastAsia="Calibri Light" w:hAnsiTheme="minorHAnsi" w:cstheme="minorHAnsi"/>
          <w:spacing w:val="-1"/>
          <w:sz w:val="22"/>
          <w:szCs w:val="22"/>
        </w:rPr>
        <w:t>employment.</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pacing w:val="-1"/>
          <w:sz w:val="22"/>
          <w:szCs w:val="22"/>
        </w:rPr>
        <w:t>There</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pacing w:val="-1"/>
          <w:sz w:val="22"/>
          <w:szCs w:val="22"/>
        </w:rPr>
        <w:t>have</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pacing w:val="-1"/>
          <w:sz w:val="22"/>
          <w:szCs w:val="22"/>
        </w:rPr>
        <w:t>been</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pacing w:val="-1"/>
          <w:sz w:val="22"/>
          <w:szCs w:val="22"/>
        </w:rPr>
        <w:t>small</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rises</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in</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some</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countries</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but</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also</w:t>
      </w:r>
      <w:r w:rsidRPr="00DB0C40">
        <w:rPr>
          <w:rFonts w:asciiTheme="minorHAnsi" w:eastAsia="Calibri Light" w:hAnsiTheme="minorHAnsi" w:cstheme="minorHAnsi"/>
          <w:spacing w:val="-13"/>
          <w:sz w:val="22"/>
          <w:szCs w:val="22"/>
        </w:rPr>
        <w:t xml:space="preserve"> </w:t>
      </w:r>
      <w:r w:rsidRPr="00DB0C40">
        <w:rPr>
          <w:rFonts w:asciiTheme="minorHAnsi" w:eastAsia="Calibri Light" w:hAnsiTheme="minorHAnsi" w:cstheme="minorHAnsi"/>
          <w:sz w:val="22"/>
          <w:szCs w:val="22"/>
        </w:rPr>
        <w:t>small</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falls</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in</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others.</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These</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changes</w:t>
      </w:r>
      <w:r w:rsidRPr="00DB0C40">
        <w:rPr>
          <w:rFonts w:asciiTheme="minorHAnsi" w:eastAsia="Calibri Light" w:hAnsiTheme="minorHAnsi" w:cstheme="minorHAnsi"/>
          <w:spacing w:val="-47"/>
          <w:sz w:val="22"/>
          <w:szCs w:val="22"/>
        </w:rPr>
        <w:t xml:space="preserve"> </w:t>
      </w:r>
      <w:r w:rsidRPr="00DB0C40">
        <w:rPr>
          <w:rFonts w:asciiTheme="minorHAnsi" w:eastAsia="Calibri Light" w:hAnsiTheme="minorHAnsi" w:cstheme="minorHAnsi"/>
          <w:sz w:val="22"/>
          <w:szCs w:val="22"/>
        </w:rPr>
        <w:t>have</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been</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similar</w:t>
      </w:r>
      <w:r w:rsidRPr="00DB0C40">
        <w:rPr>
          <w:rFonts w:asciiTheme="minorHAnsi" w:eastAsia="Calibri Light" w:hAnsiTheme="minorHAnsi" w:cstheme="minorHAnsi"/>
          <w:spacing w:val="-9"/>
          <w:sz w:val="22"/>
          <w:szCs w:val="22"/>
        </w:rPr>
        <w:t xml:space="preserve"> </w:t>
      </w:r>
      <w:r w:rsidRPr="00DB0C40">
        <w:rPr>
          <w:rFonts w:asciiTheme="minorHAnsi" w:eastAsia="Calibri Light" w:hAnsiTheme="minorHAnsi" w:cstheme="minorHAnsi"/>
          <w:sz w:val="22"/>
          <w:szCs w:val="22"/>
        </w:rPr>
        <w:t>for</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women</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and</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men</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in</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most</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countries,</w:t>
      </w:r>
      <w:r w:rsidRPr="00DB0C40">
        <w:rPr>
          <w:rFonts w:asciiTheme="minorHAnsi" w:eastAsia="Calibri Light" w:hAnsiTheme="minorHAnsi" w:cstheme="minorHAnsi"/>
          <w:spacing w:val="-9"/>
          <w:sz w:val="22"/>
          <w:szCs w:val="22"/>
        </w:rPr>
        <w:t xml:space="preserve"> </w:t>
      </w:r>
      <w:r w:rsidRPr="00DB0C40">
        <w:rPr>
          <w:rFonts w:asciiTheme="minorHAnsi" w:eastAsia="Calibri Light" w:hAnsiTheme="minorHAnsi" w:cstheme="minorHAnsi"/>
          <w:sz w:val="22"/>
          <w:szCs w:val="22"/>
        </w:rPr>
        <w:t>and</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consequently</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there</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has</w:t>
      </w:r>
      <w:r w:rsidRPr="00DB0C40">
        <w:rPr>
          <w:rFonts w:asciiTheme="minorHAnsi" w:eastAsia="Calibri Light" w:hAnsiTheme="minorHAnsi" w:cstheme="minorHAnsi"/>
          <w:spacing w:val="-13"/>
          <w:sz w:val="22"/>
          <w:szCs w:val="22"/>
        </w:rPr>
        <w:t xml:space="preserve"> </w:t>
      </w:r>
      <w:r w:rsidRPr="00DB0C40">
        <w:rPr>
          <w:rFonts w:asciiTheme="minorHAnsi" w:eastAsia="Calibri Light" w:hAnsiTheme="minorHAnsi" w:cstheme="minorHAnsi"/>
          <w:sz w:val="22"/>
          <w:szCs w:val="22"/>
        </w:rPr>
        <w:t>been</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little</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change</w:t>
      </w:r>
      <w:r w:rsidRPr="00DB0C40">
        <w:rPr>
          <w:rFonts w:asciiTheme="minorHAnsi" w:eastAsia="Calibri Light" w:hAnsiTheme="minorHAnsi" w:cstheme="minorHAnsi"/>
          <w:spacing w:val="-48"/>
          <w:sz w:val="22"/>
          <w:szCs w:val="22"/>
        </w:rPr>
        <w:t xml:space="preserve"> </w:t>
      </w:r>
      <w:r w:rsidRPr="00DB0C40">
        <w:rPr>
          <w:rFonts w:asciiTheme="minorHAnsi" w:eastAsia="Calibri Light" w:hAnsiTheme="minorHAnsi" w:cstheme="minorHAnsi"/>
          <w:spacing w:val="-2"/>
          <w:sz w:val="22"/>
          <w:szCs w:val="22"/>
        </w:rPr>
        <w:t>in</w:t>
      </w:r>
      <w:r w:rsidRPr="00DB0C40">
        <w:rPr>
          <w:rFonts w:asciiTheme="minorHAnsi" w:eastAsia="Calibri Light" w:hAnsiTheme="minorHAnsi" w:cstheme="minorHAnsi"/>
          <w:spacing w:val="-13"/>
          <w:sz w:val="22"/>
          <w:szCs w:val="22"/>
        </w:rPr>
        <w:t xml:space="preserve"> </w:t>
      </w:r>
      <w:r w:rsidRPr="00DB0C40">
        <w:rPr>
          <w:rFonts w:asciiTheme="minorHAnsi" w:eastAsia="Calibri Light" w:hAnsiTheme="minorHAnsi" w:cstheme="minorHAnsi"/>
          <w:spacing w:val="-2"/>
          <w:sz w:val="22"/>
          <w:szCs w:val="22"/>
        </w:rPr>
        <w:t>the</w:t>
      </w:r>
      <w:r w:rsidRPr="00DB0C40">
        <w:rPr>
          <w:rFonts w:asciiTheme="minorHAnsi" w:eastAsia="Calibri Light" w:hAnsiTheme="minorHAnsi" w:cstheme="minorHAnsi"/>
          <w:spacing w:val="-15"/>
          <w:sz w:val="22"/>
          <w:szCs w:val="22"/>
        </w:rPr>
        <w:t xml:space="preserve"> </w:t>
      </w:r>
      <w:r w:rsidRPr="00DB0C40">
        <w:rPr>
          <w:rFonts w:asciiTheme="minorHAnsi" w:eastAsia="Calibri Light" w:hAnsiTheme="minorHAnsi" w:cstheme="minorHAnsi"/>
          <w:spacing w:val="-2"/>
          <w:sz w:val="22"/>
          <w:szCs w:val="22"/>
        </w:rPr>
        <w:t>often</w:t>
      </w:r>
      <w:r w:rsidRPr="00DB0C40">
        <w:rPr>
          <w:rFonts w:asciiTheme="minorHAnsi" w:eastAsia="Calibri Light" w:hAnsiTheme="minorHAnsi" w:cstheme="minorHAnsi"/>
          <w:spacing w:val="-12"/>
          <w:sz w:val="22"/>
          <w:szCs w:val="22"/>
        </w:rPr>
        <w:t>-large</w:t>
      </w:r>
      <w:r w:rsidRPr="00DB0C40">
        <w:rPr>
          <w:rFonts w:asciiTheme="minorHAnsi" w:eastAsia="Calibri Light" w:hAnsiTheme="minorHAnsi" w:cstheme="minorHAnsi"/>
          <w:spacing w:val="-2"/>
          <w:sz w:val="22"/>
          <w:szCs w:val="22"/>
        </w:rPr>
        <w:t xml:space="preserve"> gender</w:t>
      </w:r>
      <w:r w:rsidRPr="00DB0C40">
        <w:rPr>
          <w:rFonts w:asciiTheme="minorHAnsi" w:eastAsia="Calibri Light" w:hAnsiTheme="minorHAnsi" w:cstheme="minorHAnsi"/>
          <w:spacing w:val="-13"/>
          <w:sz w:val="22"/>
          <w:szCs w:val="22"/>
        </w:rPr>
        <w:t xml:space="preserve"> </w:t>
      </w:r>
      <w:r w:rsidRPr="00DB0C40">
        <w:rPr>
          <w:rFonts w:asciiTheme="minorHAnsi" w:eastAsia="Calibri Light" w:hAnsiTheme="minorHAnsi" w:cstheme="minorHAnsi"/>
          <w:spacing w:val="-2"/>
          <w:sz w:val="22"/>
          <w:szCs w:val="22"/>
        </w:rPr>
        <w:t>gap</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pacing w:val="-2"/>
          <w:sz w:val="22"/>
          <w:szCs w:val="22"/>
        </w:rPr>
        <w:t>in</w:t>
      </w:r>
      <w:r w:rsidRPr="00DB0C40">
        <w:rPr>
          <w:rFonts w:asciiTheme="minorHAnsi" w:eastAsia="Calibri Light" w:hAnsiTheme="minorHAnsi" w:cstheme="minorHAnsi"/>
          <w:spacing w:val="-13"/>
          <w:sz w:val="22"/>
          <w:szCs w:val="22"/>
        </w:rPr>
        <w:t xml:space="preserve"> </w:t>
      </w:r>
      <w:r w:rsidRPr="00DB0C40">
        <w:rPr>
          <w:rFonts w:asciiTheme="minorHAnsi" w:eastAsia="Calibri Light" w:hAnsiTheme="minorHAnsi" w:cstheme="minorHAnsi"/>
          <w:spacing w:val="-2"/>
          <w:sz w:val="22"/>
          <w:szCs w:val="22"/>
        </w:rPr>
        <w:t>the</w:t>
      </w:r>
      <w:r w:rsidRPr="00DB0C40">
        <w:rPr>
          <w:rFonts w:asciiTheme="minorHAnsi" w:eastAsia="Calibri Light" w:hAnsiTheme="minorHAnsi" w:cstheme="minorHAnsi"/>
          <w:spacing w:val="-15"/>
          <w:sz w:val="22"/>
          <w:szCs w:val="22"/>
        </w:rPr>
        <w:t xml:space="preserve"> </w:t>
      </w:r>
      <w:r w:rsidRPr="00DB0C40">
        <w:rPr>
          <w:rFonts w:asciiTheme="minorHAnsi" w:eastAsia="Calibri Light" w:hAnsiTheme="minorHAnsi" w:cstheme="minorHAnsi"/>
          <w:spacing w:val="-2"/>
          <w:sz w:val="22"/>
          <w:szCs w:val="22"/>
        </w:rPr>
        <w:t>incidence</w:t>
      </w:r>
      <w:r w:rsidRPr="00DB0C40">
        <w:rPr>
          <w:rFonts w:asciiTheme="minorHAnsi" w:eastAsia="Calibri Light" w:hAnsiTheme="minorHAnsi" w:cstheme="minorHAnsi"/>
          <w:spacing w:val="-14"/>
          <w:sz w:val="22"/>
          <w:szCs w:val="22"/>
        </w:rPr>
        <w:t xml:space="preserve"> </w:t>
      </w:r>
      <w:r w:rsidRPr="00DB0C40">
        <w:rPr>
          <w:rFonts w:asciiTheme="minorHAnsi" w:eastAsia="Calibri Light" w:hAnsiTheme="minorHAnsi" w:cstheme="minorHAnsi"/>
          <w:spacing w:val="-1"/>
          <w:sz w:val="22"/>
          <w:szCs w:val="22"/>
        </w:rPr>
        <w:t>of</w:t>
      </w:r>
      <w:r w:rsidRPr="00DB0C40">
        <w:rPr>
          <w:rFonts w:asciiTheme="minorHAnsi" w:eastAsia="Calibri Light" w:hAnsiTheme="minorHAnsi" w:cstheme="minorHAnsi"/>
          <w:spacing w:val="-13"/>
          <w:sz w:val="22"/>
          <w:szCs w:val="22"/>
        </w:rPr>
        <w:t xml:space="preserve"> </w:t>
      </w:r>
      <w:r w:rsidRPr="00DB0C40">
        <w:rPr>
          <w:rFonts w:asciiTheme="minorHAnsi" w:eastAsia="Calibri Light" w:hAnsiTheme="minorHAnsi" w:cstheme="minorHAnsi"/>
          <w:spacing w:val="-1"/>
          <w:sz w:val="22"/>
          <w:szCs w:val="22"/>
        </w:rPr>
        <w:t>part‐time</w:t>
      </w:r>
      <w:r w:rsidRPr="00DB0C40">
        <w:rPr>
          <w:rFonts w:asciiTheme="minorHAnsi" w:eastAsia="Calibri Light" w:hAnsiTheme="minorHAnsi" w:cstheme="minorHAnsi"/>
          <w:spacing w:val="-14"/>
          <w:sz w:val="22"/>
          <w:szCs w:val="22"/>
        </w:rPr>
        <w:t xml:space="preserve"> </w:t>
      </w:r>
      <w:r w:rsidRPr="00DB0C40">
        <w:rPr>
          <w:rFonts w:asciiTheme="minorHAnsi" w:eastAsia="Calibri Light" w:hAnsiTheme="minorHAnsi" w:cstheme="minorHAnsi"/>
          <w:spacing w:val="-1"/>
          <w:sz w:val="22"/>
          <w:szCs w:val="22"/>
        </w:rPr>
        <w:t>work.</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pacing w:val="-1"/>
          <w:sz w:val="22"/>
          <w:szCs w:val="22"/>
        </w:rPr>
        <w:t>Women</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pacing w:val="-1"/>
          <w:sz w:val="22"/>
          <w:szCs w:val="22"/>
        </w:rPr>
        <w:t>are</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pacing w:val="-1"/>
          <w:sz w:val="22"/>
          <w:szCs w:val="22"/>
        </w:rPr>
        <w:t>also</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pacing w:val="-1"/>
          <w:sz w:val="22"/>
          <w:szCs w:val="22"/>
        </w:rPr>
        <w:t>often</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pacing w:val="-1"/>
          <w:sz w:val="22"/>
          <w:szCs w:val="22"/>
        </w:rPr>
        <w:t>over‐represented</w:t>
      </w:r>
      <w:r w:rsidRPr="00DB0C40">
        <w:rPr>
          <w:rFonts w:asciiTheme="minorHAnsi" w:eastAsia="Calibri Light" w:hAnsiTheme="minorHAnsi" w:cstheme="minorHAnsi"/>
          <w:sz w:val="22"/>
          <w:szCs w:val="22"/>
        </w:rPr>
        <w:t xml:space="preserve"> in temporary jobs. Various factors explain the higher presence of women in NSFE: their greater care‐</w:t>
      </w:r>
      <w:r w:rsidRPr="00DB0C40">
        <w:rPr>
          <w:rFonts w:asciiTheme="minorHAnsi" w:eastAsia="Calibri Light" w:hAnsiTheme="minorHAnsi" w:cstheme="minorHAnsi"/>
          <w:spacing w:val="1"/>
          <w:sz w:val="22"/>
          <w:szCs w:val="22"/>
        </w:rPr>
        <w:t xml:space="preserve"> </w:t>
      </w:r>
      <w:r w:rsidRPr="00DB0C40">
        <w:rPr>
          <w:rFonts w:asciiTheme="minorHAnsi" w:eastAsia="Calibri Light" w:hAnsiTheme="minorHAnsi" w:cstheme="minorHAnsi"/>
          <w:sz w:val="22"/>
          <w:szCs w:val="22"/>
        </w:rPr>
        <w:t>giving</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responsibilities,</w:t>
      </w:r>
      <w:r w:rsidRPr="00DB0C40">
        <w:rPr>
          <w:rFonts w:asciiTheme="minorHAnsi" w:eastAsia="Calibri Light" w:hAnsiTheme="minorHAnsi" w:cstheme="minorHAnsi"/>
          <w:spacing w:val="-9"/>
          <w:sz w:val="22"/>
          <w:szCs w:val="22"/>
        </w:rPr>
        <w:t xml:space="preserve"> </w:t>
      </w:r>
      <w:r w:rsidRPr="00DB0C40">
        <w:rPr>
          <w:rFonts w:asciiTheme="minorHAnsi" w:eastAsia="Calibri Light" w:hAnsiTheme="minorHAnsi" w:cstheme="minorHAnsi"/>
          <w:sz w:val="22"/>
          <w:szCs w:val="22"/>
        </w:rPr>
        <w:t>their</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higher</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presence</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in</w:t>
      </w:r>
      <w:r w:rsidRPr="00DB0C40">
        <w:rPr>
          <w:rFonts w:asciiTheme="minorHAnsi" w:eastAsia="Calibri Light" w:hAnsiTheme="minorHAnsi" w:cstheme="minorHAnsi"/>
          <w:spacing w:val="-9"/>
          <w:sz w:val="22"/>
          <w:szCs w:val="22"/>
        </w:rPr>
        <w:t xml:space="preserve"> </w:t>
      </w:r>
      <w:r w:rsidRPr="00DB0C40">
        <w:rPr>
          <w:rFonts w:asciiTheme="minorHAnsi" w:eastAsia="Calibri Light" w:hAnsiTheme="minorHAnsi" w:cstheme="minorHAnsi"/>
          <w:sz w:val="22"/>
          <w:szCs w:val="22"/>
        </w:rPr>
        <w:t>occupations</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that</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typically</w:t>
      </w:r>
      <w:r w:rsidRPr="00DB0C40">
        <w:rPr>
          <w:rFonts w:asciiTheme="minorHAnsi" w:eastAsia="Calibri Light" w:hAnsiTheme="minorHAnsi" w:cstheme="minorHAnsi"/>
          <w:spacing w:val="-7"/>
          <w:sz w:val="22"/>
          <w:szCs w:val="22"/>
        </w:rPr>
        <w:t xml:space="preserve"> </w:t>
      </w:r>
      <w:r w:rsidRPr="00DB0C40">
        <w:rPr>
          <w:rFonts w:asciiTheme="minorHAnsi" w:eastAsia="Calibri Light" w:hAnsiTheme="minorHAnsi" w:cstheme="minorHAnsi"/>
          <w:sz w:val="22"/>
          <w:szCs w:val="22"/>
        </w:rPr>
        <w:t>recruit</w:t>
      </w:r>
      <w:r w:rsidRPr="00DB0C40">
        <w:rPr>
          <w:rFonts w:asciiTheme="minorHAnsi" w:eastAsia="Calibri Light" w:hAnsiTheme="minorHAnsi" w:cstheme="minorHAnsi"/>
          <w:spacing w:val="-10"/>
          <w:sz w:val="22"/>
          <w:szCs w:val="22"/>
        </w:rPr>
        <w:t xml:space="preserve"> </w:t>
      </w:r>
      <w:r w:rsidRPr="00DB0C40">
        <w:rPr>
          <w:rFonts w:asciiTheme="minorHAnsi" w:eastAsia="Calibri Light" w:hAnsiTheme="minorHAnsi" w:cstheme="minorHAnsi"/>
          <w:sz w:val="22"/>
          <w:szCs w:val="22"/>
        </w:rPr>
        <w:t>on</w:t>
      </w:r>
      <w:r w:rsidRPr="00DB0C40">
        <w:rPr>
          <w:rFonts w:asciiTheme="minorHAnsi" w:eastAsia="Calibri Light" w:hAnsiTheme="minorHAnsi" w:cstheme="minorHAnsi"/>
          <w:spacing w:val="-9"/>
          <w:sz w:val="22"/>
          <w:szCs w:val="22"/>
        </w:rPr>
        <w:t xml:space="preserve"> </w:t>
      </w:r>
      <w:r w:rsidRPr="00DB0C40">
        <w:rPr>
          <w:rFonts w:asciiTheme="minorHAnsi" w:eastAsia="Calibri Light" w:hAnsiTheme="minorHAnsi" w:cstheme="minorHAnsi"/>
          <w:sz w:val="22"/>
          <w:szCs w:val="22"/>
        </w:rPr>
        <w:t>an</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on‐call</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basis,</w:t>
      </w:r>
      <w:r w:rsidRPr="00DB0C40">
        <w:rPr>
          <w:rFonts w:asciiTheme="minorHAnsi" w:eastAsia="Calibri Light" w:hAnsiTheme="minorHAnsi" w:cstheme="minorHAnsi"/>
          <w:spacing w:val="-9"/>
          <w:sz w:val="22"/>
          <w:szCs w:val="22"/>
        </w:rPr>
        <w:t xml:space="preserve"> the structure</w:t>
      </w:r>
      <w:r w:rsidRPr="00DB0C40">
        <w:rPr>
          <w:rFonts w:asciiTheme="minorHAnsi" w:eastAsia="Calibri Light" w:hAnsiTheme="minorHAnsi" w:cstheme="minorHAnsi"/>
          <w:sz w:val="22"/>
          <w:szCs w:val="22"/>
        </w:rPr>
        <w:t xml:space="preserve"> of the economy and women’s lower bargaining power because of their lower unionization</w:t>
      </w:r>
      <w:r w:rsidRPr="00DB0C40">
        <w:rPr>
          <w:rFonts w:asciiTheme="minorHAnsi" w:eastAsia="Calibri Light" w:hAnsiTheme="minorHAnsi" w:cstheme="minorHAnsi"/>
          <w:spacing w:val="1"/>
          <w:sz w:val="22"/>
          <w:szCs w:val="22"/>
        </w:rPr>
        <w:t xml:space="preserve"> </w:t>
      </w:r>
      <w:r w:rsidRPr="00DB0C40">
        <w:rPr>
          <w:rFonts w:asciiTheme="minorHAnsi" w:eastAsia="Calibri Light" w:hAnsiTheme="minorHAnsi" w:cstheme="minorHAnsi"/>
          <w:sz w:val="22"/>
          <w:szCs w:val="22"/>
        </w:rPr>
        <w:t>rate</w:t>
      </w:r>
      <w:r w:rsidRPr="00DB0C40">
        <w:rPr>
          <w:rFonts w:asciiTheme="minorHAnsi" w:eastAsia="Calibri Light" w:hAnsiTheme="minorHAnsi" w:cstheme="minorHAnsi"/>
          <w:spacing w:val="-2"/>
          <w:sz w:val="22"/>
          <w:szCs w:val="22"/>
        </w:rPr>
        <w:t xml:space="preserve"> </w:t>
      </w:r>
      <w:r w:rsidRPr="00DB0C40">
        <w:rPr>
          <w:rFonts w:asciiTheme="minorHAnsi" w:eastAsia="Calibri Light" w:hAnsiTheme="minorHAnsi" w:cstheme="minorHAnsi"/>
          <w:sz w:val="22"/>
          <w:szCs w:val="22"/>
        </w:rPr>
        <w:t>and</w:t>
      </w:r>
      <w:r w:rsidRPr="00DB0C40">
        <w:rPr>
          <w:rFonts w:asciiTheme="minorHAnsi" w:eastAsia="Calibri Light" w:hAnsiTheme="minorHAnsi" w:cstheme="minorHAnsi"/>
          <w:spacing w:val="-1"/>
          <w:sz w:val="22"/>
          <w:szCs w:val="22"/>
        </w:rPr>
        <w:t xml:space="preserve"> </w:t>
      </w:r>
      <w:r w:rsidRPr="00DB0C40">
        <w:rPr>
          <w:rFonts w:asciiTheme="minorHAnsi" w:eastAsia="Calibri Light" w:hAnsiTheme="minorHAnsi" w:cstheme="minorHAnsi"/>
          <w:sz w:val="22"/>
          <w:szCs w:val="22"/>
        </w:rPr>
        <w:t>lower</w:t>
      </w:r>
      <w:r w:rsidRPr="00DB0C40">
        <w:rPr>
          <w:rFonts w:asciiTheme="minorHAnsi" w:eastAsia="Calibri Light" w:hAnsiTheme="minorHAnsi" w:cstheme="minorHAnsi"/>
          <w:spacing w:val="-1"/>
          <w:sz w:val="22"/>
          <w:szCs w:val="22"/>
        </w:rPr>
        <w:t xml:space="preserve"> </w:t>
      </w:r>
      <w:r w:rsidRPr="00DB0C40">
        <w:rPr>
          <w:rFonts w:asciiTheme="minorHAnsi" w:eastAsia="Calibri Light" w:hAnsiTheme="minorHAnsi" w:cstheme="minorHAnsi"/>
          <w:sz w:val="22"/>
          <w:szCs w:val="22"/>
        </w:rPr>
        <w:t>coverage by collective</w:t>
      </w:r>
      <w:r w:rsidRPr="00DB0C40">
        <w:rPr>
          <w:rFonts w:asciiTheme="minorHAnsi" w:eastAsia="Calibri Light" w:hAnsiTheme="minorHAnsi" w:cstheme="minorHAnsi"/>
          <w:spacing w:val="-1"/>
          <w:sz w:val="22"/>
          <w:szCs w:val="22"/>
        </w:rPr>
        <w:t xml:space="preserve"> </w:t>
      </w:r>
      <w:r w:rsidRPr="00DB0C40">
        <w:rPr>
          <w:rFonts w:asciiTheme="minorHAnsi" w:eastAsia="Calibri Light" w:hAnsiTheme="minorHAnsi" w:cstheme="minorHAnsi"/>
          <w:sz w:val="22"/>
          <w:szCs w:val="22"/>
        </w:rPr>
        <w:t>agreements.</w:t>
      </w:r>
    </w:p>
    <w:p w14:paraId="04FD4C24" w14:textId="045EA4BF" w:rsidR="00BF6983" w:rsidRPr="00DB0C40" w:rsidRDefault="002557B7" w:rsidP="002557B7">
      <w:pPr>
        <w:widowControl w:val="0"/>
        <w:autoSpaceDE w:val="0"/>
        <w:autoSpaceDN w:val="0"/>
        <w:spacing w:before="118" w:line="259" w:lineRule="auto"/>
        <w:ind w:right="156"/>
        <w:jc w:val="both"/>
        <w:rPr>
          <w:rFonts w:asciiTheme="minorHAnsi" w:eastAsia="Calibri Light" w:hAnsiTheme="minorHAnsi" w:cstheme="minorHAnsi"/>
          <w:sz w:val="22"/>
          <w:szCs w:val="22"/>
        </w:rPr>
      </w:pPr>
      <w:r w:rsidRPr="00DB0C40">
        <w:rPr>
          <w:rFonts w:asciiTheme="minorHAnsi" w:eastAsia="Calibri Light" w:hAnsiTheme="minorHAnsi" w:cstheme="minorHAnsi"/>
          <w:spacing w:val="-1"/>
          <w:sz w:val="22"/>
          <w:szCs w:val="22"/>
        </w:rPr>
        <w:t>Part‐time</w:t>
      </w:r>
      <w:r w:rsidRPr="00DB0C40">
        <w:rPr>
          <w:rFonts w:asciiTheme="minorHAnsi" w:eastAsia="Calibri Light" w:hAnsiTheme="minorHAnsi" w:cstheme="minorHAnsi"/>
          <w:spacing w:val="-13"/>
          <w:sz w:val="22"/>
          <w:szCs w:val="22"/>
        </w:rPr>
        <w:t xml:space="preserve"> </w:t>
      </w:r>
      <w:r w:rsidRPr="00DB0C40">
        <w:rPr>
          <w:rFonts w:asciiTheme="minorHAnsi" w:eastAsia="Calibri Light" w:hAnsiTheme="minorHAnsi" w:cstheme="minorHAnsi"/>
          <w:spacing w:val="-1"/>
          <w:sz w:val="22"/>
          <w:szCs w:val="22"/>
        </w:rPr>
        <w:t>and</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pacing w:val="-1"/>
          <w:sz w:val="22"/>
          <w:szCs w:val="22"/>
        </w:rPr>
        <w:t>temporary</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pacing w:val="-1"/>
          <w:sz w:val="22"/>
          <w:szCs w:val="22"/>
        </w:rPr>
        <w:t>work</w:t>
      </w:r>
      <w:r w:rsidRPr="00DB0C40">
        <w:rPr>
          <w:rFonts w:asciiTheme="minorHAnsi" w:eastAsia="Calibri Light" w:hAnsiTheme="minorHAnsi" w:cstheme="minorHAnsi"/>
          <w:spacing w:val="-13"/>
          <w:sz w:val="22"/>
          <w:szCs w:val="22"/>
        </w:rPr>
        <w:t xml:space="preserve"> </w:t>
      </w:r>
      <w:r w:rsidRPr="00DB0C40">
        <w:rPr>
          <w:rFonts w:asciiTheme="minorHAnsi" w:eastAsia="Calibri Light" w:hAnsiTheme="minorHAnsi" w:cstheme="minorHAnsi"/>
          <w:spacing w:val="-1"/>
          <w:sz w:val="22"/>
          <w:szCs w:val="22"/>
        </w:rPr>
        <w:t>can</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pacing w:val="-1"/>
          <w:sz w:val="22"/>
          <w:szCs w:val="22"/>
        </w:rPr>
        <w:t>be</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pacing w:val="-1"/>
          <w:sz w:val="22"/>
          <w:szCs w:val="22"/>
        </w:rPr>
        <w:t>an</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pacing w:val="-1"/>
          <w:sz w:val="22"/>
          <w:szCs w:val="22"/>
        </w:rPr>
        <w:t>important</w:t>
      </w:r>
      <w:r w:rsidRPr="00DB0C40">
        <w:rPr>
          <w:rFonts w:asciiTheme="minorHAnsi" w:eastAsia="Calibri Light" w:hAnsiTheme="minorHAnsi" w:cstheme="minorHAnsi"/>
          <w:spacing w:val="-14"/>
          <w:sz w:val="22"/>
          <w:szCs w:val="22"/>
        </w:rPr>
        <w:t xml:space="preserve"> </w:t>
      </w:r>
      <w:r w:rsidRPr="00DB0C40">
        <w:rPr>
          <w:rFonts w:asciiTheme="minorHAnsi" w:eastAsia="Calibri Light" w:hAnsiTheme="minorHAnsi" w:cstheme="minorHAnsi"/>
          <w:sz w:val="22"/>
          <w:szCs w:val="22"/>
        </w:rPr>
        <w:t>means</w:t>
      </w:r>
      <w:r w:rsidRPr="00DB0C40">
        <w:rPr>
          <w:rFonts w:asciiTheme="minorHAnsi" w:eastAsia="Calibri Light" w:hAnsiTheme="minorHAnsi" w:cstheme="minorHAnsi"/>
          <w:spacing w:val="-13"/>
          <w:sz w:val="22"/>
          <w:szCs w:val="22"/>
        </w:rPr>
        <w:t xml:space="preserve"> </w:t>
      </w:r>
      <w:r w:rsidRPr="00DB0C40">
        <w:rPr>
          <w:rFonts w:asciiTheme="minorHAnsi" w:eastAsia="Calibri Light" w:hAnsiTheme="minorHAnsi" w:cstheme="minorHAnsi"/>
          <w:sz w:val="22"/>
          <w:szCs w:val="22"/>
        </w:rPr>
        <w:t>for</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women</w:t>
      </w:r>
      <w:r w:rsidRPr="00DB0C40">
        <w:rPr>
          <w:rFonts w:asciiTheme="minorHAnsi" w:eastAsia="Calibri Light" w:hAnsiTheme="minorHAnsi" w:cstheme="minorHAnsi"/>
          <w:spacing w:val="-13"/>
          <w:sz w:val="22"/>
          <w:szCs w:val="22"/>
        </w:rPr>
        <w:t xml:space="preserve"> </w:t>
      </w:r>
      <w:r w:rsidRPr="00DB0C40">
        <w:rPr>
          <w:rFonts w:asciiTheme="minorHAnsi" w:eastAsia="Calibri Light" w:hAnsiTheme="minorHAnsi" w:cstheme="minorHAnsi"/>
          <w:sz w:val="22"/>
          <w:szCs w:val="22"/>
        </w:rPr>
        <w:t>to</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integrate</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into</w:t>
      </w:r>
      <w:r w:rsidRPr="00DB0C40">
        <w:rPr>
          <w:rFonts w:asciiTheme="minorHAnsi" w:eastAsia="Calibri Light" w:hAnsiTheme="minorHAnsi" w:cstheme="minorHAnsi"/>
          <w:spacing w:val="-12"/>
          <w:sz w:val="22"/>
          <w:szCs w:val="22"/>
        </w:rPr>
        <w:t xml:space="preserve"> </w:t>
      </w:r>
      <w:r w:rsidRPr="00DB0C40">
        <w:rPr>
          <w:rFonts w:asciiTheme="minorHAnsi" w:eastAsia="Calibri Light" w:hAnsiTheme="minorHAnsi" w:cstheme="minorHAnsi"/>
          <w:sz w:val="22"/>
          <w:szCs w:val="22"/>
        </w:rPr>
        <w:t>the</w:t>
      </w:r>
      <w:r w:rsidRPr="00DB0C40">
        <w:rPr>
          <w:rFonts w:asciiTheme="minorHAnsi" w:eastAsia="Calibri Light" w:hAnsiTheme="minorHAnsi" w:cstheme="minorHAnsi"/>
          <w:spacing w:val="-11"/>
          <w:sz w:val="22"/>
          <w:szCs w:val="22"/>
        </w:rPr>
        <w:t xml:space="preserve"> </w:t>
      </w:r>
      <w:r w:rsidRPr="00DB0C40">
        <w:rPr>
          <w:rFonts w:asciiTheme="minorHAnsi" w:eastAsia="Calibri Light" w:hAnsiTheme="minorHAnsi" w:cstheme="minorHAnsi"/>
          <w:sz w:val="22"/>
          <w:szCs w:val="22"/>
        </w:rPr>
        <w:t>labour</w:t>
      </w:r>
      <w:r w:rsidRPr="00DB0C40">
        <w:rPr>
          <w:rFonts w:asciiTheme="minorHAnsi" w:eastAsia="Calibri Light" w:hAnsiTheme="minorHAnsi" w:cstheme="minorHAnsi"/>
          <w:spacing w:val="-14"/>
          <w:sz w:val="22"/>
          <w:szCs w:val="22"/>
        </w:rPr>
        <w:t xml:space="preserve"> </w:t>
      </w:r>
      <w:r w:rsidRPr="00DB0C40">
        <w:rPr>
          <w:rFonts w:asciiTheme="minorHAnsi" w:eastAsia="Calibri Light" w:hAnsiTheme="minorHAnsi" w:cstheme="minorHAnsi"/>
          <w:sz w:val="22"/>
          <w:szCs w:val="22"/>
        </w:rPr>
        <w:t>force.</w:t>
      </w:r>
      <w:r w:rsidRPr="00DB0C40">
        <w:rPr>
          <w:rFonts w:asciiTheme="minorHAnsi" w:eastAsia="Calibri Light" w:hAnsiTheme="minorHAnsi" w:cstheme="minorHAnsi"/>
          <w:spacing w:val="1"/>
          <w:sz w:val="22"/>
          <w:szCs w:val="22"/>
        </w:rPr>
        <w:t xml:space="preserve"> </w:t>
      </w:r>
      <w:r w:rsidRPr="00DB0C40">
        <w:rPr>
          <w:rFonts w:asciiTheme="minorHAnsi" w:eastAsia="Calibri Light" w:hAnsiTheme="minorHAnsi" w:cstheme="minorHAnsi"/>
          <w:sz w:val="22"/>
          <w:szCs w:val="22"/>
        </w:rPr>
        <w:t>However,</w:t>
      </w:r>
      <w:r w:rsidRPr="00DB0C40">
        <w:rPr>
          <w:rFonts w:asciiTheme="minorHAnsi" w:eastAsia="Calibri Light" w:hAnsiTheme="minorHAnsi" w:cstheme="minorHAnsi"/>
          <w:spacing w:val="-9"/>
          <w:sz w:val="22"/>
          <w:szCs w:val="22"/>
        </w:rPr>
        <w:t xml:space="preserve"> </w:t>
      </w:r>
      <w:r w:rsidRPr="00DB0C40">
        <w:rPr>
          <w:rFonts w:asciiTheme="minorHAnsi" w:eastAsia="Calibri Light" w:hAnsiTheme="minorHAnsi" w:cstheme="minorHAnsi"/>
          <w:sz w:val="22"/>
          <w:szCs w:val="22"/>
        </w:rPr>
        <w:t>especially</w:t>
      </w:r>
      <w:r w:rsidRPr="00DB0C40">
        <w:rPr>
          <w:rFonts w:asciiTheme="minorHAnsi" w:eastAsia="Calibri Light" w:hAnsiTheme="minorHAnsi" w:cstheme="minorHAnsi"/>
          <w:spacing w:val="-7"/>
          <w:sz w:val="22"/>
          <w:szCs w:val="22"/>
        </w:rPr>
        <w:t xml:space="preserve"> </w:t>
      </w:r>
      <w:r w:rsidRPr="00DB0C40">
        <w:rPr>
          <w:rFonts w:asciiTheme="minorHAnsi" w:eastAsia="Calibri Light" w:hAnsiTheme="minorHAnsi" w:cstheme="minorHAnsi"/>
          <w:sz w:val="22"/>
          <w:szCs w:val="22"/>
        </w:rPr>
        <w:t>when</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involuntary,</w:t>
      </w:r>
      <w:r w:rsidRPr="00DB0C40">
        <w:rPr>
          <w:rFonts w:asciiTheme="minorHAnsi" w:eastAsia="Calibri Light" w:hAnsiTheme="minorHAnsi" w:cstheme="minorHAnsi"/>
          <w:spacing w:val="-9"/>
          <w:sz w:val="22"/>
          <w:szCs w:val="22"/>
        </w:rPr>
        <w:t xml:space="preserve"> </w:t>
      </w:r>
      <w:r w:rsidRPr="00DB0C40">
        <w:rPr>
          <w:rFonts w:asciiTheme="minorHAnsi" w:eastAsia="Calibri Light" w:hAnsiTheme="minorHAnsi" w:cstheme="minorHAnsi"/>
          <w:sz w:val="22"/>
          <w:szCs w:val="22"/>
        </w:rPr>
        <w:t>these</w:t>
      </w:r>
      <w:r w:rsidRPr="00DB0C40">
        <w:rPr>
          <w:rFonts w:asciiTheme="minorHAnsi" w:eastAsia="Calibri Light" w:hAnsiTheme="minorHAnsi" w:cstheme="minorHAnsi"/>
          <w:spacing w:val="-9"/>
          <w:sz w:val="22"/>
          <w:szCs w:val="22"/>
        </w:rPr>
        <w:t xml:space="preserve"> </w:t>
      </w:r>
      <w:r w:rsidRPr="00DB0C40">
        <w:rPr>
          <w:rFonts w:asciiTheme="minorHAnsi" w:eastAsia="Calibri Light" w:hAnsiTheme="minorHAnsi" w:cstheme="minorHAnsi"/>
          <w:sz w:val="22"/>
          <w:szCs w:val="22"/>
        </w:rPr>
        <w:t>forms</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of</w:t>
      </w:r>
      <w:r w:rsidRPr="00DB0C40">
        <w:rPr>
          <w:rFonts w:asciiTheme="minorHAnsi" w:eastAsia="Calibri Light" w:hAnsiTheme="minorHAnsi" w:cstheme="minorHAnsi"/>
          <w:spacing w:val="-7"/>
          <w:sz w:val="22"/>
          <w:szCs w:val="22"/>
        </w:rPr>
        <w:t xml:space="preserve"> </w:t>
      </w:r>
      <w:r w:rsidRPr="00DB0C40">
        <w:rPr>
          <w:rFonts w:asciiTheme="minorHAnsi" w:eastAsia="Calibri Light" w:hAnsiTheme="minorHAnsi" w:cstheme="minorHAnsi"/>
          <w:sz w:val="22"/>
          <w:szCs w:val="22"/>
        </w:rPr>
        <w:t>work</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may</w:t>
      </w:r>
      <w:r w:rsidRPr="00DB0C40">
        <w:rPr>
          <w:rFonts w:asciiTheme="minorHAnsi" w:eastAsia="Calibri Light" w:hAnsiTheme="minorHAnsi" w:cstheme="minorHAnsi"/>
          <w:spacing w:val="-7"/>
          <w:sz w:val="22"/>
          <w:szCs w:val="22"/>
        </w:rPr>
        <w:t xml:space="preserve"> </w:t>
      </w:r>
      <w:r w:rsidRPr="00DB0C40">
        <w:rPr>
          <w:rFonts w:asciiTheme="minorHAnsi" w:eastAsia="Calibri Light" w:hAnsiTheme="minorHAnsi" w:cstheme="minorHAnsi"/>
          <w:sz w:val="22"/>
          <w:szCs w:val="22"/>
        </w:rPr>
        <w:t>be</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associated</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with</w:t>
      </w:r>
      <w:r w:rsidRPr="00DB0C40">
        <w:rPr>
          <w:rFonts w:asciiTheme="minorHAnsi" w:eastAsia="Calibri Light" w:hAnsiTheme="minorHAnsi" w:cstheme="minorHAnsi"/>
          <w:spacing w:val="-9"/>
          <w:sz w:val="22"/>
          <w:szCs w:val="22"/>
        </w:rPr>
        <w:t xml:space="preserve"> </w:t>
      </w:r>
      <w:r w:rsidRPr="00DB0C40">
        <w:rPr>
          <w:rFonts w:asciiTheme="minorHAnsi" w:eastAsia="Calibri Light" w:hAnsiTheme="minorHAnsi" w:cstheme="minorHAnsi"/>
          <w:sz w:val="22"/>
          <w:szCs w:val="22"/>
        </w:rPr>
        <w:t>lower</w:t>
      </w:r>
      <w:r w:rsidRPr="00DB0C40">
        <w:rPr>
          <w:rFonts w:asciiTheme="minorHAnsi" w:eastAsia="Calibri Light" w:hAnsiTheme="minorHAnsi" w:cstheme="minorHAnsi"/>
          <w:spacing w:val="-8"/>
          <w:sz w:val="22"/>
          <w:szCs w:val="22"/>
        </w:rPr>
        <w:t xml:space="preserve"> </w:t>
      </w:r>
      <w:r w:rsidRPr="00DB0C40">
        <w:rPr>
          <w:rFonts w:asciiTheme="minorHAnsi" w:eastAsia="Calibri Light" w:hAnsiTheme="minorHAnsi" w:cstheme="minorHAnsi"/>
          <w:sz w:val="22"/>
          <w:szCs w:val="22"/>
        </w:rPr>
        <w:t>hourly</w:t>
      </w:r>
      <w:r w:rsidRPr="00DB0C40">
        <w:rPr>
          <w:rFonts w:asciiTheme="minorHAnsi" w:eastAsia="Calibri Light" w:hAnsiTheme="minorHAnsi" w:cstheme="minorHAnsi"/>
          <w:spacing w:val="-9"/>
          <w:sz w:val="22"/>
          <w:szCs w:val="22"/>
        </w:rPr>
        <w:t xml:space="preserve"> </w:t>
      </w:r>
      <w:r w:rsidRPr="00DB0C40">
        <w:rPr>
          <w:rFonts w:asciiTheme="minorHAnsi" w:eastAsia="Calibri Light" w:hAnsiTheme="minorHAnsi" w:cstheme="minorHAnsi"/>
          <w:sz w:val="22"/>
          <w:szCs w:val="22"/>
        </w:rPr>
        <w:t>wages</w:t>
      </w:r>
      <w:r w:rsidRPr="00DB0C40">
        <w:rPr>
          <w:rFonts w:asciiTheme="minorHAnsi" w:eastAsia="Calibri Light" w:hAnsiTheme="minorHAnsi" w:cstheme="minorHAnsi"/>
          <w:spacing w:val="-47"/>
          <w:sz w:val="22"/>
          <w:szCs w:val="22"/>
        </w:rPr>
        <w:t xml:space="preserve"> </w:t>
      </w:r>
      <w:r w:rsidRPr="00DB0C40">
        <w:rPr>
          <w:rFonts w:asciiTheme="minorHAnsi" w:eastAsia="Calibri Light" w:hAnsiTheme="minorHAnsi" w:cstheme="minorHAnsi"/>
          <w:sz w:val="22"/>
          <w:szCs w:val="22"/>
        </w:rPr>
        <w:t>than full‐time work, lower social security benefits and fewer training opportunities, which jeopardises</w:t>
      </w:r>
      <w:r w:rsidRPr="00DB0C40">
        <w:rPr>
          <w:rFonts w:asciiTheme="minorHAnsi" w:eastAsia="Calibri Light" w:hAnsiTheme="minorHAnsi" w:cstheme="minorHAnsi"/>
          <w:spacing w:val="1"/>
          <w:sz w:val="22"/>
          <w:szCs w:val="22"/>
        </w:rPr>
        <w:t xml:space="preserve"> </w:t>
      </w:r>
      <w:r w:rsidRPr="00DB0C40">
        <w:rPr>
          <w:rFonts w:asciiTheme="minorHAnsi" w:eastAsia="Calibri Light" w:hAnsiTheme="minorHAnsi" w:cstheme="minorHAnsi"/>
          <w:sz w:val="22"/>
          <w:szCs w:val="22"/>
        </w:rPr>
        <w:t>women’s</w:t>
      </w:r>
      <w:r w:rsidRPr="00DB0C40">
        <w:rPr>
          <w:rFonts w:asciiTheme="minorHAnsi" w:eastAsia="Calibri Light" w:hAnsiTheme="minorHAnsi" w:cstheme="minorHAnsi"/>
          <w:spacing w:val="-2"/>
          <w:sz w:val="22"/>
          <w:szCs w:val="22"/>
        </w:rPr>
        <w:t xml:space="preserve"> </w:t>
      </w:r>
      <w:r w:rsidRPr="00DB0C40">
        <w:rPr>
          <w:rFonts w:asciiTheme="minorHAnsi" w:eastAsia="Calibri Light" w:hAnsiTheme="minorHAnsi" w:cstheme="minorHAnsi"/>
          <w:sz w:val="22"/>
          <w:szCs w:val="22"/>
        </w:rPr>
        <w:t>chances to obtain</w:t>
      </w:r>
      <w:r w:rsidRPr="00DB0C40">
        <w:rPr>
          <w:rFonts w:asciiTheme="minorHAnsi" w:eastAsia="Calibri Light" w:hAnsiTheme="minorHAnsi" w:cstheme="minorHAnsi"/>
          <w:spacing w:val="-1"/>
          <w:sz w:val="22"/>
          <w:szCs w:val="22"/>
        </w:rPr>
        <w:t xml:space="preserve"> </w:t>
      </w:r>
      <w:r w:rsidRPr="00DB0C40">
        <w:rPr>
          <w:rFonts w:asciiTheme="minorHAnsi" w:eastAsia="Calibri Light" w:hAnsiTheme="minorHAnsi" w:cstheme="minorHAnsi"/>
          <w:sz w:val="22"/>
          <w:szCs w:val="22"/>
        </w:rPr>
        <w:t>better‐quality</w:t>
      </w:r>
      <w:r w:rsidRPr="00DB0C40">
        <w:rPr>
          <w:rFonts w:asciiTheme="minorHAnsi" w:eastAsia="Calibri Light" w:hAnsiTheme="minorHAnsi" w:cstheme="minorHAnsi"/>
          <w:spacing w:val="-1"/>
          <w:sz w:val="22"/>
          <w:szCs w:val="22"/>
        </w:rPr>
        <w:t xml:space="preserve"> </w:t>
      </w:r>
      <w:r w:rsidRPr="00DB0C40">
        <w:rPr>
          <w:rFonts w:asciiTheme="minorHAnsi" w:eastAsia="Calibri Light" w:hAnsiTheme="minorHAnsi" w:cstheme="minorHAnsi"/>
          <w:sz w:val="22"/>
          <w:szCs w:val="22"/>
        </w:rPr>
        <w:t>jobs.</w:t>
      </w:r>
    </w:p>
    <w:p w14:paraId="1DECFC2A" w14:textId="77777777" w:rsidR="002557B7" w:rsidRPr="00DB0C40" w:rsidRDefault="002557B7" w:rsidP="002557B7">
      <w:pPr>
        <w:widowControl w:val="0"/>
        <w:autoSpaceDE w:val="0"/>
        <w:autoSpaceDN w:val="0"/>
        <w:spacing w:before="4"/>
        <w:rPr>
          <w:rFonts w:asciiTheme="minorHAnsi" w:eastAsia="Calibri Light" w:hAnsiTheme="minorHAnsi" w:cstheme="minorHAnsi"/>
          <w:sz w:val="22"/>
          <w:szCs w:val="22"/>
        </w:rPr>
      </w:pPr>
    </w:p>
    <w:p w14:paraId="27929B25" w14:textId="3C75A056" w:rsidR="002557B7" w:rsidRPr="00DB0C40" w:rsidRDefault="002557B7" w:rsidP="002557B7">
      <w:pPr>
        <w:widowControl w:val="0"/>
        <w:autoSpaceDE w:val="0"/>
        <w:autoSpaceDN w:val="0"/>
        <w:ind w:left="971" w:right="1006"/>
        <w:jc w:val="center"/>
        <w:rPr>
          <w:rFonts w:asciiTheme="minorHAnsi" w:eastAsia="Calibri Light" w:hAnsiTheme="minorHAnsi" w:cstheme="minorHAnsi"/>
          <w:b/>
          <w:sz w:val="22"/>
          <w:szCs w:val="22"/>
        </w:rPr>
      </w:pPr>
      <w:bookmarkStart w:id="81" w:name="_Hlk107137502"/>
      <w:r w:rsidRPr="00DB0C40">
        <w:rPr>
          <w:rFonts w:asciiTheme="minorHAnsi" w:eastAsia="Calibri Light" w:hAnsiTheme="minorHAnsi" w:cstheme="minorHAnsi"/>
          <w:b/>
          <w:sz w:val="22"/>
          <w:szCs w:val="22"/>
        </w:rPr>
        <w:t>Figure</w:t>
      </w:r>
      <w:r w:rsidR="00044DE2" w:rsidRPr="00DB0C40">
        <w:rPr>
          <w:rFonts w:asciiTheme="minorHAnsi" w:eastAsia="Calibri Light" w:hAnsiTheme="minorHAnsi" w:cstheme="minorHAnsi"/>
          <w:b/>
          <w:sz w:val="22"/>
          <w:szCs w:val="22"/>
        </w:rPr>
        <w:t xml:space="preserve"> 3</w:t>
      </w:r>
      <w:r w:rsidRPr="00DB0C40">
        <w:rPr>
          <w:rFonts w:asciiTheme="minorHAnsi" w:eastAsia="Calibri Light" w:hAnsiTheme="minorHAnsi" w:cstheme="minorHAnsi"/>
          <w:b/>
          <w:sz w:val="22"/>
          <w:szCs w:val="22"/>
        </w:rPr>
        <w:t>.</w:t>
      </w:r>
      <w:r w:rsidRPr="00DB0C40">
        <w:rPr>
          <w:rFonts w:asciiTheme="minorHAnsi" w:eastAsia="Calibri Light" w:hAnsiTheme="minorHAnsi" w:cstheme="minorHAnsi"/>
          <w:b/>
          <w:spacing w:val="-4"/>
          <w:sz w:val="22"/>
          <w:szCs w:val="22"/>
        </w:rPr>
        <w:t xml:space="preserve"> </w:t>
      </w:r>
      <w:r w:rsidRPr="00DB0C40">
        <w:rPr>
          <w:rFonts w:asciiTheme="minorHAnsi" w:eastAsia="Calibri Light" w:hAnsiTheme="minorHAnsi" w:cstheme="minorHAnsi"/>
          <w:b/>
          <w:sz w:val="22"/>
          <w:szCs w:val="22"/>
        </w:rPr>
        <w:t>The</w:t>
      </w:r>
      <w:r w:rsidRPr="00DB0C40">
        <w:rPr>
          <w:rFonts w:asciiTheme="minorHAnsi" w:eastAsia="Calibri Light" w:hAnsiTheme="minorHAnsi" w:cstheme="minorHAnsi"/>
          <w:b/>
          <w:spacing w:val="-4"/>
          <w:sz w:val="22"/>
          <w:szCs w:val="22"/>
        </w:rPr>
        <w:t xml:space="preserve"> </w:t>
      </w:r>
      <w:r w:rsidRPr="00DB0C40">
        <w:rPr>
          <w:rFonts w:asciiTheme="minorHAnsi" w:eastAsia="Calibri Light" w:hAnsiTheme="minorHAnsi" w:cstheme="minorHAnsi"/>
          <w:b/>
          <w:sz w:val="22"/>
          <w:szCs w:val="22"/>
        </w:rPr>
        <w:t>gender</w:t>
      </w:r>
      <w:r w:rsidRPr="00DB0C40">
        <w:rPr>
          <w:rFonts w:asciiTheme="minorHAnsi" w:eastAsia="Calibri Light" w:hAnsiTheme="minorHAnsi" w:cstheme="minorHAnsi"/>
          <w:b/>
          <w:spacing w:val="-4"/>
          <w:sz w:val="22"/>
          <w:szCs w:val="22"/>
        </w:rPr>
        <w:t xml:space="preserve"> </w:t>
      </w:r>
      <w:r w:rsidRPr="00DB0C40">
        <w:rPr>
          <w:rFonts w:asciiTheme="minorHAnsi" w:eastAsia="Calibri Light" w:hAnsiTheme="minorHAnsi" w:cstheme="minorHAnsi"/>
          <w:b/>
          <w:sz w:val="22"/>
          <w:szCs w:val="22"/>
        </w:rPr>
        <w:t>gap</w:t>
      </w:r>
      <w:r w:rsidRPr="00DB0C40">
        <w:rPr>
          <w:rFonts w:asciiTheme="minorHAnsi" w:eastAsia="Calibri Light" w:hAnsiTheme="minorHAnsi" w:cstheme="minorHAnsi"/>
          <w:b/>
          <w:spacing w:val="-5"/>
          <w:sz w:val="22"/>
          <w:szCs w:val="22"/>
        </w:rPr>
        <w:t xml:space="preserve"> </w:t>
      </w:r>
      <w:r w:rsidRPr="00DB0C40">
        <w:rPr>
          <w:rFonts w:asciiTheme="minorHAnsi" w:eastAsia="Calibri Light" w:hAnsiTheme="minorHAnsi" w:cstheme="minorHAnsi"/>
          <w:b/>
          <w:sz w:val="22"/>
          <w:szCs w:val="22"/>
        </w:rPr>
        <w:t>in</w:t>
      </w:r>
      <w:r w:rsidRPr="00DB0C40">
        <w:rPr>
          <w:rFonts w:asciiTheme="minorHAnsi" w:eastAsia="Calibri Light" w:hAnsiTheme="minorHAnsi" w:cstheme="minorHAnsi"/>
          <w:b/>
          <w:spacing w:val="-4"/>
          <w:sz w:val="22"/>
          <w:szCs w:val="22"/>
        </w:rPr>
        <w:t xml:space="preserve"> </w:t>
      </w:r>
      <w:r w:rsidRPr="00DB0C40">
        <w:rPr>
          <w:rFonts w:asciiTheme="minorHAnsi" w:eastAsia="Calibri Light" w:hAnsiTheme="minorHAnsi" w:cstheme="minorHAnsi"/>
          <w:b/>
          <w:sz w:val="22"/>
          <w:szCs w:val="22"/>
        </w:rPr>
        <w:t>part-time</w:t>
      </w:r>
      <w:r w:rsidRPr="00DB0C40">
        <w:rPr>
          <w:rFonts w:asciiTheme="minorHAnsi" w:eastAsia="Calibri Light" w:hAnsiTheme="minorHAnsi" w:cstheme="minorHAnsi"/>
          <w:b/>
          <w:spacing w:val="-6"/>
          <w:sz w:val="22"/>
          <w:szCs w:val="22"/>
        </w:rPr>
        <w:t xml:space="preserve"> </w:t>
      </w:r>
      <w:r w:rsidRPr="00DB0C40">
        <w:rPr>
          <w:rFonts w:asciiTheme="minorHAnsi" w:eastAsia="Calibri Light" w:hAnsiTheme="minorHAnsi" w:cstheme="minorHAnsi"/>
          <w:b/>
          <w:sz w:val="22"/>
          <w:szCs w:val="22"/>
        </w:rPr>
        <w:t>work</w:t>
      </w:r>
      <w:r w:rsidRPr="00DB0C40">
        <w:rPr>
          <w:rFonts w:asciiTheme="minorHAnsi" w:eastAsia="Calibri Light" w:hAnsiTheme="minorHAnsi" w:cstheme="minorHAnsi"/>
          <w:b/>
          <w:spacing w:val="-4"/>
          <w:sz w:val="22"/>
          <w:szCs w:val="22"/>
        </w:rPr>
        <w:t xml:space="preserve"> </w:t>
      </w:r>
      <w:r w:rsidRPr="00DB0C40">
        <w:rPr>
          <w:rFonts w:asciiTheme="minorHAnsi" w:eastAsia="Calibri Light" w:hAnsiTheme="minorHAnsi" w:cstheme="minorHAnsi"/>
          <w:b/>
          <w:sz w:val="22"/>
          <w:szCs w:val="22"/>
        </w:rPr>
        <w:t>remains</w:t>
      </w:r>
      <w:r w:rsidRPr="00DB0C40">
        <w:rPr>
          <w:rFonts w:asciiTheme="minorHAnsi" w:eastAsia="Calibri Light" w:hAnsiTheme="minorHAnsi" w:cstheme="minorHAnsi"/>
          <w:b/>
          <w:spacing w:val="-4"/>
          <w:sz w:val="22"/>
          <w:szCs w:val="22"/>
        </w:rPr>
        <w:t xml:space="preserve"> </w:t>
      </w:r>
      <w:r w:rsidRPr="00DB0C40">
        <w:rPr>
          <w:rFonts w:asciiTheme="minorHAnsi" w:eastAsia="Calibri Light" w:hAnsiTheme="minorHAnsi" w:cstheme="minorHAnsi"/>
          <w:b/>
          <w:sz w:val="22"/>
          <w:szCs w:val="22"/>
        </w:rPr>
        <w:t>large</w:t>
      </w:r>
      <w:r w:rsidR="00044DE2" w:rsidRPr="00DB0C40">
        <w:rPr>
          <w:rFonts w:asciiTheme="minorHAnsi" w:eastAsia="Calibri Light" w:hAnsiTheme="minorHAnsi" w:cstheme="minorHAnsi"/>
          <w:b/>
          <w:sz w:val="22"/>
          <w:szCs w:val="22"/>
        </w:rPr>
        <w:t xml:space="preserve"> in G20 countries</w:t>
      </w:r>
      <w:r w:rsidRPr="00DB0C40">
        <w:rPr>
          <w:rFonts w:asciiTheme="minorHAnsi" w:eastAsia="Calibri Light" w:hAnsiTheme="minorHAnsi" w:cstheme="minorHAnsi"/>
          <w:b/>
          <w:sz w:val="22"/>
          <w:szCs w:val="22"/>
        </w:rPr>
        <w:t>,</w:t>
      </w:r>
      <w:r w:rsidRPr="00DB0C40">
        <w:rPr>
          <w:rFonts w:asciiTheme="minorHAnsi" w:eastAsia="Calibri Light" w:hAnsiTheme="minorHAnsi" w:cstheme="minorHAnsi"/>
          <w:b/>
          <w:spacing w:val="-4"/>
          <w:sz w:val="22"/>
          <w:szCs w:val="22"/>
        </w:rPr>
        <w:t xml:space="preserve"> </w:t>
      </w:r>
      <w:r w:rsidRPr="00DB0C40">
        <w:rPr>
          <w:rFonts w:asciiTheme="minorHAnsi" w:eastAsia="Calibri Light" w:hAnsiTheme="minorHAnsi" w:cstheme="minorHAnsi"/>
          <w:b/>
          <w:sz w:val="22"/>
          <w:szCs w:val="22"/>
        </w:rPr>
        <w:t>2012-2017</w:t>
      </w:r>
    </w:p>
    <w:bookmarkEnd w:id="81"/>
    <w:p w14:paraId="3E56A3A6" w14:textId="77777777" w:rsidR="002557B7" w:rsidRPr="00DB0C40" w:rsidRDefault="002557B7" w:rsidP="002557B7">
      <w:pPr>
        <w:widowControl w:val="0"/>
        <w:autoSpaceDE w:val="0"/>
        <w:autoSpaceDN w:val="0"/>
        <w:rPr>
          <w:rFonts w:asciiTheme="minorHAnsi" w:eastAsia="Calibri Light" w:hAnsiTheme="minorHAnsi" w:cstheme="minorHAnsi"/>
          <w:sz w:val="22"/>
          <w:szCs w:val="22"/>
        </w:rPr>
      </w:pPr>
    </w:p>
    <w:p w14:paraId="1CD0DC8A" w14:textId="77777777" w:rsidR="002557B7" w:rsidRPr="00DB0C40" w:rsidRDefault="002557B7" w:rsidP="002557B7">
      <w:pPr>
        <w:widowControl w:val="0"/>
        <w:autoSpaceDE w:val="0"/>
        <w:autoSpaceDN w:val="0"/>
        <w:rPr>
          <w:rFonts w:asciiTheme="minorHAnsi" w:eastAsia="Calibri Light" w:hAnsiTheme="minorHAnsi" w:cstheme="minorHAnsi"/>
          <w:sz w:val="22"/>
          <w:szCs w:val="22"/>
        </w:rPr>
      </w:pPr>
      <w:r w:rsidRPr="00DB0C40">
        <w:rPr>
          <w:rFonts w:asciiTheme="minorHAnsi" w:eastAsia="Calibri Light" w:hAnsiTheme="minorHAnsi" w:cstheme="minorHAnsi"/>
          <w:noProof/>
          <w:sz w:val="22"/>
          <w:szCs w:val="22"/>
        </w:rPr>
        <w:drawing>
          <wp:inline distT="0" distB="0" distL="0" distR="0" wp14:anchorId="771AC831" wp14:editId="597EF9C8">
            <wp:extent cx="5943600" cy="3141980"/>
            <wp:effectExtent l="0" t="0" r="0" b="1270"/>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3141980"/>
                    </a:xfrm>
                    <a:prstGeom prst="rect">
                      <a:avLst/>
                    </a:prstGeom>
                  </pic:spPr>
                </pic:pic>
              </a:graphicData>
            </a:graphic>
          </wp:inline>
        </w:drawing>
      </w:r>
    </w:p>
    <w:p w14:paraId="13A96DAE" w14:textId="77777777" w:rsidR="002557B7" w:rsidRPr="00DB0C40" w:rsidRDefault="002557B7" w:rsidP="002557B7">
      <w:pPr>
        <w:widowControl w:val="0"/>
        <w:autoSpaceDE w:val="0"/>
        <w:autoSpaceDN w:val="0"/>
        <w:ind w:right="156"/>
        <w:jc w:val="both"/>
        <w:rPr>
          <w:rFonts w:asciiTheme="minorHAnsi" w:eastAsia="Calibri Light" w:hAnsiTheme="minorHAnsi" w:cstheme="minorHAnsi"/>
          <w:sz w:val="18"/>
          <w:szCs w:val="18"/>
        </w:rPr>
      </w:pPr>
      <w:r w:rsidRPr="00DB0C40">
        <w:rPr>
          <w:rFonts w:asciiTheme="minorHAnsi" w:eastAsia="Calibri Light" w:hAnsiTheme="minorHAnsi" w:cstheme="minorHAnsi"/>
          <w:sz w:val="18"/>
          <w:szCs w:val="18"/>
        </w:rPr>
        <w:t>Note: All persons in employment, wage and salary workers only in the United States. Usual hours worked per week except for</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Argentina, China, Japan, Korea and Saudi Arabia. The data for 2012 refer to 2010 for China and the data for 2017 refer to 2015</w:t>
      </w:r>
      <w:r w:rsidRPr="00DB0C40">
        <w:rPr>
          <w:rFonts w:asciiTheme="minorHAnsi" w:eastAsia="Calibri Light" w:hAnsiTheme="minorHAnsi" w:cstheme="minorHAnsi"/>
          <w:spacing w:val="-42"/>
          <w:sz w:val="18"/>
          <w:szCs w:val="18"/>
        </w:rPr>
        <w:t xml:space="preserve"> </w:t>
      </w:r>
      <w:r w:rsidRPr="00DB0C40">
        <w:rPr>
          <w:rFonts w:asciiTheme="minorHAnsi" w:eastAsia="Calibri Light" w:hAnsiTheme="minorHAnsi" w:cstheme="minorHAnsi"/>
          <w:sz w:val="18"/>
          <w:szCs w:val="18"/>
        </w:rPr>
        <w:t>for</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Brazil and Saudi Arabia.</w:t>
      </w:r>
    </w:p>
    <w:p w14:paraId="65E173FE" w14:textId="77777777" w:rsidR="002557B7" w:rsidRPr="00DB0C40" w:rsidRDefault="002557B7" w:rsidP="002557B7">
      <w:pPr>
        <w:widowControl w:val="0"/>
        <w:autoSpaceDE w:val="0"/>
        <w:autoSpaceDN w:val="0"/>
        <w:spacing w:before="120"/>
        <w:ind w:right="158"/>
        <w:jc w:val="both"/>
        <w:rPr>
          <w:rFonts w:asciiTheme="minorHAnsi" w:eastAsia="Calibri Light" w:hAnsiTheme="minorHAnsi" w:cstheme="minorHAnsi"/>
          <w:sz w:val="18"/>
          <w:szCs w:val="18"/>
        </w:rPr>
      </w:pPr>
      <w:r w:rsidRPr="00DB0C40">
        <w:rPr>
          <w:rFonts w:asciiTheme="minorHAnsi" w:eastAsia="Calibri Light" w:hAnsiTheme="minorHAnsi" w:cstheme="minorHAnsi"/>
          <w:sz w:val="18"/>
          <w:szCs w:val="18"/>
        </w:rPr>
        <w:t>Source: OECD Employment Database, Census 2010 data for China, results of the labour force survey for Saudi Arabia and</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OECD</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estimates</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based on</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 xml:space="preserve">the </w:t>
      </w:r>
      <w:proofErr w:type="spellStart"/>
      <w:r w:rsidRPr="00DB0C40">
        <w:rPr>
          <w:rFonts w:asciiTheme="minorHAnsi" w:eastAsia="Calibri Light" w:hAnsiTheme="minorHAnsi" w:cstheme="minorHAnsi"/>
          <w:sz w:val="18"/>
          <w:szCs w:val="18"/>
        </w:rPr>
        <w:t>Encuesta</w:t>
      </w:r>
      <w:proofErr w:type="spellEnd"/>
      <w:r w:rsidRPr="00DB0C40">
        <w:rPr>
          <w:rFonts w:asciiTheme="minorHAnsi" w:eastAsia="Calibri Light" w:hAnsiTheme="minorHAnsi" w:cstheme="minorHAnsi"/>
          <w:sz w:val="18"/>
          <w:szCs w:val="18"/>
        </w:rPr>
        <w:t xml:space="preserve"> Permanente</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de</w:t>
      </w:r>
      <w:r w:rsidRPr="00DB0C40">
        <w:rPr>
          <w:rFonts w:asciiTheme="minorHAnsi" w:eastAsia="Calibri Light" w:hAnsiTheme="minorHAnsi" w:cstheme="minorHAnsi"/>
          <w:spacing w:val="1"/>
          <w:sz w:val="18"/>
          <w:szCs w:val="18"/>
        </w:rPr>
        <w:t xml:space="preserve"> </w:t>
      </w:r>
      <w:proofErr w:type="spellStart"/>
      <w:r w:rsidRPr="00DB0C40">
        <w:rPr>
          <w:rFonts w:asciiTheme="minorHAnsi" w:eastAsia="Calibri Light" w:hAnsiTheme="minorHAnsi" w:cstheme="minorHAnsi"/>
          <w:sz w:val="18"/>
          <w:szCs w:val="18"/>
        </w:rPr>
        <w:t>Hogares</w:t>
      </w:r>
      <w:proofErr w:type="spellEnd"/>
      <w:r w:rsidRPr="00DB0C40">
        <w:rPr>
          <w:rFonts w:asciiTheme="minorHAnsi" w:eastAsia="Calibri Light" w:hAnsiTheme="minorHAnsi" w:cstheme="minorHAnsi"/>
          <w:sz w:val="18"/>
          <w:szCs w:val="18"/>
        </w:rPr>
        <w:t xml:space="preserve"> for</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Argentina</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and</w:t>
      </w:r>
      <w:r w:rsidRPr="00DB0C40">
        <w:rPr>
          <w:rFonts w:asciiTheme="minorHAnsi" w:eastAsia="Calibri Light" w:hAnsiTheme="minorHAnsi" w:cstheme="minorHAnsi"/>
          <w:spacing w:val="1"/>
          <w:sz w:val="18"/>
          <w:szCs w:val="18"/>
        </w:rPr>
        <w:t xml:space="preserve"> </w:t>
      </w:r>
      <w:proofErr w:type="spellStart"/>
      <w:r w:rsidRPr="00DB0C40">
        <w:rPr>
          <w:rFonts w:asciiTheme="minorHAnsi" w:eastAsia="Calibri Light" w:hAnsiTheme="minorHAnsi" w:cstheme="minorHAnsi"/>
          <w:sz w:val="18"/>
          <w:szCs w:val="18"/>
        </w:rPr>
        <w:t>Sakernas</w:t>
      </w:r>
      <w:proofErr w:type="spellEnd"/>
      <w:r w:rsidRPr="00DB0C40">
        <w:rPr>
          <w:rFonts w:asciiTheme="minorHAnsi" w:eastAsia="Calibri Light" w:hAnsiTheme="minorHAnsi" w:cstheme="minorHAnsi"/>
          <w:sz w:val="18"/>
          <w:szCs w:val="18"/>
        </w:rPr>
        <w:t xml:space="preserve"> for</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Indonesia.</w:t>
      </w:r>
    </w:p>
    <w:p w14:paraId="152BB191"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p>
    <w:p w14:paraId="4847B66E"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r w:rsidRPr="00DB0C40">
        <w:rPr>
          <w:rFonts w:asciiTheme="minorHAnsi" w:eastAsiaTheme="minorHAnsi" w:hAnsiTheme="minorHAnsi" w:cstheme="minorHAnsi"/>
          <w:iCs/>
          <w:sz w:val="22"/>
          <w:szCs w:val="22"/>
        </w:rPr>
        <w:lastRenderedPageBreak/>
        <w:t xml:space="preserve">All G20 countries have introduced national gender equality plans and strategies aimed at advancing the agenda of women at work (e.g., Argentina, Australia, EU, France, India, Spain and Türkiye). These policy frameworks bring together measures under the responsibility of different governmental agencies, including the need to collect more and accurate gender‐disaggregated data. For instance, in 2018 the Australian Government issued the Women’s Economic Security Package, a $119.2 million package of initiatives over four years focusing on three key pillars: workforce participation; earning potential; and economic independence. The Package contains several measures, including a new Time-Use Survey, a Reducing-Barriers-to-Work Forum and a new entrepreneurship grant programmed Boosting Female Founders. In Canada, the Gender Results Framework seeks, among others, to promote equal opportunities for women and men as well as diversified paths in education and skills development; equal and full participation in the economy and gender equality in leadership roles and at all levels of decision‐making. In Australia, the targeted policy measures are supported by the </w:t>
      </w:r>
      <w:r w:rsidRPr="00DB0C40">
        <w:rPr>
          <w:rFonts w:asciiTheme="minorHAnsi" w:eastAsiaTheme="minorHAnsi" w:hAnsiTheme="minorHAnsi" w:cstheme="minorHAnsi"/>
          <w:i/>
          <w:iCs/>
          <w:sz w:val="22"/>
          <w:szCs w:val="22"/>
        </w:rPr>
        <w:t>Towards 2025 Strategy</w:t>
      </w:r>
      <w:r w:rsidRPr="00DB0C40">
        <w:rPr>
          <w:rFonts w:asciiTheme="minorHAnsi" w:eastAsiaTheme="minorHAnsi" w:hAnsiTheme="minorHAnsi" w:cstheme="minorHAnsi"/>
          <w:iCs/>
          <w:sz w:val="22"/>
          <w:szCs w:val="22"/>
        </w:rPr>
        <w:t>, a whole‐of‐government strategy led by the Office for Women under the Prime Minister’s department. In the EU, in 2017, the European Commission adopted, in the context of the European Pillar of Social Rights, the initiative on Work‐life balance for working parents and cares.</w:t>
      </w:r>
    </w:p>
    <w:p w14:paraId="022E80FE"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r w:rsidRPr="00DB0C40">
        <w:rPr>
          <w:rFonts w:asciiTheme="minorHAnsi" w:eastAsiaTheme="minorHAnsi" w:hAnsiTheme="minorHAnsi" w:cstheme="minorHAnsi"/>
          <w:iCs/>
          <w:sz w:val="22"/>
          <w:szCs w:val="22"/>
        </w:rPr>
        <w:t>Some countries have also taken steps towards the elimination of legal barriers to women’s employment (e.g. the Russian Federation) or night work (e.g. India, where women are now permitted to work at night subject to the provision of shelter, rest room, night crèche, women’s toilet, protection from sexual harassment and transportation). In this regard, measures have been introduced to increase the participation of women in male‐dominated sectors, by providing apprenticeship incentive grants or training in sectors such as construction and other male‐dominated trades (e.g., Argentina, Canada). France has adopted sectorial action plans through social dialogue and established the specific target of reaching an employment share of one third of women in male‐dominated sectors by 2025 (currently 12%).</w:t>
      </w:r>
    </w:p>
    <w:p w14:paraId="4D173A62"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r w:rsidRPr="00DB0C40">
        <w:rPr>
          <w:rFonts w:asciiTheme="minorHAnsi" w:eastAsiaTheme="minorHAnsi" w:hAnsiTheme="minorHAnsi" w:cstheme="minorHAnsi"/>
          <w:iCs/>
          <w:sz w:val="22"/>
          <w:szCs w:val="22"/>
        </w:rPr>
        <w:t>The OECD Report</w:t>
      </w:r>
      <w:r w:rsidRPr="00DB0C40">
        <w:rPr>
          <w:rFonts w:asciiTheme="minorHAnsi" w:eastAsiaTheme="minorHAnsi" w:hAnsiTheme="minorHAnsi" w:cstheme="minorHAnsi"/>
          <w:iCs/>
          <w:sz w:val="22"/>
          <w:szCs w:val="22"/>
          <w:vertAlign w:val="superscript"/>
        </w:rPr>
        <w:footnoteReference w:id="34"/>
      </w:r>
      <w:r w:rsidRPr="00DB0C40">
        <w:rPr>
          <w:rFonts w:asciiTheme="minorHAnsi" w:eastAsiaTheme="minorHAnsi" w:hAnsiTheme="minorHAnsi" w:cstheme="minorHAnsi"/>
          <w:iCs/>
          <w:sz w:val="22"/>
          <w:szCs w:val="22"/>
        </w:rPr>
        <w:t xml:space="preserve"> shows that despite the fact that all the G20 countries have new Labour Laws or policies to improve the female participation in the Labour market during the period 2012 – 2018, and that further progress was made,  in some countries the gender gap is particularly large, achieving the goal remains challenging and approximately half of G20 members is not on track to meet the goal (assuming a linear reduction in the participation gap year‐on‐year). This is in part linked to the fact that women continue to shoulder a disproportionate share of unpaid work, which increases notably with the presence of young children in the household. In addition, very long hours of work and overtime continue to be more widespread among men. A culture of long working hours not only has detrimental effects on workers’ health and productivity, but may also lead to stigma against workers who choose flexible working time arrangements, such as reduced hours or teleworking, thereby reinforcing the gender gap in unpaid work.</w:t>
      </w:r>
      <w:r w:rsidRPr="00DB0C40">
        <w:rPr>
          <w:rFonts w:asciiTheme="minorHAnsi" w:eastAsiaTheme="minorHAnsi" w:hAnsiTheme="minorHAnsi" w:cstheme="minorHAnsi"/>
          <w:iCs/>
          <w:sz w:val="22"/>
          <w:szCs w:val="22"/>
          <w:vertAlign w:val="superscript"/>
        </w:rPr>
        <w:footnoteReference w:id="35"/>
      </w:r>
      <w:r w:rsidRPr="00DB0C40">
        <w:rPr>
          <w:rFonts w:asciiTheme="minorHAnsi" w:eastAsiaTheme="minorHAnsi" w:hAnsiTheme="minorHAnsi" w:cstheme="minorHAnsi"/>
          <w:iCs/>
          <w:sz w:val="22"/>
          <w:szCs w:val="22"/>
        </w:rPr>
        <w:t xml:space="preserve"> The persistent and large gender gap in the sharing of family responsibilities and domestic chores not only hinders progress in the reduction of the gender participation gap, it also has implications for the quality of work for men and women.</w:t>
      </w:r>
    </w:p>
    <w:p w14:paraId="0F279E98"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r w:rsidRPr="00DB0C40">
        <w:rPr>
          <w:rFonts w:asciiTheme="minorHAnsi" w:eastAsiaTheme="minorHAnsi" w:hAnsiTheme="minorHAnsi" w:cstheme="minorHAnsi"/>
          <w:iCs/>
          <w:sz w:val="22"/>
          <w:szCs w:val="22"/>
        </w:rPr>
        <w:lastRenderedPageBreak/>
        <w:t>Gender gaps in job quality also remain substantial. The gender pay gap remains substantial in most G20 economies, and only very modest progress has been made in closing this gap. This is reflected in persistently large gender gaps in the incidence of low‐paid work, access to managerial jobs and the incidence of non‐standard forms of employment such as part‐time work. Raising the quality of job opportunities available to women that allow for a better work‐life balance would improve their well‐ being, enhance their incentives to participate in the labour market and reduce the underutilisation of their skills.</w:t>
      </w:r>
    </w:p>
    <w:p w14:paraId="7DFBE14A"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r w:rsidRPr="00DB0C40">
        <w:rPr>
          <w:rFonts w:asciiTheme="minorHAnsi" w:eastAsiaTheme="minorHAnsi" w:hAnsiTheme="minorHAnsi" w:cstheme="minorHAnsi"/>
          <w:iCs/>
          <w:sz w:val="22"/>
          <w:szCs w:val="22"/>
        </w:rPr>
        <w:t xml:space="preserve">Women continue to earn substantially less than men in most G20 countries. In terms of median full‐ time earnings, women earn between 30‐35% less than men in Korea and India, down to a gap of 10% or less in France, Türkiye and Italy. </w:t>
      </w:r>
    </w:p>
    <w:p w14:paraId="42FEDD4D"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r w:rsidRPr="00DB0C40">
        <w:rPr>
          <w:rFonts w:asciiTheme="minorHAnsi" w:eastAsiaTheme="minorHAnsi" w:hAnsiTheme="minorHAnsi" w:cstheme="minorHAnsi"/>
          <w:iCs/>
          <w:sz w:val="22"/>
          <w:szCs w:val="22"/>
        </w:rPr>
        <w:t>There has been a small reduction in the gender pay gap over the past decade in nearly all G20 countries. However, the pace at which the gap is closing remains weak in most countries and has even stalled in some countries in recent years.</w:t>
      </w:r>
    </w:p>
    <w:p w14:paraId="467CB1E8" w14:textId="7AA3859D" w:rsidR="002557B7" w:rsidRPr="00DB0C40" w:rsidRDefault="002557B7" w:rsidP="002557B7">
      <w:pPr>
        <w:widowControl w:val="0"/>
        <w:autoSpaceDE w:val="0"/>
        <w:autoSpaceDN w:val="0"/>
        <w:spacing w:before="1"/>
        <w:ind w:left="971" w:right="1007"/>
        <w:jc w:val="center"/>
        <w:rPr>
          <w:rFonts w:asciiTheme="minorHAnsi" w:eastAsia="Calibri Light" w:hAnsiTheme="minorHAnsi" w:cstheme="minorHAnsi"/>
          <w:b/>
          <w:sz w:val="22"/>
          <w:szCs w:val="22"/>
        </w:rPr>
      </w:pPr>
      <w:bookmarkStart w:id="82" w:name="_Hlk107137574"/>
      <w:r w:rsidRPr="00DB0C40">
        <w:rPr>
          <w:rFonts w:asciiTheme="minorHAnsi" w:eastAsia="Calibri Light" w:hAnsiTheme="minorHAnsi" w:cstheme="minorHAnsi"/>
          <w:b/>
          <w:sz w:val="22"/>
          <w:szCs w:val="22"/>
        </w:rPr>
        <w:t>Figure</w:t>
      </w:r>
      <w:r w:rsidRPr="00DB0C40">
        <w:rPr>
          <w:rFonts w:asciiTheme="minorHAnsi" w:eastAsia="Calibri Light" w:hAnsiTheme="minorHAnsi" w:cstheme="minorHAnsi"/>
          <w:b/>
          <w:spacing w:val="-3"/>
          <w:sz w:val="22"/>
          <w:szCs w:val="22"/>
        </w:rPr>
        <w:t xml:space="preserve"> </w:t>
      </w:r>
      <w:r w:rsidR="00044DE2" w:rsidRPr="00DB0C40">
        <w:rPr>
          <w:rFonts w:asciiTheme="minorHAnsi" w:eastAsia="Calibri Light" w:hAnsiTheme="minorHAnsi" w:cstheme="minorHAnsi"/>
          <w:b/>
          <w:spacing w:val="-3"/>
          <w:sz w:val="22"/>
          <w:szCs w:val="22"/>
        </w:rPr>
        <w:t>4</w:t>
      </w:r>
      <w:r w:rsidRPr="00DB0C40">
        <w:rPr>
          <w:rFonts w:asciiTheme="minorHAnsi" w:eastAsia="Calibri Light" w:hAnsiTheme="minorHAnsi" w:cstheme="minorHAnsi"/>
          <w:b/>
          <w:sz w:val="22"/>
          <w:szCs w:val="22"/>
        </w:rPr>
        <w:t>.</w:t>
      </w:r>
      <w:r w:rsidRPr="00DB0C40">
        <w:rPr>
          <w:rFonts w:asciiTheme="minorHAnsi" w:eastAsia="Calibri Light" w:hAnsiTheme="minorHAnsi" w:cstheme="minorHAnsi"/>
          <w:b/>
          <w:spacing w:val="-5"/>
          <w:sz w:val="22"/>
          <w:szCs w:val="22"/>
        </w:rPr>
        <w:t xml:space="preserve"> </w:t>
      </w:r>
      <w:r w:rsidRPr="00DB0C40">
        <w:rPr>
          <w:rFonts w:asciiTheme="minorHAnsi" w:eastAsia="Calibri Light" w:hAnsiTheme="minorHAnsi" w:cstheme="minorHAnsi"/>
          <w:b/>
          <w:sz w:val="22"/>
          <w:szCs w:val="22"/>
        </w:rPr>
        <w:t>Gender</w:t>
      </w:r>
      <w:r w:rsidRPr="00DB0C40">
        <w:rPr>
          <w:rFonts w:asciiTheme="minorHAnsi" w:eastAsia="Calibri Light" w:hAnsiTheme="minorHAnsi" w:cstheme="minorHAnsi"/>
          <w:b/>
          <w:spacing w:val="-2"/>
          <w:sz w:val="22"/>
          <w:szCs w:val="22"/>
        </w:rPr>
        <w:t xml:space="preserve"> </w:t>
      </w:r>
      <w:r w:rsidRPr="00DB0C40">
        <w:rPr>
          <w:rFonts w:asciiTheme="minorHAnsi" w:eastAsia="Calibri Light" w:hAnsiTheme="minorHAnsi" w:cstheme="minorHAnsi"/>
          <w:b/>
          <w:sz w:val="22"/>
          <w:szCs w:val="22"/>
        </w:rPr>
        <w:t>pay</w:t>
      </w:r>
      <w:r w:rsidRPr="00DB0C40">
        <w:rPr>
          <w:rFonts w:asciiTheme="minorHAnsi" w:eastAsia="Calibri Light" w:hAnsiTheme="minorHAnsi" w:cstheme="minorHAnsi"/>
          <w:b/>
          <w:spacing w:val="-5"/>
          <w:sz w:val="22"/>
          <w:szCs w:val="22"/>
        </w:rPr>
        <w:t xml:space="preserve"> </w:t>
      </w:r>
      <w:r w:rsidRPr="00DB0C40">
        <w:rPr>
          <w:rFonts w:asciiTheme="minorHAnsi" w:eastAsia="Calibri Light" w:hAnsiTheme="minorHAnsi" w:cstheme="minorHAnsi"/>
          <w:b/>
          <w:sz w:val="22"/>
          <w:szCs w:val="22"/>
        </w:rPr>
        <w:t>gaps</w:t>
      </w:r>
      <w:r w:rsidRPr="00DB0C40">
        <w:rPr>
          <w:rFonts w:asciiTheme="minorHAnsi" w:eastAsia="Calibri Light" w:hAnsiTheme="minorHAnsi" w:cstheme="minorHAnsi"/>
          <w:b/>
          <w:spacing w:val="-3"/>
          <w:sz w:val="22"/>
          <w:szCs w:val="22"/>
        </w:rPr>
        <w:t xml:space="preserve"> </w:t>
      </w:r>
      <w:r w:rsidRPr="00DB0C40">
        <w:rPr>
          <w:rFonts w:asciiTheme="minorHAnsi" w:eastAsia="Calibri Light" w:hAnsiTheme="minorHAnsi" w:cstheme="minorHAnsi"/>
          <w:b/>
          <w:sz w:val="22"/>
          <w:szCs w:val="22"/>
        </w:rPr>
        <w:t>remain</w:t>
      </w:r>
      <w:r w:rsidRPr="00DB0C40">
        <w:rPr>
          <w:rFonts w:asciiTheme="minorHAnsi" w:eastAsia="Calibri Light" w:hAnsiTheme="minorHAnsi" w:cstheme="minorHAnsi"/>
          <w:b/>
          <w:spacing w:val="-3"/>
          <w:sz w:val="22"/>
          <w:szCs w:val="22"/>
        </w:rPr>
        <w:t xml:space="preserve"> </w:t>
      </w:r>
      <w:r w:rsidRPr="00DB0C40">
        <w:rPr>
          <w:rFonts w:asciiTheme="minorHAnsi" w:eastAsia="Calibri Light" w:hAnsiTheme="minorHAnsi" w:cstheme="minorHAnsi"/>
          <w:b/>
          <w:sz w:val="22"/>
          <w:szCs w:val="22"/>
        </w:rPr>
        <w:t>substantial</w:t>
      </w:r>
      <w:r w:rsidR="00044DE2" w:rsidRPr="00DB0C40">
        <w:rPr>
          <w:rFonts w:asciiTheme="minorHAnsi" w:eastAsia="Calibri Light" w:hAnsiTheme="minorHAnsi" w:cstheme="minorHAnsi"/>
          <w:b/>
          <w:sz w:val="22"/>
          <w:szCs w:val="22"/>
        </w:rPr>
        <w:t xml:space="preserve"> in G20 countries</w:t>
      </w:r>
      <w:r w:rsidRPr="00DB0C40">
        <w:rPr>
          <w:rFonts w:asciiTheme="minorHAnsi" w:eastAsia="Calibri Light" w:hAnsiTheme="minorHAnsi" w:cstheme="minorHAnsi"/>
          <w:b/>
          <w:sz w:val="22"/>
          <w:szCs w:val="22"/>
        </w:rPr>
        <w:t>,</w:t>
      </w:r>
      <w:r w:rsidRPr="00DB0C40">
        <w:rPr>
          <w:rFonts w:asciiTheme="minorHAnsi" w:eastAsia="Calibri Light" w:hAnsiTheme="minorHAnsi" w:cstheme="minorHAnsi"/>
          <w:b/>
          <w:spacing w:val="-2"/>
          <w:sz w:val="22"/>
          <w:szCs w:val="22"/>
        </w:rPr>
        <w:t xml:space="preserve"> </w:t>
      </w:r>
      <w:r w:rsidRPr="00DB0C40">
        <w:rPr>
          <w:rFonts w:asciiTheme="minorHAnsi" w:eastAsia="Calibri Light" w:hAnsiTheme="minorHAnsi" w:cstheme="minorHAnsi"/>
          <w:b/>
          <w:sz w:val="22"/>
          <w:szCs w:val="22"/>
        </w:rPr>
        <w:t>2006</w:t>
      </w:r>
      <w:r w:rsidRPr="00DB0C40">
        <w:rPr>
          <w:rFonts w:asciiTheme="minorHAnsi" w:eastAsia="Calibri Light" w:hAnsiTheme="minorHAnsi" w:cstheme="minorHAnsi"/>
          <w:b/>
          <w:spacing w:val="-3"/>
          <w:sz w:val="22"/>
          <w:szCs w:val="22"/>
        </w:rPr>
        <w:t xml:space="preserve"> </w:t>
      </w:r>
      <w:r w:rsidRPr="00DB0C40">
        <w:rPr>
          <w:rFonts w:asciiTheme="minorHAnsi" w:eastAsia="Calibri Light" w:hAnsiTheme="minorHAnsi" w:cstheme="minorHAnsi"/>
          <w:b/>
          <w:sz w:val="22"/>
          <w:szCs w:val="22"/>
        </w:rPr>
        <w:t>and</w:t>
      </w:r>
      <w:r w:rsidRPr="00DB0C40">
        <w:rPr>
          <w:rFonts w:asciiTheme="minorHAnsi" w:eastAsia="Calibri Light" w:hAnsiTheme="minorHAnsi" w:cstheme="minorHAnsi"/>
          <w:b/>
          <w:spacing w:val="-3"/>
          <w:sz w:val="22"/>
          <w:szCs w:val="22"/>
        </w:rPr>
        <w:t xml:space="preserve"> </w:t>
      </w:r>
      <w:r w:rsidRPr="00DB0C40">
        <w:rPr>
          <w:rFonts w:asciiTheme="minorHAnsi" w:eastAsia="Calibri Light" w:hAnsiTheme="minorHAnsi" w:cstheme="minorHAnsi"/>
          <w:b/>
          <w:sz w:val="22"/>
          <w:szCs w:val="22"/>
        </w:rPr>
        <w:t>2018</w:t>
      </w:r>
    </w:p>
    <w:bookmarkEnd w:id="82"/>
    <w:p w14:paraId="38C1F071" w14:textId="77777777" w:rsidR="002557B7" w:rsidRPr="00DB0C40" w:rsidRDefault="002557B7" w:rsidP="002557B7">
      <w:pPr>
        <w:widowControl w:val="0"/>
        <w:autoSpaceDE w:val="0"/>
        <w:autoSpaceDN w:val="0"/>
        <w:spacing w:before="121"/>
        <w:ind w:left="375" w:right="410"/>
        <w:jc w:val="center"/>
        <w:rPr>
          <w:rFonts w:asciiTheme="minorHAnsi" w:eastAsia="Calibri Light" w:hAnsiTheme="minorHAnsi" w:cstheme="minorHAnsi"/>
          <w:sz w:val="22"/>
          <w:szCs w:val="22"/>
        </w:rPr>
      </w:pPr>
      <w:r w:rsidRPr="00DB0C40">
        <w:rPr>
          <w:rFonts w:asciiTheme="minorHAnsi" w:eastAsia="Calibri Light" w:hAnsiTheme="minorHAnsi" w:cstheme="minorHAnsi"/>
          <w:sz w:val="22"/>
          <w:szCs w:val="22"/>
        </w:rPr>
        <w:t>For</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full-time</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median</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earnings,</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difference</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between</w:t>
      </w:r>
      <w:r w:rsidRPr="00DB0C40">
        <w:rPr>
          <w:rFonts w:asciiTheme="minorHAnsi" w:eastAsia="Calibri Light" w:hAnsiTheme="minorHAnsi" w:cstheme="minorHAnsi"/>
          <w:spacing w:val="-5"/>
          <w:sz w:val="22"/>
          <w:szCs w:val="22"/>
        </w:rPr>
        <w:t xml:space="preserve"> </w:t>
      </w:r>
      <w:r w:rsidRPr="00DB0C40">
        <w:rPr>
          <w:rFonts w:asciiTheme="minorHAnsi" w:eastAsia="Calibri Light" w:hAnsiTheme="minorHAnsi" w:cstheme="minorHAnsi"/>
          <w:sz w:val="22"/>
          <w:szCs w:val="22"/>
        </w:rPr>
        <w:t>male</w:t>
      </w:r>
      <w:r w:rsidRPr="00DB0C40">
        <w:rPr>
          <w:rFonts w:asciiTheme="minorHAnsi" w:eastAsia="Calibri Light" w:hAnsiTheme="minorHAnsi" w:cstheme="minorHAnsi"/>
          <w:spacing w:val="-5"/>
          <w:sz w:val="22"/>
          <w:szCs w:val="22"/>
        </w:rPr>
        <w:t xml:space="preserve"> </w:t>
      </w:r>
      <w:r w:rsidRPr="00DB0C40">
        <w:rPr>
          <w:rFonts w:asciiTheme="minorHAnsi" w:eastAsia="Calibri Light" w:hAnsiTheme="minorHAnsi" w:cstheme="minorHAnsi"/>
          <w:sz w:val="22"/>
          <w:szCs w:val="22"/>
        </w:rPr>
        <w:t>and</w:t>
      </w:r>
      <w:r w:rsidRPr="00DB0C40">
        <w:rPr>
          <w:rFonts w:asciiTheme="minorHAnsi" w:eastAsia="Calibri Light" w:hAnsiTheme="minorHAnsi" w:cstheme="minorHAnsi"/>
          <w:spacing w:val="-3"/>
          <w:sz w:val="22"/>
          <w:szCs w:val="22"/>
        </w:rPr>
        <w:t xml:space="preserve"> </w:t>
      </w:r>
      <w:r w:rsidRPr="00DB0C40">
        <w:rPr>
          <w:rFonts w:asciiTheme="minorHAnsi" w:eastAsia="Calibri Light" w:hAnsiTheme="minorHAnsi" w:cstheme="minorHAnsi"/>
          <w:sz w:val="22"/>
          <w:szCs w:val="22"/>
        </w:rPr>
        <w:t>female</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earnings</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divided</w:t>
      </w:r>
      <w:r w:rsidRPr="00DB0C40">
        <w:rPr>
          <w:rFonts w:asciiTheme="minorHAnsi" w:eastAsia="Calibri Light" w:hAnsiTheme="minorHAnsi" w:cstheme="minorHAnsi"/>
          <w:spacing w:val="-3"/>
          <w:sz w:val="22"/>
          <w:szCs w:val="22"/>
        </w:rPr>
        <w:t xml:space="preserve"> </w:t>
      </w:r>
      <w:r w:rsidRPr="00DB0C40">
        <w:rPr>
          <w:rFonts w:asciiTheme="minorHAnsi" w:eastAsia="Calibri Light" w:hAnsiTheme="minorHAnsi" w:cstheme="minorHAnsi"/>
          <w:sz w:val="22"/>
          <w:szCs w:val="22"/>
        </w:rPr>
        <w:t>by</w:t>
      </w:r>
      <w:r w:rsidRPr="00DB0C40">
        <w:rPr>
          <w:rFonts w:asciiTheme="minorHAnsi" w:eastAsia="Calibri Light" w:hAnsiTheme="minorHAnsi" w:cstheme="minorHAnsi"/>
          <w:spacing w:val="-5"/>
          <w:sz w:val="22"/>
          <w:szCs w:val="22"/>
        </w:rPr>
        <w:t xml:space="preserve"> </w:t>
      </w:r>
      <w:r w:rsidRPr="00DB0C40">
        <w:rPr>
          <w:rFonts w:asciiTheme="minorHAnsi" w:eastAsia="Calibri Light" w:hAnsiTheme="minorHAnsi" w:cstheme="minorHAnsi"/>
          <w:sz w:val="22"/>
          <w:szCs w:val="22"/>
        </w:rPr>
        <w:t>male</w:t>
      </w:r>
      <w:r w:rsidRPr="00DB0C40">
        <w:rPr>
          <w:rFonts w:asciiTheme="minorHAnsi" w:eastAsia="Calibri Light" w:hAnsiTheme="minorHAnsi" w:cstheme="minorHAnsi"/>
          <w:spacing w:val="-4"/>
          <w:sz w:val="22"/>
          <w:szCs w:val="22"/>
        </w:rPr>
        <w:t xml:space="preserve"> </w:t>
      </w:r>
      <w:r w:rsidRPr="00DB0C40">
        <w:rPr>
          <w:rFonts w:asciiTheme="minorHAnsi" w:eastAsia="Calibri Light" w:hAnsiTheme="minorHAnsi" w:cstheme="minorHAnsi"/>
          <w:sz w:val="22"/>
          <w:szCs w:val="22"/>
        </w:rPr>
        <w:t>earnings</w:t>
      </w:r>
      <w:r w:rsidRPr="00DB0C40">
        <w:rPr>
          <w:rFonts w:asciiTheme="minorHAnsi" w:eastAsia="Calibri Light" w:hAnsiTheme="minorHAnsi" w:cstheme="minorHAnsi"/>
          <w:spacing w:val="-3"/>
          <w:sz w:val="22"/>
          <w:szCs w:val="22"/>
        </w:rPr>
        <w:t xml:space="preserve"> </w:t>
      </w:r>
      <w:r w:rsidRPr="00DB0C40">
        <w:rPr>
          <w:rFonts w:asciiTheme="minorHAnsi" w:eastAsia="Calibri Light" w:hAnsiTheme="minorHAnsi" w:cstheme="minorHAnsi"/>
          <w:sz w:val="22"/>
          <w:szCs w:val="22"/>
        </w:rPr>
        <w:t>(%)</w:t>
      </w:r>
    </w:p>
    <w:p w14:paraId="0331ECC1" w14:textId="77777777" w:rsidR="002557B7" w:rsidRPr="00DB0C40" w:rsidRDefault="002557B7" w:rsidP="002557B7">
      <w:pPr>
        <w:widowControl w:val="0"/>
        <w:autoSpaceDE w:val="0"/>
        <w:autoSpaceDN w:val="0"/>
        <w:spacing w:before="1"/>
        <w:rPr>
          <w:rFonts w:asciiTheme="minorHAnsi" w:eastAsia="Calibri Light" w:hAnsiTheme="minorHAnsi" w:cstheme="minorHAnsi"/>
          <w:sz w:val="22"/>
          <w:szCs w:val="22"/>
        </w:rPr>
      </w:pPr>
      <w:r w:rsidRPr="00DB0C40">
        <w:rPr>
          <w:rFonts w:asciiTheme="minorHAnsi" w:eastAsia="Calibri Light" w:hAnsiTheme="minorHAnsi" w:cstheme="minorHAnsi"/>
          <w:noProof/>
          <w:sz w:val="22"/>
          <w:szCs w:val="22"/>
        </w:rPr>
        <mc:AlternateContent>
          <mc:Choice Requires="wpg">
            <w:drawing>
              <wp:anchor distT="0" distB="0" distL="0" distR="0" simplePos="0" relativeHeight="251691008" behindDoc="1" locked="0" layoutInCell="1" allowOverlap="1" wp14:anchorId="774162C4" wp14:editId="2276F5BC">
                <wp:simplePos x="0" y="0"/>
                <wp:positionH relativeFrom="page">
                  <wp:posOffset>1406525</wp:posOffset>
                </wp:positionH>
                <wp:positionV relativeFrom="paragraph">
                  <wp:posOffset>142240</wp:posOffset>
                </wp:positionV>
                <wp:extent cx="4998720" cy="175260"/>
                <wp:effectExtent l="0" t="0" r="0" b="0"/>
                <wp:wrapTopAndBottom/>
                <wp:docPr id="377" name="Group 3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98720" cy="175260"/>
                          <a:chOff x="2215" y="224"/>
                          <a:chExt cx="7872" cy="276"/>
                        </a:xfrm>
                      </wpg:grpSpPr>
                      <wps:wsp>
                        <wps:cNvPr id="378" name="Rectangle 367"/>
                        <wps:cNvSpPr>
                          <a:spLocks noChangeArrowheads="1"/>
                        </wps:cNvSpPr>
                        <wps:spPr bwMode="auto">
                          <a:xfrm>
                            <a:off x="2215" y="224"/>
                            <a:ext cx="7872" cy="276"/>
                          </a:xfrm>
                          <a:prstGeom prst="rect">
                            <a:avLst/>
                          </a:prstGeom>
                          <a:solidFill>
                            <a:srgbClr val="E7E6E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 name="Freeform 368"/>
                        <wps:cNvSpPr>
                          <a:spLocks/>
                        </wps:cNvSpPr>
                        <wps:spPr bwMode="auto">
                          <a:xfrm>
                            <a:off x="4267" y="308"/>
                            <a:ext cx="96" cy="96"/>
                          </a:xfrm>
                          <a:custGeom>
                            <a:avLst/>
                            <a:gdLst>
                              <a:gd name="T0" fmla="+- 0 4315 4267"/>
                              <a:gd name="T1" fmla="*/ T0 w 96"/>
                              <a:gd name="T2" fmla="+- 0 308 308"/>
                              <a:gd name="T3" fmla="*/ 308 h 96"/>
                              <a:gd name="T4" fmla="+- 0 4297 4267"/>
                              <a:gd name="T5" fmla="*/ T4 w 96"/>
                              <a:gd name="T6" fmla="+- 0 312 308"/>
                              <a:gd name="T7" fmla="*/ 312 h 96"/>
                              <a:gd name="T8" fmla="+- 0 4281 4267"/>
                              <a:gd name="T9" fmla="*/ T8 w 96"/>
                              <a:gd name="T10" fmla="+- 0 322 308"/>
                              <a:gd name="T11" fmla="*/ 322 h 96"/>
                              <a:gd name="T12" fmla="+- 0 4271 4267"/>
                              <a:gd name="T13" fmla="*/ T12 w 96"/>
                              <a:gd name="T14" fmla="+- 0 338 308"/>
                              <a:gd name="T15" fmla="*/ 338 h 96"/>
                              <a:gd name="T16" fmla="+- 0 4267 4267"/>
                              <a:gd name="T17" fmla="*/ T16 w 96"/>
                              <a:gd name="T18" fmla="+- 0 356 308"/>
                              <a:gd name="T19" fmla="*/ 356 h 96"/>
                              <a:gd name="T20" fmla="+- 0 4271 4267"/>
                              <a:gd name="T21" fmla="*/ T20 w 96"/>
                              <a:gd name="T22" fmla="+- 0 375 308"/>
                              <a:gd name="T23" fmla="*/ 375 h 96"/>
                              <a:gd name="T24" fmla="+- 0 4281 4267"/>
                              <a:gd name="T25" fmla="*/ T24 w 96"/>
                              <a:gd name="T26" fmla="+- 0 390 308"/>
                              <a:gd name="T27" fmla="*/ 390 h 96"/>
                              <a:gd name="T28" fmla="+- 0 4297 4267"/>
                              <a:gd name="T29" fmla="*/ T28 w 96"/>
                              <a:gd name="T30" fmla="+- 0 400 308"/>
                              <a:gd name="T31" fmla="*/ 400 h 96"/>
                              <a:gd name="T32" fmla="+- 0 4315 4267"/>
                              <a:gd name="T33" fmla="*/ T32 w 96"/>
                              <a:gd name="T34" fmla="+- 0 404 308"/>
                              <a:gd name="T35" fmla="*/ 404 h 96"/>
                              <a:gd name="T36" fmla="+- 0 4334 4267"/>
                              <a:gd name="T37" fmla="*/ T36 w 96"/>
                              <a:gd name="T38" fmla="+- 0 400 308"/>
                              <a:gd name="T39" fmla="*/ 400 h 96"/>
                              <a:gd name="T40" fmla="+- 0 4349 4267"/>
                              <a:gd name="T41" fmla="*/ T40 w 96"/>
                              <a:gd name="T42" fmla="+- 0 390 308"/>
                              <a:gd name="T43" fmla="*/ 390 h 96"/>
                              <a:gd name="T44" fmla="+- 0 4359 4267"/>
                              <a:gd name="T45" fmla="*/ T44 w 96"/>
                              <a:gd name="T46" fmla="+- 0 375 308"/>
                              <a:gd name="T47" fmla="*/ 375 h 96"/>
                              <a:gd name="T48" fmla="+- 0 4363 4267"/>
                              <a:gd name="T49" fmla="*/ T48 w 96"/>
                              <a:gd name="T50" fmla="+- 0 356 308"/>
                              <a:gd name="T51" fmla="*/ 356 h 96"/>
                              <a:gd name="T52" fmla="+- 0 4359 4267"/>
                              <a:gd name="T53" fmla="*/ T52 w 96"/>
                              <a:gd name="T54" fmla="+- 0 338 308"/>
                              <a:gd name="T55" fmla="*/ 338 h 96"/>
                              <a:gd name="T56" fmla="+- 0 4349 4267"/>
                              <a:gd name="T57" fmla="*/ T56 w 96"/>
                              <a:gd name="T58" fmla="+- 0 322 308"/>
                              <a:gd name="T59" fmla="*/ 322 h 96"/>
                              <a:gd name="T60" fmla="+- 0 4334 4267"/>
                              <a:gd name="T61" fmla="*/ T60 w 96"/>
                              <a:gd name="T62" fmla="+- 0 312 308"/>
                              <a:gd name="T63" fmla="*/ 312 h 96"/>
                              <a:gd name="T64" fmla="+- 0 4315 4267"/>
                              <a:gd name="T65" fmla="*/ T64 w 96"/>
                              <a:gd name="T66" fmla="+- 0 308 308"/>
                              <a:gd name="T67" fmla="*/ 308 h 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96" h="96">
                                <a:moveTo>
                                  <a:pt x="48" y="0"/>
                                </a:moveTo>
                                <a:lnTo>
                                  <a:pt x="30" y="4"/>
                                </a:lnTo>
                                <a:lnTo>
                                  <a:pt x="14" y="14"/>
                                </a:lnTo>
                                <a:lnTo>
                                  <a:pt x="4" y="30"/>
                                </a:lnTo>
                                <a:lnTo>
                                  <a:pt x="0" y="48"/>
                                </a:lnTo>
                                <a:lnTo>
                                  <a:pt x="4" y="67"/>
                                </a:lnTo>
                                <a:lnTo>
                                  <a:pt x="14" y="82"/>
                                </a:lnTo>
                                <a:lnTo>
                                  <a:pt x="30" y="92"/>
                                </a:lnTo>
                                <a:lnTo>
                                  <a:pt x="48" y="96"/>
                                </a:lnTo>
                                <a:lnTo>
                                  <a:pt x="67" y="92"/>
                                </a:lnTo>
                                <a:lnTo>
                                  <a:pt x="82" y="82"/>
                                </a:lnTo>
                                <a:lnTo>
                                  <a:pt x="92" y="67"/>
                                </a:lnTo>
                                <a:lnTo>
                                  <a:pt x="96" y="48"/>
                                </a:lnTo>
                                <a:lnTo>
                                  <a:pt x="92" y="30"/>
                                </a:lnTo>
                                <a:lnTo>
                                  <a:pt x="82" y="14"/>
                                </a:lnTo>
                                <a:lnTo>
                                  <a:pt x="67" y="4"/>
                                </a:lnTo>
                                <a:lnTo>
                                  <a:pt x="48" y="0"/>
                                </a:lnTo>
                                <a:close/>
                              </a:path>
                            </a:pathLst>
                          </a:custGeom>
                          <a:solidFill>
                            <a:srgbClr val="ED7D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Freeform 369"/>
                        <wps:cNvSpPr>
                          <a:spLocks/>
                        </wps:cNvSpPr>
                        <wps:spPr bwMode="auto">
                          <a:xfrm>
                            <a:off x="6859" y="308"/>
                            <a:ext cx="96" cy="96"/>
                          </a:xfrm>
                          <a:custGeom>
                            <a:avLst/>
                            <a:gdLst>
                              <a:gd name="T0" fmla="+- 0 6907 6859"/>
                              <a:gd name="T1" fmla="*/ T0 w 96"/>
                              <a:gd name="T2" fmla="+- 0 308 308"/>
                              <a:gd name="T3" fmla="*/ 308 h 96"/>
                              <a:gd name="T4" fmla="+- 0 6859 6859"/>
                              <a:gd name="T5" fmla="*/ T4 w 96"/>
                              <a:gd name="T6" fmla="+- 0 356 308"/>
                              <a:gd name="T7" fmla="*/ 356 h 96"/>
                              <a:gd name="T8" fmla="+- 0 6907 6859"/>
                              <a:gd name="T9" fmla="*/ T8 w 96"/>
                              <a:gd name="T10" fmla="+- 0 404 308"/>
                              <a:gd name="T11" fmla="*/ 404 h 96"/>
                              <a:gd name="T12" fmla="+- 0 6955 6859"/>
                              <a:gd name="T13" fmla="*/ T12 w 96"/>
                              <a:gd name="T14" fmla="+- 0 356 308"/>
                              <a:gd name="T15" fmla="*/ 356 h 96"/>
                              <a:gd name="T16" fmla="+- 0 6907 6859"/>
                              <a:gd name="T17" fmla="*/ T16 w 96"/>
                              <a:gd name="T18" fmla="+- 0 308 308"/>
                              <a:gd name="T19" fmla="*/ 308 h 96"/>
                            </a:gdLst>
                            <a:ahLst/>
                            <a:cxnLst>
                              <a:cxn ang="0">
                                <a:pos x="T1" y="T3"/>
                              </a:cxn>
                              <a:cxn ang="0">
                                <a:pos x="T5" y="T7"/>
                              </a:cxn>
                              <a:cxn ang="0">
                                <a:pos x="T9" y="T11"/>
                              </a:cxn>
                              <a:cxn ang="0">
                                <a:pos x="T13" y="T15"/>
                              </a:cxn>
                              <a:cxn ang="0">
                                <a:pos x="T17" y="T19"/>
                              </a:cxn>
                            </a:cxnLst>
                            <a:rect l="0" t="0" r="r" b="b"/>
                            <a:pathLst>
                              <a:path w="96" h="96">
                                <a:moveTo>
                                  <a:pt x="48" y="0"/>
                                </a:moveTo>
                                <a:lnTo>
                                  <a:pt x="0" y="48"/>
                                </a:lnTo>
                                <a:lnTo>
                                  <a:pt x="48" y="96"/>
                                </a:lnTo>
                                <a:lnTo>
                                  <a:pt x="96" y="48"/>
                                </a:lnTo>
                                <a:lnTo>
                                  <a:pt x="48"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Text Box 370"/>
                        <wps:cNvSpPr txBox="1">
                          <a:spLocks noChangeArrowheads="1"/>
                        </wps:cNvSpPr>
                        <wps:spPr bwMode="auto">
                          <a:xfrm>
                            <a:off x="4414" y="266"/>
                            <a:ext cx="416" cy="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A65193" w14:textId="77777777" w:rsidR="00BF6983" w:rsidRDefault="00BF6983" w:rsidP="002557B7">
                              <w:pPr>
                                <w:spacing w:line="201" w:lineRule="exact"/>
                                <w:rPr>
                                  <w:rFonts w:ascii="Arial MT"/>
                                  <w:sz w:val="18"/>
                                </w:rPr>
                              </w:pPr>
                              <w:r>
                                <w:rPr>
                                  <w:rFonts w:ascii="Arial MT"/>
                                  <w:color w:val="585858"/>
                                  <w:sz w:val="18"/>
                                </w:rPr>
                                <w:t>2006</w:t>
                              </w:r>
                            </w:p>
                          </w:txbxContent>
                        </wps:txbx>
                        <wps:bodyPr rot="0" vert="horz" wrap="square" lIns="0" tIns="0" rIns="0" bIns="0" anchor="t" anchorCtr="0" upright="1">
                          <a:noAutofit/>
                        </wps:bodyPr>
                      </wps:wsp>
                      <wps:wsp>
                        <wps:cNvPr id="382" name="Text Box 371"/>
                        <wps:cNvSpPr txBox="1">
                          <a:spLocks noChangeArrowheads="1"/>
                        </wps:cNvSpPr>
                        <wps:spPr bwMode="auto">
                          <a:xfrm>
                            <a:off x="7004" y="266"/>
                            <a:ext cx="1113" cy="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82551E" w14:textId="77777777" w:rsidR="00BF6983" w:rsidRDefault="00BF6983" w:rsidP="002557B7">
                              <w:pPr>
                                <w:spacing w:line="201" w:lineRule="exact"/>
                                <w:rPr>
                                  <w:rFonts w:ascii="Arial MT"/>
                                  <w:sz w:val="18"/>
                                </w:rPr>
                              </w:pPr>
                              <w:r>
                                <w:rPr>
                                  <w:rFonts w:ascii="Arial MT"/>
                                  <w:color w:val="585858"/>
                                  <w:sz w:val="18"/>
                                </w:rPr>
                                <w:t>2017</w:t>
                              </w:r>
                              <w:r>
                                <w:rPr>
                                  <w:rFonts w:ascii="Arial MT"/>
                                  <w:color w:val="585858"/>
                                  <w:spacing w:val="4"/>
                                  <w:sz w:val="18"/>
                                </w:rPr>
                                <w:t xml:space="preserve"> </w:t>
                              </w:r>
                              <w:r>
                                <w:rPr>
                                  <w:rFonts w:ascii="Arial MT"/>
                                  <w:color w:val="585858"/>
                                  <w:sz w:val="18"/>
                                </w:rPr>
                                <w:t>or</w:t>
                              </w:r>
                              <w:r>
                                <w:rPr>
                                  <w:rFonts w:ascii="Arial MT"/>
                                  <w:color w:val="585858"/>
                                  <w:spacing w:val="-4"/>
                                  <w:sz w:val="18"/>
                                </w:rPr>
                                <w:t xml:space="preserve"> </w:t>
                              </w:r>
                              <w:r>
                                <w:rPr>
                                  <w:rFonts w:ascii="Arial MT"/>
                                  <w:color w:val="585858"/>
                                  <w:sz w:val="18"/>
                                </w:rPr>
                                <w:t>latest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4162C4" id="Group 377" o:spid="_x0000_s1027" style="position:absolute;margin-left:110.75pt;margin-top:11.2pt;width:393.6pt;height:13.8pt;z-index:-251625472;mso-wrap-distance-left:0;mso-wrap-distance-right:0;mso-position-horizontal-relative:page" coordorigin="2215,224" coordsize="7872,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">
                <v:rect id="Rectangle 367" o:spid="_x0000_s1028" style="position:absolute;left:2215;top:224;width:7872;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" fillcolor="#e7e6e6" stroked="f"/>
                <v:shape id="Freeform 368" o:spid="_x0000_s1029" style="position:absolute;left:4267;top:308;width:96;height:96;visibility:visible;mso-wrap-style:square;v-text-anchor:top" coordsize="9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" path="m48,l30,4,14,14,4,30,,48,4,67,14,82,30,92r18,4l67,92,82,82,92,67,96,48,92,30,82,14,67,4,48,xe" fillcolor="#ed7d31" stroked="f">
                  <v:path arrowok="t" o:connecttype="custom" o:connectlocs="48,308;30,312;14,322;4,338;0,356;4,375;14,390;30,400;48,404;67,400;82,390;92,375;96,356;92,338;82,322;67,312;48,308" o:connectangles="0,0,0,0,0,0,0,0,0,0,0,0,0,0,0,0,0"/>
                </v:shape>
                <v:shape id="Freeform 369" o:spid="_x0000_s1030" style="position:absolute;left:6859;top:308;width:96;height:96;visibility:visible;mso-wrap-style:square;v-text-anchor:top" coordsize="9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" path="m48,l,48,48,96,96,48,48,xe" fillcolor="#2e75b6" stroked="f">
                  <v:path arrowok="t" o:connecttype="custom" o:connectlocs="48,308;0,356;48,404;96,356;48,308" o:connectangles="0,0,0,0,0"/>
                </v:shape>
                <v:shapetype id="_x0000_t202" coordsize="21600,21600" o:spt="202" path="m,l,21600r21600,l21600,xe">
                  <v:stroke joinstyle="miter"/>
                  <v:path gradientshapeok="t" o:connecttype="rect"/>
                </v:shapetype>
                <v:shape id="Text Box 370" o:spid="_x0000_s1031" type="#_x0000_t202" style="position:absolute;left:4414;top:266;width:416;height:2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ZnPxQAAANwAAAAPAAAAZHJzL2Rvd25yZXYueG1sRI9Ba8JA&#10;FITvhf6H5RV6azZWEE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DOhZnPxQAAANwAAAAP&#10;AAAAAAAAAAAAAAAAAAcCAABkcnMvZG93bnJldi54bWxQSwUGAAAAAAMAAwC3AAAA+QIAAAAA&#10;" filled="f" stroked="f">
                  <v:textbox inset="0,0,0,0">
                    <w:txbxContent>
                      <w:p w14:paraId="06A65193" w14:textId="77777777" w:rsidR="00BF6983" w:rsidRDefault="00BF6983" w:rsidP="002557B7">
                        <w:pPr>
                          <w:spacing w:line="201" w:lineRule="exact"/>
                          <w:rPr>
                            <w:rFonts w:ascii="Arial MT"/>
                            <w:sz w:val="18"/>
                          </w:rPr>
                        </w:pPr>
                        <w:r>
                          <w:rPr>
                            <w:rFonts w:ascii="Arial MT"/>
                            <w:color w:val="585858"/>
                            <w:sz w:val="18"/>
                          </w:rPr>
                          <w:t>2006</w:t>
                        </w:r>
                      </w:p>
                    </w:txbxContent>
                  </v:textbox>
                </v:shape>
                <v:shape id="Text Box 371" o:spid="_x0000_s1032" type="#_x0000_t202" style="position:absolute;left:7004;top:266;width:1113;height:2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e4xAAAANwAAAAPAAAAZHJzL2Rvd25yZXYueG1sRI9Ba8JA&#10;FITvgv9heQVvuqmC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D5XB7jEAAAA3AAAAA8A&#10;AAAAAAAAAAAAAAAABwIAAGRycy9kb3ducmV2LnhtbFBLBQYAAAAAAwADALcAAAD4AgAAAAA=&#10;" filled="f" stroked="f">
                  <v:textbox inset="0,0,0,0">
                    <w:txbxContent>
                      <w:p w14:paraId="1282551E" w14:textId="77777777" w:rsidR="00BF6983" w:rsidRDefault="00BF6983" w:rsidP="002557B7">
                        <w:pPr>
                          <w:spacing w:line="201" w:lineRule="exact"/>
                          <w:rPr>
                            <w:rFonts w:ascii="Arial MT"/>
                            <w:sz w:val="18"/>
                          </w:rPr>
                        </w:pPr>
                        <w:r>
                          <w:rPr>
                            <w:rFonts w:ascii="Arial MT"/>
                            <w:color w:val="585858"/>
                            <w:sz w:val="18"/>
                          </w:rPr>
                          <w:t>2017</w:t>
                        </w:r>
                        <w:r>
                          <w:rPr>
                            <w:rFonts w:ascii="Arial MT"/>
                            <w:color w:val="585858"/>
                            <w:spacing w:val="4"/>
                            <w:sz w:val="18"/>
                          </w:rPr>
                          <w:t xml:space="preserve"> </w:t>
                        </w:r>
                        <w:r>
                          <w:rPr>
                            <w:rFonts w:ascii="Arial MT"/>
                            <w:color w:val="585858"/>
                            <w:sz w:val="18"/>
                          </w:rPr>
                          <w:t>or</w:t>
                        </w:r>
                        <w:r>
                          <w:rPr>
                            <w:rFonts w:ascii="Arial MT"/>
                            <w:color w:val="585858"/>
                            <w:spacing w:val="-4"/>
                            <w:sz w:val="18"/>
                          </w:rPr>
                          <w:t xml:space="preserve"> </w:t>
                        </w:r>
                        <w:r>
                          <w:rPr>
                            <w:rFonts w:ascii="Arial MT"/>
                            <w:color w:val="585858"/>
                            <w:sz w:val="18"/>
                          </w:rPr>
                          <w:t>latest</w:t>
                        </w:r>
                      </w:p>
                    </w:txbxContent>
                  </v:textbox>
                </v:shape>
                <w10:wrap type="topAndBottom" anchorx="page"/>
              </v:group>
            </w:pict>
          </mc:Fallback>
        </mc:AlternateContent>
      </w:r>
    </w:p>
    <w:p w14:paraId="2D546974" w14:textId="77777777" w:rsidR="002557B7" w:rsidRPr="00DB0C40" w:rsidRDefault="002557B7" w:rsidP="002557B7">
      <w:pPr>
        <w:widowControl w:val="0"/>
        <w:autoSpaceDE w:val="0"/>
        <w:autoSpaceDN w:val="0"/>
        <w:spacing w:before="75"/>
        <w:ind w:left="668"/>
        <w:rPr>
          <w:rFonts w:asciiTheme="minorHAnsi" w:eastAsia="Calibri Light" w:hAnsiTheme="minorHAnsi" w:cstheme="minorHAnsi"/>
          <w:sz w:val="22"/>
          <w:szCs w:val="22"/>
        </w:rPr>
      </w:pPr>
      <w:r w:rsidRPr="00DB0C40">
        <w:rPr>
          <w:rFonts w:asciiTheme="minorHAnsi" w:eastAsia="Calibri Light" w:hAnsiTheme="minorHAnsi" w:cstheme="minorHAnsi"/>
          <w:w w:val="105"/>
          <w:sz w:val="22"/>
          <w:szCs w:val="22"/>
        </w:rPr>
        <w:t>50</w:t>
      </w:r>
    </w:p>
    <w:p w14:paraId="1A5E499B" w14:textId="77777777" w:rsidR="002557B7" w:rsidRPr="00DB0C40" w:rsidRDefault="002557B7" w:rsidP="002557B7">
      <w:pPr>
        <w:widowControl w:val="0"/>
        <w:autoSpaceDE w:val="0"/>
        <w:autoSpaceDN w:val="0"/>
        <w:spacing w:before="39"/>
        <w:ind w:left="668"/>
        <w:rPr>
          <w:rFonts w:asciiTheme="minorHAnsi" w:eastAsia="Calibri Light" w:hAnsiTheme="minorHAnsi" w:cstheme="minorHAnsi"/>
          <w:sz w:val="22"/>
          <w:szCs w:val="22"/>
        </w:rPr>
      </w:pPr>
      <w:r w:rsidRPr="00DB0C40">
        <w:rPr>
          <w:rFonts w:asciiTheme="minorHAnsi" w:eastAsia="Calibri Light" w:hAnsiTheme="minorHAnsi" w:cstheme="minorHAnsi"/>
          <w:noProof/>
          <w:sz w:val="22"/>
          <w:szCs w:val="22"/>
        </w:rPr>
        <w:drawing>
          <wp:anchor distT="0" distB="0" distL="0" distR="0" simplePos="0" relativeHeight="251667456" behindDoc="0" locked="0" layoutInCell="1" allowOverlap="1" wp14:anchorId="48BE02F1" wp14:editId="3C83A2A1">
            <wp:simplePos x="0" y="0"/>
            <wp:positionH relativeFrom="page">
              <wp:posOffset>1818132</wp:posOffset>
            </wp:positionH>
            <wp:positionV relativeFrom="paragraph">
              <wp:posOffset>-91643</wp:posOffset>
            </wp:positionV>
            <wp:extent cx="76200" cy="76200"/>
            <wp:effectExtent l="0" t="0" r="0" b="0"/>
            <wp:wrapNone/>
            <wp:docPr id="323" name="imag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41.png"/>
                    <pic:cNvPicPr/>
                  </pic:nvPicPr>
                  <pic:blipFill>
                    <a:blip r:embed="rId20" cstate="print"/>
                    <a:stretch>
                      <a:fillRect/>
                    </a:stretch>
                  </pic:blipFill>
                  <pic:spPr>
                    <a:xfrm>
                      <a:off x="0" y="0"/>
                      <a:ext cx="76200" cy="76200"/>
                    </a:xfrm>
                    <a:prstGeom prst="rect">
                      <a:avLst/>
                    </a:prstGeom>
                  </pic:spPr>
                </pic:pic>
              </a:graphicData>
            </a:graphic>
          </wp:anchor>
        </w:drawing>
      </w:r>
      <w:r w:rsidRPr="00DB0C40">
        <w:rPr>
          <w:rFonts w:asciiTheme="minorHAnsi" w:eastAsia="Calibri Light" w:hAnsiTheme="minorHAnsi" w:cstheme="minorHAnsi"/>
          <w:noProof/>
          <w:sz w:val="22"/>
          <w:szCs w:val="22"/>
        </w:rPr>
        <mc:AlternateContent>
          <mc:Choice Requires="wps">
            <w:drawing>
              <wp:anchor distT="0" distB="0" distL="114300" distR="114300" simplePos="0" relativeHeight="251689984" behindDoc="0" locked="0" layoutInCell="1" allowOverlap="1" wp14:anchorId="2102D47B" wp14:editId="049E2BEF">
                <wp:simplePos x="0" y="0"/>
                <wp:positionH relativeFrom="page">
                  <wp:posOffset>1444625</wp:posOffset>
                </wp:positionH>
                <wp:positionV relativeFrom="paragraph">
                  <wp:posOffset>-53340</wp:posOffset>
                </wp:positionV>
                <wp:extent cx="4933950" cy="1348740"/>
                <wp:effectExtent l="0" t="0" r="3175" b="3810"/>
                <wp:wrapNone/>
                <wp:docPr id="376" name="Text Box 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3950" cy="1348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 w:type="dxa"/>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Layout w:type="fixed"/>
                              <w:tblCellMar>
                                <w:left w:w="0" w:type="dxa"/>
                                <w:right w:w="0" w:type="dxa"/>
                              </w:tblCellMar>
                              <w:tblLook w:val="01E0" w:firstRow="1" w:lastRow="1" w:firstColumn="1" w:lastColumn="1" w:noHBand="0" w:noVBand="0"/>
                            </w:tblPr>
                            <w:tblGrid>
                              <w:gridCol w:w="216"/>
                              <w:gridCol w:w="432"/>
                              <w:gridCol w:w="432"/>
                              <w:gridCol w:w="420"/>
                              <w:gridCol w:w="432"/>
                              <w:gridCol w:w="432"/>
                              <w:gridCol w:w="432"/>
                              <w:gridCol w:w="432"/>
                              <w:gridCol w:w="432"/>
                              <w:gridCol w:w="432"/>
                              <w:gridCol w:w="432"/>
                              <w:gridCol w:w="432"/>
                              <w:gridCol w:w="432"/>
                              <w:gridCol w:w="432"/>
                              <w:gridCol w:w="420"/>
                              <w:gridCol w:w="432"/>
                              <w:gridCol w:w="432"/>
                              <w:gridCol w:w="432"/>
                              <w:gridCol w:w="216"/>
                            </w:tblGrid>
                            <w:tr w:rsidR="00BF6983" w14:paraId="71675BA9" w14:textId="77777777">
                              <w:trPr>
                                <w:trHeight w:val="188"/>
                              </w:trPr>
                              <w:tc>
                                <w:tcPr>
                                  <w:tcW w:w="648" w:type="dxa"/>
                                  <w:gridSpan w:val="2"/>
                                  <w:tcBorders>
                                    <w:left w:val="nil"/>
                                    <w:right w:val="single" w:sz="6" w:space="0" w:color="A6A6A6"/>
                                  </w:tcBorders>
                                </w:tcPr>
                                <w:p w14:paraId="29D09C11" w14:textId="77777777" w:rsidR="00BF6983" w:rsidRDefault="00BF6983">
                                  <w:pPr>
                                    <w:pStyle w:val="TableParagraph"/>
                                    <w:rPr>
                                      <w:sz w:val="12"/>
                                    </w:rPr>
                                  </w:pPr>
                                </w:p>
                              </w:tc>
                              <w:tc>
                                <w:tcPr>
                                  <w:tcW w:w="7104" w:type="dxa"/>
                                  <w:gridSpan w:val="17"/>
                                  <w:tcBorders>
                                    <w:left w:val="single" w:sz="6" w:space="0" w:color="A6A6A6"/>
                                    <w:right w:val="nil"/>
                                  </w:tcBorders>
                                </w:tcPr>
                                <w:p w14:paraId="42FFFBB0" w14:textId="77777777" w:rsidR="00BF6983" w:rsidRDefault="00BF6983">
                                  <w:pPr>
                                    <w:pStyle w:val="TableParagraph"/>
                                    <w:rPr>
                                      <w:sz w:val="12"/>
                                    </w:rPr>
                                  </w:pPr>
                                </w:p>
                              </w:tc>
                            </w:tr>
                            <w:tr w:rsidR="00BF6983" w14:paraId="45EACBE0" w14:textId="77777777">
                              <w:trPr>
                                <w:trHeight w:val="201"/>
                              </w:trPr>
                              <w:tc>
                                <w:tcPr>
                                  <w:tcW w:w="648" w:type="dxa"/>
                                  <w:gridSpan w:val="2"/>
                                  <w:tcBorders>
                                    <w:left w:val="nil"/>
                                    <w:right w:val="single" w:sz="6" w:space="0" w:color="A6A6A6"/>
                                  </w:tcBorders>
                                </w:tcPr>
                                <w:p w14:paraId="25346299" w14:textId="77777777" w:rsidR="00BF6983" w:rsidRDefault="00BF6983">
                                  <w:pPr>
                                    <w:pStyle w:val="TableParagraph"/>
                                    <w:rPr>
                                      <w:sz w:val="14"/>
                                    </w:rPr>
                                  </w:pPr>
                                </w:p>
                              </w:tc>
                              <w:tc>
                                <w:tcPr>
                                  <w:tcW w:w="7104" w:type="dxa"/>
                                  <w:gridSpan w:val="17"/>
                                  <w:tcBorders>
                                    <w:left w:val="single" w:sz="6" w:space="0" w:color="A6A6A6"/>
                                    <w:right w:val="nil"/>
                                  </w:tcBorders>
                                </w:tcPr>
                                <w:p w14:paraId="65B75954" w14:textId="77777777" w:rsidR="00BF6983" w:rsidRDefault="00BF6983">
                                  <w:pPr>
                                    <w:pStyle w:val="TableParagraph"/>
                                    <w:rPr>
                                      <w:sz w:val="14"/>
                                    </w:rPr>
                                  </w:pPr>
                                </w:p>
                              </w:tc>
                            </w:tr>
                            <w:tr w:rsidR="00BF6983" w14:paraId="4BF03C18" w14:textId="77777777">
                              <w:trPr>
                                <w:trHeight w:val="201"/>
                              </w:trPr>
                              <w:tc>
                                <w:tcPr>
                                  <w:tcW w:w="216" w:type="dxa"/>
                                  <w:tcBorders>
                                    <w:left w:val="nil"/>
                                    <w:right w:val="single" w:sz="6" w:space="0" w:color="A6A6A6"/>
                                  </w:tcBorders>
                                </w:tcPr>
                                <w:p w14:paraId="5B9C1A7A" w14:textId="77777777" w:rsidR="00BF6983" w:rsidRDefault="00BF6983">
                                  <w:pPr>
                                    <w:pStyle w:val="TableParagraph"/>
                                    <w:rPr>
                                      <w:sz w:val="14"/>
                                    </w:rPr>
                                  </w:pPr>
                                </w:p>
                              </w:tc>
                              <w:tc>
                                <w:tcPr>
                                  <w:tcW w:w="432" w:type="dxa"/>
                                  <w:tcBorders>
                                    <w:left w:val="single" w:sz="6" w:space="0" w:color="A6A6A6"/>
                                    <w:right w:val="single" w:sz="6" w:space="0" w:color="A6A6A6"/>
                                  </w:tcBorders>
                                </w:tcPr>
                                <w:p w14:paraId="0EB0ACD0" w14:textId="77777777" w:rsidR="00BF6983" w:rsidRDefault="00BF6983">
                                  <w:pPr>
                                    <w:pStyle w:val="TableParagraph"/>
                                    <w:rPr>
                                      <w:sz w:val="14"/>
                                    </w:rPr>
                                  </w:pPr>
                                </w:p>
                              </w:tc>
                              <w:tc>
                                <w:tcPr>
                                  <w:tcW w:w="7104" w:type="dxa"/>
                                  <w:gridSpan w:val="17"/>
                                  <w:tcBorders>
                                    <w:left w:val="single" w:sz="6" w:space="0" w:color="A6A6A6"/>
                                    <w:right w:val="nil"/>
                                  </w:tcBorders>
                                </w:tcPr>
                                <w:p w14:paraId="2AE27005" w14:textId="77777777" w:rsidR="00BF6983" w:rsidRDefault="00BF6983">
                                  <w:pPr>
                                    <w:pStyle w:val="TableParagraph"/>
                                    <w:rPr>
                                      <w:sz w:val="14"/>
                                    </w:rPr>
                                  </w:pPr>
                                </w:p>
                              </w:tc>
                            </w:tr>
                            <w:tr w:rsidR="00BF6983" w14:paraId="28CA3779" w14:textId="77777777">
                              <w:trPr>
                                <w:trHeight w:val="188"/>
                              </w:trPr>
                              <w:tc>
                                <w:tcPr>
                                  <w:tcW w:w="216" w:type="dxa"/>
                                  <w:tcBorders>
                                    <w:left w:val="nil"/>
                                    <w:right w:val="single" w:sz="6" w:space="0" w:color="A6A6A6"/>
                                  </w:tcBorders>
                                </w:tcPr>
                                <w:p w14:paraId="5A3E3B1C" w14:textId="77777777" w:rsidR="00BF6983" w:rsidRDefault="00BF6983">
                                  <w:pPr>
                                    <w:pStyle w:val="TableParagraph"/>
                                    <w:rPr>
                                      <w:sz w:val="12"/>
                                    </w:rPr>
                                  </w:pPr>
                                </w:p>
                              </w:tc>
                              <w:tc>
                                <w:tcPr>
                                  <w:tcW w:w="432" w:type="dxa"/>
                                  <w:tcBorders>
                                    <w:left w:val="single" w:sz="6" w:space="0" w:color="A6A6A6"/>
                                    <w:right w:val="single" w:sz="6" w:space="0" w:color="A6A6A6"/>
                                  </w:tcBorders>
                                </w:tcPr>
                                <w:p w14:paraId="206E8B93" w14:textId="77777777" w:rsidR="00BF6983" w:rsidRDefault="00BF6983">
                                  <w:pPr>
                                    <w:pStyle w:val="TableParagraph"/>
                                    <w:rPr>
                                      <w:sz w:val="12"/>
                                    </w:rPr>
                                  </w:pPr>
                                </w:p>
                              </w:tc>
                              <w:tc>
                                <w:tcPr>
                                  <w:tcW w:w="852" w:type="dxa"/>
                                  <w:gridSpan w:val="2"/>
                                  <w:tcBorders>
                                    <w:left w:val="single" w:sz="6" w:space="0" w:color="A6A6A6"/>
                                    <w:right w:val="single" w:sz="6" w:space="0" w:color="A6A6A6"/>
                                  </w:tcBorders>
                                </w:tcPr>
                                <w:p w14:paraId="4BED372E" w14:textId="77777777" w:rsidR="00BF6983" w:rsidRDefault="00BF6983">
                                  <w:pPr>
                                    <w:pStyle w:val="TableParagraph"/>
                                    <w:rPr>
                                      <w:sz w:val="12"/>
                                    </w:rPr>
                                  </w:pPr>
                                </w:p>
                              </w:tc>
                              <w:tc>
                                <w:tcPr>
                                  <w:tcW w:w="6252" w:type="dxa"/>
                                  <w:gridSpan w:val="15"/>
                                  <w:tcBorders>
                                    <w:left w:val="single" w:sz="6" w:space="0" w:color="A6A6A6"/>
                                    <w:right w:val="nil"/>
                                  </w:tcBorders>
                                </w:tcPr>
                                <w:p w14:paraId="666AC310" w14:textId="77777777" w:rsidR="00BF6983" w:rsidRDefault="00BF6983">
                                  <w:pPr>
                                    <w:pStyle w:val="TableParagraph"/>
                                    <w:spacing w:line="120" w:lineRule="exact"/>
                                    <w:ind w:left="-20"/>
                                    <w:rPr>
                                      <w:rFonts w:ascii="Calibri Light"/>
                                      <w:sz w:val="12"/>
                                    </w:rPr>
                                  </w:pPr>
                                  <w:r>
                                    <w:rPr>
                                      <w:rFonts w:ascii="Calibri Light"/>
                                      <w:noProof/>
                                      <w:position w:val="-1"/>
                                      <w:sz w:val="12"/>
                                    </w:rPr>
                                    <w:drawing>
                                      <wp:inline distT="0" distB="0" distL="0" distR="0" wp14:anchorId="0D43673E" wp14:editId="6DDC6314">
                                        <wp:extent cx="53657" cy="76200"/>
                                        <wp:effectExtent l="0" t="0" r="0" b="0"/>
                                        <wp:docPr id="77"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51.png"/>
                                                <pic:cNvPicPr/>
                                              </pic:nvPicPr>
                                              <pic:blipFill>
                                                <a:blip r:embed="rId21" cstate="print"/>
                                                <a:stretch>
                                                  <a:fillRect/>
                                                </a:stretch>
                                              </pic:blipFill>
                                              <pic:spPr>
                                                <a:xfrm>
                                                  <a:off x="0" y="0"/>
                                                  <a:ext cx="53657" cy="76200"/>
                                                </a:xfrm>
                                                <a:prstGeom prst="rect">
                                                  <a:avLst/>
                                                </a:prstGeom>
                                              </pic:spPr>
                                            </pic:pic>
                                          </a:graphicData>
                                        </a:graphic>
                                      </wp:inline>
                                    </w:drawing>
                                  </w:r>
                                </w:p>
                              </w:tc>
                            </w:tr>
                            <w:tr w:rsidR="00BF6983" w14:paraId="4B870269" w14:textId="77777777">
                              <w:trPr>
                                <w:trHeight w:val="201"/>
                              </w:trPr>
                              <w:tc>
                                <w:tcPr>
                                  <w:tcW w:w="216" w:type="dxa"/>
                                  <w:tcBorders>
                                    <w:left w:val="nil"/>
                                    <w:right w:val="single" w:sz="6" w:space="0" w:color="A6A6A6"/>
                                  </w:tcBorders>
                                </w:tcPr>
                                <w:p w14:paraId="70BEDDB1" w14:textId="77777777" w:rsidR="00BF6983" w:rsidRDefault="00BF6983">
                                  <w:pPr>
                                    <w:pStyle w:val="TableParagraph"/>
                                    <w:rPr>
                                      <w:sz w:val="14"/>
                                    </w:rPr>
                                  </w:pPr>
                                </w:p>
                              </w:tc>
                              <w:tc>
                                <w:tcPr>
                                  <w:tcW w:w="432" w:type="dxa"/>
                                  <w:tcBorders>
                                    <w:left w:val="single" w:sz="6" w:space="0" w:color="A6A6A6"/>
                                    <w:right w:val="single" w:sz="6" w:space="0" w:color="A6A6A6"/>
                                  </w:tcBorders>
                                </w:tcPr>
                                <w:p w14:paraId="654BCD1A" w14:textId="77777777" w:rsidR="00BF6983" w:rsidRDefault="00BF6983">
                                  <w:pPr>
                                    <w:pStyle w:val="TableParagraph"/>
                                    <w:rPr>
                                      <w:sz w:val="14"/>
                                    </w:rPr>
                                  </w:pPr>
                                </w:p>
                              </w:tc>
                              <w:tc>
                                <w:tcPr>
                                  <w:tcW w:w="432" w:type="dxa"/>
                                  <w:tcBorders>
                                    <w:left w:val="single" w:sz="6" w:space="0" w:color="A6A6A6"/>
                                    <w:right w:val="single" w:sz="6" w:space="0" w:color="A6A6A6"/>
                                  </w:tcBorders>
                                </w:tcPr>
                                <w:p w14:paraId="28085DC0" w14:textId="77777777" w:rsidR="00BF6983" w:rsidRDefault="00BF6983">
                                  <w:pPr>
                                    <w:pStyle w:val="TableParagraph"/>
                                    <w:rPr>
                                      <w:sz w:val="14"/>
                                    </w:rPr>
                                  </w:pPr>
                                </w:p>
                              </w:tc>
                              <w:tc>
                                <w:tcPr>
                                  <w:tcW w:w="420" w:type="dxa"/>
                                  <w:tcBorders>
                                    <w:left w:val="single" w:sz="6" w:space="0" w:color="A6A6A6"/>
                                    <w:right w:val="single" w:sz="6" w:space="0" w:color="A6A6A6"/>
                                  </w:tcBorders>
                                </w:tcPr>
                                <w:p w14:paraId="64015987" w14:textId="77777777" w:rsidR="00BF6983" w:rsidRDefault="00BF6983">
                                  <w:pPr>
                                    <w:pStyle w:val="TableParagraph"/>
                                    <w:rPr>
                                      <w:sz w:val="14"/>
                                    </w:rPr>
                                  </w:pPr>
                                </w:p>
                              </w:tc>
                              <w:tc>
                                <w:tcPr>
                                  <w:tcW w:w="6252" w:type="dxa"/>
                                  <w:gridSpan w:val="15"/>
                                  <w:tcBorders>
                                    <w:left w:val="single" w:sz="6" w:space="0" w:color="A6A6A6"/>
                                    <w:right w:val="nil"/>
                                  </w:tcBorders>
                                </w:tcPr>
                                <w:p w14:paraId="22D47486" w14:textId="77777777" w:rsidR="00BF6983" w:rsidRDefault="00BF6983">
                                  <w:pPr>
                                    <w:pStyle w:val="TableParagraph"/>
                                    <w:rPr>
                                      <w:sz w:val="14"/>
                                    </w:rPr>
                                  </w:pPr>
                                </w:p>
                              </w:tc>
                            </w:tr>
                            <w:tr w:rsidR="00BF6983" w14:paraId="7AD5A388" w14:textId="77777777">
                              <w:trPr>
                                <w:trHeight w:val="201"/>
                              </w:trPr>
                              <w:tc>
                                <w:tcPr>
                                  <w:tcW w:w="216" w:type="dxa"/>
                                  <w:tcBorders>
                                    <w:left w:val="nil"/>
                                    <w:right w:val="single" w:sz="6" w:space="0" w:color="A6A6A6"/>
                                  </w:tcBorders>
                                </w:tcPr>
                                <w:p w14:paraId="157445CC" w14:textId="77777777" w:rsidR="00BF6983" w:rsidRDefault="00BF6983">
                                  <w:pPr>
                                    <w:pStyle w:val="TableParagraph"/>
                                    <w:rPr>
                                      <w:sz w:val="14"/>
                                    </w:rPr>
                                  </w:pPr>
                                </w:p>
                              </w:tc>
                              <w:tc>
                                <w:tcPr>
                                  <w:tcW w:w="432" w:type="dxa"/>
                                  <w:tcBorders>
                                    <w:left w:val="single" w:sz="6" w:space="0" w:color="A6A6A6"/>
                                    <w:right w:val="single" w:sz="6" w:space="0" w:color="A6A6A6"/>
                                  </w:tcBorders>
                                </w:tcPr>
                                <w:p w14:paraId="28A659CF" w14:textId="77777777" w:rsidR="00BF6983" w:rsidRDefault="00BF6983">
                                  <w:pPr>
                                    <w:pStyle w:val="TableParagraph"/>
                                    <w:rPr>
                                      <w:sz w:val="14"/>
                                    </w:rPr>
                                  </w:pPr>
                                </w:p>
                              </w:tc>
                              <w:tc>
                                <w:tcPr>
                                  <w:tcW w:w="432" w:type="dxa"/>
                                  <w:tcBorders>
                                    <w:left w:val="single" w:sz="6" w:space="0" w:color="A6A6A6"/>
                                    <w:right w:val="single" w:sz="6" w:space="0" w:color="A6A6A6"/>
                                  </w:tcBorders>
                                </w:tcPr>
                                <w:p w14:paraId="10D0249B" w14:textId="77777777" w:rsidR="00BF6983" w:rsidRDefault="00BF6983">
                                  <w:pPr>
                                    <w:pStyle w:val="TableParagraph"/>
                                    <w:rPr>
                                      <w:sz w:val="14"/>
                                    </w:rPr>
                                  </w:pPr>
                                </w:p>
                              </w:tc>
                              <w:tc>
                                <w:tcPr>
                                  <w:tcW w:w="420" w:type="dxa"/>
                                  <w:tcBorders>
                                    <w:left w:val="single" w:sz="6" w:space="0" w:color="A6A6A6"/>
                                    <w:right w:val="single" w:sz="6" w:space="0" w:color="A6A6A6"/>
                                  </w:tcBorders>
                                </w:tcPr>
                                <w:p w14:paraId="1C190FF3" w14:textId="77777777" w:rsidR="00BF6983" w:rsidRDefault="00BF6983">
                                  <w:pPr>
                                    <w:pStyle w:val="TableParagraph"/>
                                    <w:rPr>
                                      <w:sz w:val="14"/>
                                    </w:rPr>
                                  </w:pPr>
                                </w:p>
                              </w:tc>
                              <w:tc>
                                <w:tcPr>
                                  <w:tcW w:w="864" w:type="dxa"/>
                                  <w:gridSpan w:val="2"/>
                                  <w:tcBorders>
                                    <w:left w:val="single" w:sz="6" w:space="0" w:color="A6A6A6"/>
                                    <w:right w:val="single" w:sz="6" w:space="0" w:color="A6A6A6"/>
                                  </w:tcBorders>
                                </w:tcPr>
                                <w:p w14:paraId="08859541" w14:textId="77777777" w:rsidR="00BF6983" w:rsidRDefault="00BF6983">
                                  <w:pPr>
                                    <w:pStyle w:val="TableParagraph"/>
                                    <w:rPr>
                                      <w:sz w:val="14"/>
                                    </w:rPr>
                                  </w:pPr>
                                </w:p>
                              </w:tc>
                              <w:tc>
                                <w:tcPr>
                                  <w:tcW w:w="5388" w:type="dxa"/>
                                  <w:gridSpan w:val="13"/>
                                  <w:tcBorders>
                                    <w:left w:val="single" w:sz="6" w:space="0" w:color="A6A6A6"/>
                                    <w:right w:val="nil"/>
                                  </w:tcBorders>
                                </w:tcPr>
                                <w:p w14:paraId="07BB8608" w14:textId="77777777" w:rsidR="00BF6983" w:rsidRDefault="00BF6983">
                                  <w:pPr>
                                    <w:pStyle w:val="TableParagraph"/>
                                    <w:spacing w:before="9"/>
                                    <w:rPr>
                                      <w:rFonts w:ascii="Calibri Light"/>
                                      <w:sz w:val="5"/>
                                    </w:rPr>
                                  </w:pPr>
                                </w:p>
                                <w:p w14:paraId="401182D9" w14:textId="77777777" w:rsidR="00BF6983" w:rsidRDefault="00BF6983">
                                  <w:pPr>
                                    <w:pStyle w:val="TableParagraph"/>
                                    <w:spacing w:line="120" w:lineRule="exact"/>
                                    <w:ind w:left="1240"/>
                                    <w:rPr>
                                      <w:rFonts w:ascii="Calibri Light"/>
                                      <w:sz w:val="12"/>
                                    </w:rPr>
                                  </w:pPr>
                                  <w:r>
                                    <w:rPr>
                                      <w:rFonts w:ascii="Calibri Light"/>
                                      <w:noProof/>
                                      <w:position w:val="-1"/>
                                      <w:sz w:val="12"/>
                                    </w:rPr>
                                    <w:drawing>
                                      <wp:inline distT="0" distB="0" distL="0" distR="0" wp14:anchorId="3AD1E0E4" wp14:editId="20AD5097">
                                        <wp:extent cx="76200" cy="76200"/>
                                        <wp:effectExtent l="0" t="0" r="0" b="0"/>
                                        <wp:docPr id="79" name="image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59.png"/>
                                                <pic:cNvPicPr/>
                                              </pic:nvPicPr>
                                              <pic:blipFill>
                                                <a:blip r:embed="rId22" cstate="print"/>
                                                <a:stretch>
                                                  <a:fillRect/>
                                                </a:stretch>
                                              </pic:blipFill>
                                              <pic:spPr>
                                                <a:xfrm>
                                                  <a:off x="0" y="0"/>
                                                  <a:ext cx="76200" cy="76200"/>
                                                </a:xfrm>
                                                <a:prstGeom prst="rect">
                                                  <a:avLst/>
                                                </a:prstGeom>
                                              </pic:spPr>
                                            </pic:pic>
                                          </a:graphicData>
                                        </a:graphic>
                                      </wp:inline>
                                    </w:drawing>
                                  </w:r>
                                </w:p>
                              </w:tc>
                            </w:tr>
                            <w:tr w:rsidR="00BF6983" w14:paraId="047D3244" w14:textId="77777777">
                              <w:trPr>
                                <w:trHeight w:val="188"/>
                              </w:trPr>
                              <w:tc>
                                <w:tcPr>
                                  <w:tcW w:w="216" w:type="dxa"/>
                                  <w:tcBorders>
                                    <w:left w:val="nil"/>
                                    <w:right w:val="single" w:sz="6" w:space="0" w:color="A6A6A6"/>
                                  </w:tcBorders>
                                </w:tcPr>
                                <w:p w14:paraId="70EF9D67" w14:textId="77777777" w:rsidR="00BF6983" w:rsidRDefault="00BF6983">
                                  <w:pPr>
                                    <w:pStyle w:val="TableParagraph"/>
                                    <w:rPr>
                                      <w:sz w:val="12"/>
                                    </w:rPr>
                                  </w:pPr>
                                </w:p>
                              </w:tc>
                              <w:tc>
                                <w:tcPr>
                                  <w:tcW w:w="432" w:type="dxa"/>
                                  <w:tcBorders>
                                    <w:left w:val="single" w:sz="6" w:space="0" w:color="A6A6A6"/>
                                    <w:right w:val="single" w:sz="6" w:space="0" w:color="A6A6A6"/>
                                  </w:tcBorders>
                                </w:tcPr>
                                <w:p w14:paraId="33766225" w14:textId="77777777" w:rsidR="00BF6983" w:rsidRDefault="00BF6983">
                                  <w:pPr>
                                    <w:pStyle w:val="TableParagraph"/>
                                    <w:rPr>
                                      <w:sz w:val="12"/>
                                    </w:rPr>
                                  </w:pPr>
                                </w:p>
                              </w:tc>
                              <w:tc>
                                <w:tcPr>
                                  <w:tcW w:w="432" w:type="dxa"/>
                                  <w:tcBorders>
                                    <w:left w:val="single" w:sz="6" w:space="0" w:color="A6A6A6"/>
                                    <w:right w:val="single" w:sz="6" w:space="0" w:color="A6A6A6"/>
                                  </w:tcBorders>
                                </w:tcPr>
                                <w:p w14:paraId="5F9FE44E" w14:textId="77777777" w:rsidR="00BF6983" w:rsidRDefault="00BF6983">
                                  <w:pPr>
                                    <w:pStyle w:val="TableParagraph"/>
                                    <w:rPr>
                                      <w:sz w:val="12"/>
                                    </w:rPr>
                                  </w:pPr>
                                </w:p>
                              </w:tc>
                              <w:tc>
                                <w:tcPr>
                                  <w:tcW w:w="420" w:type="dxa"/>
                                  <w:tcBorders>
                                    <w:left w:val="single" w:sz="6" w:space="0" w:color="A6A6A6"/>
                                    <w:right w:val="single" w:sz="6" w:space="0" w:color="A6A6A6"/>
                                  </w:tcBorders>
                                </w:tcPr>
                                <w:p w14:paraId="14066D63" w14:textId="77777777" w:rsidR="00BF6983" w:rsidRDefault="00BF6983">
                                  <w:pPr>
                                    <w:pStyle w:val="TableParagraph"/>
                                    <w:rPr>
                                      <w:sz w:val="12"/>
                                    </w:rPr>
                                  </w:pPr>
                                </w:p>
                              </w:tc>
                              <w:tc>
                                <w:tcPr>
                                  <w:tcW w:w="432" w:type="dxa"/>
                                  <w:tcBorders>
                                    <w:left w:val="single" w:sz="6" w:space="0" w:color="A6A6A6"/>
                                    <w:right w:val="single" w:sz="6" w:space="0" w:color="A6A6A6"/>
                                  </w:tcBorders>
                                </w:tcPr>
                                <w:p w14:paraId="559F3BC4" w14:textId="77777777" w:rsidR="00BF6983" w:rsidRDefault="00BF6983">
                                  <w:pPr>
                                    <w:pStyle w:val="TableParagraph"/>
                                    <w:rPr>
                                      <w:sz w:val="12"/>
                                    </w:rPr>
                                  </w:pPr>
                                </w:p>
                              </w:tc>
                              <w:tc>
                                <w:tcPr>
                                  <w:tcW w:w="432" w:type="dxa"/>
                                  <w:tcBorders>
                                    <w:left w:val="single" w:sz="6" w:space="0" w:color="A6A6A6"/>
                                    <w:right w:val="single" w:sz="6" w:space="0" w:color="A6A6A6"/>
                                  </w:tcBorders>
                                </w:tcPr>
                                <w:p w14:paraId="58C4AF02" w14:textId="77777777" w:rsidR="00BF6983" w:rsidRDefault="00BF6983">
                                  <w:pPr>
                                    <w:pStyle w:val="TableParagraph"/>
                                    <w:rPr>
                                      <w:sz w:val="12"/>
                                    </w:rPr>
                                  </w:pPr>
                                </w:p>
                              </w:tc>
                              <w:tc>
                                <w:tcPr>
                                  <w:tcW w:w="432" w:type="dxa"/>
                                  <w:tcBorders>
                                    <w:left w:val="single" w:sz="6" w:space="0" w:color="A6A6A6"/>
                                    <w:right w:val="single" w:sz="6" w:space="0" w:color="A6A6A6"/>
                                  </w:tcBorders>
                                </w:tcPr>
                                <w:p w14:paraId="0C7AD3A5" w14:textId="77777777" w:rsidR="00BF6983" w:rsidRDefault="00BF6983">
                                  <w:pPr>
                                    <w:pStyle w:val="TableParagraph"/>
                                    <w:rPr>
                                      <w:sz w:val="12"/>
                                    </w:rPr>
                                  </w:pPr>
                                </w:p>
                              </w:tc>
                              <w:tc>
                                <w:tcPr>
                                  <w:tcW w:w="432" w:type="dxa"/>
                                  <w:tcBorders>
                                    <w:left w:val="single" w:sz="6" w:space="0" w:color="A6A6A6"/>
                                    <w:right w:val="single" w:sz="6" w:space="0" w:color="A6A6A6"/>
                                  </w:tcBorders>
                                </w:tcPr>
                                <w:p w14:paraId="5F161457" w14:textId="77777777" w:rsidR="00BF6983" w:rsidRDefault="00BF6983">
                                  <w:pPr>
                                    <w:pStyle w:val="TableParagraph"/>
                                    <w:rPr>
                                      <w:sz w:val="12"/>
                                    </w:rPr>
                                  </w:pPr>
                                </w:p>
                              </w:tc>
                              <w:tc>
                                <w:tcPr>
                                  <w:tcW w:w="432" w:type="dxa"/>
                                  <w:tcBorders>
                                    <w:left w:val="single" w:sz="6" w:space="0" w:color="A6A6A6"/>
                                    <w:right w:val="single" w:sz="6" w:space="0" w:color="A6A6A6"/>
                                  </w:tcBorders>
                                </w:tcPr>
                                <w:p w14:paraId="6D173EAB" w14:textId="77777777" w:rsidR="00BF6983" w:rsidRDefault="00BF6983">
                                  <w:pPr>
                                    <w:pStyle w:val="TableParagraph"/>
                                    <w:rPr>
                                      <w:sz w:val="12"/>
                                    </w:rPr>
                                  </w:pPr>
                                </w:p>
                              </w:tc>
                              <w:tc>
                                <w:tcPr>
                                  <w:tcW w:w="432" w:type="dxa"/>
                                  <w:tcBorders>
                                    <w:left w:val="single" w:sz="6" w:space="0" w:color="A6A6A6"/>
                                    <w:right w:val="single" w:sz="6" w:space="0" w:color="A6A6A6"/>
                                  </w:tcBorders>
                                </w:tcPr>
                                <w:p w14:paraId="2FCC29FF" w14:textId="77777777" w:rsidR="00BF6983" w:rsidRDefault="00BF6983">
                                  <w:pPr>
                                    <w:pStyle w:val="TableParagraph"/>
                                    <w:rPr>
                                      <w:sz w:val="12"/>
                                    </w:rPr>
                                  </w:pPr>
                                </w:p>
                              </w:tc>
                              <w:tc>
                                <w:tcPr>
                                  <w:tcW w:w="432" w:type="dxa"/>
                                  <w:tcBorders>
                                    <w:left w:val="single" w:sz="6" w:space="0" w:color="A6A6A6"/>
                                    <w:right w:val="single" w:sz="6" w:space="0" w:color="A6A6A6"/>
                                  </w:tcBorders>
                                </w:tcPr>
                                <w:p w14:paraId="4673E97D" w14:textId="77777777" w:rsidR="00BF6983" w:rsidRDefault="00BF6983">
                                  <w:pPr>
                                    <w:pStyle w:val="TableParagraph"/>
                                    <w:rPr>
                                      <w:sz w:val="12"/>
                                    </w:rPr>
                                  </w:pPr>
                                </w:p>
                              </w:tc>
                              <w:tc>
                                <w:tcPr>
                                  <w:tcW w:w="864" w:type="dxa"/>
                                  <w:gridSpan w:val="2"/>
                                  <w:tcBorders>
                                    <w:left w:val="single" w:sz="6" w:space="0" w:color="A6A6A6"/>
                                    <w:right w:val="single" w:sz="6" w:space="0" w:color="A6A6A6"/>
                                  </w:tcBorders>
                                </w:tcPr>
                                <w:p w14:paraId="67D12FAF" w14:textId="77777777" w:rsidR="00BF6983" w:rsidRDefault="00BF6983">
                                  <w:pPr>
                                    <w:pStyle w:val="TableParagraph"/>
                                    <w:rPr>
                                      <w:sz w:val="12"/>
                                    </w:rPr>
                                  </w:pPr>
                                </w:p>
                              </w:tc>
                              <w:tc>
                                <w:tcPr>
                                  <w:tcW w:w="852" w:type="dxa"/>
                                  <w:gridSpan w:val="2"/>
                                  <w:tcBorders>
                                    <w:left w:val="single" w:sz="6" w:space="0" w:color="A6A6A6"/>
                                    <w:right w:val="single" w:sz="6" w:space="0" w:color="A6A6A6"/>
                                  </w:tcBorders>
                                </w:tcPr>
                                <w:p w14:paraId="5F1F2D28" w14:textId="77777777" w:rsidR="00BF6983" w:rsidRDefault="00BF6983">
                                  <w:pPr>
                                    <w:pStyle w:val="TableParagraph"/>
                                    <w:rPr>
                                      <w:sz w:val="12"/>
                                    </w:rPr>
                                  </w:pPr>
                                </w:p>
                              </w:tc>
                              <w:tc>
                                <w:tcPr>
                                  <w:tcW w:w="1512" w:type="dxa"/>
                                  <w:gridSpan w:val="4"/>
                                  <w:tcBorders>
                                    <w:left w:val="single" w:sz="6" w:space="0" w:color="A6A6A6"/>
                                    <w:right w:val="nil"/>
                                  </w:tcBorders>
                                </w:tcPr>
                                <w:p w14:paraId="4A14368A" w14:textId="77777777" w:rsidR="00BF6983" w:rsidRDefault="00BF6983">
                                  <w:pPr>
                                    <w:pStyle w:val="TableParagraph"/>
                                    <w:spacing w:line="105" w:lineRule="exact"/>
                                    <w:ind w:left="-20"/>
                                    <w:rPr>
                                      <w:rFonts w:ascii="Calibri Light"/>
                                      <w:sz w:val="10"/>
                                    </w:rPr>
                                  </w:pPr>
                                  <w:r>
                                    <w:rPr>
                                      <w:rFonts w:ascii="Calibri Light"/>
                                      <w:noProof/>
                                      <w:position w:val="-1"/>
                                      <w:sz w:val="10"/>
                                    </w:rPr>
                                    <w:drawing>
                                      <wp:inline distT="0" distB="0" distL="0" distR="0" wp14:anchorId="33F96874" wp14:editId="0228FB71">
                                        <wp:extent cx="53204" cy="67055"/>
                                        <wp:effectExtent l="0" t="0" r="0" b="0"/>
                                        <wp:docPr id="81" name="image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60.png"/>
                                                <pic:cNvPicPr/>
                                              </pic:nvPicPr>
                                              <pic:blipFill>
                                                <a:blip r:embed="rId23" cstate="print"/>
                                                <a:stretch>
                                                  <a:fillRect/>
                                                </a:stretch>
                                              </pic:blipFill>
                                              <pic:spPr>
                                                <a:xfrm>
                                                  <a:off x="0" y="0"/>
                                                  <a:ext cx="53204" cy="67055"/>
                                                </a:xfrm>
                                                <a:prstGeom prst="rect">
                                                  <a:avLst/>
                                                </a:prstGeom>
                                              </pic:spPr>
                                            </pic:pic>
                                          </a:graphicData>
                                        </a:graphic>
                                      </wp:inline>
                                    </w:drawing>
                                  </w:r>
                                </w:p>
                              </w:tc>
                            </w:tr>
                            <w:tr w:rsidR="00BF6983" w14:paraId="56B299AB" w14:textId="77777777">
                              <w:trPr>
                                <w:trHeight w:val="201"/>
                              </w:trPr>
                              <w:tc>
                                <w:tcPr>
                                  <w:tcW w:w="216" w:type="dxa"/>
                                  <w:tcBorders>
                                    <w:left w:val="nil"/>
                                    <w:right w:val="single" w:sz="6" w:space="0" w:color="A6A6A6"/>
                                  </w:tcBorders>
                                </w:tcPr>
                                <w:p w14:paraId="51FDFDEB" w14:textId="77777777" w:rsidR="00BF6983" w:rsidRDefault="00BF6983">
                                  <w:pPr>
                                    <w:pStyle w:val="TableParagraph"/>
                                    <w:rPr>
                                      <w:sz w:val="14"/>
                                    </w:rPr>
                                  </w:pPr>
                                </w:p>
                              </w:tc>
                              <w:tc>
                                <w:tcPr>
                                  <w:tcW w:w="432" w:type="dxa"/>
                                  <w:tcBorders>
                                    <w:left w:val="single" w:sz="6" w:space="0" w:color="A6A6A6"/>
                                    <w:right w:val="single" w:sz="6" w:space="0" w:color="A6A6A6"/>
                                  </w:tcBorders>
                                </w:tcPr>
                                <w:p w14:paraId="18030873" w14:textId="77777777" w:rsidR="00BF6983" w:rsidRDefault="00BF6983">
                                  <w:pPr>
                                    <w:pStyle w:val="TableParagraph"/>
                                    <w:rPr>
                                      <w:sz w:val="14"/>
                                    </w:rPr>
                                  </w:pPr>
                                </w:p>
                              </w:tc>
                              <w:tc>
                                <w:tcPr>
                                  <w:tcW w:w="432" w:type="dxa"/>
                                  <w:tcBorders>
                                    <w:left w:val="single" w:sz="6" w:space="0" w:color="A6A6A6"/>
                                    <w:right w:val="single" w:sz="6" w:space="0" w:color="A6A6A6"/>
                                  </w:tcBorders>
                                </w:tcPr>
                                <w:p w14:paraId="4767E2B8" w14:textId="77777777" w:rsidR="00BF6983" w:rsidRDefault="00BF6983">
                                  <w:pPr>
                                    <w:pStyle w:val="TableParagraph"/>
                                    <w:rPr>
                                      <w:sz w:val="14"/>
                                    </w:rPr>
                                  </w:pPr>
                                </w:p>
                              </w:tc>
                              <w:tc>
                                <w:tcPr>
                                  <w:tcW w:w="420" w:type="dxa"/>
                                  <w:tcBorders>
                                    <w:left w:val="single" w:sz="6" w:space="0" w:color="A6A6A6"/>
                                    <w:right w:val="single" w:sz="6" w:space="0" w:color="A6A6A6"/>
                                  </w:tcBorders>
                                </w:tcPr>
                                <w:p w14:paraId="7771767F" w14:textId="77777777" w:rsidR="00BF6983" w:rsidRDefault="00BF6983">
                                  <w:pPr>
                                    <w:pStyle w:val="TableParagraph"/>
                                    <w:rPr>
                                      <w:sz w:val="14"/>
                                    </w:rPr>
                                  </w:pPr>
                                </w:p>
                              </w:tc>
                              <w:tc>
                                <w:tcPr>
                                  <w:tcW w:w="432" w:type="dxa"/>
                                  <w:tcBorders>
                                    <w:left w:val="single" w:sz="6" w:space="0" w:color="A6A6A6"/>
                                    <w:right w:val="single" w:sz="6" w:space="0" w:color="A6A6A6"/>
                                  </w:tcBorders>
                                </w:tcPr>
                                <w:p w14:paraId="56DBD52E" w14:textId="77777777" w:rsidR="00BF6983" w:rsidRDefault="00BF6983">
                                  <w:pPr>
                                    <w:pStyle w:val="TableParagraph"/>
                                    <w:rPr>
                                      <w:sz w:val="14"/>
                                    </w:rPr>
                                  </w:pPr>
                                </w:p>
                              </w:tc>
                              <w:tc>
                                <w:tcPr>
                                  <w:tcW w:w="432" w:type="dxa"/>
                                  <w:tcBorders>
                                    <w:left w:val="single" w:sz="6" w:space="0" w:color="A6A6A6"/>
                                    <w:right w:val="single" w:sz="6" w:space="0" w:color="A6A6A6"/>
                                  </w:tcBorders>
                                </w:tcPr>
                                <w:p w14:paraId="4A8E270B" w14:textId="77777777" w:rsidR="00BF6983" w:rsidRDefault="00BF6983">
                                  <w:pPr>
                                    <w:pStyle w:val="TableParagraph"/>
                                    <w:rPr>
                                      <w:sz w:val="14"/>
                                    </w:rPr>
                                  </w:pPr>
                                </w:p>
                              </w:tc>
                              <w:tc>
                                <w:tcPr>
                                  <w:tcW w:w="432" w:type="dxa"/>
                                  <w:tcBorders>
                                    <w:left w:val="single" w:sz="6" w:space="0" w:color="A6A6A6"/>
                                    <w:right w:val="single" w:sz="6" w:space="0" w:color="A6A6A6"/>
                                  </w:tcBorders>
                                </w:tcPr>
                                <w:p w14:paraId="4A7CA8F6" w14:textId="77777777" w:rsidR="00BF6983" w:rsidRDefault="00BF6983">
                                  <w:pPr>
                                    <w:pStyle w:val="TableParagraph"/>
                                    <w:rPr>
                                      <w:sz w:val="14"/>
                                    </w:rPr>
                                  </w:pPr>
                                </w:p>
                              </w:tc>
                              <w:tc>
                                <w:tcPr>
                                  <w:tcW w:w="432" w:type="dxa"/>
                                  <w:tcBorders>
                                    <w:left w:val="single" w:sz="6" w:space="0" w:color="A6A6A6"/>
                                    <w:right w:val="single" w:sz="6" w:space="0" w:color="A6A6A6"/>
                                  </w:tcBorders>
                                </w:tcPr>
                                <w:p w14:paraId="2B6AC8A6" w14:textId="77777777" w:rsidR="00BF6983" w:rsidRDefault="00BF6983">
                                  <w:pPr>
                                    <w:pStyle w:val="TableParagraph"/>
                                    <w:rPr>
                                      <w:sz w:val="14"/>
                                    </w:rPr>
                                  </w:pPr>
                                </w:p>
                              </w:tc>
                              <w:tc>
                                <w:tcPr>
                                  <w:tcW w:w="432" w:type="dxa"/>
                                  <w:tcBorders>
                                    <w:left w:val="single" w:sz="6" w:space="0" w:color="A6A6A6"/>
                                    <w:right w:val="single" w:sz="6" w:space="0" w:color="A6A6A6"/>
                                  </w:tcBorders>
                                </w:tcPr>
                                <w:p w14:paraId="3AA055A2" w14:textId="77777777" w:rsidR="00BF6983" w:rsidRDefault="00BF6983">
                                  <w:pPr>
                                    <w:pStyle w:val="TableParagraph"/>
                                    <w:rPr>
                                      <w:sz w:val="14"/>
                                    </w:rPr>
                                  </w:pPr>
                                </w:p>
                              </w:tc>
                              <w:tc>
                                <w:tcPr>
                                  <w:tcW w:w="432" w:type="dxa"/>
                                  <w:tcBorders>
                                    <w:left w:val="single" w:sz="6" w:space="0" w:color="A6A6A6"/>
                                    <w:right w:val="single" w:sz="6" w:space="0" w:color="A6A6A6"/>
                                  </w:tcBorders>
                                </w:tcPr>
                                <w:p w14:paraId="3401ECB6" w14:textId="77777777" w:rsidR="00BF6983" w:rsidRDefault="00BF6983">
                                  <w:pPr>
                                    <w:pStyle w:val="TableParagraph"/>
                                    <w:rPr>
                                      <w:sz w:val="14"/>
                                    </w:rPr>
                                  </w:pPr>
                                </w:p>
                              </w:tc>
                              <w:tc>
                                <w:tcPr>
                                  <w:tcW w:w="432" w:type="dxa"/>
                                  <w:tcBorders>
                                    <w:left w:val="single" w:sz="6" w:space="0" w:color="A6A6A6"/>
                                    <w:right w:val="single" w:sz="6" w:space="0" w:color="A6A6A6"/>
                                  </w:tcBorders>
                                </w:tcPr>
                                <w:p w14:paraId="48E2D92F" w14:textId="77777777" w:rsidR="00BF6983" w:rsidRDefault="00BF6983">
                                  <w:pPr>
                                    <w:pStyle w:val="TableParagraph"/>
                                    <w:rPr>
                                      <w:sz w:val="14"/>
                                    </w:rPr>
                                  </w:pPr>
                                </w:p>
                              </w:tc>
                              <w:tc>
                                <w:tcPr>
                                  <w:tcW w:w="432" w:type="dxa"/>
                                  <w:tcBorders>
                                    <w:left w:val="single" w:sz="6" w:space="0" w:color="A6A6A6"/>
                                    <w:right w:val="single" w:sz="6" w:space="0" w:color="A6A6A6"/>
                                  </w:tcBorders>
                                </w:tcPr>
                                <w:p w14:paraId="41B2BC76" w14:textId="77777777" w:rsidR="00BF6983" w:rsidRDefault="00BF6983">
                                  <w:pPr>
                                    <w:pStyle w:val="TableParagraph"/>
                                    <w:rPr>
                                      <w:sz w:val="14"/>
                                    </w:rPr>
                                  </w:pPr>
                                </w:p>
                              </w:tc>
                              <w:tc>
                                <w:tcPr>
                                  <w:tcW w:w="432" w:type="dxa"/>
                                  <w:tcBorders>
                                    <w:left w:val="single" w:sz="6" w:space="0" w:color="A6A6A6"/>
                                    <w:right w:val="single" w:sz="6" w:space="0" w:color="A6A6A6"/>
                                  </w:tcBorders>
                                </w:tcPr>
                                <w:p w14:paraId="00F4D349" w14:textId="77777777" w:rsidR="00BF6983" w:rsidRDefault="00BF6983">
                                  <w:pPr>
                                    <w:pStyle w:val="TableParagraph"/>
                                    <w:rPr>
                                      <w:sz w:val="14"/>
                                    </w:rPr>
                                  </w:pPr>
                                </w:p>
                              </w:tc>
                              <w:tc>
                                <w:tcPr>
                                  <w:tcW w:w="432" w:type="dxa"/>
                                  <w:tcBorders>
                                    <w:left w:val="single" w:sz="6" w:space="0" w:color="A6A6A6"/>
                                    <w:right w:val="single" w:sz="6" w:space="0" w:color="A6A6A6"/>
                                  </w:tcBorders>
                                </w:tcPr>
                                <w:p w14:paraId="4B5A57E2" w14:textId="77777777" w:rsidR="00BF6983" w:rsidRDefault="00BF6983">
                                  <w:pPr>
                                    <w:pStyle w:val="TableParagraph"/>
                                    <w:rPr>
                                      <w:sz w:val="14"/>
                                    </w:rPr>
                                  </w:pPr>
                                </w:p>
                              </w:tc>
                              <w:tc>
                                <w:tcPr>
                                  <w:tcW w:w="420" w:type="dxa"/>
                                  <w:tcBorders>
                                    <w:left w:val="single" w:sz="6" w:space="0" w:color="A6A6A6"/>
                                    <w:right w:val="single" w:sz="6" w:space="0" w:color="A6A6A6"/>
                                  </w:tcBorders>
                                </w:tcPr>
                                <w:p w14:paraId="63EA5410" w14:textId="77777777" w:rsidR="00BF6983" w:rsidRDefault="00BF6983">
                                  <w:pPr>
                                    <w:pStyle w:val="TableParagraph"/>
                                    <w:rPr>
                                      <w:sz w:val="14"/>
                                    </w:rPr>
                                  </w:pPr>
                                </w:p>
                              </w:tc>
                              <w:tc>
                                <w:tcPr>
                                  <w:tcW w:w="1512" w:type="dxa"/>
                                  <w:gridSpan w:val="4"/>
                                  <w:tcBorders>
                                    <w:left w:val="single" w:sz="6" w:space="0" w:color="A6A6A6"/>
                                    <w:right w:val="nil"/>
                                  </w:tcBorders>
                                </w:tcPr>
                                <w:p w14:paraId="2FA7E2C0" w14:textId="77777777" w:rsidR="00BF6983" w:rsidRDefault="00BF6983">
                                  <w:pPr>
                                    <w:pStyle w:val="TableParagraph"/>
                                    <w:rPr>
                                      <w:sz w:val="14"/>
                                    </w:rPr>
                                  </w:pPr>
                                </w:p>
                              </w:tc>
                            </w:tr>
                            <w:tr w:rsidR="00BF6983" w14:paraId="21BCB719" w14:textId="77777777">
                              <w:trPr>
                                <w:trHeight w:val="201"/>
                              </w:trPr>
                              <w:tc>
                                <w:tcPr>
                                  <w:tcW w:w="216" w:type="dxa"/>
                                  <w:tcBorders>
                                    <w:left w:val="nil"/>
                                    <w:right w:val="single" w:sz="6" w:space="0" w:color="A6A6A6"/>
                                  </w:tcBorders>
                                </w:tcPr>
                                <w:p w14:paraId="1CBE1E9F" w14:textId="77777777" w:rsidR="00BF6983" w:rsidRDefault="00BF6983">
                                  <w:pPr>
                                    <w:pStyle w:val="TableParagraph"/>
                                    <w:rPr>
                                      <w:sz w:val="14"/>
                                    </w:rPr>
                                  </w:pPr>
                                </w:p>
                              </w:tc>
                              <w:tc>
                                <w:tcPr>
                                  <w:tcW w:w="432" w:type="dxa"/>
                                  <w:tcBorders>
                                    <w:left w:val="single" w:sz="6" w:space="0" w:color="A6A6A6"/>
                                    <w:right w:val="single" w:sz="6" w:space="0" w:color="A6A6A6"/>
                                  </w:tcBorders>
                                </w:tcPr>
                                <w:p w14:paraId="44A98A03" w14:textId="77777777" w:rsidR="00BF6983" w:rsidRDefault="00BF6983">
                                  <w:pPr>
                                    <w:pStyle w:val="TableParagraph"/>
                                    <w:rPr>
                                      <w:sz w:val="14"/>
                                    </w:rPr>
                                  </w:pPr>
                                </w:p>
                              </w:tc>
                              <w:tc>
                                <w:tcPr>
                                  <w:tcW w:w="432" w:type="dxa"/>
                                  <w:tcBorders>
                                    <w:left w:val="single" w:sz="6" w:space="0" w:color="A6A6A6"/>
                                    <w:right w:val="single" w:sz="6" w:space="0" w:color="A6A6A6"/>
                                  </w:tcBorders>
                                </w:tcPr>
                                <w:p w14:paraId="37205D2C" w14:textId="77777777" w:rsidR="00BF6983" w:rsidRDefault="00BF6983">
                                  <w:pPr>
                                    <w:pStyle w:val="TableParagraph"/>
                                    <w:rPr>
                                      <w:sz w:val="14"/>
                                    </w:rPr>
                                  </w:pPr>
                                </w:p>
                              </w:tc>
                              <w:tc>
                                <w:tcPr>
                                  <w:tcW w:w="420" w:type="dxa"/>
                                  <w:tcBorders>
                                    <w:left w:val="single" w:sz="6" w:space="0" w:color="A6A6A6"/>
                                    <w:right w:val="single" w:sz="6" w:space="0" w:color="A6A6A6"/>
                                  </w:tcBorders>
                                </w:tcPr>
                                <w:p w14:paraId="6FA330C8" w14:textId="77777777" w:rsidR="00BF6983" w:rsidRDefault="00BF6983">
                                  <w:pPr>
                                    <w:pStyle w:val="TableParagraph"/>
                                    <w:rPr>
                                      <w:sz w:val="14"/>
                                    </w:rPr>
                                  </w:pPr>
                                </w:p>
                              </w:tc>
                              <w:tc>
                                <w:tcPr>
                                  <w:tcW w:w="432" w:type="dxa"/>
                                  <w:tcBorders>
                                    <w:left w:val="single" w:sz="6" w:space="0" w:color="A6A6A6"/>
                                    <w:right w:val="single" w:sz="6" w:space="0" w:color="A6A6A6"/>
                                  </w:tcBorders>
                                </w:tcPr>
                                <w:p w14:paraId="629353A7" w14:textId="77777777" w:rsidR="00BF6983" w:rsidRDefault="00BF6983">
                                  <w:pPr>
                                    <w:pStyle w:val="TableParagraph"/>
                                    <w:rPr>
                                      <w:sz w:val="14"/>
                                    </w:rPr>
                                  </w:pPr>
                                </w:p>
                              </w:tc>
                              <w:tc>
                                <w:tcPr>
                                  <w:tcW w:w="432" w:type="dxa"/>
                                  <w:tcBorders>
                                    <w:left w:val="single" w:sz="6" w:space="0" w:color="A6A6A6"/>
                                    <w:right w:val="single" w:sz="6" w:space="0" w:color="A6A6A6"/>
                                  </w:tcBorders>
                                </w:tcPr>
                                <w:p w14:paraId="48FD1631" w14:textId="77777777" w:rsidR="00BF6983" w:rsidRDefault="00BF6983">
                                  <w:pPr>
                                    <w:pStyle w:val="TableParagraph"/>
                                    <w:rPr>
                                      <w:sz w:val="14"/>
                                    </w:rPr>
                                  </w:pPr>
                                </w:p>
                              </w:tc>
                              <w:tc>
                                <w:tcPr>
                                  <w:tcW w:w="432" w:type="dxa"/>
                                  <w:tcBorders>
                                    <w:left w:val="single" w:sz="6" w:space="0" w:color="A6A6A6"/>
                                    <w:right w:val="single" w:sz="6" w:space="0" w:color="A6A6A6"/>
                                  </w:tcBorders>
                                </w:tcPr>
                                <w:p w14:paraId="30493E8D" w14:textId="77777777" w:rsidR="00BF6983" w:rsidRDefault="00BF6983">
                                  <w:pPr>
                                    <w:pStyle w:val="TableParagraph"/>
                                    <w:rPr>
                                      <w:sz w:val="14"/>
                                    </w:rPr>
                                  </w:pPr>
                                </w:p>
                              </w:tc>
                              <w:tc>
                                <w:tcPr>
                                  <w:tcW w:w="432" w:type="dxa"/>
                                  <w:tcBorders>
                                    <w:left w:val="single" w:sz="6" w:space="0" w:color="A6A6A6"/>
                                    <w:right w:val="single" w:sz="6" w:space="0" w:color="A6A6A6"/>
                                  </w:tcBorders>
                                </w:tcPr>
                                <w:p w14:paraId="04F17E85" w14:textId="77777777" w:rsidR="00BF6983" w:rsidRDefault="00BF6983">
                                  <w:pPr>
                                    <w:pStyle w:val="TableParagraph"/>
                                    <w:rPr>
                                      <w:sz w:val="14"/>
                                    </w:rPr>
                                  </w:pPr>
                                </w:p>
                              </w:tc>
                              <w:tc>
                                <w:tcPr>
                                  <w:tcW w:w="432" w:type="dxa"/>
                                  <w:tcBorders>
                                    <w:left w:val="single" w:sz="6" w:space="0" w:color="A6A6A6"/>
                                    <w:right w:val="single" w:sz="6" w:space="0" w:color="A6A6A6"/>
                                  </w:tcBorders>
                                </w:tcPr>
                                <w:p w14:paraId="3F8F58E2" w14:textId="77777777" w:rsidR="00BF6983" w:rsidRDefault="00BF6983">
                                  <w:pPr>
                                    <w:pStyle w:val="TableParagraph"/>
                                    <w:rPr>
                                      <w:sz w:val="14"/>
                                    </w:rPr>
                                  </w:pPr>
                                </w:p>
                              </w:tc>
                              <w:tc>
                                <w:tcPr>
                                  <w:tcW w:w="432" w:type="dxa"/>
                                  <w:tcBorders>
                                    <w:left w:val="single" w:sz="6" w:space="0" w:color="A6A6A6"/>
                                    <w:right w:val="single" w:sz="6" w:space="0" w:color="A6A6A6"/>
                                  </w:tcBorders>
                                </w:tcPr>
                                <w:p w14:paraId="7951A227" w14:textId="77777777" w:rsidR="00BF6983" w:rsidRDefault="00BF6983">
                                  <w:pPr>
                                    <w:pStyle w:val="TableParagraph"/>
                                    <w:rPr>
                                      <w:sz w:val="14"/>
                                    </w:rPr>
                                  </w:pPr>
                                </w:p>
                              </w:tc>
                              <w:tc>
                                <w:tcPr>
                                  <w:tcW w:w="432" w:type="dxa"/>
                                  <w:tcBorders>
                                    <w:left w:val="single" w:sz="6" w:space="0" w:color="A6A6A6"/>
                                    <w:right w:val="single" w:sz="6" w:space="0" w:color="A6A6A6"/>
                                  </w:tcBorders>
                                </w:tcPr>
                                <w:p w14:paraId="4BC69A05" w14:textId="77777777" w:rsidR="00BF6983" w:rsidRDefault="00BF6983">
                                  <w:pPr>
                                    <w:pStyle w:val="TableParagraph"/>
                                    <w:rPr>
                                      <w:sz w:val="14"/>
                                    </w:rPr>
                                  </w:pPr>
                                </w:p>
                              </w:tc>
                              <w:tc>
                                <w:tcPr>
                                  <w:tcW w:w="432" w:type="dxa"/>
                                  <w:tcBorders>
                                    <w:left w:val="single" w:sz="6" w:space="0" w:color="A6A6A6"/>
                                    <w:right w:val="single" w:sz="6" w:space="0" w:color="A6A6A6"/>
                                  </w:tcBorders>
                                </w:tcPr>
                                <w:p w14:paraId="1D0F825E" w14:textId="77777777" w:rsidR="00BF6983" w:rsidRDefault="00BF6983">
                                  <w:pPr>
                                    <w:pStyle w:val="TableParagraph"/>
                                    <w:rPr>
                                      <w:sz w:val="14"/>
                                    </w:rPr>
                                  </w:pPr>
                                </w:p>
                              </w:tc>
                              <w:tc>
                                <w:tcPr>
                                  <w:tcW w:w="432" w:type="dxa"/>
                                  <w:tcBorders>
                                    <w:left w:val="single" w:sz="6" w:space="0" w:color="A6A6A6"/>
                                    <w:right w:val="single" w:sz="6" w:space="0" w:color="A6A6A6"/>
                                  </w:tcBorders>
                                </w:tcPr>
                                <w:p w14:paraId="77090DBD" w14:textId="77777777" w:rsidR="00BF6983" w:rsidRDefault="00BF6983">
                                  <w:pPr>
                                    <w:pStyle w:val="TableParagraph"/>
                                    <w:rPr>
                                      <w:sz w:val="14"/>
                                    </w:rPr>
                                  </w:pPr>
                                </w:p>
                              </w:tc>
                              <w:tc>
                                <w:tcPr>
                                  <w:tcW w:w="432" w:type="dxa"/>
                                  <w:tcBorders>
                                    <w:left w:val="single" w:sz="6" w:space="0" w:color="A6A6A6"/>
                                    <w:right w:val="single" w:sz="6" w:space="0" w:color="A6A6A6"/>
                                  </w:tcBorders>
                                </w:tcPr>
                                <w:p w14:paraId="3160F157" w14:textId="77777777" w:rsidR="00BF6983" w:rsidRDefault="00BF6983">
                                  <w:pPr>
                                    <w:pStyle w:val="TableParagraph"/>
                                    <w:rPr>
                                      <w:sz w:val="14"/>
                                    </w:rPr>
                                  </w:pPr>
                                </w:p>
                              </w:tc>
                              <w:tc>
                                <w:tcPr>
                                  <w:tcW w:w="420" w:type="dxa"/>
                                  <w:tcBorders>
                                    <w:left w:val="single" w:sz="6" w:space="0" w:color="A6A6A6"/>
                                    <w:right w:val="single" w:sz="6" w:space="0" w:color="A6A6A6"/>
                                  </w:tcBorders>
                                </w:tcPr>
                                <w:p w14:paraId="6F175CD0" w14:textId="77777777" w:rsidR="00BF6983" w:rsidRDefault="00BF6983">
                                  <w:pPr>
                                    <w:pStyle w:val="TableParagraph"/>
                                    <w:rPr>
                                      <w:sz w:val="14"/>
                                    </w:rPr>
                                  </w:pPr>
                                </w:p>
                              </w:tc>
                              <w:tc>
                                <w:tcPr>
                                  <w:tcW w:w="432" w:type="dxa"/>
                                  <w:tcBorders>
                                    <w:left w:val="single" w:sz="6" w:space="0" w:color="A6A6A6"/>
                                    <w:right w:val="single" w:sz="6" w:space="0" w:color="A6A6A6"/>
                                  </w:tcBorders>
                                </w:tcPr>
                                <w:p w14:paraId="6E5078F7" w14:textId="77777777" w:rsidR="00BF6983" w:rsidRDefault="00BF6983">
                                  <w:pPr>
                                    <w:pStyle w:val="TableParagraph"/>
                                    <w:rPr>
                                      <w:sz w:val="14"/>
                                    </w:rPr>
                                  </w:pPr>
                                </w:p>
                              </w:tc>
                              <w:tc>
                                <w:tcPr>
                                  <w:tcW w:w="432" w:type="dxa"/>
                                  <w:tcBorders>
                                    <w:left w:val="single" w:sz="6" w:space="0" w:color="A6A6A6"/>
                                    <w:right w:val="single" w:sz="6" w:space="0" w:color="A6A6A6"/>
                                  </w:tcBorders>
                                </w:tcPr>
                                <w:p w14:paraId="203DA108" w14:textId="77777777" w:rsidR="00BF6983" w:rsidRDefault="00BF6983">
                                  <w:pPr>
                                    <w:pStyle w:val="TableParagraph"/>
                                    <w:rPr>
                                      <w:sz w:val="14"/>
                                    </w:rPr>
                                  </w:pPr>
                                </w:p>
                              </w:tc>
                              <w:tc>
                                <w:tcPr>
                                  <w:tcW w:w="432" w:type="dxa"/>
                                  <w:tcBorders>
                                    <w:left w:val="single" w:sz="6" w:space="0" w:color="A6A6A6"/>
                                    <w:right w:val="single" w:sz="6" w:space="0" w:color="A6A6A6"/>
                                  </w:tcBorders>
                                </w:tcPr>
                                <w:p w14:paraId="775768C6" w14:textId="77777777" w:rsidR="00BF6983" w:rsidRDefault="00BF6983">
                                  <w:pPr>
                                    <w:pStyle w:val="TableParagraph"/>
                                    <w:rPr>
                                      <w:sz w:val="14"/>
                                    </w:rPr>
                                  </w:pPr>
                                </w:p>
                              </w:tc>
                              <w:tc>
                                <w:tcPr>
                                  <w:tcW w:w="216" w:type="dxa"/>
                                  <w:tcBorders>
                                    <w:left w:val="single" w:sz="6" w:space="0" w:color="A6A6A6"/>
                                    <w:right w:val="nil"/>
                                  </w:tcBorders>
                                </w:tcPr>
                                <w:p w14:paraId="6F5B6EF6" w14:textId="77777777" w:rsidR="00BF6983" w:rsidRDefault="00BF6983">
                                  <w:pPr>
                                    <w:pStyle w:val="TableParagraph"/>
                                    <w:rPr>
                                      <w:sz w:val="14"/>
                                    </w:rPr>
                                  </w:pPr>
                                </w:p>
                              </w:tc>
                            </w:tr>
                            <w:tr w:rsidR="00BF6983" w14:paraId="5CF0BDEC" w14:textId="77777777">
                              <w:trPr>
                                <w:trHeight w:val="188"/>
                              </w:trPr>
                              <w:tc>
                                <w:tcPr>
                                  <w:tcW w:w="216" w:type="dxa"/>
                                  <w:tcBorders>
                                    <w:left w:val="nil"/>
                                    <w:bottom w:val="single" w:sz="6" w:space="0" w:color="000000"/>
                                    <w:right w:val="single" w:sz="6" w:space="0" w:color="A6A6A6"/>
                                  </w:tcBorders>
                                </w:tcPr>
                                <w:p w14:paraId="5FC90AEE"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3EB525ED"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467CCA4B" w14:textId="77777777" w:rsidR="00BF6983" w:rsidRDefault="00BF6983">
                                  <w:pPr>
                                    <w:pStyle w:val="TableParagraph"/>
                                    <w:rPr>
                                      <w:sz w:val="12"/>
                                    </w:rPr>
                                  </w:pPr>
                                </w:p>
                              </w:tc>
                              <w:tc>
                                <w:tcPr>
                                  <w:tcW w:w="420" w:type="dxa"/>
                                  <w:tcBorders>
                                    <w:left w:val="single" w:sz="6" w:space="0" w:color="A6A6A6"/>
                                    <w:bottom w:val="single" w:sz="6" w:space="0" w:color="000000"/>
                                    <w:right w:val="single" w:sz="6" w:space="0" w:color="A6A6A6"/>
                                  </w:tcBorders>
                                </w:tcPr>
                                <w:p w14:paraId="3C6966E1"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329C9217"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3B9D59B7"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1E87A7C3"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553B94FE"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69CFB41B"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603D55DC"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2C13C1E6"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0D025A64"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2E526CE5"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2B285A5F" w14:textId="77777777" w:rsidR="00BF6983" w:rsidRDefault="00BF6983">
                                  <w:pPr>
                                    <w:pStyle w:val="TableParagraph"/>
                                    <w:rPr>
                                      <w:sz w:val="12"/>
                                    </w:rPr>
                                  </w:pPr>
                                </w:p>
                              </w:tc>
                              <w:tc>
                                <w:tcPr>
                                  <w:tcW w:w="420" w:type="dxa"/>
                                  <w:tcBorders>
                                    <w:left w:val="single" w:sz="6" w:space="0" w:color="A6A6A6"/>
                                    <w:bottom w:val="single" w:sz="6" w:space="0" w:color="000000"/>
                                    <w:right w:val="single" w:sz="6" w:space="0" w:color="A6A6A6"/>
                                  </w:tcBorders>
                                </w:tcPr>
                                <w:p w14:paraId="461FA56F"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471A72A2"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5CAC8C7D"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629676DE" w14:textId="77777777" w:rsidR="00BF6983" w:rsidRDefault="00BF6983">
                                  <w:pPr>
                                    <w:pStyle w:val="TableParagraph"/>
                                    <w:rPr>
                                      <w:sz w:val="12"/>
                                    </w:rPr>
                                  </w:pPr>
                                </w:p>
                              </w:tc>
                              <w:tc>
                                <w:tcPr>
                                  <w:tcW w:w="216" w:type="dxa"/>
                                  <w:tcBorders>
                                    <w:left w:val="single" w:sz="6" w:space="0" w:color="A6A6A6"/>
                                    <w:bottom w:val="single" w:sz="6" w:space="0" w:color="000000"/>
                                    <w:right w:val="nil"/>
                                  </w:tcBorders>
                                </w:tcPr>
                                <w:p w14:paraId="415B0C39" w14:textId="77777777" w:rsidR="00BF6983" w:rsidRDefault="00BF6983">
                                  <w:pPr>
                                    <w:pStyle w:val="TableParagraph"/>
                                    <w:rPr>
                                      <w:sz w:val="12"/>
                                    </w:rPr>
                                  </w:pPr>
                                </w:p>
                              </w:tc>
                            </w:tr>
                          </w:tbl>
                          <w:p w14:paraId="1AB2F10F" w14:textId="77777777" w:rsidR="00BF6983" w:rsidRDefault="00BF6983" w:rsidP="002557B7">
                            <w:pPr>
                              <w:pStyle w:val="BodyTex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02D47B" id="Text Box 376" o:spid="_x0000_s1033" type="#_x0000_t202" style="position:absolute;left:0;text-align:left;margin-left:113.75pt;margin-top:-4.2pt;width:388.5pt;height:106.2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" filled="f" stroked="f">
                <v:textbox inset="0,0,0,0">
                  <w:txbxContent>
                    <w:tbl>
                      <w:tblPr>
                        <w:tblW w:w="0" w:type="auto"/>
                        <w:tblInd w:w="7" w:type="dxa"/>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Layout w:type="fixed"/>
                        <w:tblCellMar>
                          <w:left w:w="0" w:type="dxa"/>
                          <w:right w:w="0" w:type="dxa"/>
                        </w:tblCellMar>
                        <w:tblLook w:val="01E0" w:firstRow="1" w:lastRow="1" w:firstColumn="1" w:lastColumn="1" w:noHBand="0" w:noVBand="0"/>
                      </w:tblPr>
                      <w:tblGrid>
                        <w:gridCol w:w="216"/>
                        <w:gridCol w:w="432"/>
                        <w:gridCol w:w="432"/>
                        <w:gridCol w:w="420"/>
                        <w:gridCol w:w="432"/>
                        <w:gridCol w:w="432"/>
                        <w:gridCol w:w="432"/>
                        <w:gridCol w:w="432"/>
                        <w:gridCol w:w="432"/>
                        <w:gridCol w:w="432"/>
                        <w:gridCol w:w="432"/>
                        <w:gridCol w:w="432"/>
                        <w:gridCol w:w="432"/>
                        <w:gridCol w:w="432"/>
                        <w:gridCol w:w="420"/>
                        <w:gridCol w:w="432"/>
                        <w:gridCol w:w="432"/>
                        <w:gridCol w:w="432"/>
                        <w:gridCol w:w="216"/>
                      </w:tblGrid>
                      <w:tr w:rsidR="00BF6983" w14:paraId="71675BA9" w14:textId="77777777">
                        <w:trPr>
                          <w:trHeight w:val="188"/>
                        </w:trPr>
                        <w:tc>
                          <w:tcPr>
                            <w:tcW w:w="648" w:type="dxa"/>
                            <w:gridSpan w:val="2"/>
                            <w:tcBorders>
                              <w:left w:val="nil"/>
                              <w:right w:val="single" w:sz="6" w:space="0" w:color="A6A6A6"/>
                            </w:tcBorders>
                          </w:tcPr>
                          <w:p w14:paraId="29D09C11" w14:textId="77777777" w:rsidR="00BF6983" w:rsidRDefault="00BF6983">
                            <w:pPr>
                              <w:pStyle w:val="TableParagraph"/>
                              <w:rPr>
                                <w:sz w:val="12"/>
                              </w:rPr>
                            </w:pPr>
                          </w:p>
                        </w:tc>
                        <w:tc>
                          <w:tcPr>
                            <w:tcW w:w="7104" w:type="dxa"/>
                            <w:gridSpan w:val="17"/>
                            <w:tcBorders>
                              <w:left w:val="single" w:sz="6" w:space="0" w:color="A6A6A6"/>
                              <w:right w:val="nil"/>
                            </w:tcBorders>
                          </w:tcPr>
                          <w:p w14:paraId="42FFFBB0" w14:textId="77777777" w:rsidR="00BF6983" w:rsidRDefault="00BF6983">
                            <w:pPr>
                              <w:pStyle w:val="TableParagraph"/>
                              <w:rPr>
                                <w:sz w:val="12"/>
                              </w:rPr>
                            </w:pPr>
                          </w:p>
                        </w:tc>
                      </w:tr>
                      <w:tr w:rsidR="00BF6983" w14:paraId="45EACBE0" w14:textId="77777777">
                        <w:trPr>
                          <w:trHeight w:val="201"/>
                        </w:trPr>
                        <w:tc>
                          <w:tcPr>
                            <w:tcW w:w="648" w:type="dxa"/>
                            <w:gridSpan w:val="2"/>
                            <w:tcBorders>
                              <w:left w:val="nil"/>
                              <w:right w:val="single" w:sz="6" w:space="0" w:color="A6A6A6"/>
                            </w:tcBorders>
                          </w:tcPr>
                          <w:p w14:paraId="25346299" w14:textId="77777777" w:rsidR="00BF6983" w:rsidRDefault="00BF6983">
                            <w:pPr>
                              <w:pStyle w:val="TableParagraph"/>
                              <w:rPr>
                                <w:sz w:val="14"/>
                              </w:rPr>
                            </w:pPr>
                          </w:p>
                        </w:tc>
                        <w:tc>
                          <w:tcPr>
                            <w:tcW w:w="7104" w:type="dxa"/>
                            <w:gridSpan w:val="17"/>
                            <w:tcBorders>
                              <w:left w:val="single" w:sz="6" w:space="0" w:color="A6A6A6"/>
                              <w:right w:val="nil"/>
                            </w:tcBorders>
                          </w:tcPr>
                          <w:p w14:paraId="65B75954" w14:textId="77777777" w:rsidR="00BF6983" w:rsidRDefault="00BF6983">
                            <w:pPr>
                              <w:pStyle w:val="TableParagraph"/>
                              <w:rPr>
                                <w:sz w:val="14"/>
                              </w:rPr>
                            </w:pPr>
                          </w:p>
                        </w:tc>
                      </w:tr>
                      <w:tr w:rsidR="00BF6983" w14:paraId="4BF03C18" w14:textId="77777777">
                        <w:trPr>
                          <w:trHeight w:val="201"/>
                        </w:trPr>
                        <w:tc>
                          <w:tcPr>
                            <w:tcW w:w="216" w:type="dxa"/>
                            <w:tcBorders>
                              <w:left w:val="nil"/>
                              <w:right w:val="single" w:sz="6" w:space="0" w:color="A6A6A6"/>
                            </w:tcBorders>
                          </w:tcPr>
                          <w:p w14:paraId="5B9C1A7A" w14:textId="77777777" w:rsidR="00BF6983" w:rsidRDefault="00BF6983">
                            <w:pPr>
                              <w:pStyle w:val="TableParagraph"/>
                              <w:rPr>
                                <w:sz w:val="14"/>
                              </w:rPr>
                            </w:pPr>
                          </w:p>
                        </w:tc>
                        <w:tc>
                          <w:tcPr>
                            <w:tcW w:w="432" w:type="dxa"/>
                            <w:tcBorders>
                              <w:left w:val="single" w:sz="6" w:space="0" w:color="A6A6A6"/>
                              <w:right w:val="single" w:sz="6" w:space="0" w:color="A6A6A6"/>
                            </w:tcBorders>
                          </w:tcPr>
                          <w:p w14:paraId="0EB0ACD0" w14:textId="77777777" w:rsidR="00BF6983" w:rsidRDefault="00BF6983">
                            <w:pPr>
                              <w:pStyle w:val="TableParagraph"/>
                              <w:rPr>
                                <w:sz w:val="14"/>
                              </w:rPr>
                            </w:pPr>
                          </w:p>
                        </w:tc>
                        <w:tc>
                          <w:tcPr>
                            <w:tcW w:w="7104" w:type="dxa"/>
                            <w:gridSpan w:val="17"/>
                            <w:tcBorders>
                              <w:left w:val="single" w:sz="6" w:space="0" w:color="A6A6A6"/>
                              <w:right w:val="nil"/>
                            </w:tcBorders>
                          </w:tcPr>
                          <w:p w14:paraId="2AE27005" w14:textId="77777777" w:rsidR="00BF6983" w:rsidRDefault="00BF6983">
                            <w:pPr>
                              <w:pStyle w:val="TableParagraph"/>
                              <w:rPr>
                                <w:sz w:val="14"/>
                              </w:rPr>
                            </w:pPr>
                          </w:p>
                        </w:tc>
                      </w:tr>
                      <w:tr w:rsidR="00BF6983" w14:paraId="28CA3779" w14:textId="77777777">
                        <w:trPr>
                          <w:trHeight w:val="188"/>
                        </w:trPr>
                        <w:tc>
                          <w:tcPr>
                            <w:tcW w:w="216" w:type="dxa"/>
                            <w:tcBorders>
                              <w:left w:val="nil"/>
                              <w:right w:val="single" w:sz="6" w:space="0" w:color="A6A6A6"/>
                            </w:tcBorders>
                          </w:tcPr>
                          <w:p w14:paraId="5A3E3B1C" w14:textId="77777777" w:rsidR="00BF6983" w:rsidRDefault="00BF6983">
                            <w:pPr>
                              <w:pStyle w:val="TableParagraph"/>
                              <w:rPr>
                                <w:sz w:val="12"/>
                              </w:rPr>
                            </w:pPr>
                          </w:p>
                        </w:tc>
                        <w:tc>
                          <w:tcPr>
                            <w:tcW w:w="432" w:type="dxa"/>
                            <w:tcBorders>
                              <w:left w:val="single" w:sz="6" w:space="0" w:color="A6A6A6"/>
                              <w:right w:val="single" w:sz="6" w:space="0" w:color="A6A6A6"/>
                            </w:tcBorders>
                          </w:tcPr>
                          <w:p w14:paraId="206E8B93" w14:textId="77777777" w:rsidR="00BF6983" w:rsidRDefault="00BF6983">
                            <w:pPr>
                              <w:pStyle w:val="TableParagraph"/>
                              <w:rPr>
                                <w:sz w:val="12"/>
                              </w:rPr>
                            </w:pPr>
                          </w:p>
                        </w:tc>
                        <w:tc>
                          <w:tcPr>
                            <w:tcW w:w="852" w:type="dxa"/>
                            <w:gridSpan w:val="2"/>
                            <w:tcBorders>
                              <w:left w:val="single" w:sz="6" w:space="0" w:color="A6A6A6"/>
                              <w:right w:val="single" w:sz="6" w:space="0" w:color="A6A6A6"/>
                            </w:tcBorders>
                          </w:tcPr>
                          <w:p w14:paraId="4BED372E" w14:textId="77777777" w:rsidR="00BF6983" w:rsidRDefault="00BF6983">
                            <w:pPr>
                              <w:pStyle w:val="TableParagraph"/>
                              <w:rPr>
                                <w:sz w:val="12"/>
                              </w:rPr>
                            </w:pPr>
                          </w:p>
                        </w:tc>
                        <w:tc>
                          <w:tcPr>
                            <w:tcW w:w="6252" w:type="dxa"/>
                            <w:gridSpan w:val="15"/>
                            <w:tcBorders>
                              <w:left w:val="single" w:sz="6" w:space="0" w:color="A6A6A6"/>
                              <w:right w:val="nil"/>
                            </w:tcBorders>
                          </w:tcPr>
                          <w:p w14:paraId="666AC310" w14:textId="77777777" w:rsidR="00BF6983" w:rsidRDefault="00BF6983">
                            <w:pPr>
                              <w:pStyle w:val="TableParagraph"/>
                              <w:spacing w:line="120" w:lineRule="exact"/>
                              <w:ind w:left="-20"/>
                              <w:rPr>
                                <w:rFonts w:ascii="Calibri Light"/>
                                <w:sz w:val="12"/>
                              </w:rPr>
                            </w:pPr>
                            <w:r>
                              <w:rPr>
                                <w:rFonts w:ascii="Calibri Light"/>
                                <w:noProof/>
                                <w:position w:val="-1"/>
                                <w:sz w:val="12"/>
                              </w:rPr>
                              <w:drawing>
                                <wp:inline distT="0" distB="0" distL="0" distR="0" wp14:anchorId="0D43673E" wp14:editId="6DDC6314">
                                  <wp:extent cx="53657" cy="76200"/>
                                  <wp:effectExtent l="0" t="0" r="0" b="0"/>
                                  <wp:docPr id="77"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51.png"/>
                                          <pic:cNvPicPr/>
                                        </pic:nvPicPr>
                                        <pic:blipFill>
                                          <a:blip r:embed="rId21" cstate="print"/>
                                          <a:stretch>
                                            <a:fillRect/>
                                          </a:stretch>
                                        </pic:blipFill>
                                        <pic:spPr>
                                          <a:xfrm>
                                            <a:off x="0" y="0"/>
                                            <a:ext cx="53657" cy="76200"/>
                                          </a:xfrm>
                                          <a:prstGeom prst="rect">
                                            <a:avLst/>
                                          </a:prstGeom>
                                        </pic:spPr>
                                      </pic:pic>
                                    </a:graphicData>
                                  </a:graphic>
                                </wp:inline>
                              </w:drawing>
                            </w:r>
                          </w:p>
                        </w:tc>
                      </w:tr>
                      <w:tr w:rsidR="00BF6983" w14:paraId="4B870269" w14:textId="77777777">
                        <w:trPr>
                          <w:trHeight w:val="201"/>
                        </w:trPr>
                        <w:tc>
                          <w:tcPr>
                            <w:tcW w:w="216" w:type="dxa"/>
                            <w:tcBorders>
                              <w:left w:val="nil"/>
                              <w:right w:val="single" w:sz="6" w:space="0" w:color="A6A6A6"/>
                            </w:tcBorders>
                          </w:tcPr>
                          <w:p w14:paraId="70BEDDB1" w14:textId="77777777" w:rsidR="00BF6983" w:rsidRDefault="00BF6983">
                            <w:pPr>
                              <w:pStyle w:val="TableParagraph"/>
                              <w:rPr>
                                <w:sz w:val="14"/>
                              </w:rPr>
                            </w:pPr>
                          </w:p>
                        </w:tc>
                        <w:tc>
                          <w:tcPr>
                            <w:tcW w:w="432" w:type="dxa"/>
                            <w:tcBorders>
                              <w:left w:val="single" w:sz="6" w:space="0" w:color="A6A6A6"/>
                              <w:right w:val="single" w:sz="6" w:space="0" w:color="A6A6A6"/>
                            </w:tcBorders>
                          </w:tcPr>
                          <w:p w14:paraId="654BCD1A" w14:textId="77777777" w:rsidR="00BF6983" w:rsidRDefault="00BF6983">
                            <w:pPr>
                              <w:pStyle w:val="TableParagraph"/>
                              <w:rPr>
                                <w:sz w:val="14"/>
                              </w:rPr>
                            </w:pPr>
                          </w:p>
                        </w:tc>
                        <w:tc>
                          <w:tcPr>
                            <w:tcW w:w="432" w:type="dxa"/>
                            <w:tcBorders>
                              <w:left w:val="single" w:sz="6" w:space="0" w:color="A6A6A6"/>
                              <w:right w:val="single" w:sz="6" w:space="0" w:color="A6A6A6"/>
                            </w:tcBorders>
                          </w:tcPr>
                          <w:p w14:paraId="28085DC0" w14:textId="77777777" w:rsidR="00BF6983" w:rsidRDefault="00BF6983">
                            <w:pPr>
                              <w:pStyle w:val="TableParagraph"/>
                              <w:rPr>
                                <w:sz w:val="14"/>
                              </w:rPr>
                            </w:pPr>
                          </w:p>
                        </w:tc>
                        <w:tc>
                          <w:tcPr>
                            <w:tcW w:w="420" w:type="dxa"/>
                            <w:tcBorders>
                              <w:left w:val="single" w:sz="6" w:space="0" w:color="A6A6A6"/>
                              <w:right w:val="single" w:sz="6" w:space="0" w:color="A6A6A6"/>
                            </w:tcBorders>
                          </w:tcPr>
                          <w:p w14:paraId="64015987" w14:textId="77777777" w:rsidR="00BF6983" w:rsidRDefault="00BF6983">
                            <w:pPr>
                              <w:pStyle w:val="TableParagraph"/>
                              <w:rPr>
                                <w:sz w:val="14"/>
                              </w:rPr>
                            </w:pPr>
                          </w:p>
                        </w:tc>
                        <w:tc>
                          <w:tcPr>
                            <w:tcW w:w="6252" w:type="dxa"/>
                            <w:gridSpan w:val="15"/>
                            <w:tcBorders>
                              <w:left w:val="single" w:sz="6" w:space="0" w:color="A6A6A6"/>
                              <w:right w:val="nil"/>
                            </w:tcBorders>
                          </w:tcPr>
                          <w:p w14:paraId="22D47486" w14:textId="77777777" w:rsidR="00BF6983" w:rsidRDefault="00BF6983">
                            <w:pPr>
                              <w:pStyle w:val="TableParagraph"/>
                              <w:rPr>
                                <w:sz w:val="14"/>
                              </w:rPr>
                            </w:pPr>
                          </w:p>
                        </w:tc>
                      </w:tr>
                      <w:tr w:rsidR="00BF6983" w14:paraId="7AD5A388" w14:textId="77777777">
                        <w:trPr>
                          <w:trHeight w:val="201"/>
                        </w:trPr>
                        <w:tc>
                          <w:tcPr>
                            <w:tcW w:w="216" w:type="dxa"/>
                            <w:tcBorders>
                              <w:left w:val="nil"/>
                              <w:right w:val="single" w:sz="6" w:space="0" w:color="A6A6A6"/>
                            </w:tcBorders>
                          </w:tcPr>
                          <w:p w14:paraId="157445CC" w14:textId="77777777" w:rsidR="00BF6983" w:rsidRDefault="00BF6983">
                            <w:pPr>
                              <w:pStyle w:val="TableParagraph"/>
                              <w:rPr>
                                <w:sz w:val="14"/>
                              </w:rPr>
                            </w:pPr>
                          </w:p>
                        </w:tc>
                        <w:tc>
                          <w:tcPr>
                            <w:tcW w:w="432" w:type="dxa"/>
                            <w:tcBorders>
                              <w:left w:val="single" w:sz="6" w:space="0" w:color="A6A6A6"/>
                              <w:right w:val="single" w:sz="6" w:space="0" w:color="A6A6A6"/>
                            </w:tcBorders>
                          </w:tcPr>
                          <w:p w14:paraId="28A659CF" w14:textId="77777777" w:rsidR="00BF6983" w:rsidRDefault="00BF6983">
                            <w:pPr>
                              <w:pStyle w:val="TableParagraph"/>
                              <w:rPr>
                                <w:sz w:val="14"/>
                              </w:rPr>
                            </w:pPr>
                          </w:p>
                        </w:tc>
                        <w:tc>
                          <w:tcPr>
                            <w:tcW w:w="432" w:type="dxa"/>
                            <w:tcBorders>
                              <w:left w:val="single" w:sz="6" w:space="0" w:color="A6A6A6"/>
                              <w:right w:val="single" w:sz="6" w:space="0" w:color="A6A6A6"/>
                            </w:tcBorders>
                          </w:tcPr>
                          <w:p w14:paraId="10D0249B" w14:textId="77777777" w:rsidR="00BF6983" w:rsidRDefault="00BF6983">
                            <w:pPr>
                              <w:pStyle w:val="TableParagraph"/>
                              <w:rPr>
                                <w:sz w:val="14"/>
                              </w:rPr>
                            </w:pPr>
                          </w:p>
                        </w:tc>
                        <w:tc>
                          <w:tcPr>
                            <w:tcW w:w="420" w:type="dxa"/>
                            <w:tcBorders>
                              <w:left w:val="single" w:sz="6" w:space="0" w:color="A6A6A6"/>
                              <w:right w:val="single" w:sz="6" w:space="0" w:color="A6A6A6"/>
                            </w:tcBorders>
                          </w:tcPr>
                          <w:p w14:paraId="1C190FF3" w14:textId="77777777" w:rsidR="00BF6983" w:rsidRDefault="00BF6983">
                            <w:pPr>
                              <w:pStyle w:val="TableParagraph"/>
                              <w:rPr>
                                <w:sz w:val="14"/>
                              </w:rPr>
                            </w:pPr>
                          </w:p>
                        </w:tc>
                        <w:tc>
                          <w:tcPr>
                            <w:tcW w:w="864" w:type="dxa"/>
                            <w:gridSpan w:val="2"/>
                            <w:tcBorders>
                              <w:left w:val="single" w:sz="6" w:space="0" w:color="A6A6A6"/>
                              <w:right w:val="single" w:sz="6" w:space="0" w:color="A6A6A6"/>
                            </w:tcBorders>
                          </w:tcPr>
                          <w:p w14:paraId="08859541" w14:textId="77777777" w:rsidR="00BF6983" w:rsidRDefault="00BF6983">
                            <w:pPr>
                              <w:pStyle w:val="TableParagraph"/>
                              <w:rPr>
                                <w:sz w:val="14"/>
                              </w:rPr>
                            </w:pPr>
                          </w:p>
                        </w:tc>
                        <w:tc>
                          <w:tcPr>
                            <w:tcW w:w="5388" w:type="dxa"/>
                            <w:gridSpan w:val="13"/>
                            <w:tcBorders>
                              <w:left w:val="single" w:sz="6" w:space="0" w:color="A6A6A6"/>
                              <w:right w:val="nil"/>
                            </w:tcBorders>
                          </w:tcPr>
                          <w:p w14:paraId="07BB8608" w14:textId="77777777" w:rsidR="00BF6983" w:rsidRDefault="00BF6983">
                            <w:pPr>
                              <w:pStyle w:val="TableParagraph"/>
                              <w:spacing w:before="9"/>
                              <w:rPr>
                                <w:rFonts w:ascii="Calibri Light"/>
                                <w:sz w:val="5"/>
                              </w:rPr>
                            </w:pPr>
                          </w:p>
                          <w:p w14:paraId="401182D9" w14:textId="77777777" w:rsidR="00BF6983" w:rsidRDefault="00BF6983">
                            <w:pPr>
                              <w:pStyle w:val="TableParagraph"/>
                              <w:spacing w:line="120" w:lineRule="exact"/>
                              <w:ind w:left="1240"/>
                              <w:rPr>
                                <w:rFonts w:ascii="Calibri Light"/>
                                <w:sz w:val="12"/>
                              </w:rPr>
                            </w:pPr>
                            <w:r>
                              <w:rPr>
                                <w:rFonts w:ascii="Calibri Light"/>
                                <w:noProof/>
                                <w:position w:val="-1"/>
                                <w:sz w:val="12"/>
                              </w:rPr>
                              <w:drawing>
                                <wp:inline distT="0" distB="0" distL="0" distR="0" wp14:anchorId="3AD1E0E4" wp14:editId="20AD5097">
                                  <wp:extent cx="76200" cy="76200"/>
                                  <wp:effectExtent l="0" t="0" r="0" b="0"/>
                                  <wp:docPr id="79" name="image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59.png"/>
                                          <pic:cNvPicPr/>
                                        </pic:nvPicPr>
                                        <pic:blipFill>
                                          <a:blip r:embed="rId22" cstate="print"/>
                                          <a:stretch>
                                            <a:fillRect/>
                                          </a:stretch>
                                        </pic:blipFill>
                                        <pic:spPr>
                                          <a:xfrm>
                                            <a:off x="0" y="0"/>
                                            <a:ext cx="76200" cy="76200"/>
                                          </a:xfrm>
                                          <a:prstGeom prst="rect">
                                            <a:avLst/>
                                          </a:prstGeom>
                                        </pic:spPr>
                                      </pic:pic>
                                    </a:graphicData>
                                  </a:graphic>
                                </wp:inline>
                              </w:drawing>
                            </w:r>
                          </w:p>
                        </w:tc>
                      </w:tr>
                      <w:tr w:rsidR="00BF6983" w14:paraId="047D3244" w14:textId="77777777">
                        <w:trPr>
                          <w:trHeight w:val="188"/>
                        </w:trPr>
                        <w:tc>
                          <w:tcPr>
                            <w:tcW w:w="216" w:type="dxa"/>
                            <w:tcBorders>
                              <w:left w:val="nil"/>
                              <w:right w:val="single" w:sz="6" w:space="0" w:color="A6A6A6"/>
                            </w:tcBorders>
                          </w:tcPr>
                          <w:p w14:paraId="70EF9D67" w14:textId="77777777" w:rsidR="00BF6983" w:rsidRDefault="00BF6983">
                            <w:pPr>
                              <w:pStyle w:val="TableParagraph"/>
                              <w:rPr>
                                <w:sz w:val="12"/>
                              </w:rPr>
                            </w:pPr>
                          </w:p>
                        </w:tc>
                        <w:tc>
                          <w:tcPr>
                            <w:tcW w:w="432" w:type="dxa"/>
                            <w:tcBorders>
                              <w:left w:val="single" w:sz="6" w:space="0" w:color="A6A6A6"/>
                              <w:right w:val="single" w:sz="6" w:space="0" w:color="A6A6A6"/>
                            </w:tcBorders>
                          </w:tcPr>
                          <w:p w14:paraId="33766225" w14:textId="77777777" w:rsidR="00BF6983" w:rsidRDefault="00BF6983">
                            <w:pPr>
                              <w:pStyle w:val="TableParagraph"/>
                              <w:rPr>
                                <w:sz w:val="12"/>
                              </w:rPr>
                            </w:pPr>
                          </w:p>
                        </w:tc>
                        <w:tc>
                          <w:tcPr>
                            <w:tcW w:w="432" w:type="dxa"/>
                            <w:tcBorders>
                              <w:left w:val="single" w:sz="6" w:space="0" w:color="A6A6A6"/>
                              <w:right w:val="single" w:sz="6" w:space="0" w:color="A6A6A6"/>
                            </w:tcBorders>
                          </w:tcPr>
                          <w:p w14:paraId="5F9FE44E" w14:textId="77777777" w:rsidR="00BF6983" w:rsidRDefault="00BF6983">
                            <w:pPr>
                              <w:pStyle w:val="TableParagraph"/>
                              <w:rPr>
                                <w:sz w:val="12"/>
                              </w:rPr>
                            </w:pPr>
                          </w:p>
                        </w:tc>
                        <w:tc>
                          <w:tcPr>
                            <w:tcW w:w="420" w:type="dxa"/>
                            <w:tcBorders>
                              <w:left w:val="single" w:sz="6" w:space="0" w:color="A6A6A6"/>
                              <w:right w:val="single" w:sz="6" w:space="0" w:color="A6A6A6"/>
                            </w:tcBorders>
                          </w:tcPr>
                          <w:p w14:paraId="14066D63" w14:textId="77777777" w:rsidR="00BF6983" w:rsidRDefault="00BF6983">
                            <w:pPr>
                              <w:pStyle w:val="TableParagraph"/>
                              <w:rPr>
                                <w:sz w:val="12"/>
                              </w:rPr>
                            </w:pPr>
                          </w:p>
                        </w:tc>
                        <w:tc>
                          <w:tcPr>
                            <w:tcW w:w="432" w:type="dxa"/>
                            <w:tcBorders>
                              <w:left w:val="single" w:sz="6" w:space="0" w:color="A6A6A6"/>
                              <w:right w:val="single" w:sz="6" w:space="0" w:color="A6A6A6"/>
                            </w:tcBorders>
                          </w:tcPr>
                          <w:p w14:paraId="559F3BC4" w14:textId="77777777" w:rsidR="00BF6983" w:rsidRDefault="00BF6983">
                            <w:pPr>
                              <w:pStyle w:val="TableParagraph"/>
                              <w:rPr>
                                <w:sz w:val="12"/>
                              </w:rPr>
                            </w:pPr>
                          </w:p>
                        </w:tc>
                        <w:tc>
                          <w:tcPr>
                            <w:tcW w:w="432" w:type="dxa"/>
                            <w:tcBorders>
                              <w:left w:val="single" w:sz="6" w:space="0" w:color="A6A6A6"/>
                              <w:right w:val="single" w:sz="6" w:space="0" w:color="A6A6A6"/>
                            </w:tcBorders>
                          </w:tcPr>
                          <w:p w14:paraId="58C4AF02" w14:textId="77777777" w:rsidR="00BF6983" w:rsidRDefault="00BF6983">
                            <w:pPr>
                              <w:pStyle w:val="TableParagraph"/>
                              <w:rPr>
                                <w:sz w:val="12"/>
                              </w:rPr>
                            </w:pPr>
                          </w:p>
                        </w:tc>
                        <w:tc>
                          <w:tcPr>
                            <w:tcW w:w="432" w:type="dxa"/>
                            <w:tcBorders>
                              <w:left w:val="single" w:sz="6" w:space="0" w:color="A6A6A6"/>
                              <w:right w:val="single" w:sz="6" w:space="0" w:color="A6A6A6"/>
                            </w:tcBorders>
                          </w:tcPr>
                          <w:p w14:paraId="0C7AD3A5" w14:textId="77777777" w:rsidR="00BF6983" w:rsidRDefault="00BF6983">
                            <w:pPr>
                              <w:pStyle w:val="TableParagraph"/>
                              <w:rPr>
                                <w:sz w:val="12"/>
                              </w:rPr>
                            </w:pPr>
                          </w:p>
                        </w:tc>
                        <w:tc>
                          <w:tcPr>
                            <w:tcW w:w="432" w:type="dxa"/>
                            <w:tcBorders>
                              <w:left w:val="single" w:sz="6" w:space="0" w:color="A6A6A6"/>
                              <w:right w:val="single" w:sz="6" w:space="0" w:color="A6A6A6"/>
                            </w:tcBorders>
                          </w:tcPr>
                          <w:p w14:paraId="5F161457" w14:textId="77777777" w:rsidR="00BF6983" w:rsidRDefault="00BF6983">
                            <w:pPr>
                              <w:pStyle w:val="TableParagraph"/>
                              <w:rPr>
                                <w:sz w:val="12"/>
                              </w:rPr>
                            </w:pPr>
                          </w:p>
                        </w:tc>
                        <w:tc>
                          <w:tcPr>
                            <w:tcW w:w="432" w:type="dxa"/>
                            <w:tcBorders>
                              <w:left w:val="single" w:sz="6" w:space="0" w:color="A6A6A6"/>
                              <w:right w:val="single" w:sz="6" w:space="0" w:color="A6A6A6"/>
                            </w:tcBorders>
                          </w:tcPr>
                          <w:p w14:paraId="6D173EAB" w14:textId="77777777" w:rsidR="00BF6983" w:rsidRDefault="00BF6983">
                            <w:pPr>
                              <w:pStyle w:val="TableParagraph"/>
                              <w:rPr>
                                <w:sz w:val="12"/>
                              </w:rPr>
                            </w:pPr>
                          </w:p>
                        </w:tc>
                        <w:tc>
                          <w:tcPr>
                            <w:tcW w:w="432" w:type="dxa"/>
                            <w:tcBorders>
                              <w:left w:val="single" w:sz="6" w:space="0" w:color="A6A6A6"/>
                              <w:right w:val="single" w:sz="6" w:space="0" w:color="A6A6A6"/>
                            </w:tcBorders>
                          </w:tcPr>
                          <w:p w14:paraId="2FCC29FF" w14:textId="77777777" w:rsidR="00BF6983" w:rsidRDefault="00BF6983">
                            <w:pPr>
                              <w:pStyle w:val="TableParagraph"/>
                              <w:rPr>
                                <w:sz w:val="12"/>
                              </w:rPr>
                            </w:pPr>
                          </w:p>
                        </w:tc>
                        <w:tc>
                          <w:tcPr>
                            <w:tcW w:w="432" w:type="dxa"/>
                            <w:tcBorders>
                              <w:left w:val="single" w:sz="6" w:space="0" w:color="A6A6A6"/>
                              <w:right w:val="single" w:sz="6" w:space="0" w:color="A6A6A6"/>
                            </w:tcBorders>
                          </w:tcPr>
                          <w:p w14:paraId="4673E97D" w14:textId="77777777" w:rsidR="00BF6983" w:rsidRDefault="00BF6983">
                            <w:pPr>
                              <w:pStyle w:val="TableParagraph"/>
                              <w:rPr>
                                <w:sz w:val="12"/>
                              </w:rPr>
                            </w:pPr>
                          </w:p>
                        </w:tc>
                        <w:tc>
                          <w:tcPr>
                            <w:tcW w:w="864" w:type="dxa"/>
                            <w:gridSpan w:val="2"/>
                            <w:tcBorders>
                              <w:left w:val="single" w:sz="6" w:space="0" w:color="A6A6A6"/>
                              <w:right w:val="single" w:sz="6" w:space="0" w:color="A6A6A6"/>
                            </w:tcBorders>
                          </w:tcPr>
                          <w:p w14:paraId="67D12FAF" w14:textId="77777777" w:rsidR="00BF6983" w:rsidRDefault="00BF6983">
                            <w:pPr>
                              <w:pStyle w:val="TableParagraph"/>
                              <w:rPr>
                                <w:sz w:val="12"/>
                              </w:rPr>
                            </w:pPr>
                          </w:p>
                        </w:tc>
                        <w:tc>
                          <w:tcPr>
                            <w:tcW w:w="852" w:type="dxa"/>
                            <w:gridSpan w:val="2"/>
                            <w:tcBorders>
                              <w:left w:val="single" w:sz="6" w:space="0" w:color="A6A6A6"/>
                              <w:right w:val="single" w:sz="6" w:space="0" w:color="A6A6A6"/>
                            </w:tcBorders>
                          </w:tcPr>
                          <w:p w14:paraId="5F1F2D28" w14:textId="77777777" w:rsidR="00BF6983" w:rsidRDefault="00BF6983">
                            <w:pPr>
                              <w:pStyle w:val="TableParagraph"/>
                              <w:rPr>
                                <w:sz w:val="12"/>
                              </w:rPr>
                            </w:pPr>
                          </w:p>
                        </w:tc>
                        <w:tc>
                          <w:tcPr>
                            <w:tcW w:w="1512" w:type="dxa"/>
                            <w:gridSpan w:val="4"/>
                            <w:tcBorders>
                              <w:left w:val="single" w:sz="6" w:space="0" w:color="A6A6A6"/>
                              <w:right w:val="nil"/>
                            </w:tcBorders>
                          </w:tcPr>
                          <w:p w14:paraId="4A14368A" w14:textId="77777777" w:rsidR="00BF6983" w:rsidRDefault="00BF6983">
                            <w:pPr>
                              <w:pStyle w:val="TableParagraph"/>
                              <w:spacing w:line="105" w:lineRule="exact"/>
                              <w:ind w:left="-20"/>
                              <w:rPr>
                                <w:rFonts w:ascii="Calibri Light"/>
                                <w:sz w:val="10"/>
                              </w:rPr>
                            </w:pPr>
                            <w:r>
                              <w:rPr>
                                <w:rFonts w:ascii="Calibri Light"/>
                                <w:noProof/>
                                <w:position w:val="-1"/>
                                <w:sz w:val="10"/>
                              </w:rPr>
                              <w:drawing>
                                <wp:inline distT="0" distB="0" distL="0" distR="0" wp14:anchorId="33F96874" wp14:editId="0228FB71">
                                  <wp:extent cx="53204" cy="67055"/>
                                  <wp:effectExtent l="0" t="0" r="0" b="0"/>
                                  <wp:docPr id="81" name="image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60.png"/>
                                          <pic:cNvPicPr/>
                                        </pic:nvPicPr>
                                        <pic:blipFill>
                                          <a:blip r:embed="rId23" cstate="print"/>
                                          <a:stretch>
                                            <a:fillRect/>
                                          </a:stretch>
                                        </pic:blipFill>
                                        <pic:spPr>
                                          <a:xfrm>
                                            <a:off x="0" y="0"/>
                                            <a:ext cx="53204" cy="67055"/>
                                          </a:xfrm>
                                          <a:prstGeom prst="rect">
                                            <a:avLst/>
                                          </a:prstGeom>
                                        </pic:spPr>
                                      </pic:pic>
                                    </a:graphicData>
                                  </a:graphic>
                                </wp:inline>
                              </w:drawing>
                            </w:r>
                          </w:p>
                        </w:tc>
                      </w:tr>
                      <w:tr w:rsidR="00BF6983" w14:paraId="56B299AB" w14:textId="77777777">
                        <w:trPr>
                          <w:trHeight w:val="201"/>
                        </w:trPr>
                        <w:tc>
                          <w:tcPr>
                            <w:tcW w:w="216" w:type="dxa"/>
                            <w:tcBorders>
                              <w:left w:val="nil"/>
                              <w:right w:val="single" w:sz="6" w:space="0" w:color="A6A6A6"/>
                            </w:tcBorders>
                          </w:tcPr>
                          <w:p w14:paraId="51FDFDEB" w14:textId="77777777" w:rsidR="00BF6983" w:rsidRDefault="00BF6983">
                            <w:pPr>
                              <w:pStyle w:val="TableParagraph"/>
                              <w:rPr>
                                <w:sz w:val="14"/>
                              </w:rPr>
                            </w:pPr>
                          </w:p>
                        </w:tc>
                        <w:tc>
                          <w:tcPr>
                            <w:tcW w:w="432" w:type="dxa"/>
                            <w:tcBorders>
                              <w:left w:val="single" w:sz="6" w:space="0" w:color="A6A6A6"/>
                              <w:right w:val="single" w:sz="6" w:space="0" w:color="A6A6A6"/>
                            </w:tcBorders>
                          </w:tcPr>
                          <w:p w14:paraId="18030873" w14:textId="77777777" w:rsidR="00BF6983" w:rsidRDefault="00BF6983">
                            <w:pPr>
                              <w:pStyle w:val="TableParagraph"/>
                              <w:rPr>
                                <w:sz w:val="14"/>
                              </w:rPr>
                            </w:pPr>
                          </w:p>
                        </w:tc>
                        <w:tc>
                          <w:tcPr>
                            <w:tcW w:w="432" w:type="dxa"/>
                            <w:tcBorders>
                              <w:left w:val="single" w:sz="6" w:space="0" w:color="A6A6A6"/>
                              <w:right w:val="single" w:sz="6" w:space="0" w:color="A6A6A6"/>
                            </w:tcBorders>
                          </w:tcPr>
                          <w:p w14:paraId="4767E2B8" w14:textId="77777777" w:rsidR="00BF6983" w:rsidRDefault="00BF6983">
                            <w:pPr>
                              <w:pStyle w:val="TableParagraph"/>
                              <w:rPr>
                                <w:sz w:val="14"/>
                              </w:rPr>
                            </w:pPr>
                          </w:p>
                        </w:tc>
                        <w:tc>
                          <w:tcPr>
                            <w:tcW w:w="420" w:type="dxa"/>
                            <w:tcBorders>
                              <w:left w:val="single" w:sz="6" w:space="0" w:color="A6A6A6"/>
                              <w:right w:val="single" w:sz="6" w:space="0" w:color="A6A6A6"/>
                            </w:tcBorders>
                          </w:tcPr>
                          <w:p w14:paraId="7771767F" w14:textId="77777777" w:rsidR="00BF6983" w:rsidRDefault="00BF6983">
                            <w:pPr>
                              <w:pStyle w:val="TableParagraph"/>
                              <w:rPr>
                                <w:sz w:val="14"/>
                              </w:rPr>
                            </w:pPr>
                          </w:p>
                        </w:tc>
                        <w:tc>
                          <w:tcPr>
                            <w:tcW w:w="432" w:type="dxa"/>
                            <w:tcBorders>
                              <w:left w:val="single" w:sz="6" w:space="0" w:color="A6A6A6"/>
                              <w:right w:val="single" w:sz="6" w:space="0" w:color="A6A6A6"/>
                            </w:tcBorders>
                          </w:tcPr>
                          <w:p w14:paraId="56DBD52E" w14:textId="77777777" w:rsidR="00BF6983" w:rsidRDefault="00BF6983">
                            <w:pPr>
                              <w:pStyle w:val="TableParagraph"/>
                              <w:rPr>
                                <w:sz w:val="14"/>
                              </w:rPr>
                            </w:pPr>
                          </w:p>
                        </w:tc>
                        <w:tc>
                          <w:tcPr>
                            <w:tcW w:w="432" w:type="dxa"/>
                            <w:tcBorders>
                              <w:left w:val="single" w:sz="6" w:space="0" w:color="A6A6A6"/>
                              <w:right w:val="single" w:sz="6" w:space="0" w:color="A6A6A6"/>
                            </w:tcBorders>
                          </w:tcPr>
                          <w:p w14:paraId="4A8E270B" w14:textId="77777777" w:rsidR="00BF6983" w:rsidRDefault="00BF6983">
                            <w:pPr>
                              <w:pStyle w:val="TableParagraph"/>
                              <w:rPr>
                                <w:sz w:val="14"/>
                              </w:rPr>
                            </w:pPr>
                          </w:p>
                        </w:tc>
                        <w:tc>
                          <w:tcPr>
                            <w:tcW w:w="432" w:type="dxa"/>
                            <w:tcBorders>
                              <w:left w:val="single" w:sz="6" w:space="0" w:color="A6A6A6"/>
                              <w:right w:val="single" w:sz="6" w:space="0" w:color="A6A6A6"/>
                            </w:tcBorders>
                          </w:tcPr>
                          <w:p w14:paraId="4A7CA8F6" w14:textId="77777777" w:rsidR="00BF6983" w:rsidRDefault="00BF6983">
                            <w:pPr>
                              <w:pStyle w:val="TableParagraph"/>
                              <w:rPr>
                                <w:sz w:val="14"/>
                              </w:rPr>
                            </w:pPr>
                          </w:p>
                        </w:tc>
                        <w:tc>
                          <w:tcPr>
                            <w:tcW w:w="432" w:type="dxa"/>
                            <w:tcBorders>
                              <w:left w:val="single" w:sz="6" w:space="0" w:color="A6A6A6"/>
                              <w:right w:val="single" w:sz="6" w:space="0" w:color="A6A6A6"/>
                            </w:tcBorders>
                          </w:tcPr>
                          <w:p w14:paraId="2B6AC8A6" w14:textId="77777777" w:rsidR="00BF6983" w:rsidRDefault="00BF6983">
                            <w:pPr>
                              <w:pStyle w:val="TableParagraph"/>
                              <w:rPr>
                                <w:sz w:val="14"/>
                              </w:rPr>
                            </w:pPr>
                          </w:p>
                        </w:tc>
                        <w:tc>
                          <w:tcPr>
                            <w:tcW w:w="432" w:type="dxa"/>
                            <w:tcBorders>
                              <w:left w:val="single" w:sz="6" w:space="0" w:color="A6A6A6"/>
                              <w:right w:val="single" w:sz="6" w:space="0" w:color="A6A6A6"/>
                            </w:tcBorders>
                          </w:tcPr>
                          <w:p w14:paraId="3AA055A2" w14:textId="77777777" w:rsidR="00BF6983" w:rsidRDefault="00BF6983">
                            <w:pPr>
                              <w:pStyle w:val="TableParagraph"/>
                              <w:rPr>
                                <w:sz w:val="14"/>
                              </w:rPr>
                            </w:pPr>
                          </w:p>
                        </w:tc>
                        <w:tc>
                          <w:tcPr>
                            <w:tcW w:w="432" w:type="dxa"/>
                            <w:tcBorders>
                              <w:left w:val="single" w:sz="6" w:space="0" w:color="A6A6A6"/>
                              <w:right w:val="single" w:sz="6" w:space="0" w:color="A6A6A6"/>
                            </w:tcBorders>
                          </w:tcPr>
                          <w:p w14:paraId="3401ECB6" w14:textId="77777777" w:rsidR="00BF6983" w:rsidRDefault="00BF6983">
                            <w:pPr>
                              <w:pStyle w:val="TableParagraph"/>
                              <w:rPr>
                                <w:sz w:val="14"/>
                              </w:rPr>
                            </w:pPr>
                          </w:p>
                        </w:tc>
                        <w:tc>
                          <w:tcPr>
                            <w:tcW w:w="432" w:type="dxa"/>
                            <w:tcBorders>
                              <w:left w:val="single" w:sz="6" w:space="0" w:color="A6A6A6"/>
                              <w:right w:val="single" w:sz="6" w:space="0" w:color="A6A6A6"/>
                            </w:tcBorders>
                          </w:tcPr>
                          <w:p w14:paraId="48E2D92F" w14:textId="77777777" w:rsidR="00BF6983" w:rsidRDefault="00BF6983">
                            <w:pPr>
                              <w:pStyle w:val="TableParagraph"/>
                              <w:rPr>
                                <w:sz w:val="14"/>
                              </w:rPr>
                            </w:pPr>
                          </w:p>
                        </w:tc>
                        <w:tc>
                          <w:tcPr>
                            <w:tcW w:w="432" w:type="dxa"/>
                            <w:tcBorders>
                              <w:left w:val="single" w:sz="6" w:space="0" w:color="A6A6A6"/>
                              <w:right w:val="single" w:sz="6" w:space="0" w:color="A6A6A6"/>
                            </w:tcBorders>
                          </w:tcPr>
                          <w:p w14:paraId="41B2BC76" w14:textId="77777777" w:rsidR="00BF6983" w:rsidRDefault="00BF6983">
                            <w:pPr>
                              <w:pStyle w:val="TableParagraph"/>
                              <w:rPr>
                                <w:sz w:val="14"/>
                              </w:rPr>
                            </w:pPr>
                          </w:p>
                        </w:tc>
                        <w:tc>
                          <w:tcPr>
                            <w:tcW w:w="432" w:type="dxa"/>
                            <w:tcBorders>
                              <w:left w:val="single" w:sz="6" w:space="0" w:color="A6A6A6"/>
                              <w:right w:val="single" w:sz="6" w:space="0" w:color="A6A6A6"/>
                            </w:tcBorders>
                          </w:tcPr>
                          <w:p w14:paraId="00F4D349" w14:textId="77777777" w:rsidR="00BF6983" w:rsidRDefault="00BF6983">
                            <w:pPr>
                              <w:pStyle w:val="TableParagraph"/>
                              <w:rPr>
                                <w:sz w:val="14"/>
                              </w:rPr>
                            </w:pPr>
                          </w:p>
                        </w:tc>
                        <w:tc>
                          <w:tcPr>
                            <w:tcW w:w="432" w:type="dxa"/>
                            <w:tcBorders>
                              <w:left w:val="single" w:sz="6" w:space="0" w:color="A6A6A6"/>
                              <w:right w:val="single" w:sz="6" w:space="0" w:color="A6A6A6"/>
                            </w:tcBorders>
                          </w:tcPr>
                          <w:p w14:paraId="4B5A57E2" w14:textId="77777777" w:rsidR="00BF6983" w:rsidRDefault="00BF6983">
                            <w:pPr>
                              <w:pStyle w:val="TableParagraph"/>
                              <w:rPr>
                                <w:sz w:val="14"/>
                              </w:rPr>
                            </w:pPr>
                          </w:p>
                        </w:tc>
                        <w:tc>
                          <w:tcPr>
                            <w:tcW w:w="420" w:type="dxa"/>
                            <w:tcBorders>
                              <w:left w:val="single" w:sz="6" w:space="0" w:color="A6A6A6"/>
                              <w:right w:val="single" w:sz="6" w:space="0" w:color="A6A6A6"/>
                            </w:tcBorders>
                          </w:tcPr>
                          <w:p w14:paraId="63EA5410" w14:textId="77777777" w:rsidR="00BF6983" w:rsidRDefault="00BF6983">
                            <w:pPr>
                              <w:pStyle w:val="TableParagraph"/>
                              <w:rPr>
                                <w:sz w:val="14"/>
                              </w:rPr>
                            </w:pPr>
                          </w:p>
                        </w:tc>
                        <w:tc>
                          <w:tcPr>
                            <w:tcW w:w="1512" w:type="dxa"/>
                            <w:gridSpan w:val="4"/>
                            <w:tcBorders>
                              <w:left w:val="single" w:sz="6" w:space="0" w:color="A6A6A6"/>
                              <w:right w:val="nil"/>
                            </w:tcBorders>
                          </w:tcPr>
                          <w:p w14:paraId="2FA7E2C0" w14:textId="77777777" w:rsidR="00BF6983" w:rsidRDefault="00BF6983">
                            <w:pPr>
                              <w:pStyle w:val="TableParagraph"/>
                              <w:rPr>
                                <w:sz w:val="14"/>
                              </w:rPr>
                            </w:pPr>
                          </w:p>
                        </w:tc>
                      </w:tr>
                      <w:tr w:rsidR="00BF6983" w14:paraId="21BCB719" w14:textId="77777777">
                        <w:trPr>
                          <w:trHeight w:val="201"/>
                        </w:trPr>
                        <w:tc>
                          <w:tcPr>
                            <w:tcW w:w="216" w:type="dxa"/>
                            <w:tcBorders>
                              <w:left w:val="nil"/>
                              <w:right w:val="single" w:sz="6" w:space="0" w:color="A6A6A6"/>
                            </w:tcBorders>
                          </w:tcPr>
                          <w:p w14:paraId="1CBE1E9F" w14:textId="77777777" w:rsidR="00BF6983" w:rsidRDefault="00BF6983">
                            <w:pPr>
                              <w:pStyle w:val="TableParagraph"/>
                              <w:rPr>
                                <w:sz w:val="14"/>
                              </w:rPr>
                            </w:pPr>
                          </w:p>
                        </w:tc>
                        <w:tc>
                          <w:tcPr>
                            <w:tcW w:w="432" w:type="dxa"/>
                            <w:tcBorders>
                              <w:left w:val="single" w:sz="6" w:space="0" w:color="A6A6A6"/>
                              <w:right w:val="single" w:sz="6" w:space="0" w:color="A6A6A6"/>
                            </w:tcBorders>
                          </w:tcPr>
                          <w:p w14:paraId="44A98A03" w14:textId="77777777" w:rsidR="00BF6983" w:rsidRDefault="00BF6983">
                            <w:pPr>
                              <w:pStyle w:val="TableParagraph"/>
                              <w:rPr>
                                <w:sz w:val="14"/>
                              </w:rPr>
                            </w:pPr>
                          </w:p>
                        </w:tc>
                        <w:tc>
                          <w:tcPr>
                            <w:tcW w:w="432" w:type="dxa"/>
                            <w:tcBorders>
                              <w:left w:val="single" w:sz="6" w:space="0" w:color="A6A6A6"/>
                              <w:right w:val="single" w:sz="6" w:space="0" w:color="A6A6A6"/>
                            </w:tcBorders>
                          </w:tcPr>
                          <w:p w14:paraId="37205D2C" w14:textId="77777777" w:rsidR="00BF6983" w:rsidRDefault="00BF6983">
                            <w:pPr>
                              <w:pStyle w:val="TableParagraph"/>
                              <w:rPr>
                                <w:sz w:val="14"/>
                              </w:rPr>
                            </w:pPr>
                          </w:p>
                        </w:tc>
                        <w:tc>
                          <w:tcPr>
                            <w:tcW w:w="420" w:type="dxa"/>
                            <w:tcBorders>
                              <w:left w:val="single" w:sz="6" w:space="0" w:color="A6A6A6"/>
                              <w:right w:val="single" w:sz="6" w:space="0" w:color="A6A6A6"/>
                            </w:tcBorders>
                          </w:tcPr>
                          <w:p w14:paraId="6FA330C8" w14:textId="77777777" w:rsidR="00BF6983" w:rsidRDefault="00BF6983">
                            <w:pPr>
                              <w:pStyle w:val="TableParagraph"/>
                              <w:rPr>
                                <w:sz w:val="14"/>
                              </w:rPr>
                            </w:pPr>
                          </w:p>
                        </w:tc>
                        <w:tc>
                          <w:tcPr>
                            <w:tcW w:w="432" w:type="dxa"/>
                            <w:tcBorders>
                              <w:left w:val="single" w:sz="6" w:space="0" w:color="A6A6A6"/>
                              <w:right w:val="single" w:sz="6" w:space="0" w:color="A6A6A6"/>
                            </w:tcBorders>
                          </w:tcPr>
                          <w:p w14:paraId="629353A7" w14:textId="77777777" w:rsidR="00BF6983" w:rsidRDefault="00BF6983">
                            <w:pPr>
                              <w:pStyle w:val="TableParagraph"/>
                              <w:rPr>
                                <w:sz w:val="14"/>
                              </w:rPr>
                            </w:pPr>
                          </w:p>
                        </w:tc>
                        <w:tc>
                          <w:tcPr>
                            <w:tcW w:w="432" w:type="dxa"/>
                            <w:tcBorders>
                              <w:left w:val="single" w:sz="6" w:space="0" w:color="A6A6A6"/>
                              <w:right w:val="single" w:sz="6" w:space="0" w:color="A6A6A6"/>
                            </w:tcBorders>
                          </w:tcPr>
                          <w:p w14:paraId="48FD1631" w14:textId="77777777" w:rsidR="00BF6983" w:rsidRDefault="00BF6983">
                            <w:pPr>
                              <w:pStyle w:val="TableParagraph"/>
                              <w:rPr>
                                <w:sz w:val="14"/>
                              </w:rPr>
                            </w:pPr>
                          </w:p>
                        </w:tc>
                        <w:tc>
                          <w:tcPr>
                            <w:tcW w:w="432" w:type="dxa"/>
                            <w:tcBorders>
                              <w:left w:val="single" w:sz="6" w:space="0" w:color="A6A6A6"/>
                              <w:right w:val="single" w:sz="6" w:space="0" w:color="A6A6A6"/>
                            </w:tcBorders>
                          </w:tcPr>
                          <w:p w14:paraId="30493E8D" w14:textId="77777777" w:rsidR="00BF6983" w:rsidRDefault="00BF6983">
                            <w:pPr>
                              <w:pStyle w:val="TableParagraph"/>
                              <w:rPr>
                                <w:sz w:val="14"/>
                              </w:rPr>
                            </w:pPr>
                          </w:p>
                        </w:tc>
                        <w:tc>
                          <w:tcPr>
                            <w:tcW w:w="432" w:type="dxa"/>
                            <w:tcBorders>
                              <w:left w:val="single" w:sz="6" w:space="0" w:color="A6A6A6"/>
                              <w:right w:val="single" w:sz="6" w:space="0" w:color="A6A6A6"/>
                            </w:tcBorders>
                          </w:tcPr>
                          <w:p w14:paraId="04F17E85" w14:textId="77777777" w:rsidR="00BF6983" w:rsidRDefault="00BF6983">
                            <w:pPr>
                              <w:pStyle w:val="TableParagraph"/>
                              <w:rPr>
                                <w:sz w:val="14"/>
                              </w:rPr>
                            </w:pPr>
                          </w:p>
                        </w:tc>
                        <w:tc>
                          <w:tcPr>
                            <w:tcW w:w="432" w:type="dxa"/>
                            <w:tcBorders>
                              <w:left w:val="single" w:sz="6" w:space="0" w:color="A6A6A6"/>
                              <w:right w:val="single" w:sz="6" w:space="0" w:color="A6A6A6"/>
                            </w:tcBorders>
                          </w:tcPr>
                          <w:p w14:paraId="3F8F58E2" w14:textId="77777777" w:rsidR="00BF6983" w:rsidRDefault="00BF6983">
                            <w:pPr>
                              <w:pStyle w:val="TableParagraph"/>
                              <w:rPr>
                                <w:sz w:val="14"/>
                              </w:rPr>
                            </w:pPr>
                          </w:p>
                        </w:tc>
                        <w:tc>
                          <w:tcPr>
                            <w:tcW w:w="432" w:type="dxa"/>
                            <w:tcBorders>
                              <w:left w:val="single" w:sz="6" w:space="0" w:color="A6A6A6"/>
                              <w:right w:val="single" w:sz="6" w:space="0" w:color="A6A6A6"/>
                            </w:tcBorders>
                          </w:tcPr>
                          <w:p w14:paraId="7951A227" w14:textId="77777777" w:rsidR="00BF6983" w:rsidRDefault="00BF6983">
                            <w:pPr>
                              <w:pStyle w:val="TableParagraph"/>
                              <w:rPr>
                                <w:sz w:val="14"/>
                              </w:rPr>
                            </w:pPr>
                          </w:p>
                        </w:tc>
                        <w:tc>
                          <w:tcPr>
                            <w:tcW w:w="432" w:type="dxa"/>
                            <w:tcBorders>
                              <w:left w:val="single" w:sz="6" w:space="0" w:color="A6A6A6"/>
                              <w:right w:val="single" w:sz="6" w:space="0" w:color="A6A6A6"/>
                            </w:tcBorders>
                          </w:tcPr>
                          <w:p w14:paraId="4BC69A05" w14:textId="77777777" w:rsidR="00BF6983" w:rsidRDefault="00BF6983">
                            <w:pPr>
                              <w:pStyle w:val="TableParagraph"/>
                              <w:rPr>
                                <w:sz w:val="14"/>
                              </w:rPr>
                            </w:pPr>
                          </w:p>
                        </w:tc>
                        <w:tc>
                          <w:tcPr>
                            <w:tcW w:w="432" w:type="dxa"/>
                            <w:tcBorders>
                              <w:left w:val="single" w:sz="6" w:space="0" w:color="A6A6A6"/>
                              <w:right w:val="single" w:sz="6" w:space="0" w:color="A6A6A6"/>
                            </w:tcBorders>
                          </w:tcPr>
                          <w:p w14:paraId="1D0F825E" w14:textId="77777777" w:rsidR="00BF6983" w:rsidRDefault="00BF6983">
                            <w:pPr>
                              <w:pStyle w:val="TableParagraph"/>
                              <w:rPr>
                                <w:sz w:val="14"/>
                              </w:rPr>
                            </w:pPr>
                          </w:p>
                        </w:tc>
                        <w:tc>
                          <w:tcPr>
                            <w:tcW w:w="432" w:type="dxa"/>
                            <w:tcBorders>
                              <w:left w:val="single" w:sz="6" w:space="0" w:color="A6A6A6"/>
                              <w:right w:val="single" w:sz="6" w:space="0" w:color="A6A6A6"/>
                            </w:tcBorders>
                          </w:tcPr>
                          <w:p w14:paraId="77090DBD" w14:textId="77777777" w:rsidR="00BF6983" w:rsidRDefault="00BF6983">
                            <w:pPr>
                              <w:pStyle w:val="TableParagraph"/>
                              <w:rPr>
                                <w:sz w:val="14"/>
                              </w:rPr>
                            </w:pPr>
                          </w:p>
                        </w:tc>
                        <w:tc>
                          <w:tcPr>
                            <w:tcW w:w="432" w:type="dxa"/>
                            <w:tcBorders>
                              <w:left w:val="single" w:sz="6" w:space="0" w:color="A6A6A6"/>
                              <w:right w:val="single" w:sz="6" w:space="0" w:color="A6A6A6"/>
                            </w:tcBorders>
                          </w:tcPr>
                          <w:p w14:paraId="3160F157" w14:textId="77777777" w:rsidR="00BF6983" w:rsidRDefault="00BF6983">
                            <w:pPr>
                              <w:pStyle w:val="TableParagraph"/>
                              <w:rPr>
                                <w:sz w:val="14"/>
                              </w:rPr>
                            </w:pPr>
                          </w:p>
                        </w:tc>
                        <w:tc>
                          <w:tcPr>
                            <w:tcW w:w="420" w:type="dxa"/>
                            <w:tcBorders>
                              <w:left w:val="single" w:sz="6" w:space="0" w:color="A6A6A6"/>
                              <w:right w:val="single" w:sz="6" w:space="0" w:color="A6A6A6"/>
                            </w:tcBorders>
                          </w:tcPr>
                          <w:p w14:paraId="6F175CD0" w14:textId="77777777" w:rsidR="00BF6983" w:rsidRDefault="00BF6983">
                            <w:pPr>
                              <w:pStyle w:val="TableParagraph"/>
                              <w:rPr>
                                <w:sz w:val="14"/>
                              </w:rPr>
                            </w:pPr>
                          </w:p>
                        </w:tc>
                        <w:tc>
                          <w:tcPr>
                            <w:tcW w:w="432" w:type="dxa"/>
                            <w:tcBorders>
                              <w:left w:val="single" w:sz="6" w:space="0" w:color="A6A6A6"/>
                              <w:right w:val="single" w:sz="6" w:space="0" w:color="A6A6A6"/>
                            </w:tcBorders>
                          </w:tcPr>
                          <w:p w14:paraId="6E5078F7" w14:textId="77777777" w:rsidR="00BF6983" w:rsidRDefault="00BF6983">
                            <w:pPr>
                              <w:pStyle w:val="TableParagraph"/>
                              <w:rPr>
                                <w:sz w:val="14"/>
                              </w:rPr>
                            </w:pPr>
                          </w:p>
                        </w:tc>
                        <w:tc>
                          <w:tcPr>
                            <w:tcW w:w="432" w:type="dxa"/>
                            <w:tcBorders>
                              <w:left w:val="single" w:sz="6" w:space="0" w:color="A6A6A6"/>
                              <w:right w:val="single" w:sz="6" w:space="0" w:color="A6A6A6"/>
                            </w:tcBorders>
                          </w:tcPr>
                          <w:p w14:paraId="203DA108" w14:textId="77777777" w:rsidR="00BF6983" w:rsidRDefault="00BF6983">
                            <w:pPr>
                              <w:pStyle w:val="TableParagraph"/>
                              <w:rPr>
                                <w:sz w:val="14"/>
                              </w:rPr>
                            </w:pPr>
                          </w:p>
                        </w:tc>
                        <w:tc>
                          <w:tcPr>
                            <w:tcW w:w="432" w:type="dxa"/>
                            <w:tcBorders>
                              <w:left w:val="single" w:sz="6" w:space="0" w:color="A6A6A6"/>
                              <w:right w:val="single" w:sz="6" w:space="0" w:color="A6A6A6"/>
                            </w:tcBorders>
                          </w:tcPr>
                          <w:p w14:paraId="775768C6" w14:textId="77777777" w:rsidR="00BF6983" w:rsidRDefault="00BF6983">
                            <w:pPr>
                              <w:pStyle w:val="TableParagraph"/>
                              <w:rPr>
                                <w:sz w:val="14"/>
                              </w:rPr>
                            </w:pPr>
                          </w:p>
                        </w:tc>
                        <w:tc>
                          <w:tcPr>
                            <w:tcW w:w="216" w:type="dxa"/>
                            <w:tcBorders>
                              <w:left w:val="single" w:sz="6" w:space="0" w:color="A6A6A6"/>
                              <w:right w:val="nil"/>
                            </w:tcBorders>
                          </w:tcPr>
                          <w:p w14:paraId="6F5B6EF6" w14:textId="77777777" w:rsidR="00BF6983" w:rsidRDefault="00BF6983">
                            <w:pPr>
                              <w:pStyle w:val="TableParagraph"/>
                              <w:rPr>
                                <w:sz w:val="14"/>
                              </w:rPr>
                            </w:pPr>
                          </w:p>
                        </w:tc>
                      </w:tr>
                      <w:tr w:rsidR="00BF6983" w14:paraId="5CF0BDEC" w14:textId="77777777">
                        <w:trPr>
                          <w:trHeight w:val="188"/>
                        </w:trPr>
                        <w:tc>
                          <w:tcPr>
                            <w:tcW w:w="216" w:type="dxa"/>
                            <w:tcBorders>
                              <w:left w:val="nil"/>
                              <w:bottom w:val="single" w:sz="6" w:space="0" w:color="000000"/>
                              <w:right w:val="single" w:sz="6" w:space="0" w:color="A6A6A6"/>
                            </w:tcBorders>
                          </w:tcPr>
                          <w:p w14:paraId="5FC90AEE"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3EB525ED"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467CCA4B" w14:textId="77777777" w:rsidR="00BF6983" w:rsidRDefault="00BF6983">
                            <w:pPr>
                              <w:pStyle w:val="TableParagraph"/>
                              <w:rPr>
                                <w:sz w:val="12"/>
                              </w:rPr>
                            </w:pPr>
                          </w:p>
                        </w:tc>
                        <w:tc>
                          <w:tcPr>
                            <w:tcW w:w="420" w:type="dxa"/>
                            <w:tcBorders>
                              <w:left w:val="single" w:sz="6" w:space="0" w:color="A6A6A6"/>
                              <w:bottom w:val="single" w:sz="6" w:space="0" w:color="000000"/>
                              <w:right w:val="single" w:sz="6" w:space="0" w:color="A6A6A6"/>
                            </w:tcBorders>
                          </w:tcPr>
                          <w:p w14:paraId="3C6966E1"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329C9217"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3B9D59B7"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1E87A7C3"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553B94FE"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69CFB41B"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603D55DC"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2C13C1E6"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0D025A64"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2E526CE5"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2B285A5F" w14:textId="77777777" w:rsidR="00BF6983" w:rsidRDefault="00BF6983">
                            <w:pPr>
                              <w:pStyle w:val="TableParagraph"/>
                              <w:rPr>
                                <w:sz w:val="12"/>
                              </w:rPr>
                            </w:pPr>
                          </w:p>
                        </w:tc>
                        <w:tc>
                          <w:tcPr>
                            <w:tcW w:w="420" w:type="dxa"/>
                            <w:tcBorders>
                              <w:left w:val="single" w:sz="6" w:space="0" w:color="A6A6A6"/>
                              <w:bottom w:val="single" w:sz="6" w:space="0" w:color="000000"/>
                              <w:right w:val="single" w:sz="6" w:space="0" w:color="A6A6A6"/>
                            </w:tcBorders>
                          </w:tcPr>
                          <w:p w14:paraId="461FA56F"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471A72A2"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5CAC8C7D" w14:textId="77777777" w:rsidR="00BF6983" w:rsidRDefault="00BF6983">
                            <w:pPr>
                              <w:pStyle w:val="TableParagraph"/>
                              <w:rPr>
                                <w:sz w:val="12"/>
                              </w:rPr>
                            </w:pPr>
                          </w:p>
                        </w:tc>
                        <w:tc>
                          <w:tcPr>
                            <w:tcW w:w="432" w:type="dxa"/>
                            <w:tcBorders>
                              <w:left w:val="single" w:sz="6" w:space="0" w:color="A6A6A6"/>
                              <w:bottom w:val="single" w:sz="6" w:space="0" w:color="000000"/>
                              <w:right w:val="single" w:sz="6" w:space="0" w:color="A6A6A6"/>
                            </w:tcBorders>
                          </w:tcPr>
                          <w:p w14:paraId="629676DE" w14:textId="77777777" w:rsidR="00BF6983" w:rsidRDefault="00BF6983">
                            <w:pPr>
                              <w:pStyle w:val="TableParagraph"/>
                              <w:rPr>
                                <w:sz w:val="12"/>
                              </w:rPr>
                            </w:pPr>
                          </w:p>
                        </w:tc>
                        <w:tc>
                          <w:tcPr>
                            <w:tcW w:w="216" w:type="dxa"/>
                            <w:tcBorders>
                              <w:left w:val="single" w:sz="6" w:space="0" w:color="A6A6A6"/>
                              <w:bottom w:val="single" w:sz="6" w:space="0" w:color="000000"/>
                              <w:right w:val="nil"/>
                            </w:tcBorders>
                          </w:tcPr>
                          <w:p w14:paraId="415B0C39" w14:textId="77777777" w:rsidR="00BF6983" w:rsidRDefault="00BF6983">
                            <w:pPr>
                              <w:pStyle w:val="TableParagraph"/>
                              <w:rPr>
                                <w:sz w:val="12"/>
                              </w:rPr>
                            </w:pPr>
                          </w:p>
                        </w:tc>
                      </w:tr>
                    </w:tbl>
                    <w:p w14:paraId="1AB2F10F" w14:textId="77777777" w:rsidR="00BF6983" w:rsidRDefault="00BF6983" w:rsidP="002557B7">
                      <w:pPr>
                        <w:pStyle w:val="BodyText"/>
                      </w:pPr>
                    </w:p>
                  </w:txbxContent>
                </v:textbox>
                <w10:wrap anchorx="page"/>
              </v:shape>
            </w:pict>
          </mc:Fallback>
        </mc:AlternateContent>
      </w:r>
      <w:r w:rsidRPr="00DB0C40">
        <w:rPr>
          <w:rFonts w:asciiTheme="minorHAnsi" w:eastAsia="Calibri Light" w:hAnsiTheme="minorHAnsi" w:cstheme="minorHAnsi"/>
          <w:w w:val="105"/>
          <w:sz w:val="22"/>
          <w:szCs w:val="22"/>
        </w:rPr>
        <w:t>45</w:t>
      </w:r>
    </w:p>
    <w:p w14:paraId="2E3A8E36" w14:textId="77777777" w:rsidR="002557B7" w:rsidRPr="00DB0C40" w:rsidRDefault="002557B7" w:rsidP="002557B7">
      <w:pPr>
        <w:widowControl w:val="0"/>
        <w:autoSpaceDE w:val="0"/>
        <w:autoSpaceDN w:val="0"/>
        <w:spacing w:before="39"/>
        <w:ind w:left="668"/>
        <w:rPr>
          <w:rFonts w:asciiTheme="minorHAnsi" w:eastAsia="Calibri Light" w:hAnsiTheme="minorHAnsi" w:cstheme="minorHAnsi"/>
          <w:sz w:val="22"/>
          <w:szCs w:val="22"/>
        </w:rPr>
      </w:pPr>
      <w:r w:rsidRPr="00DB0C40">
        <w:rPr>
          <w:rFonts w:asciiTheme="minorHAnsi" w:eastAsia="Calibri Light" w:hAnsiTheme="minorHAnsi" w:cstheme="minorHAnsi"/>
          <w:noProof/>
          <w:sz w:val="22"/>
          <w:szCs w:val="22"/>
        </w:rPr>
        <w:drawing>
          <wp:anchor distT="0" distB="0" distL="0" distR="0" simplePos="0" relativeHeight="251666432" behindDoc="0" locked="0" layoutInCell="1" allowOverlap="1" wp14:anchorId="43081A9C" wp14:editId="28F1A1A6">
            <wp:simplePos x="0" y="0"/>
            <wp:positionH relativeFrom="page">
              <wp:posOffset>1543811</wp:posOffset>
            </wp:positionH>
            <wp:positionV relativeFrom="paragraph">
              <wp:posOffset>47804</wp:posOffset>
            </wp:positionV>
            <wp:extent cx="76200" cy="76200"/>
            <wp:effectExtent l="0" t="0" r="0" b="0"/>
            <wp:wrapNone/>
            <wp:docPr id="324" name="imag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41.png"/>
                    <pic:cNvPicPr/>
                  </pic:nvPicPr>
                  <pic:blipFill>
                    <a:blip r:embed="rId20" cstate="print"/>
                    <a:stretch>
                      <a:fillRect/>
                    </a:stretch>
                  </pic:blipFill>
                  <pic:spPr>
                    <a:xfrm>
                      <a:off x="0" y="0"/>
                      <a:ext cx="76200" cy="76200"/>
                    </a:xfrm>
                    <a:prstGeom prst="rect">
                      <a:avLst/>
                    </a:prstGeom>
                  </pic:spPr>
                </pic:pic>
              </a:graphicData>
            </a:graphic>
          </wp:anchor>
        </w:drawing>
      </w:r>
      <w:r w:rsidRPr="00DB0C40">
        <w:rPr>
          <w:rFonts w:asciiTheme="minorHAnsi" w:eastAsia="Calibri Light" w:hAnsiTheme="minorHAnsi" w:cstheme="minorHAnsi"/>
          <w:w w:val="105"/>
          <w:sz w:val="22"/>
          <w:szCs w:val="22"/>
        </w:rPr>
        <w:t>40</w:t>
      </w:r>
    </w:p>
    <w:p w14:paraId="176E6B5C" w14:textId="77777777" w:rsidR="002557B7" w:rsidRPr="00DB0C40" w:rsidRDefault="002557B7" w:rsidP="002557B7">
      <w:pPr>
        <w:widowControl w:val="0"/>
        <w:autoSpaceDE w:val="0"/>
        <w:autoSpaceDN w:val="0"/>
        <w:spacing w:before="39"/>
        <w:ind w:left="668"/>
        <w:rPr>
          <w:rFonts w:asciiTheme="minorHAnsi" w:eastAsia="Calibri Light" w:hAnsiTheme="minorHAnsi" w:cstheme="minorHAnsi"/>
          <w:sz w:val="22"/>
          <w:szCs w:val="22"/>
        </w:rPr>
      </w:pPr>
      <w:r w:rsidRPr="00DB0C40">
        <w:rPr>
          <w:rFonts w:asciiTheme="minorHAnsi" w:eastAsia="Calibri Light" w:hAnsiTheme="minorHAnsi" w:cstheme="minorHAnsi"/>
          <w:noProof/>
          <w:sz w:val="22"/>
          <w:szCs w:val="22"/>
        </w:rPr>
        <w:drawing>
          <wp:anchor distT="0" distB="0" distL="0" distR="0" simplePos="0" relativeHeight="251669504" behindDoc="0" locked="0" layoutInCell="1" allowOverlap="1" wp14:anchorId="58D32203" wp14:editId="36CCBC96">
            <wp:simplePos x="0" y="0"/>
            <wp:positionH relativeFrom="page">
              <wp:posOffset>2366772</wp:posOffset>
            </wp:positionH>
            <wp:positionV relativeFrom="paragraph">
              <wp:posOffset>96574</wp:posOffset>
            </wp:positionV>
            <wp:extent cx="76200" cy="76200"/>
            <wp:effectExtent l="0" t="0" r="0" b="0"/>
            <wp:wrapNone/>
            <wp:docPr id="325"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51.png"/>
                    <pic:cNvPicPr/>
                  </pic:nvPicPr>
                  <pic:blipFill>
                    <a:blip r:embed="rId21" cstate="print"/>
                    <a:stretch>
                      <a:fillRect/>
                    </a:stretch>
                  </pic:blipFill>
                  <pic:spPr>
                    <a:xfrm>
                      <a:off x="0" y="0"/>
                      <a:ext cx="76200" cy="76200"/>
                    </a:xfrm>
                    <a:prstGeom prst="rect">
                      <a:avLst/>
                    </a:prstGeom>
                  </pic:spPr>
                </pic:pic>
              </a:graphicData>
            </a:graphic>
          </wp:anchor>
        </w:drawing>
      </w:r>
      <w:r w:rsidRPr="00DB0C40">
        <w:rPr>
          <w:rFonts w:asciiTheme="minorHAnsi" w:eastAsia="Calibri Light" w:hAnsiTheme="minorHAnsi" w:cstheme="minorHAnsi"/>
          <w:noProof/>
          <w:sz w:val="22"/>
          <w:szCs w:val="22"/>
        </w:rPr>
        <mc:AlternateContent>
          <mc:Choice Requires="wps">
            <w:drawing>
              <wp:anchor distT="0" distB="0" distL="114300" distR="114300" simplePos="0" relativeHeight="251683840" behindDoc="0" locked="0" layoutInCell="1" allowOverlap="1" wp14:anchorId="676B84C1" wp14:editId="22D0DE25">
                <wp:simplePos x="0" y="0"/>
                <wp:positionH relativeFrom="page">
                  <wp:posOffset>1536065</wp:posOffset>
                </wp:positionH>
                <wp:positionV relativeFrom="paragraph">
                  <wp:posOffset>50800</wp:posOffset>
                </wp:positionV>
                <wp:extent cx="91440" cy="91440"/>
                <wp:effectExtent l="2540" t="1270" r="1270" b="2540"/>
                <wp:wrapNone/>
                <wp:docPr id="375" name="Freeform: Shape 3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 cy="91440"/>
                        </a:xfrm>
                        <a:custGeom>
                          <a:avLst/>
                          <a:gdLst>
                            <a:gd name="T0" fmla="+- 0 2491 2419"/>
                            <a:gd name="T1" fmla="*/ T0 w 144"/>
                            <a:gd name="T2" fmla="+- 0 80 80"/>
                            <a:gd name="T3" fmla="*/ 80 h 144"/>
                            <a:gd name="T4" fmla="+- 0 2419 2419"/>
                            <a:gd name="T5" fmla="*/ T4 w 144"/>
                            <a:gd name="T6" fmla="+- 0 152 80"/>
                            <a:gd name="T7" fmla="*/ 152 h 144"/>
                            <a:gd name="T8" fmla="+- 0 2491 2419"/>
                            <a:gd name="T9" fmla="*/ T8 w 144"/>
                            <a:gd name="T10" fmla="+- 0 224 80"/>
                            <a:gd name="T11" fmla="*/ 224 h 144"/>
                            <a:gd name="T12" fmla="+- 0 2563 2419"/>
                            <a:gd name="T13" fmla="*/ T12 w 144"/>
                            <a:gd name="T14" fmla="+- 0 152 80"/>
                            <a:gd name="T15" fmla="*/ 152 h 144"/>
                            <a:gd name="T16" fmla="+- 0 2491 2419"/>
                            <a:gd name="T17" fmla="*/ T16 w 144"/>
                            <a:gd name="T18" fmla="+- 0 80 80"/>
                            <a:gd name="T19" fmla="*/ 80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2EAF77FD" id="Freeform: Shape 375" o:spid="_x0000_s1026" style="position:absolute;margin-left:120.95pt;margin-top:4pt;width:7.2pt;height:7.2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44,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" path="m72,l,72r72,72l144,72,72,xe" fillcolor="#2e75b6" stroked="f">
                <v:path arrowok="t" o:connecttype="custom" o:connectlocs="45720,50800;0,96520;45720,142240;91440,96520;45720,50800" o:connectangles="0,0,0,0,0"/>
                <w10:wrap anchorx="page"/>
              </v:shape>
            </w:pict>
          </mc:Fallback>
        </mc:AlternateContent>
      </w:r>
      <w:r w:rsidRPr="00DB0C40">
        <w:rPr>
          <w:rFonts w:asciiTheme="minorHAnsi" w:eastAsia="Calibri Light" w:hAnsiTheme="minorHAnsi" w:cstheme="minorHAnsi"/>
          <w:noProof/>
          <w:sz w:val="22"/>
          <w:szCs w:val="22"/>
        </w:rPr>
        <mc:AlternateContent>
          <mc:Choice Requires="wps">
            <w:drawing>
              <wp:anchor distT="0" distB="0" distL="114300" distR="114300" simplePos="0" relativeHeight="251684864" behindDoc="0" locked="0" layoutInCell="1" allowOverlap="1" wp14:anchorId="41E6F8D9" wp14:editId="54E57AA4">
                <wp:simplePos x="0" y="0"/>
                <wp:positionH relativeFrom="page">
                  <wp:posOffset>1810385</wp:posOffset>
                </wp:positionH>
                <wp:positionV relativeFrom="paragraph">
                  <wp:posOffset>81280</wp:posOffset>
                </wp:positionV>
                <wp:extent cx="91440" cy="91440"/>
                <wp:effectExtent l="635" t="3175" r="3175" b="635"/>
                <wp:wrapNone/>
                <wp:docPr id="374" name="Freeform: Shape 3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 cy="91440"/>
                        </a:xfrm>
                        <a:custGeom>
                          <a:avLst/>
                          <a:gdLst>
                            <a:gd name="T0" fmla="+- 0 2923 2851"/>
                            <a:gd name="T1" fmla="*/ T0 w 144"/>
                            <a:gd name="T2" fmla="+- 0 128 128"/>
                            <a:gd name="T3" fmla="*/ 128 h 144"/>
                            <a:gd name="T4" fmla="+- 0 2851 2851"/>
                            <a:gd name="T5" fmla="*/ T4 w 144"/>
                            <a:gd name="T6" fmla="+- 0 200 128"/>
                            <a:gd name="T7" fmla="*/ 200 h 144"/>
                            <a:gd name="T8" fmla="+- 0 2923 2851"/>
                            <a:gd name="T9" fmla="*/ T8 w 144"/>
                            <a:gd name="T10" fmla="+- 0 272 128"/>
                            <a:gd name="T11" fmla="*/ 272 h 144"/>
                            <a:gd name="T12" fmla="+- 0 2995 2851"/>
                            <a:gd name="T13" fmla="*/ T12 w 144"/>
                            <a:gd name="T14" fmla="+- 0 200 128"/>
                            <a:gd name="T15" fmla="*/ 200 h 144"/>
                            <a:gd name="T16" fmla="+- 0 2923 2851"/>
                            <a:gd name="T17" fmla="*/ T16 w 144"/>
                            <a:gd name="T18" fmla="+- 0 128 128"/>
                            <a:gd name="T19" fmla="*/ 128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0E8B1BCA" id="Freeform: Shape 374" o:spid="_x0000_s1026" style="position:absolute;margin-left:142.55pt;margin-top:6.4pt;width:7.2pt;height:7.2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44,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" path="m72,l,72r72,72l144,72,72,xe" fillcolor="#2e75b6" stroked="f">
                <v:path arrowok="t" o:connecttype="custom" o:connectlocs="45720,81280;0,127000;45720,172720;91440,127000;45720,81280" o:connectangles="0,0,0,0,0"/>
                <w10:wrap anchorx="page"/>
              </v:shape>
            </w:pict>
          </mc:Fallback>
        </mc:AlternateContent>
      </w:r>
      <w:r w:rsidRPr="00DB0C40">
        <w:rPr>
          <w:rFonts w:asciiTheme="minorHAnsi" w:eastAsia="Calibri Light" w:hAnsiTheme="minorHAnsi" w:cstheme="minorHAnsi"/>
          <w:w w:val="105"/>
          <w:sz w:val="22"/>
          <w:szCs w:val="22"/>
        </w:rPr>
        <w:t>35</w:t>
      </w:r>
    </w:p>
    <w:p w14:paraId="021975AD" w14:textId="77777777" w:rsidR="002557B7" w:rsidRPr="00DB0C40" w:rsidRDefault="002557B7" w:rsidP="002557B7">
      <w:pPr>
        <w:widowControl w:val="0"/>
        <w:autoSpaceDE w:val="0"/>
        <w:autoSpaceDN w:val="0"/>
        <w:spacing w:before="39"/>
        <w:ind w:left="668"/>
        <w:rPr>
          <w:rFonts w:asciiTheme="minorHAnsi" w:eastAsia="Calibri Light" w:hAnsiTheme="minorHAnsi" w:cstheme="minorHAnsi"/>
          <w:sz w:val="22"/>
          <w:szCs w:val="22"/>
        </w:rPr>
      </w:pPr>
      <w:r w:rsidRPr="00DB0C40">
        <w:rPr>
          <w:rFonts w:asciiTheme="minorHAnsi" w:eastAsia="Calibri Light" w:hAnsiTheme="minorHAnsi" w:cstheme="minorHAnsi"/>
          <w:noProof/>
          <w:sz w:val="22"/>
          <w:szCs w:val="22"/>
        </w:rPr>
        <mc:AlternateContent>
          <mc:Choice Requires="wpg">
            <w:drawing>
              <wp:anchor distT="0" distB="0" distL="114300" distR="114300" simplePos="0" relativeHeight="251668480" behindDoc="0" locked="0" layoutInCell="1" allowOverlap="1" wp14:anchorId="029ECF4E" wp14:editId="2183A221">
                <wp:simplePos x="0" y="0"/>
                <wp:positionH relativeFrom="page">
                  <wp:posOffset>2084705</wp:posOffset>
                </wp:positionH>
                <wp:positionV relativeFrom="paragraph">
                  <wp:posOffset>15875</wp:posOffset>
                </wp:positionV>
                <wp:extent cx="91440" cy="152400"/>
                <wp:effectExtent l="8255" t="5715" r="5080" b="3810"/>
                <wp:wrapNone/>
                <wp:docPr id="371" name="Group 3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152400"/>
                          <a:chOff x="3283" y="25"/>
                          <a:chExt cx="144" cy="240"/>
                        </a:xfrm>
                      </wpg:grpSpPr>
                      <wps:wsp>
                        <wps:cNvPr id="372" name="Freeform 324"/>
                        <wps:cNvSpPr>
                          <a:spLocks/>
                        </wps:cNvSpPr>
                        <wps:spPr bwMode="auto">
                          <a:xfrm>
                            <a:off x="3295" y="24"/>
                            <a:ext cx="120" cy="120"/>
                          </a:xfrm>
                          <a:custGeom>
                            <a:avLst/>
                            <a:gdLst>
                              <a:gd name="T0" fmla="+- 0 3355 3295"/>
                              <a:gd name="T1" fmla="*/ T0 w 120"/>
                              <a:gd name="T2" fmla="+- 0 25 25"/>
                              <a:gd name="T3" fmla="*/ 25 h 120"/>
                              <a:gd name="T4" fmla="+- 0 3332 3295"/>
                              <a:gd name="T5" fmla="*/ T4 w 120"/>
                              <a:gd name="T6" fmla="+- 0 30 25"/>
                              <a:gd name="T7" fmla="*/ 30 h 120"/>
                              <a:gd name="T8" fmla="+- 0 3313 3295"/>
                              <a:gd name="T9" fmla="*/ T8 w 120"/>
                              <a:gd name="T10" fmla="+- 0 42 25"/>
                              <a:gd name="T11" fmla="*/ 42 h 120"/>
                              <a:gd name="T12" fmla="+- 0 3300 3295"/>
                              <a:gd name="T13" fmla="*/ T12 w 120"/>
                              <a:gd name="T14" fmla="+- 0 61 25"/>
                              <a:gd name="T15" fmla="*/ 61 h 120"/>
                              <a:gd name="T16" fmla="+- 0 3295 3295"/>
                              <a:gd name="T17" fmla="*/ T16 w 120"/>
                              <a:gd name="T18" fmla="+- 0 85 25"/>
                              <a:gd name="T19" fmla="*/ 85 h 120"/>
                              <a:gd name="T20" fmla="+- 0 3300 3295"/>
                              <a:gd name="T21" fmla="*/ T20 w 120"/>
                              <a:gd name="T22" fmla="+- 0 108 25"/>
                              <a:gd name="T23" fmla="*/ 108 h 120"/>
                              <a:gd name="T24" fmla="+- 0 3313 3295"/>
                              <a:gd name="T25" fmla="*/ T24 w 120"/>
                              <a:gd name="T26" fmla="+- 0 127 25"/>
                              <a:gd name="T27" fmla="*/ 127 h 120"/>
                              <a:gd name="T28" fmla="+- 0 3332 3295"/>
                              <a:gd name="T29" fmla="*/ T28 w 120"/>
                              <a:gd name="T30" fmla="+- 0 140 25"/>
                              <a:gd name="T31" fmla="*/ 140 h 120"/>
                              <a:gd name="T32" fmla="+- 0 3355 3295"/>
                              <a:gd name="T33" fmla="*/ T32 w 120"/>
                              <a:gd name="T34" fmla="+- 0 145 25"/>
                              <a:gd name="T35" fmla="*/ 145 h 120"/>
                              <a:gd name="T36" fmla="+- 0 3379 3295"/>
                              <a:gd name="T37" fmla="*/ T36 w 120"/>
                              <a:gd name="T38" fmla="+- 0 140 25"/>
                              <a:gd name="T39" fmla="*/ 140 h 120"/>
                              <a:gd name="T40" fmla="+- 0 3398 3295"/>
                              <a:gd name="T41" fmla="*/ T40 w 120"/>
                              <a:gd name="T42" fmla="+- 0 127 25"/>
                              <a:gd name="T43" fmla="*/ 127 h 120"/>
                              <a:gd name="T44" fmla="+- 0 3411 3295"/>
                              <a:gd name="T45" fmla="*/ T44 w 120"/>
                              <a:gd name="T46" fmla="+- 0 108 25"/>
                              <a:gd name="T47" fmla="*/ 108 h 120"/>
                              <a:gd name="T48" fmla="+- 0 3415 3295"/>
                              <a:gd name="T49" fmla="*/ T48 w 120"/>
                              <a:gd name="T50" fmla="+- 0 85 25"/>
                              <a:gd name="T51" fmla="*/ 85 h 120"/>
                              <a:gd name="T52" fmla="+- 0 3411 3295"/>
                              <a:gd name="T53" fmla="*/ T52 w 120"/>
                              <a:gd name="T54" fmla="+- 0 61 25"/>
                              <a:gd name="T55" fmla="*/ 61 h 120"/>
                              <a:gd name="T56" fmla="+- 0 3398 3295"/>
                              <a:gd name="T57" fmla="*/ T56 w 120"/>
                              <a:gd name="T58" fmla="+- 0 42 25"/>
                              <a:gd name="T59" fmla="*/ 42 h 120"/>
                              <a:gd name="T60" fmla="+- 0 3379 3295"/>
                              <a:gd name="T61" fmla="*/ T60 w 120"/>
                              <a:gd name="T62" fmla="+- 0 30 25"/>
                              <a:gd name="T63" fmla="*/ 30 h 120"/>
                              <a:gd name="T64" fmla="+- 0 3355 3295"/>
                              <a:gd name="T65" fmla="*/ T64 w 120"/>
                              <a:gd name="T66" fmla="+- 0 25 25"/>
                              <a:gd name="T67" fmla="*/ 25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0" h="120">
                                <a:moveTo>
                                  <a:pt x="60" y="0"/>
                                </a:moveTo>
                                <a:lnTo>
                                  <a:pt x="37" y="5"/>
                                </a:lnTo>
                                <a:lnTo>
                                  <a:pt x="18" y="17"/>
                                </a:lnTo>
                                <a:lnTo>
                                  <a:pt x="5" y="36"/>
                                </a:lnTo>
                                <a:lnTo>
                                  <a:pt x="0" y="60"/>
                                </a:lnTo>
                                <a:lnTo>
                                  <a:pt x="5" y="83"/>
                                </a:lnTo>
                                <a:lnTo>
                                  <a:pt x="18" y="102"/>
                                </a:lnTo>
                                <a:lnTo>
                                  <a:pt x="37" y="115"/>
                                </a:lnTo>
                                <a:lnTo>
                                  <a:pt x="60" y="120"/>
                                </a:lnTo>
                                <a:lnTo>
                                  <a:pt x="84" y="115"/>
                                </a:lnTo>
                                <a:lnTo>
                                  <a:pt x="103" y="102"/>
                                </a:lnTo>
                                <a:lnTo>
                                  <a:pt x="116" y="83"/>
                                </a:lnTo>
                                <a:lnTo>
                                  <a:pt x="120" y="60"/>
                                </a:lnTo>
                                <a:lnTo>
                                  <a:pt x="116" y="36"/>
                                </a:lnTo>
                                <a:lnTo>
                                  <a:pt x="103" y="17"/>
                                </a:lnTo>
                                <a:lnTo>
                                  <a:pt x="84" y="5"/>
                                </a:lnTo>
                                <a:lnTo>
                                  <a:pt x="60" y="0"/>
                                </a:lnTo>
                                <a:close/>
                              </a:path>
                            </a:pathLst>
                          </a:custGeom>
                          <a:solidFill>
                            <a:srgbClr val="ED7D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325"/>
                        <wps:cNvSpPr>
                          <a:spLocks/>
                        </wps:cNvSpPr>
                        <wps:spPr bwMode="auto">
                          <a:xfrm>
                            <a:off x="3283" y="120"/>
                            <a:ext cx="144" cy="144"/>
                          </a:xfrm>
                          <a:custGeom>
                            <a:avLst/>
                            <a:gdLst>
                              <a:gd name="T0" fmla="+- 0 3355 3283"/>
                              <a:gd name="T1" fmla="*/ T0 w 144"/>
                              <a:gd name="T2" fmla="+- 0 121 121"/>
                              <a:gd name="T3" fmla="*/ 121 h 144"/>
                              <a:gd name="T4" fmla="+- 0 3283 3283"/>
                              <a:gd name="T5" fmla="*/ T4 w 144"/>
                              <a:gd name="T6" fmla="+- 0 193 121"/>
                              <a:gd name="T7" fmla="*/ 193 h 144"/>
                              <a:gd name="T8" fmla="+- 0 3355 3283"/>
                              <a:gd name="T9" fmla="*/ T8 w 144"/>
                              <a:gd name="T10" fmla="+- 0 265 121"/>
                              <a:gd name="T11" fmla="*/ 265 h 144"/>
                              <a:gd name="T12" fmla="+- 0 3427 3283"/>
                              <a:gd name="T13" fmla="*/ T12 w 144"/>
                              <a:gd name="T14" fmla="+- 0 193 121"/>
                              <a:gd name="T15" fmla="*/ 193 h 144"/>
                              <a:gd name="T16" fmla="+- 0 3355 3283"/>
                              <a:gd name="T17" fmla="*/ T16 w 144"/>
                              <a:gd name="T18" fmla="+- 0 121 121"/>
                              <a:gd name="T19" fmla="*/ 121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00B78DC4" id="Group 371" o:spid="_x0000_s1026" style="position:absolute;margin-left:164.15pt;margin-top:1.25pt;width:7.2pt;height:12pt;z-index:251668480;mso-position-horizontal-relative:page" coordorigin="3283,25" coordsize="144,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">
                <v:shape id="Freeform 324" o:spid="_x0000_s1027" style="position:absolute;left:3295;top:24;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" path="m60,l37,5,18,17,5,36,,60,5,83r13,19l37,115r23,5l84,115r19,-13l116,83r4,-23l116,36,103,17,84,5,60,xe" fillcolor="#ed7d31" stroked="f">
                  <v:path arrowok="t" o:connecttype="custom" o:connectlocs="60,25;37,30;18,42;5,61;0,85;5,108;18,127;37,140;60,145;84,140;103,127;116,108;120,85;116,61;103,42;84,30;60,25" o:connectangles="0,0,0,0,0,0,0,0,0,0,0,0,0,0,0,0,0"/>
                </v:shape>
                <v:shape id="Freeform 325" o:spid="_x0000_s1028" style="position:absolute;left:3283;top:120;width:144;height:144;visibility:visible;mso-wrap-style:square;v-text-anchor:top"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" path="m72,l,72r72,72l144,72,72,xe" fillcolor="#2e75b6" stroked="f">
                  <v:path arrowok="t" o:connecttype="custom" o:connectlocs="72,121;0,193;72,265;144,193;72,121" o:connectangles="0,0,0,0,0"/>
                </v:shape>
                <w10:wrap anchorx="page"/>
              </v:group>
            </w:pict>
          </mc:Fallback>
        </mc:AlternateContent>
      </w:r>
      <w:r w:rsidRPr="00DB0C40">
        <w:rPr>
          <w:rFonts w:asciiTheme="minorHAnsi" w:eastAsia="Calibri Light" w:hAnsiTheme="minorHAnsi" w:cstheme="minorHAnsi"/>
          <w:w w:val="105"/>
          <w:sz w:val="22"/>
          <w:szCs w:val="22"/>
        </w:rPr>
        <w:t>30</w:t>
      </w:r>
    </w:p>
    <w:p w14:paraId="25C42BBE" w14:textId="77777777" w:rsidR="002557B7" w:rsidRPr="00DB0C40" w:rsidRDefault="002557B7" w:rsidP="002557B7">
      <w:pPr>
        <w:widowControl w:val="0"/>
        <w:autoSpaceDE w:val="0"/>
        <w:autoSpaceDN w:val="0"/>
        <w:spacing w:before="40"/>
        <w:ind w:left="668"/>
        <w:rPr>
          <w:rFonts w:asciiTheme="minorHAnsi" w:eastAsia="Calibri Light" w:hAnsiTheme="minorHAnsi" w:cstheme="minorHAnsi"/>
          <w:sz w:val="22"/>
          <w:szCs w:val="22"/>
        </w:rPr>
      </w:pPr>
      <w:r w:rsidRPr="00DB0C40">
        <w:rPr>
          <w:rFonts w:asciiTheme="minorHAnsi" w:eastAsia="Calibri Light" w:hAnsiTheme="minorHAnsi" w:cstheme="minorHAnsi"/>
          <w:noProof/>
          <w:sz w:val="22"/>
          <w:szCs w:val="22"/>
        </w:rPr>
        <w:drawing>
          <wp:anchor distT="0" distB="0" distL="0" distR="0" simplePos="0" relativeHeight="251671552" behindDoc="0" locked="0" layoutInCell="1" allowOverlap="1" wp14:anchorId="51EF87B5" wp14:editId="6D3612AD">
            <wp:simplePos x="0" y="0"/>
            <wp:positionH relativeFrom="page">
              <wp:posOffset>2915411</wp:posOffset>
            </wp:positionH>
            <wp:positionV relativeFrom="paragraph">
              <wp:posOffset>41586</wp:posOffset>
            </wp:positionV>
            <wp:extent cx="76200" cy="76200"/>
            <wp:effectExtent l="0" t="0" r="0" b="0"/>
            <wp:wrapNone/>
            <wp:docPr id="326"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51.png"/>
                    <pic:cNvPicPr/>
                  </pic:nvPicPr>
                  <pic:blipFill>
                    <a:blip r:embed="rId21" cstate="print"/>
                    <a:stretch>
                      <a:fillRect/>
                    </a:stretch>
                  </pic:blipFill>
                  <pic:spPr>
                    <a:xfrm>
                      <a:off x="0" y="0"/>
                      <a:ext cx="76200" cy="76200"/>
                    </a:xfrm>
                    <a:prstGeom prst="rect">
                      <a:avLst/>
                    </a:prstGeom>
                  </pic:spPr>
                </pic:pic>
              </a:graphicData>
            </a:graphic>
          </wp:anchor>
        </w:drawing>
      </w:r>
      <w:r w:rsidRPr="00DB0C40">
        <w:rPr>
          <w:rFonts w:asciiTheme="minorHAnsi" w:eastAsia="Calibri Light" w:hAnsiTheme="minorHAnsi" w:cstheme="minorHAnsi"/>
          <w:noProof/>
          <w:sz w:val="22"/>
          <w:szCs w:val="22"/>
        </w:rPr>
        <mc:AlternateContent>
          <mc:Choice Requires="wps">
            <w:drawing>
              <wp:anchor distT="0" distB="0" distL="114300" distR="114300" simplePos="0" relativeHeight="251685888" behindDoc="0" locked="0" layoutInCell="1" allowOverlap="1" wp14:anchorId="4E777494" wp14:editId="57C023D0">
                <wp:simplePos x="0" y="0"/>
                <wp:positionH relativeFrom="page">
                  <wp:posOffset>2359025</wp:posOffset>
                </wp:positionH>
                <wp:positionV relativeFrom="paragraph">
                  <wp:posOffset>48895</wp:posOffset>
                </wp:positionV>
                <wp:extent cx="91440" cy="91440"/>
                <wp:effectExtent l="6350" t="1270" r="6985" b="2540"/>
                <wp:wrapNone/>
                <wp:docPr id="370" name="Freeform: Shape 3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 cy="91440"/>
                        </a:xfrm>
                        <a:custGeom>
                          <a:avLst/>
                          <a:gdLst>
                            <a:gd name="T0" fmla="+- 0 3787 3715"/>
                            <a:gd name="T1" fmla="*/ T0 w 144"/>
                            <a:gd name="T2" fmla="+- 0 77 77"/>
                            <a:gd name="T3" fmla="*/ 77 h 144"/>
                            <a:gd name="T4" fmla="+- 0 3715 3715"/>
                            <a:gd name="T5" fmla="*/ T4 w 144"/>
                            <a:gd name="T6" fmla="+- 0 149 77"/>
                            <a:gd name="T7" fmla="*/ 149 h 144"/>
                            <a:gd name="T8" fmla="+- 0 3787 3715"/>
                            <a:gd name="T9" fmla="*/ T8 w 144"/>
                            <a:gd name="T10" fmla="+- 0 221 77"/>
                            <a:gd name="T11" fmla="*/ 221 h 144"/>
                            <a:gd name="T12" fmla="+- 0 3859 3715"/>
                            <a:gd name="T13" fmla="*/ T12 w 144"/>
                            <a:gd name="T14" fmla="+- 0 149 77"/>
                            <a:gd name="T15" fmla="*/ 149 h 144"/>
                            <a:gd name="T16" fmla="+- 0 3787 3715"/>
                            <a:gd name="T17" fmla="*/ T16 w 144"/>
                            <a:gd name="T18" fmla="+- 0 77 77"/>
                            <a:gd name="T19" fmla="*/ 77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7E5AB847" id="Freeform: Shape 370" o:spid="_x0000_s1026" style="position:absolute;margin-left:185.75pt;margin-top:3.85pt;width:7.2pt;height:7.2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44,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" path="m72,l,72r72,72l144,72,72,xe" fillcolor="#2e75b6" stroked="f">
                <v:path arrowok="t" o:connecttype="custom" o:connectlocs="45720,48895;0,94615;45720,140335;91440,94615;45720,48895" o:connectangles="0,0,0,0,0"/>
                <w10:wrap anchorx="page"/>
              </v:shape>
            </w:pict>
          </mc:Fallback>
        </mc:AlternateContent>
      </w:r>
      <w:r w:rsidRPr="00DB0C40">
        <w:rPr>
          <w:rFonts w:asciiTheme="minorHAnsi" w:eastAsia="Calibri Light" w:hAnsiTheme="minorHAnsi" w:cstheme="minorHAnsi"/>
          <w:w w:val="105"/>
          <w:sz w:val="22"/>
          <w:szCs w:val="22"/>
        </w:rPr>
        <w:t>25</w:t>
      </w:r>
    </w:p>
    <w:p w14:paraId="71CECCD9" w14:textId="77777777" w:rsidR="002557B7" w:rsidRPr="00DB0C40" w:rsidRDefault="002557B7" w:rsidP="002557B7">
      <w:pPr>
        <w:widowControl w:val="0"/>
        <w:autoSpaceDE w:val="0"/>
        <w:autoSpaceDN w:val="0"/>
        <w:spacing w:before="38"/>
        <w:ind w:left="668"/>
        <w:rPr>
          <w:rFonts w:asciiTheme="minorHAnsi" w:eastAsia="Calibri Light" w:hAnsiTheme="minorHAnsi" w:cstheme="minorHAnsi"/>
          <w:sz w:val="22"/>
          <w:szCs w:val="22"/>
        </w:rPr>
      </w:pPr>
      <w:r w:rsidRPr="00DB0C40">
        <w:rPr>
          <w:rFonts w:asciiTheme="minorHAnsi" w:eastAsia="Calibri Light" w:hAnsiTheme="minorHAnsi" w:cstheme="minorHAnsi"/>
          <w:noProof/>
          <w:sz w:val="22"/>
          <w:szCs w:val="22"/>
        </w:rPr>
        <mc:AlternateContent>
          <mc:Choice Requires="wpg">
            <w:drawing>
              <wp:anchor distT="0" distB="0" distL="114300" distR="114300" simplePos="0" relativeHeight="251670528" behindDoc="0" locked="0" layoutInCell="1" allowOverlap="1" wp14:anchorId="012AB86F" wp14:editId="5EF233F1">
                <wp:simplePos x="0" y="0"/>
                <wp:positionH relativeFrom="page">
                  <wp:posOffset>2633345</wp:posOffset>
                </wp:positionH>
                <wp:positionV relativeFrom="paragraph">
                  <wp:posOffset>35560</wp:posOffset>
                </wp:positionV>
                <wp:extent cx="91440" cy="106680"/>
                <wp:effectExtent l="4445" t="8890" r="8890" b="8255"/>
                <wp:wrapNone/>
                <wp:docPr id="367" name="Group 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106680"/>
                          <a:chOff x="4147" y="56"/>
                          <a:chExt cx="144" cy="168"/>
                        </a:xfrm>
                      </wpg:grpSpPr>
                      <wps:wsp>
                        <wps:cNvPr id="368" name="Freeform 327"/>
                        <wps:cNvSpPr>
                          <a:spLocks/>
                        </wps:cNvSpPr>
                        <wps:spPr bwMode="auto">
                          <a:xfrm>
                            <a:off x="4159" y="56"/>
                            <a:ext cx="120" cy="120"/>
                          </a:xfrm>
                          <a:custGeom>
                            <a:avLst/>
                            <a:gdLst>
                              <a:gd name="T0" fmla="+- 0 4219 4159"/>
                              <a:gd name="T1" fmla="*/ T0 w 120"/>
                              <a:gd name="T2" fmla="+- 0 56 56"/>
                              <a:gd name="T3" fmla="*/ 56 h 120"/>
                              <a:gd name="T4" fmla="+- 0 4196 4159"/>
                              <a:gd name="T5" fmla="*/ T4 w 120"/>
                              <a:gd name="T6" fmla="+- 0 61 56"/>
                              <a:gd name="T7" fmla="*/ 61 h 120"/>
                              <a:gd name="T8" fmla="+- 0 4177 4159"/>
                              <a:gd name="T9" fmla="*/ T8 w 120"/>
                              <a:gd name="T10" fmla="+- 0 74 56"/>
                              <a:gd name="T11" fmla="*/ 74 h 120"/>
                              <a:gd name="T12" fmla="+- 0 4164 4159"/>
                              <a:gd name="T13" fmla="*/ T12 w 120"/>
                              <a:gd name="T14" fmla="+- 0 93 56"/>
                              <a:gd name="T15" fmla="*/ 93 h 120"/>
                              <a:gd name="T16" fmla="+- 0 4159 4159"/>
                              <a:gd name="T17" fmla="*/ T16 w 120"/>
                              <a:gd name="T18" fmla="+- 0 116 56"/>
                              <a:gd name="T19" fmla="*/ 116 h 120"/>
                              <a:gd name="T20" fmla="+- 0 4164 4159"/>
                              <a:gd name="T21" fmla="*/ T20 w 120"/>
                              <a:gd name="T22" fmla="+- 0 139 56"/>
                              <a:gd name="T23" fmla="*/ 139 h 120"/>
                              <a:gd name="T24" fmla="+- 0 4177 4159"/>
                              <a:gd name="T25" fmla="*/ T24 w 120"/>
                              <a:gd name="T26" fmla="+- 0 158 56"/>
                              <a:gd name="T27" fmla="*/ 158 h 120"/>
                              <a:gd name="T28" fmla="+- 0 4196 4159"/>
                              <a:gd name="T29" fmla="*/ T28 w 120"/>
                              <a:gd name="T30" fmla="+- 0 171 56"/>
                              <a:gd name="T31" fmla="*/ 171 h 120"/>
                              <a:gd name="T32" fmla="+- 0 4219 4159"/>
                              <a:gd name="T33" fmla="*/ T32 w 120"/>
                              <a:gd name="T34" fmla="+- 0 176 56"/>
                              <a:gd name="T35" fmla="*/ 176 h 120"/>
                              <a:gd name="T36" fmla="+- 0 4243 4159"/>
                              <a:gd name="T37" fmla="*/ T36 w 120"/>
                              <a:gd name="T38" fmla="+- 0 171 56"/>
                              <a:gd name="T39" fmla="*/ 171 h 120"/>
                              <a:gd name="T40" fmla="+- 0 4262 4159"/>
                              <a:gd name="T41" fmla="*/ T40 w 120"/>
                              <a:gd name="T42" fmla="+- 0 158 56"/>
                              <a:gd name="T43" fmla="*/ 158 h 120"/>
                              <a:gd name="T44" fmla="+- 0 4275 4159"/>
                              <a:gd name="T45" fmla="*/ T44 w 120"/>
                              <a:gd name="T46" fmla="+- 0 139 56"/>
                              <a:gd name="T47" fmla="*/ 139 h 120"/>
                              <a:gd name="T48" fmla="+- 0 4279 4159"/>
                              <a:gd name="T49" fmla="*/ T48 w 120"/>
                              <a:gd name="T50" fmla="+- 0 116 56"/>
                              <a:gd name="T51" fmla="*/ 116 h 120"/>
                              <a:gd name="T52" fmla="+- 0 4275 4159"/>
                              <a:gd name="T53" fmla="*/ T52 w 120"/>
                              <a:gd name="T54" fmla="+- 0 93 56"/>
                              <a:gd name="T55" fmla="*/ 93 h 120"/>
                              <a:gd name="T56" fmla="+- 0 4262 4159"/>
                              <a:gd name="T57" fmla="*/ T56 w 120"/>
                              <a:gd name="T58" fmla="+- 0 74 56"/>
                              <a:gd name="T59" fmla="*/ 74 h 120"/>
                              <a:gd name="T60" fmla="+- 0 4243 4159"/>
                              <a:gd name="T61" fmla="*/ T60 w 120"/>
                              <a:gd name="T62" fmla="+- 0 61 56"/>
                              <a:gd name="T63" fmla="*/ 61 h 120"/>
                              <a:gd name="T64" fmla="+- 0 4219 4159"/>
                              <a:gd name="T65" fmla="*/ T64 w 120"/>
                              <a:gd name="T66" fmla="+- 0 56 56"/>
                              <a:gd name="T67" fmla="*/ 56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0" h="120">
                                <a:moveTo>
                                  <a:pt x="60" y="0"/>
                                </a:moveTo>
                                <a:lnTo>
                                  <a:pt x="37" y="5"/>
                                </a:lnTo>
                                <a:lnTo>
                                  <a:pt x="18" y="18"/>
                                </a:lnTo>
                                <a:lnTo>
                                  <a:pt x="5" y="37"/>
                                </a:lnTo>
                                <a:lnTo>
                                  <a:pt x="0" y="60"/>
                                </a:lnTo>
                                <a:lnTo>
                                  <a:pt x="5" y="83"/>
                                </a:lnTo>
                                <a:lnTo>
                                  <a:pt x="18" y="102"/>
                                </a:lnTo>
                                <a:lnTo>
                                  <a:pt x="37" y="115"/>
                                </a:lnTo>
                                <a:lnTo>
                                  <a:pt x="60" y="120"/>
                                </a:lnTo>
                                <a:lnTo>
                                  <a:pt x="84" y="115"/>
                                </a:lnTo>
                                <a:lnTo>
                                  <a:pt x="103" y="102"/>
                                </a:lnTo>
                                <a:lnTo>
                                  <a:pt x="116" y="83"/>
                                </a:lnTo>
                                <a:lnTo>
                                  <a:pt x="120" y="60"/>
                                </a:lnTo>
                                <a:lnTo>
                                  <a:pt x="116" y="37"/>
                                </a:lnTo>
                                <a:lnTo>
                                  <a:pt x="103" y="18"/>
                                </a:lnTo>
                                <a:lnTo>
                                  <a:pt x="84" y="5"/>
                                </a:lnTo>
                                <a:lnTo>
                                  <a:pt x="60" y="0"/>
                                </a:lnTo>
                                <a:close/>
                              </a:path>
                            </a:pathLst>
                          </a:custGeom>
                          <a:solidFill>
                            <a:srgbClr val="ED7D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Freeform 328"/>
                        <wps:cNvSpPr>
                          <a:spLocks/>
                        </wps:cNvSpPr>
                        <wps:spPr bwMode="auto">
                          <a:xfrm>
                            <a:off x="4147" y="80"/>
                            <a:ext cx="144" cy="144"/>
                          </a:xfrm>
                          <a:custGeom>
                            <a:avLst/>
                            <a:gdLst>
                              <a:gd name="T0" fmla="+- 0 4219 4147"/>
                              <a:gd name="T1" fmla="*/ T0 w 144"/>
                              <a:gd name="T2" fmla="+- 0 80 80"/>
                              <a:gd name="T3" fmla="*/ 80 h 144"/>
                              <a:gd name="T4" fmla="+- 0 4147 4147"/>
                              <a:gd name="T5" fmla="*/ T4 w 144"/>
                              <a:gd name="T6" fmla="+- 0 152 80"/>
                              <a:gd name="T7" fmla="*/ 152 h 144"/>
                              <a:gd name="T8" fmla="+- 0 4219 4147"/>
                              <a:gd name="T9" fmla="*/ T8 w 144"/>
                              <a:gd name="T10" fmla="+- 0 224 80"/>
                              <a:gd name="T11" fmla="*/ 224 h 144"/>
                              <a:gd name="T12" fmla="+- 0 4291 4147"/>
                              <a:gd name="T13" fmla="*/ T12 w 144"/>
                              <a:gd name="T14" fmla="+- 0 152 80"/>
                              <a:gd name="T15" fmla="*/ 152 h 144"/>
                              <a:gd name="T16" fmla="+- 0 4219 4147"/>
                              <a:gd name="T17" fmla="*/ T16 w 144"/>
                              <a:gd name="T18" fmla="+- 0 80 80"/>
                              <a:gd name="T19" fmla="*/ 80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19D51BED" id="Group 367" o:spid="_x0000_s1026" style="position:absolute;margin-left:207.35pt;margin-top:2.8pt;width:7.2pt;height:8.4pt;z-index:251670528;mso-position-horizontal-relative:page" coordorigin="4147,56" coordsize="144,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">
                <v:shape id="Freeform 327" o:spid="_x0000_s1027" style="position:absolute;left:4159;top:56;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" path="m60,l37,5,18,18,5,37,,60,5,83r13,19l37,115r23,5l84,115r19,-13l116,83r4,-23l116,37,103,18,84,5,60,xe" fillcolor="#ed7d31" stroked="f">
                  <v:path arrowok="t" o:connecttype="custom" o:connectlocs="60,56;37,61;18,74;5,93;0,116;5,139;18,158;37,171;60,176;84,171;103,158;116,139;120,116;116,93;103,74;84,61;60,56" o:connectangles="0,0,0,0,0,0,0,0,0,0,0,0,0,0,0,0,0"/>
                </v:shape>
                <v:shape id="Freeform 328" o:spid="_x0000_s1028" style="position:absolute;left:4147;top:80;width:144;height:144;visibility:visible;mso-wrap-style:square;v-text-anchor:top"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" path="m72,l,72r72,72l144,72,72,xe" fillcolor="#2e75b6" stroked="f">
                  <v:path arrowok="t" o:connecttype="custom" o:connectlocs="72,80;0,152;72,224;144,152;72,80" o:connectangles="0,0,0,0,0"/>
                </v:shape>
                <w10:wrap anchorx="page"/>
              </v:group>
            </w:pict>
          </mc:Fallback>
        </mc:AlternateContent>
      </w:r>
      <w:r w:rsidRPr="00DB0C40">
        <w:rPr>
          <w:rFonts w:asciiTheme="minorHAnsi" w:eastAsia="Calibri Light" w:hAnsiTheme="minorHAnsi" w:cstheme="minorHAnsi"/>
          <w:noProof/>
          <w:sz w:val="22"/>
          <w:szCs w:val="22"/>
        </w:rPr>
        <mc:AlternateContent>
          <mc:Choice Requires="wpg">
            <w:drawing>
              <wp:anchor distT="0" distB="0" distL="114300" distR="114300" simplePos="0" relativeHeight="251672576" behindDoc="0" locked="0" layoutInCell="1" allowOverlap="1" wp14:anchorId="0CBF988B" wp14:editId="2D4BD255">
                <wp:simplePos x="0" y="0"/>
                <wp:positionH relativeFrom="page">
                  <wp:posOffset>3181985</wp:posOffset>
                </wp:positionH>
                <wp:positionV relativeFrom="paragraph">
                  <wp:posOffset>12700</wp:posOffset>
                </wp:positionV>
                <wp:extent cx="91440" cy="167640"/>
                <wp:effectExtent l="635" t="5080" r="3175" b="8255"/>
                <wp:wrapNone/>
                <wp:docPr id="364" name="Group 3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167640"/>
                          <a:chOff x="5011" y="20"/>
                          <a:chExt cx="144" cy="264"/>
                        </a:xfrm>
                      </wpg:grpSpPr>
                      <wps:wsp>
                        <wps:cNvPr id="365" name="Freeform 330"/>
                        <wps:cNvSpPr>
                          <a:spLocks/>
                        </wps:cNvSpPr>
                        <wps:spPr bwMode="auto">
                          <a:xfrm>
                            <a:off x="5023" y="20"/>
                            <a:ext cx="120" cy="120"/>
                          </a:xfrm>
                          <a:custGeom>
                            <a:avLst/>
                            <a:gdLst>
                              <a:gd name="T0" fmla="+- 0 5083 5023"/>
                              <a:gd name="T1" fmla="*/ T0 w 120"/>
                              <a:gd name="T2" fmla="+- 0 20 20"/>
                              <a:gd name="T3" fmla="*/ 20 h 120"/>
                              <a:gd name="T4" fmla="+- 0 5060 5023"/>
                              <a:gd name="T5" fmla="*/ T4 w 120"/>
                              <a:gd name="T6" fmla="+- 0 25 20"/>
                              <a:gd name="T7" fmla="*/ 25 h 120"/>
                              <a:gd name="T8" fmla="+- 0 5041 5023"/>
                              <a:gd name="T9" fmla="*/ T8 w 120"/>
                              <a:gd name="T10" fmla="+- 0 38 20"/>
                              <a:gd name="T11" fmla="*/ 38 h 120"/>
                              <a:gd name="T12" fmla="+- 0 5028 5023"/>
                              <a:gd name="T13" fmla="*/ T12 w 120"/>
                              <a:gd name="T14" fmla="+- 0 57 20"/>
                              <a:gd name="T15" fmla="*/ 57 h 120"/>
                              <a:gd name="T16" fmla="+- 0 5023 5023"/>
                              <a:gd name="T17" fmla="*/ T16 w 120"/>
                              <a:gd name="T18" fmla="+- 0 80 20"/>
                              <a:gd name="T19" fmla="*/ 80 h 120"/>
                              <a:gd name="T20" fmla="+- 0 5028 5023"/>
                              <a:gd name="T21" fmla="*/ T20 w 120"/>
                              <a:gd name="T22" fmla="+- 0 103 20"/>
                              <a:gd name="T23" fmla="*/ 103 h 120"/>
                              <a:gd name="T24" fmla="+- 0 5041 5023"/>
                              <a:gd name="T25" fmla="*/ T24 w 120"/>
                              <a:gd name="T26" fmla="+- 0 122 20"/>
                              <a:gd name="T27" fmla="*/ 122 h 120"/>
                              <a:gd name="T28" fmla="+- 0 5060 5023"/>
                              <a:gd name="T29" fmla="*/ T28 w 120"/>
                              <a:gd name="T30" fmla="+- 0 135 20"/>
                              <a:gd name="T31" fmla="*/ 135 h 120"/>
                              <a:gd name="T32" fmla="+- 0 5083 5023"/>
                              <a:gd name="T33" fmla="*/ T32 w 120"/>
                              <a:gd name="T34" fmla="+- 0 140 20"/>
                              <a:gd name="T35" fmla="*/ 140 h 120"/>
                              <a:gd name="T36" fmla="+- 0 5107 5023"/>
                              <a:gd name="T37" fmla="*/ T36 w 120"/>
                              <a:gd name="T38" fmla="+- 0 135 20"/>
                              <a:gd name="T39" fmla="*/ 135 h 120"/>
                              <a:gd name="T40" fmla="+- 0 5126 5023"/>
                              <a:gd name="T41" fmla="*/ T40 w 120"/>
                              <a:gd name="T42" fmla="+- 0 122 20"/>
                              <a:gd name="T43" fmla="*/ 122 h 120"/>
                              <a:gd name="T44" fmla="+- 0 5139 5023"/>
                              <a:gd name="T45" fmla="*/ T44 w 120"/>
                              <a:gd name="T46" fmla="+- 0 103 20"/>
                              <a:gd name="T47" fmla="*/ 103 h 120"/>
                              <a:gd name="T48" fmla="+- 0 5143 5023"/>
                              <a:gd name="T49" fmla="*/ T48 w 120"/>
                              <a:gd name="T50" fmla="+- 0 80 20"/>
                              <a:gd name="T51" fmla="*/ 80 h 120"/>
                              <a:gd name="T52" fmla="+- 0 5139 5023"/>
                              <a:gd name="T53" fmla="*/ T52 w 120"/>
                              <a:gd name="T54" fmla="+- 0 57 20"/>
                              <a:gd name="T55" fmla="*/ 57 h 120"/>
                              <a:gd name="T56" fmla="+- 0 5126 5023"/>
                              <a:gd name="T57" fmla="*/ T56 w 120"/>
                              <a:gd name="T58" fmla="+- 0 38 20"/>
                              <a:gd name="T59" fmla="*/ 38 h 120"/>
                              <a:gd name="T60" fmla="+- 0 5107 5023"/>
                              <a:gd name="T61" fmla="*/ T60 w 120"/>
                              <a:gd name="T62" fmla="+- 0 25 20"/>
                              <a:gd name="T63" fmla="*/ 25 h 120"/>
                              <a:gd name="T64" fmla="+- 0 5083 5023"/>
                              <a:gd name="T65" fmla="*/ T64 w 120"/>
                              <a:gd name="T66" fmla="+- 0 20 20"/>
                              <a:gd name="T67" fmla="*/ 20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0" h="120">
                                <a:moveTo>
                                  <a:pt x="60" y="0"/>
                                </a:moveTo>
                                <a:lnTo>
                                  <a:pt x="37" y="5"/>
                                </a:lnTo>
                                <a:lnTo>
                                  <a:pt x="18" y="18"/>
                                </a:lnTo>
                                <a:lnTo>
                                  <a:pt x="5" y="37"/>
                                </a:lnTo>
                                <a:lnTo>
                                  <a:pt x="0" y="60"/>
                                </a:lnTo>
                                <a:lnTo>
                                  <a:pt x="5" y="83"/>
                                </a:lnTo>
                                <a:lnTo>
                                  <a:pt x="18" y="102"/>
                                </a:lnTo>
                                <a:lnTo>
                                  <a:pt x="37" y="115"/>
                                </a:lnTo>
                                <a:lnTo>
                                  <a:pt x="60" y="120"/>
                                </a:lnTo>
                                <a:lnTo>
                                  <a:pt x="84" y="115"/>
                                </a:lnTo>
                                <a:lnTo>
                                  <a:pt x="103" y="102"/>
                                </a:lnTo>
                                <a:lnTo>
                                  <a:pt x="116" y="83"/>
                                </a:lnTo>
                                <a:lnTo>
                                  <a:pt x="120" y="60"/>
                                </a:lnTo>
                                <a:lnTo>
                                  <a:pt x="116" y="37"/>
                                </a:lnTo>
                                <a:lnTo>
                                  <a:pt x="103" y="18"/>
                                </a:lnTo>
                                <a:lnTo>
                                  <a:pt x="84" y="5"/>
                                </a:lnTo>
                                <a:lnTo>
                                  <a:pt x="60" y="0"/>
                                </a:lnTo>
                                <a:close/>
                              </a:path>
                            </a:pathLst>
                          </a:custGeom>
                          <a:solidFill>
                            <a:srgbClr val="ED7D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331"/>
                        <wps:cNvSpPr>
                          <a:spLocks/>
                        </wps:cNvSpPr>
                        <wps:spPr bwMode="auto">
                          <a:xfrm>
                            <a:off x="5011" y="140"/>
                            <a:ext cx="144" cy="144"/>
                          </a:xfrm>
                          <a:custGeom>
                            <a:avLst/>
                            <a:gdLst>
                              <a:gd name="T0" fmla="+- 0 5083 5011"/>
                              <a:gd name="T1" fmla="*/ T0 w 144"/>
                              <a:gd name="T2" fmla="+- 0 140 140"/>
                              <a:gd name="T3" fmla="*/ 140 h 144"/>
                              <a:gd name="T4" fmla="+- 0 5011 5011"/>
                              <a:gd name="T5" fmla="*/ T4 w 144"/>
                              <a:gd name="T6" fmla="+- 0 212 140"/>
                              <a:gd name="T7" fmla="*/ 212 h 144"/>
                              <a:gd name="T8" fmla="+- 0 5083 5011"/>
                              <a:gd name="T9" fmla="*/ T8 w 144"/>
                              <a:gd name="T10" fmla="+- 0 284 140"/>
                              <a:gd name="T11" fmla="*/ 284 h 144"/>
                              <a:gd name="T12" fmla="+- 0 5155 5011"/>
                              <a:gd name="T13" fmla="*/ T12 w 144"/>
                              <a:gd name="T14" fmla="+- 0 212 140"/>
                              <a:gd name="T15" fmla="*/ 212 h 144"/>
                              <a:gd name="T16" fmla="+- 0 5083 5011"/>
                              <a:gd name="T17" fmla="*/ T16 w 144"/>
                              <a:gd name="T18" fmla="+- 0 140 140"/>
                              <a:gd name="T19" fmla="*/ 140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5DAA70BC" id="Group 364" o:spid="_x0000_s1026" style="position:absolute;margin-left:250.55pt;margin-top:1pt;width:7.2pt;height:13.2pt;z-index:251672576;mso-position-horizontal-relative:page" coordorigin="5011,20" coordsize="144,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">
                <v:shape id="Freeform 330" o:spid="_x0000_s1027" style="position:absolute;left:5023;top:20;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" path="m60,l37,5,18,18,5,37,,60,5,83r13,19l37,115r23,5l84,115r19,-13l116,83r4,-23l116,37,103,18,84,5,60,xe" fillcolor="#ed7d31" stroked="f">
                  <v:path arrowok="t" o:connecttype="custom" o:connectlocs="60,20;37,25;18,38;5,57;0,80;5,103;18,122;37,135;60,140;84,135;103,122;116,103;120,80;116,57;103,38;84,25;60,20" o:connectangles="0,0,0,0,0,0,0,0,0,0,0,0,0,0,0,0,0"/>
                </v:shape>
                <v:shape id="Freeform 331" o:spid="_x0000_s1028" style="position:absolute;left:5011;top:140;width:144;height:144;visibility:visible;mso-wrap-style:square;v-text-anchor:top"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" path="m72,l,72r72,72l144,72,72,xe" fillcolor="#2e75b6" stroked="f">
                  <v:path arrowok="t" o:connecttype="custom" o:connectlocs="72,140;0,212;72,284;144,212;72,140" o:connectangles="0,0,0,0,0"/>
                </v:shape>
                <w10:wrap anchorx="page"/>
              </v:group>
            </w:pict>
          </mc:Fallback>
        </mc:AlternateContent>
      </w:r>
      <w:r w:rsidRPr="00DB0C40">
        <w:rPr>
          <w:rFonts w:asciiTheme="minorHAnsi" w:eastAsia="Calibri Light" w:hAnsiTheme="minorHAnsi" w:cstheme="minorHAnsi"/>
          <w:noProof/>
          <w:sz w:val="22"/>
          <w:szCs w:val="22"/>
        </w:rPr>
        <mc:AlternateContent>
          <mc:Choice Requires="wpg">
            <w:drawing>
              <wp:anchor distT="0" distB="0" distL="114300" distR="114300" simplePos="0" relativeHeight="251673600" behindDoc="0" locked="0" layoutInCell="1" allowOverlap="1" wp14:anchorId="50D0C571" wp14:editId="74337396">
                <wp:simplePos x="0" y="0"/>
                <wp:positionH relativeFrom="page">
                  <wp:posOffset>3456305</wp:posOffset>
                </wp:positionH>
                <wp:positionV relativeFrom="paragraph">
                  <wp:posOffset>66040</wp:posOffset>
                </wp:positionV>
                <wp:extent cx="91440" cy="114300"/>
                <wp:effectExtent l="8255" t="1270" r="5080" b="8255"/>
                <wp:wrapNone/>
                <wp:docPr id="361" name="Group 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114300"/>
                          <a:chOff x="5443" y="104"/>
                          <a:chExt cx="144" cy="180"/>
                        </a:xfrm>
                      </wpg:grpSpPr>
                      <wps:wsp>
                        <wps:cNvPr id="362" name="Freeform 333"/>
                        <wps:cNvSpPr>
                          <a:spLocks/>
                        </wps:cNvSpPr>
                        <wps:spPr bwMode="auto">
                          <a:xfrm>
                            <a:off x="5455" y="104"/>
                            <a:ext cx="120" cy="120"/>
                          </a:xfrm>
                          <a:custGeom>
                            <a:avLst/>
                            <a:gdLst>
                              <a:gd name="T0" fmla="+- 0 5515 5455"/>
                              <a:gd name="T1" fmla="*/ T0 w 120"/>
                              <a:gd name="T2" fmla="+- 0 104 104"/>
                              <a:gd name="T3" fmla="*/ 104 h 120"/>
                              <a:gd name="T4" fmla="+- 0 5492 5455"/>
                              <a:gd name="T5" fmla="*/ T4 w 120"/>
                              <a:gd name="T6" fmla="+- 0 109 104"/>
                              <a:gd name="T7" fmla="*/ 109 h 120"/>
                              <a:gd name="T8" fmla="+- 0 5473 5455"/>
                              <a:gd name="T9" fmla="*/ T8 w 120"/>
                              <a:gd name="T10" fmla="+- 0 122 104"/>
                              <a:gd name="T11" fmla="*/ 122 h 120"/>
                              <a:gd name="T12" fmla="+- 0 5460 5455"/>
                              <a:gd name="T13" fmla="*/ T12 w 120"/>
                              <a:gd name="T14" fmla="+- 0 141 104"/>
                              <a:gd name="T15" fmla="*/ 141 h 120"/>
                              <a:gd name="T16" fmla="+- 0 5455 5455"/>
                              <a:gd name="T17" fmla="*/ T16 w 120"/>
                              <a:gd name="T18" fmla="+- 0 164 104"/>
                              <a:gd name="T19" fmla="*/ 164 h 120"/>
                              <a:gd name="T20" fmla="+- 0 5460 5455"/>
                              <a:gd name="T21" fmla="*/ T20 w 120"/>
                              <a:gd name="T22" fmla="+- 0 187 104"/>
                              <a:gd name="T23" fmla="*/ 187 h 120"/>
                              <a:gd name="T24" fmla="+- 0 5473 5455"/>
                              <a:gd name="T25" fmla="*/ T24 w 120"/>
                              <a:gd name="T26" fmla="+- 0 206 104"/>
                              <a:gd name="T27" fmla="*/ 206 h 120"/>
                              <a:gd name="T28" fmla="+- 0 5492 5455"/>
                              <a:gd name="T29" fmla="*/ T28 w 120"/>
                              <a:gd name="T30" fmla="+- 0 219 104"/>
                              <a:gd name="T31" fmla="*/ 219 h 120"/>
                              <a:gd name="T32" fmla="+- 0 5515 5455"/>
                              <a:gd name="T33" fmla="*/ T32 w 120"/>
                              <a:gd name="T34" fmla="+- 0 224 104"/>
                              <a:gd name="T35" fmla="*/ 224 h 120"/>
                              <a:gd name="T36" fmla="+- 0 5539 5455"/>
                              <a:gd name="T37" fmla="*/ T36 w 120"/>
                              <a:gd name="T38" fmla="+- 0 219 104"/>
                              <a:gd name="T39" fmla="*/ 219 h 120"/>
                              <a:gd name="T40" fmla="+- 0 5558 5455"/>
                              <a:gd name="T41" fmla="*/ T40 w 120"/>
                              <a:gd name="T42" fmla="+- 0 206 104"/>
                              <a:gd name="T43" fmla="*/ 206 h 120"/>
                              <a:gd name="T44" fmla="+- 0 5571 5455"/>
                              <a:gd name="T45" fmla="*/ T44 w 120"/>
                              <a:gd name="T46" fmla="+- 0 187 104"/>
                              <a:gd name="T47" fmla="*/ 187 h 120"/>
                              <a:gd name="T48" fmla="+- 0 5575 5455"/>
                              <a:gd name="T49" fmla="*/ T48 w 120"/>
                              <a:gd name="T50" fmla="+- 0 164 104"/>
                              <a:gd name="T51" fmla="*/ 164 h 120"/>
                              <a:gd name="T52" fmla="+- 0 5571 5455"/>
                              <a:gd name="T53" fmla="*/ T52 w 120"/>
                              <a:gd name="T54" fmla="+- 0 141 104"/>
                              <a:gd name="T55" fmla="*/ 141 h 120"/>
                              <a:gd name="T56" fmla="+- 0 5558 5455"/>
                              <a:gd name="T57" fmla="*/ T56 w 120"/>
                              <a:gd name="T58" fmla="+- 0 122 104"/>
                              <a:gd name="T59" fmla="*/ 122 h 120"/>
                              <a:gd name="T60" fmla="+- 0 5539 5455"/>
                              <a:gd name="T61" fmla="*/ T60 w 120"/>
                              <a:gd name="T62" fmla="+- 0 109 104"/>
                              <a:gd name="T63" fmla="*/ 109 h 120"/>
                              <a:gd name="T64" fmla="+- 0 5515 5455"/>
                              <a:gd name="T65" fmla="*/ T64 w 120"/>
                              <a:gd name="T66" fmla="+- 0 104 104"/>
                              <a:gd name="T67" fmla="*/ 104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0" h="120">
                                <a:moveTo>
                                  <a:pt x="60" y="0"/>
                                </a:moveTo>
                                <a:lnTo>
                                  <a:pt x="37" y="5"/>
                                </a:lnTo>
                                <a:lnTo>
                                  <a:pt x="18" y="18"/>
                                </a:lnTo>
                                <a:lnTo>
                                  <a:pt x="5" y="37"/>
                                </a:lnTo>
                                <a:lnTo>
                                  <a:pt x="0" y="60"/>
                                </a:lnTo>
                                <a:lnTo>
                                  <a:pt x="5" y="83"/>
                                </a:lnTo>
                                <a:lnTo>
                                  <a:pt x="18" y="102"/>
                                </a:lnTo>
                                <a:lnTo>
                                  <a:pt x="37" y="115"/>
                                </a:lnTo>
                                <a:lnTo>
                                  <a:pt x="60" y="120"/>
                                </a:lnTo>
                                <a:lnTo>
                                  <a:pt x="84" y="115"/>
                                </a:lnTo>
                                <a:lnTo>
                                  <a:pt x="103" y="102"/>
                                </a:lnTo>
                                <a:lnTo>
                                  <a:pt x="116" y="83"/>
                                </a:lnTo>
                                <a:lnTo>
                                  <a:pt x="120" y="60"/>
                                </a:lnTo>
                                <a:lnTo>
                                  <a:pt x="116" y="37"/>
                                </a:lnTo>
                                <a:lnTo>
                                  <a:pt x="103" y="18"/>
                                </a:lnTo>
                                <a:lnTo>
                                  <a:pt x="84" y="5"/>
                                </a:lnTo>
                                <a:lnTo>
                                  <a:pt x="60" y="0"/>
                                </a:lnTo>
                                <a:close/>
                              </a:path>
                            </a:pathLst>
                          </a:custGeom>
                          <a:solidFill>
                            <a:srgbClr val="ED7D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Freeform 334"/>
                        <wps:cNvSpPr>
                          <a:spLocks/>
                        </wps:cNvSpPr>
                        <wps:spPr bwMode="auto">
                          <a:xfrm>
                            <a:off x="5443" y="140"/>
                            <a:ext cx="144" cy="144"/>
                          </a:xfrm>
                          <a:custGeom>
                            <a:avLst/>
                            <a:gdLst>
                              <a:gd name="T0" fmla="+- 0 5515 5443"/>
                              <a:gd name="T1" fmla="*/ T0 w 144"/>
                              <a:gd name="T2" fmla="+- 0 140 140"/>
                              <a:gd name="T3" fmla="*/ 140 h 144"/>
                              <a:gd name="T4" fmla="+- 0 5443 5443"/>
                              <a:gd name="T5" fmla="*/ T4 w 144"/>
                              <a:gd name="T6" fmla="+- 0 212 140"/>
                              <a:gd name="T7" fmla="*/ 212 h 144"/>
                              <a:gd name="T8" fmla="+- 0 5515 5443"/>
                              <a:gd name="T9" fmla="*/ T8 w 144"/>
                              <a:gd name="T10" fmla="+- 0 284 140"/>
                              <a:gd name="T11" fmla="*/ 284 h 144"/>
                              <a:gd name="T12" fmla="+- 0 5587 5443"/>
                              <a:gd name="T13" fmla="*/ T12 w 144"/>
                              <a:gd name="T14" fmla="+- 0 212 140"/>
                              <a:gd name="T15" fmla="*/ 212 h 144"/>
                              <a:gd name="T16" fmla="+- 0 5515 5443"/>
                              <a:gd name="T17" fmla="*/ T16 w 144"/>
                              <a:gd name="T18" fmla="+- 0 140 140"/>
                              <a:gd name="T19" fmla="*/ 140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23C78BAE" id="Group 361" o:spid="_x0000_s1026" style="position:absolute;margin-left:272.15pt;margin-top:5.2pt;width:7.2pt;height:9pt;z-index:251673600;mso-position-horizontal-relative:page" coordorigin="5443,104" coordsize="144,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">
                <v:shape id="Freeform 333" o:spid="_x0000_s1027" style="position:absolute;left:5455;top:104;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" path="m60,l37,5,18,18,5,37,,60,5,83r13,19l37,115r23,5l84,115r19,-13l116,83r4,-23l116,37,103,18,84,5,60,xe" fillcolor="#ed7d31" stroked="f">
                  <v:path arrowok="t" o:connecttype="custom" o:connectlocs="60,104;37,109;18,122;5,141;0,164;5,187;18,206;37,219;60,224;84,219;103,206;116,187;120,164;116,141;103,122;84,109;60,104" o:connectangles="0,0,0,0,0,0,0,0,0,0,0,0,0,0,0,0,0"/>
                </v:shape>
                <v:shape id="Freeform 334" o:spid="_x0000_s1028" style="position:absolute;left:5443;top:140;width:144;height:144;visibility:visible;mso-wrap-style:square;v-text-anchor:top"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" path="m72,l,72r72,72l144,72,72,xe" fillcolor="#2e75b6" stroked="f">
                  <v:path arrowok="t" o:connecttype="custom" o:connectlocs="72,140;0,212;72,284;144,212;72,140" o:connectangles="0,0,0,0,0"/>
                </v:shape>
                <w10:wrap anchorx="page"/>
              </v:group>
            </w:pict>
          </mc:Fallback>
        </mc:AlternateContent>
      </w:r>
      <w:r w:rsidRPr="00DB0C40">
        <w:rPr>
          <w:rFonts w:asciiTheme="minorHAnsi" w:eastAsia="Calibri Light" w:hAnsiTheme="minorHAnsi" w:cstheme="minorHAnsi"/>
          <w:noProof/>
          <w:sz w:val="22"/>
          <w:szCs w:val="22"/>
        </w:rPr>
        <mc:AlternateContent>
          <mc:Choice Requires="wpg">
            <w:drawing>
              <wp:anchor distT="0" distB="0" distL="114300" distR="114300" simplePos="0" relativeHeight="251674624" behindDoc="0" locked="0" layoutInCell="1" allowOverlap="1" wp14:anchorId="74E64523" wp14:editId="40F75576">
                <wp:simplePos x="0" y="0"/>
                <wp:positionH relativeFrom="page">
                  <wp:posOffset>3997325</wp:posOffset>
                </wp:positionH>
                <wp:positionV relativeFrom="paragraph">
                  <wp:posOffset>50800</wp:posOffset>
                </wp:positionV>
                <wp:extent cx="91440" cy="182880"/>
                <wp:effectExtent l="6350" t="5080" r="6985" b="2540"/>
                <wp:wrapNone/>
                <wp:docPr id="358" name="Group 3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182880"/>
                          <a:chOff x="6295" y="80"/>
                          <a:chExt cx="144" cy="288"/>
                        </a:xfrm>
                      </wpg:grpSpPr>
                      <wps:wsp>
                        <wps:cNvPr id="359" name="Freeform 336"/>
                        <wps:cNvSpPr>
                          <a:spLocks/>
                        </wps:cNvSpPr>
                        <wps:spPr bwMode="auto">
                          <a:xfrm>
                            <a:off x="6307" y="80"/>
                            <a:ext cx="120" cy="120"/>
                          </a:xfrm>
                          <a:custGeom>
                            <a:avLst/>
                            <a:gdLst>
                              <a:gd name="T0" fmla="+- 0 6367 6307"/>
                              <a:gd name="T1" fmla="*/ T0 w 120"/>
                              <a:gd name="T2" fmla="+- 0 80 80"/>
                              <a:gd name="T3" fmla="*/ 80 h 120"/>
                              <a:gd name="T4" fmla="+- 0 6344 6307"/>
                              <a:gd name="T5" fmla="*/ T4 w 120"/>
                              <a:gd name="T6" fmla="+- 0 85 80"/>
                              <a:gd name="T7" fmla="*/ 85 h 120"/>
                              <a:gd name="T8" fmla="+- 0 6325 6307"/>
                              <a:gd name="T9" fmla="*/ T8 w 120"/>
                              <a:gd name="T10" fmla="+- 0 98 80"/>
                              <a:gd name="T11" fmla="*/ 98 h 120"/>
                              <a:gd name="T12" fmla="+- 0 6312 6307"/>
                              <a:gd name="T13" fmla="*/ T12 w 120"/>
                              <a:gd name="T14" fmla="+- 0 117 80"/>
                              <a:gd name="T15" fmla="*/ 117 h 120"/>
                              <a:gd name="T16" fmla="+- 0 6307 6307"/>
                              <a:gd name="T17" fmla="*/ T16 w 120"/>
                              <a:gd name="T18" fmla="+- 0 140 80"/>
                              <a:gd name="T19" fmla="*/ 140 h 120"/>
                              <a:gd name="T20" fmla="+- 0 6312 6307"/>
                              <a:gd name="T21" fmla="*/ T20 w 120"/>
                              <a:gd name="T22" fmla="+- 0 163 80"/>
                              <a:gd name="T23" fmla="*/ 163 h 120"/>
                              <a:gd name="T24" fmla="+- 0 6325 6307"/>
                              <a:gd name="T25" fmla="*/ T24 w 120"/>
                              <a:gd name="T26" fmla="+- 0 182 80"/>
                              <a:gd name="T27" fmla="*/ 182 h 120"/>
                              <a:gd name="T28" fmla="+- 0 6344 6307"/>
                              <a:gd name="T29" fmla="*/ T28 w 120"/>
                              <a:gd name="T30" fmla="+- 0 195 80"/>
                              <a:gd name="T31" fmla="*/ 195 h 120"/>
                              <a:gd name="T32" fmla="+- 0 6367 6307"/>
                              <a:gd name="T33" fmla="*/ T32 w 120"/>
                              <a:gd name="T34" fmla="+- 0 200 80"/>
                              <a:gd name="T35" fmla="*/ 200 h 120"/>
                              <a:gd name="T36" fmla="+- 0 6391 6307"/>
                              <a:gd name="T37" fmla="*/ T36 w 120"/>
                              <a:gd name="T38" fmla="+- 0 195 80"/>
                              <a:gd name="T39" fmla="*/ 195 h 120"/>
                              <a:gd name="T40" fmla="+- 0 6410 6307"/>
                              <a:gd name="T41" fmla="*/ T40 w 120"/>
                              <a:gd name="T42" fmla="+- 0 182 80"/>
                              <a:gd name="T43" fmla="*/ 182 h 120"/>
                              <a:gd name="T44" fmla="+- 0 6423 6307"/>
                              <a:gd name="T45" fmla="*/ T44 w 120"/>
                              <a:gd name="T46" fmla="+- 0 163 80"/>
                              <a:gd name="T47" fmla="*/ 163 h 120"/>
                              <a:gd name="T48" fmla="+- 0 6427 6307"/>
                              <a:gd name="T49" fmla="*/ T48 w 120"/>
                              <a:gd name="T50" fmla="+- 0 140 80"/>
                              <a:gd name="T51" fmla="*/ 140 h 120"/>
                              <a:gd name="T52" fmla="+- 0 6423 6307"/>
                              <a:gd name="T53" fmla="*/ T52 w 120"/>
                              <a:gd name="T54" fmla="+- 0 117 80"/>
                              <a:gd name="T55" fmla="*/ 117 h 120"/>
                              <a:gd name="T56" fmla="+- 0 6410 6307"/>
                              <a:gd name="T57" fmla="*/ T56 w 120"/>
                              <a:gd name="T58" fmla="+- 0 98 80"/>
                              <a:gd name="T59" fmla="*/ 98 h 120"/>
                              <a:gd name="T60" fmla="+- 0 6391 6307"/>
                              <a:gd name="T61" fmla="*/ T60 w 120"/>
                              <a:gd name="T62" fmla="+- 0 85 80"/>
                              <a:gd name="T63" fmla="*/ 85 h 120"/>
                              <a:gd name="T64" fmla="+- 0 6367 6307"/>
                              <a:gd name="T65" fmla="*/ T64 w 120"/>
                              <a:gd name="T66" fmla="+- 0 80 80"/>
                              <a:gd name="T67" fmla="*/ 80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0" h="120">
                                <a:moveTo>
                                  <a:pt x="60" y="0"/>
                                </a:moveTo>
                                <a:lnTo>
                                  <a:pt x="37" y="5"/>
                                </a:lnTo>
                                <a:lnTo>
                                  <a:pt x="18" y="18"/>
                                </a:lnTo>
                                <a:lnTo>
                                  <a:pt x="5" y="37"/>
                                </a:lnTo>
                                <a:lnTo>
                                  <a:pt x="0" y="60"/>
                                </a:lnTo>
                                <a:lnTo>
                                  <a:pt x="5" y="83"/>
                                </a:lnTo>
                                <a:lnTo>
                                  <a:pt x="18" y="102"/>
                                </a:lnTo>
                                <a:lnTo>
                                  <a:pt x="37" y="115"/>
                                </a:lnTo>
                                <a:lnTo>
                                  <a:pt x="60" y="120"/>
                                </a:lnTo>
                                <a:lnTo>
                                  <a:pt x="84" y="115"/>
                                </a:lnTo>
                                <a:lnTo>
                                  <a:pt x="103" y="102"/>
                                </a:lnTo>
                                <a:lnTo>
                                  <a:pt x="116" y="83"/>
                                </a:lnTo>
                                <a:lnTo>
                                  <a:pt x="120" y="60"/>
                                </a:lnTo>
                                <a:lnTo>
                                  <a:pt x="116" y="37"/>
                                </a:lnTo>
                                <a:lnTo>
                                  <a:pt x="103" y="18"/>
                                </a:lnTo>
                                <a:lnTo>
                                  <a:pt x="84" y="5"/>
                                </a:lnTo>
                                <a:lnTo>
                                  <a:pt x="60" y="0"/>
                                </a:lnTo>
                                <a:close/>
                              </a:path>
                            </a:pathLst>
                          </a:custGeom>
                          <a:solidFill>
                            <a:srgbClr val="ED7D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337"/>
                        <wps:cNvSpPr>
                          <a:spLocks/>
                        </wps:cNvSpPr>
                        <wps:spPr bwMode="auto">
                          <a:xfrm>
                            <a:off x="6295" y="224"/>
                            <a:ext cx="144" cy="144"/>
                          </a:xfrm>
                          <a:custGeom>
                            <a:avLst/>
                            <a:gdLst>
                              <a:gd name="T0" fmla="+- 0 6367 6295"/>
                              <a:gd name="T1" fmla="*/ T0 w 144"/>
                              <a:gd name="T2" fmla="+- 0 224 224"/>
                              <a:gd name="T3" fmla="*/ 224 h 144"/>
                              <a:gd name="T4" fmla="+- 0 6295 6295"/>
                              <a:gd name="T5" fmla="*/ T4 w 144"/>
                              <a:gd name="T6" fmla="+- 0 296 224"/>
                              <a:gd name="T7" fmla="*/ 296 h 144"/>
                              <a:gd name="T8" fmla="+- 0 6367 6295"/>
                              <a:gd name="T9" fmla="*/ T8 w 144"/>
                              <a:gd name="T10" fmla="+- 0 368 224"/>
                              <a:gd name="T11" fmla="*/ 368 h 144"/>
                              <a:gd name="T12" fmla="+- 0 6439 6295"/>
                              <a:gd name="T13" fmla="*/ T12 w 144"/>
                              <a:gd name="T14" fmla="+- 0 296 224"/>
                              <a:gd name="T15" fmla="*/ 296 h 144"/>
                              <a:gd name="T16" fmla="+- 0 6367 6295"/>
                              <a:gd name="T17" fmla="*/ T16 w 144"/>
                              <a:gd name="T18" fmla="+- 0 224 224"/>
                              <a:gd name="T19" fmla="*/ 224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5181C1F1" id="Group 358" o:spid="_x0000_s1026" style="position:absolute;margin-left:314.75pt;margin-top:4pt;width:7.2pt;height:14.4pt;z-index:251674624;mso-position-horizontal-relative:page" coordorigin="6295,80" coordsize="144,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">
                <v:shape id="Freeform 336" o:spid="_x0000_s1027" style="position:absolute;left:6307;top:80;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" path="m60,l37,5,18,18,5,37,,60,5,83r13,19l37,115r23,5l84,115r19,-13l116,83r4,-23l116,37,103,18,84,5,60,xe" fillcolor="#ed7d31" stroked="f">
                  <v:path arrowok="t" o:connecttype="custom" o:connectlocs="60,80;37,85;18,98;5,117;0,140;5,163;18,182;37,195;60,200;84,195;103,182;116,163;120,140;116,117;103,98;84,85;60,80" o:connectangles="0,0,0,0,0,0,0,0,0,0,0,0,0,0,0,0,0"/>
                </v:shape>
                <v:shape id="Freeform 337" o:spid="_x0000_s1028" style="position:absolute;left:6295;top:224;width:144;height:144;visibility:visible;mso-wrap-style:square;v-text-anchor:top"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" path="m72,l,72r72,72l144,72,72,xe" fillcolor="#2e75b6" stroked="f">
                  <v:path arrowok="t" o:connecttype="custom" o:connectlocs="72,224;0,296;72,368;144,296;72,224" o:connectangles="0,0,0,0,0"/>
                </v:shape>
                <w10:wrap anchorx="page"/>
              </v:group>
            </w:pict>
          </mc:Fallback>
        </mc:AlternateContent>
      </w:r>
      <w:r w:rsidRPr="00DB0C40">
        <w:rPr>
          <w:rFonts w:asciiTheme="minorHAnsi" w:eastAsia="Calibri Light" w:hAnsiTheme="minorHAnsi" w:cstheme="minorHAnsi"/>
          <w:noProof/>
          <w:sz w:val="22"/>
          <w:szCs w:val="22"/>
        </w:rPr>
        <mc:AlternateContent>
          <mc:Choice Requires="wpg">
            <w:drawing>
              <wp:anchor distT="0" distB="0" distL="114300" distR="114300" simplePos="0" relativeHeight="251675648" behindDoc="0" locked="0" layoutInCell="1" allowOverlap="1" wp14:anchorId="6B96728C" wp14:editId="05B5472B">
                <wp:simplePos x="0" y="0"/>
                <wp:positionH relativeFrom="page">
                  <wp:posOffset>4271645</wp:posOffset>
                </wp:positionH>
                <wp:positionV relativeFrom="paragraph">
                  <wp:posOffset>96520</wp:posOffset>
                </wp:positionV>
                <wp:extent cx="91440" cy="152400"/>
                <wp:effectExtent l="4445" t="3175" r="8890" b="6350"/>
                <wp:wrapNone/>
                <wp:docPr id="355" name="Group 3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152400"/>
                          <a:chOff x="6727" y="152"/>
                          <a:chExt cx="144" cy="240"/>
                        </a:xfrm>
                      </wpg:grpSpPr>
                      <wps:wsp>
                        <wps:cNvPr id="356" name="Freeform 339"/>
                        <wps:cNvSpPr>
                          <a:spLocks/>
                        </wps:cNvSpPr>
                        <wps:spPr bwMode="auto">
                          <a:xfrm>
                            <a:off x="6739" y="152"/>
                            <a:ext cx="120" cy="120"/>
                          </a:xfrm>
                          <a:custGeom>
                            <a:avLst/>
                            <a:gdLst>
                              <a:gd name="T0" fmla="+- 0 6799 6739"/>
                              <a:gd name="T1" fmla="*/ T0 w 120"/>
                              <a:gd name="T2" fmla="+- 0 152 152"/>
                              <a:gd name="T3" fmla="*/ 152 h 120"/>
                              <a:gd name="T4" fmla="+- 0 6776 6739"/>
                              <a:gd name="T5" fmla="*/ T4 w 120"/>
                              <a:gd name="T6" fmla="+- 0 157 152"/>
                              <a:gd name="T7" fmla="*/ 157 h 120"/>
                              <a:gd name="T8" fmla="+- 0 6757 6739"/>
                              <a:gd name="T9" fmla="*/ T8 w 120"/>
                              <a:gd name="T10" fmla="+- 0 170 152"/>
                              <a:gd name="T11" fmla="*/ 170 h 120"/>
                              <a:gd name="T12" fmla="+- 0 6744 6739"/>
                              <a:gd name="T13" fmla="*/ T12 w 120"/>
                              <a:gd name="T14" fmla="+- 0 189 152"/>
                              <a:gd name="T15" fmla="*/ 189 h 120"/>
                              <a:gd name="T16" fmla="+- 0 6739 6739"/>
                              <a:gd name="T17" fmla="*/ T16 w 120"/>
                              <a:gd name="T18" fmla="+- 0 212 152"/>
                              <a:gd name="T19" fmla="*/ 212 h 120"/>
                              <a:gd name="T20" fmla="+- 0 6744 6739"/>
                              <a:gd name="T21" fmla="*/ T20 w 120"/>
                              <a:gd name="T22" fmla="+- 0 235 152"/>
                              <a:gd name="T23" fmla="*/ 235 h 120"/>
                              <a:gd name="T24" fmla="+- 0 6757 6739"/>
                              <a:gd name="T25" fmla="*/ T24 w 120"/>
                              <a:gd name="T26" fmla="+- 0 254 152"/>
                              <a:gd name="T27" fmla="*/ 254 h 120"/>
                              <a:gd name="T28" fmla="+- 0 6776 6739"/>
                              <a:gd name="T29" fmla="*/ T28 w 120"/>
                              <a:gd name="T30" fmla="+- 0 267 152"/>
                              <a:gd name="T31" fmla="*/ 267 h 120"/>
                              <a:gd name="T32" fmla="+- 0 6799 6739"/>
                              <a:gd name="T33" fmla="*/ T32 w 120"/>
                              <a:gd name="T34" fmla="+- 0 272 152"/>
                              <a:gd name="T35" fmla="*/ 272 h 120"/>
                              <a:gd name="T36" fmla="+- 0 6823 6739"/>
                              <a:gd name="T37" fmla="*/ T36 w 120"/>
                              <a:gd name="T38" fmla="+- 0 267 152"/>
                              <a:gd name="T39" fmla="*/ 267 h 120"/>
                              <a:gd name="T40" fmla="+- 0 6842 6739"/>
                              <a:gd name="T41" fmla="*/ T40 w 120"/>
                              <a:gd name="T42" fmla="+- 0 254 152"/>
                              <a:gd name="T43" fmla="*/ 254 h 120"/>
                              <a:gd name="T44" fmla="+- 0 6855 6739"/>
                              <a:gd name="T45" fmla="*/ T44 w 120"/>
                              <a:gd name="T46" fmla="+- 0 235 152"/>
                              <a:gd name="T47" fmla="*/ 235 h 120"/>
                              <a:gd name="T48" fmla="+- 0 6859 6739"/>
                              <a:gd name="T49" fmla="*/ T48 w 120"/>
                              <a:gd name="T50" fmla="+- 0 212 152"/>
                              <a:gd name="T51" fmla="*/ 212 h 120"/>
                              <a:gd name="T52" fmla="+- 0 6855 6739"/>
                              <a:gd name="T53" fmla="*/ T52 w 120"/>
                              <a:gd name="T54" fmla="+- 0 189 152"/>
                              <a:gd name="T55" fmla="*/ 189 h 120"/>
                              <a:gd name="T56" fmla="+- 0 6842 6739"/>
                              <a:gd name="T57" fmla="*/ T56 w 120"/>
                              <a:gd name="T58" fmla="+- 0 170 152"/>
                              <a:gd name="T59" fmla="*/ 170 h 120"/>
                              <a:gd name="T60" fmla="+- 0 6823 6739"/>
                              <a:gd name="T61" fmla="*/ T60 w 120"/>
                              <a:gd name="T62" fmla="+- 0 157 152"/>
                              <a:gd name="T63" fmla="*/ 157 h 120"/>
                              <a:gd name="T64" fmla="+- 0 6799 6739"/>
                              <a:gd name="T65" fmla="*/ T64 w 120"/>
                              <a:gd name="T66" fmla="+- 0 152 152"/>
                              <a:gd name="T67" fmla="*/ 152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0" h="120">
                                <a:moveTo>
                                  <a:pt x="60" y="0"/>
                                </a:moveTo>
                                <a:lnTo>
                                  <a:pt x="37" y="5"/>
                                </a:lnTo>
                                <a:lnTo>
                                  <a:pt x="18" y="18"/>
                                </a:lnTo>
                                <a:lnTo>
                                  <a:pt x="5" y="37"/>
                                </a:lnTo>
                                <a:lnTo>
                                  <a:pt x="0" y="60"/>
                                </a:lnTo>
                                <a:lnTo>
                                  <a:pt x="5" y="83"/>
                                </a:lnTo>
                                <a:lnTo>
                                  <a:pt x="18" y="102"/>
                                </a:lnTo>
                                <a:lnTo>
                                  <a:pt x="37" y="115"/>
                                </a:lnTo>
                                <a:lnTo>
                                  <a:pt x="60" y="120"/>
                                </a:lnTo>
                                <a:lnTo>
                                  <a:pt x="84" y="115"/>
                                </a:lnTo>
                                <a:lnTo>
                                  <a:pt x="103" y="102"/>
                                </a:lnTo>
                                <a:lnTo>
                                  <a:pt x="116" y="83"/>
                                </a:lnTo>
                                <a:lnTo>
                                  <a:pt x="120" y="60"/>
                                </a:lnTo>
                                <a:lnTo>
                                  <a:pt x="116" y="37"/>
                                </a:lnTo>
                                <a:lnTo>
                                  <a:pt x="103" y="18"/>
                                </a:lnTo>
                                <a:lnTo>
                                  <a:pt x="84" y="5"/>
                                </a:lnTo>
                                <a:lnTo>
                                  <a:pt x="60" y="0"/>
                                </a:lnTo>
                                <a:close/>
                              </a:path>
                            </a:pathLst>
                          </a:custGeom>
                          <a:solidFill>
                            <a:srgbClr val="ED7D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340"/>
                        <wps:cNvSpPr>
                          <a:spLocks/>
                        </wps:cNvSpPr>
                        <wps:spPr bwMode="auto">
                          <a:xfrm>
                            <a:off x="6727" y="248"/>
                            <a:ext cx="144" cy="144"/>
                          </a:xfrm>
                          <a:custGeom>
                            <a:avLst/>
                            <a:gdLst>
                              <a:gd name="T0" fmla="+- 0 6799 6727"/>
                              <a:gd name="T1" fmla="*/ T0 w 144"/>
                              <a:gd name="T2" fmla="+- 0 248 248"/>
                              <a:gd name="T3" fmla="*/ 248 h 144"/>
                              <a:gd name="T4" fmla="+- 0 6727 6727"/>
                              <a:gd name="T5" fmla="*/ T4 w 144"/>
                              <a:gd name="T6" fmla="+- 0 320 248"/>
                              <a:gd name="T7" fmla="*/ 320 h 144"/>
                              <a:gd name="T8" fmla="+- 0 6799 6727"/>
                              <a:gd name="T9" fmla="*/ T8 w 144"/>
                              <a:gd name="T10" fmla="+- 0 392 248"/>
                              <a:gd name="T11" fmla="*/ 392 h 144"/>
                              <a:gd name="T12" fmla="+- 0 6871 6727"/>
                              <a:gd name="T13" fmla="*/ T12 w 144"/>
                              <a:gd name="T14" fmla="+- 0 320 248"/>
                              <a:gd name="T15" fmla="*/ 320 h 144"/>
                              <a:gd name="T16" fmla="+- 0 6799 6727"/>
                              <a:gd name="T17" fmla="*/ T16 w 144"/>
                              <a:gd name="T18" fmla="+- 0 248 248"/>
                              <a:gd name="T19" fmla="*/ 248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45722929" id="Group 355" o:spid="_x0000_s1026" style="position:absolute;margin-left:336.35pt;margin-top:7.6pt;width:7.2pt;height:12pt;z-index:251675648;mso-position-horizontal-relative:page" coordorigin="6727,152" coordsize="144,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">
                <v:shape id="Freeform 339" o:spid="_x0000_s1027" style="position:absolute;left:6739;top:152;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" path="m60,l37,5,18,18,5,37,,60,5,83r13,19l37,115r23,5l84,115r19,-13l116,83r4,-23l116,37,103,18,84,5,60,xe" fillcolor="#ed7d31" stroked="f">
                  <v:path arrowok="t" o:connecttype="custom" o:connectlocs="60,152;37,157;18,170;5,189;0,212;5,235;18,254;37,267;60,272;84,267;103,254;116,235;120,212;116,189;103,170;84,157;60,152" o:connectangles="0,0,0,0,0,0,0,0,0,0,0,0,0,0,0,0,0"/>
                </v:shape>
                <v:shape id="Freeform 340" o:spid="_x0000_s1028" style="position:absolute;left:6727;top:248;width:144;height:144;visibility:visible;mso-wrap-style:square;v-text-anchor:top"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" path="m72,l,72r72,72l144,72,72,xe" fillcolor="#2e75b6" stroked="f">
                  <v:path arrowok="t" o:connecttype="custom" o:connectlocs="72,248;0,320;72,392;144,320;72,248" o:connectangles="0,0,0,0,0"/>
                </v:shape>
                <w10:wrap anchorx="page"/>
              </v:group>
            </w:pict>
          </mc:Fallback>
        </mc:AlternateContent>
      </w:r>
      <w:r w:rsidRPr="00DB0C40">
        <w:rPr>
          <w:rFonts w:asciiTheme="minorHAnsi" w:eastAsia="Calibri Light" w:hAnsiTheme="minorHAnsi" w:cstheme="minorHAnsi"/>
          <w:noProof/>
          <w:sz w:val="22"/>
          <w:szCs w:val="22"/>
        </w:rPr>
        <mc:AlternateContent>
          <mc:Choice Requires="wpg">
            <w:drawing>
              <wp:anchor distT="0" distB="0" distL="114300" distR="114300" simplePos="0" relativeHeight="251677696" behindDoc="0" locked="0" layoutInCell="1" allowOverlap="1" wp14:anchorId="1677FC17" wp14:editId="140EAC11">
                <wp:simplePos x="0" y="0"/>
                <wp:positionH relativeFrom="page">
                  <wp:posOffset>4820285</wp:posOffset>
                </wp:positionH>
                <wp:positionV relativeFrom="paragraph">
                  <wp:posOffset>134620</wp:posOffset>
                </wp:positionV>
                <wp:extent cx="91440" cy="205740"/>
                <wp:effectExtent l="635" t="3175" r="3175" b="635"/>
                <wp:wrapNone/>
                <wp:docPr id="352" name="Group 3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205740"/>
                          <a:chOff x="7591" y="212"/>
                          <a:chExt cx="144" cy="324"/>
                        </a:xfrm>
                      </wpg:grpSpPr>
                      <pic:pic xmlns:pic="http://schemas.openxmlformats.org/drawingml/2006/picture">
                        <pic:nvPicPr>
                          <pic:cNvPr id="353" name="Picture 34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7603" y="212"/>
                            <a:ext cx="120"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54" name="Freeform 346"/>
                        <wps:cNvSpPr>
                          <a:spLocks/>
                        </wps:cNvSpPr>
                        <wps:spPr bwMode="auto">
                          <a:xfrm>
                            <a:off x="7591" y="392"/>
                            <a:ext cx="144" cy="144"/>
                          </a:xfrm>
                          <a:custGeom>
                            <a:avLst/>
                            <a:gdLst>
                              <a:gd name="T0" fmla="+- 0 7663 7591"/>
                              <a:gd name="T1" fmla="*/ T0 w 144"/>
                              <a:gd name="T2" fmla="+- 0 392 392"/>
                              <a:gd name="T3" fmla="*/ 392 h 144"/>
                              <a:gd name="T4" fmla="+- 0 7591 7591"/>
                              <a:gd name="T5" fmla="*/ T4 w 144"/>
                              <a:gd name="T6" fmla="+- 0 464 392"/>
                              <a:gd name="T7" fmla="*/ 464 h 144"/>
                              <a:gd name="T8" fmla="+- 0 7663 7591"/>
                              <a:gd name="T9" fmla="*/ T8 w 144"/>
                              <a:gd name="T10" fmla="+- 0 536 392"/>
                              <a:gd name="T11" fmla="*/ 536 h 144"/>
                              <a:gd name="T12" fmla="+- 0 7735 7591"/>
                              <a:gd name="T13" fmla="*/ T12 w 144"/>
                              <a:gd name="T14" fmla="+- 0 464 392"/>
                              <a:gd name="T15" fmla="*/ 464 h 144"/>
                              <a:gd name="T16" fmla="+- 0 7663 7591"/>
                              <a:gd name="T17" fmla="*/ T16 w 144"/>
                              <a:gd name="T18" fmla="+- 0 392 392"/>
                              <a:gd name="T19" fmla="*/ 392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36717CA2" id="Group 352" o:spid="_x0000_s1026" style="position:absolute;margin-left:379.55pt;margin-top:10.6pt;width:7.2pt;height:16.2pt;z-index:251677696;mso-position-horizontal-relative:page" coordorigin="7591,212" coordsize="144,3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45" o:spid="_x0000_s1027" type="#_x0000_t75" style="position:absolute;left:7603;top:212;width:120;height: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">
                  <v:imagedata r:id="rId28" o:title=""/>
                </v:shape>
                <v:shape id="Freeform 346" o:spid="_x0000_s1028" style="position:absolute;left:7591;top:392;width:144;height:144;visibility:visible;mso-wrap-style:square;v-text-anchor:top"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" path="m72,l,72r72,72l144,72,72,xe" fillcolor="#2e75b6" stroked="f">
                  <v:path arrowok="t" o:connecttype="custom" o:connectlocs="72,392;0,464;72,536;144,464;72,392" o:connectangles="0,0,0,0,0"/>
                </v:shape>
                <w10:wrap anchorx="page"/>
              </v:group>
            </w:pict>
          </mc:Fallback>
        </mc:AlternateContent>
      </w:r>
      <w:r w:rsidRPr="00DB0C40">
        <w:rPr>
          <w:rFonts w:asciiTheme="minorHAnsi" w:eastAsia="Calibri Light" w:hAnsiTheme="minorHAnsi" w:cstheme="minorHAnsi"/>
          <w:noProof/>
          <w:sz w:val="22"/>
          <w:szCs w:val="22"/>
        </w:rPr>
        <w:drawing>
          <wp:anchor distT="0" distB="0" distL="0" distR="0" simplePos="0" relativeHeight="251679744" behindDoc="0" locked="0" layoutInCell="1" allowOverlap="1" wp14:anchorId="11EBB403" wp14:editId="1A659489">
            <wp:simplePos x="0" y="0"/>
            <wp:positionH relativeFrom="page">
              <wp:posOffset>5376671</wp:posOffset>
            </wp:positionH>
            <wp:positionV relativeFrom="paragraph">
              <wp:posOffset>81466</wp:posOffset>
            </wp:positionV>
            <wp:extent cx="76200" cy="76200"/>
            <wp:effectExtent l="0" t="0" r="0" b="0"/>
            <wp:wrapNone/>
            <wp:docPr id="327" name="image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60.png"/>
                    <pic:cNvPicPr/>
                  </pic:nvPicPr>
                  <pic:blipFill>
                    <a:blip r:embed="rId23" cstate="print"/>
                    <a:stretch>
                      <a:fillRect/>
                    </a:stretch>
                  </pic:blipFill>
                  <pic:spPr>
                    <a:xfrm>
                      <a:off x="0" y="0"/>
                      <a:ext cx="76200" cy="76200"/>
                    </a:xfrm>
                    <a:prstGeom prst="rect">
                      <a:avLst/>
                    </a:prstGeom>
                  </pic:spPr>
                </pic:pic>
              </a:graphicData>
            </a:graphic>
          </wp:anchor>
        </w:drawing>
      </w:r>
      <w:r w:rsidRPr="00DB0C40">
        <w:rPr>
          <w:rFonts w:asciiTheme="minorHAnsi" w:eastAsia="Calibri Light" w:hAnsiTheme="minorHAnsi" w:cstheme="minorHAnsi"/>
          <w:noProof/>
          <w:sz w:val="22"/>
          <w:szCs w:val="22"/>
        </w:rPr>
        <mc:AlternateContent>
          <mc:Choice Requires="wps">
            <w:drawing>
              <wp:anchor distT="0" distB="0" distL="114300" distR="114300" simplePos="0" relativeHeight="251686912" behindDoc="0" locked="0" layoutInCell="1" allowOverlap="1" wp14:anchorId="45FFFD26" wp14:editId="089F692F">
                <wp:simplePos x="0" y="0"/>
                <wp:positionH relativeFrom="page">
                  <wp:posOffset>2907665</wp:posOffset>
                </wp:positionH>
                <wp:positionV relativeFrom="paragraph">
                  <wp:posOffset>88900</wp:posOffset>
                </wp:positionV>
                <wp:extent cx="91440" cy="91440"/>
                <wp:effectExtent l="2540" t="5080" r="1270" b="8255"/>
                <wp:wrapNone/>
                <wp:docPr id="351" name="Freeform: Shape 3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 cy="91440"/>
                        </a:xfrm>
                        <a:custGeom>
                          <a:avLst/>
                          <a:gdLst>
                            <a:gd name="T0" fmla="+- 0 4651 4579"/>
                            <a:gd name="T1" fmla="*/ T0 w 144"/>
                            <a:gd name="T2" fmla="+- 0 140 140"/>
                            <a:gd name="T3" fmla="*/ 140 h 144"/>
                            <a:gd name="T4" fmla="+- 0 4579 4579"/>
                            <a:gd name="T5" fmla="*/ T4 w 144"/>
                            <a:gd name="T6" fmla="+- 0 212 140"/>
                            <a:gd name="T7" fmla="*/ 212 h 144"/>
                            <a:gd name="T8" fmla="+- 0 4651 4579"/>
                            <a:gd name="T9" fmla="*/ T8 w 144"/>
                            <a:gd name="T10" fmla="+- 0 284 140"/>
                            <a:gd name="T11" fmla="*/ 284 h 144"/>
                            <a:gd name="T12" fmla="+- 0 4723 4579"/>
                            <a:gd name="T13" fmla="*/ T12 w 144"/>
                            <a:gd name="T14" fmla="+- 0 212 140"/>
                            <a:gd name="T15" fmla="*/ 212 h 144"/>
                            <a:gd name="T16" fmla="+- 0 4651 4579"/>
                            <a:gd name="T17" fmla="*/ T16 w 144"/>
                            <a:gd name="T18" fmla="+- 0 140 140"/>
                            <a:gd name="T19" fmla="*/ 140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14D843BD" id="Freeform: Shape 351" o:spid="_x0000_s1026" style="position:absolute;margin-left:228.95pt;margin-top:7pt;width:7.2pt;height:7.2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44,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" path="m72,l,72r72,72l144,72,72,xe" fillcolor="#2e75b6" stroked="f">
                <v:path arrowok="t" o:connecttype="custom" o:connectlocs="45720,88900;0,134620;45720,180340;91440,134620;45720,88900" o:connectangles="0,0,0,0,0"/>
                <w10:wrap anchorx="page"/>
              </v:shape>
            </w:pict>
          </mc:Fallback>
        </mc:AlternateContent>
      </w:r>
      <w:r w:rsidRPr="00DB0C40">
        <w:rPr>
          <w:rFonts w:asciiTheme="minorHAnsi" w:eastAsia="Calibri Light" w:hAnsiTheme="minorHAnsi" w:cstheme="minorHAnsi"/>
          <w:noProof/>
          <w:sz w:val="22"/>
          <w:szCs w:val="22"/>
        </w:rPr>
        <mc:AlternateContent>
          <mc:Choice Requires="wps">
            <w:drawing>
              <wp:anchor distT="0" distB="0" distL="114300" distR="114300" simplePos="0" relativeHeight="251687936" behindDoc="0" locked="0" layoutInCell="1" allowOverlap="1" wp14:anchorId="6692E366" wp14:editId="2C2AAA28">
                <wp:simplePos x="0" y="0"/>
                <wp:positionH relativeFrom="page">
                  <wp:posOffset>3730625</wp:posOffset>
                </wp:positionH>
                <wp:positionV relativeFrom="paragraph">
                  <wp:posOffset>127000</wp:posOffset>
                </wp:positionV>
                <wp:extent cx="91440" cy="91440"/>
                <wp:effectExtent l="6350" t="5080" r="6985" b="8255"/>
                <wp:wrapNone/>
                <wp:docPr id="350" name="Freeform: Shape 3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 cy="91440"/>
                        </a:xfrm>
                        <a:custGeom>
                          <a:avLst/>
                          <a:gdLst>
                            <a:gd name="T0" fmla="+- 0 5947 5875"/>
                            <a:gd name="T1" fmla="*/ T0 w 144"/>
                            <a:gd name="T2" fmla="+- 0 200 200"/>
                            <a:gd name="T3" fmla="*/ 200 h 144"/>
                            <a:gd name="T4" fmla="+- 0 5875 5875"/>
                            <a:gd name="T5" fmla="*/ T4 w 144"/>
                            <a:gd name="T6" fmla="+- 0 272 200"/>
                            <a:gd name="T7" fmla="*/ 272 h 144"/>
                            <a:gd name="T8" fmla="+- 0 5947 5875"/>
                            <a:gd name="T9" fmla="*/ T8 w 144"/>
                            <a:gd name="T10" fmla="+- 0 344 200"/>
                            <a:gd name="T11" fmla="*/ 344 h 144"/>
                            <a:gd name="T12" fmla="+- 0 6019 5875"/>
                            <a:gd name="T13" fmla="*/ T12 w 144"/>
                            <a:gd name="T14" fmla="+- 0 272 200"/>
                            <a:gd name="T15" fmla="*/ 272 h 144"/>
                            <a:gd name="T16" fmla="+- 0 5947 5875"/>
                            <a:gd name="T17" fmla="*/ T16 w 144"/>
                            <a:gd name="T18" fmla="+- 0 200 200"/>
                            <a:gd name="T19" fmla="*/ 200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4795FDB9" id="Freeform: Shape 350" o:spid="_x0000_s1026" style="position:absolute;margin-left:293.75pt;margin-top:10pt;width:7.2pt;height:7.2pt;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44,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" path="m72,l,72r72,72l144,72,72,xe" fillcolor="#2e75b6" stroked="f">
                <v:path arrowok="t" o:connecttype="custom" o:connectlocs="45720,127000;0,172720;45720,218440;91440,172720;45720,127000" o:connectangles="0,0,0,0,0"/>
                <w10:wrap anchorx="page"/>
              </v:shape>
            </w:pict>
          </mc:Fallback>
        </mc:AlternateContent>
      </w:r>
      <w:r w:rsidRPr="00DB0C40">
        <w:rPr>
          <w:rFonts w:asciiTheme="minorHAnsi" w:eastAsia="Calibri Light" w:hAnsiTheme="minorHAnsi" w:cstheme="minorHAnsi"/>
          <w:w w:val="105"/>
          <w:sz w:val="22"/>
          <w:szCs w:val="22"/>
        </w:rPr>
        <w:t>20</w:t>
      </w:r>
    </w:p>
    <w:p w14:paraId="259593D9" w14:textId="77777777" w:rsidR="002557B7" w:rsidRPr="00DB0C40" w:rsidRDefault="002557B7" w:rsidP="002557B7">
      <w:pPr>
        <w:widowControl w:val="0"/>
        <w:autoSpaceDE w:val="0"/>
        <w:autoSpaceDN w:val="0"/>
        <w:spacing w:before="39"/>
        <w:ind w:left="668"/>
        <w:rPr>
          <w:rFonts w:asciiTheme="minorHAnsi" w:eastAsia="Calibri Light" w:hAnsiTheme="minorHAnsi" w:cstheme="minorHAnsi"/>
          <w:sz w:val="22"/>
          <w:szCs w:val="22"/>
        </w:rPr>
      </w:pPr>
      <w:r w:rsidRPr="00DB0C40">
        <w:rPr>
          <w:rFonts w:asciiTheme="minorHAnsi" w:eastAsia="Calibri Light" w:hAnsiTheme="minorHAnsi" w:cstheme="minorHAnsi"/>
          <w:noProof/>
          <w:sz w:val="22"/>
          <w:szCs w:val="22"/>
        </w:rPr>
        <mc:AlternateContent>
          <mc:Choice Requires="wpg">
            <w:drawing>
              <wp:anchor distT="0" distB="0" distL="114300" distR="114300" simplePos="0" relativeHeight="251676672" behindDoc="0" locked="0" layoutInCell="1" allowOverlap="1" wp14:anchorId="7BCE7BCC" wp14:editId="3B7034F3">
                <wp:simplePos x="0" y="0"/>
                <wp:positionH relativeFrom="page">
                  <wp:posOffset>4545965</wp:posOffset>
                </wp:positionH>
                <wp:positionV relativeFrom="paragraph">
                  <wp:posOffset>85090</wp:posOffset>
                </wp:positionV>
                <wp:extent cx="91440" cy="91440"/>
                <wp:effectExtent l="2540" t="1270" r="1270" b="2540"/>
                <wp:wrapNone/>
                <wp:docPr id="347" name="Group 3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91440"/>
                          <a:chOff x="7159" y="134"/>
                          <a:chExt cx="144" cy="144"/>
                        </a:xfrm>
                      </wpg:grpSpPr>
                      <wps:wsp>
                        <wps:cNvPr id="348" name="Freeform 342"/>
                        <wps:cNvSpPr>
                          <a:spLocks/>
                        </wps:cNvSpPr>
                        <wps:spPr bwMode="auto">
                          <a:xfrm>
                            <a:off x="7171" y="158"/>
                            <a:ext cx="120" cy="120"/>
                          </a:xfrm>
                          <a:custGeom>
                            <a:avLst/>
                            <a:gdLst>
                              <a:gd name="T0" fmla="+- 0 7231 7171"/>
                              <a:gd name="T1" fmla="*/ T0 w 120"/>
                              <a:gd name="T2" fmla="+- 0 158 158"/>
                              <a:gd name="T3" fmla="*/ 158 h 120"/>
                              <a:gd name="T4" fmla="+- 0 7208 7171"/>
                              <a:gd name="T5" fmla="*/ T4 w 120"/>
                              <a:gd name="T6" fmla="+- 0 163 158"/>
                              <a:gd name="T7" fmla="*/ 163 h 120"/>
                              <a:gd name="T8" fmla="+- 0 7189 7171"/>
                              <a:gd name="T9" fmla="*/ T8 w 120"/>
                              <a:gd name="T10" fmla="+- 0 175 158"/>
                              <a:gd name="T11" fmla="*/ 175 h 120"/>
                              <a:gd name="T12" fmla="+- 0 7176 7171"/>
                              <a:gd name="T13" fmla="*/ T12 w 120"/>
                              <a:gd name="T14" fmla="+- 0 195 158"/>
                              <a:gd name="T15" fmla="*/ 195 h 120"/>
                              <a:gd name="T16" fmla="+- 0 7171 7171"/>
                              <a:gd name="T17" fmla="*/ T16 w 120"/>
                              <a:gd name="T18" fmla="+- 0 218 158"/>
                              <a:gd name="T19" fmla="*/ 218 h 120"/>
                              <a:gd name="T20" fmla="+- 0 7176 7171"/>
                              <a:gd name="T21" fmla="*/ T20 w 120"/>
                              <a:gd name="T22" fmla="+- 0 241 158"/>
                              <a:gd name="T23" fmla="*/ 241 h 120"/>
                              <a:gd name="T24" fmla="+- 0 7189 7171"/>
                              <a:gd name="T25" fmla="*/ T24 w 120"/>
                              <a:gd name="T26" fmla="+- 0 260 158"/>
                              <a:gd name="T27" fmla="*/ 260 h 120"/>
                              <a:gd name="T28" fmla="+- 0 7208 7171"/>
                              <a:gd name="T29" fmla="*/ T28 w 120"/>
                              <a:gd name="T30" fmla="+- 0 273 158"/>
                              <a:gd name="T31" fmla="*/ 273 h 120"/>
                              <a:gd name="T32" fmla="+- 0 7231 7171"/>
                              <a:gd name="T33" fmla="*/ T32 w 120"/>
                              <a:gd name="T34" fmla="+- 0 278 158"/>
                              <a:gd name="T35" fmla="*/ 278 h 120"/>
                              <a:gd name="T36" fmla="+- 0 7254 7171"/>
                              <a:gd name="T37" fmla="*/ T36 w 120"/>
                              <a:gd name="T38" fmla="+- 0 273 158"/>
                              <a:gd name="T39" fmla="*/ 273 h 120"/>
                              <a:gd name="T40" fmla="+- 0 7273 7171"/>
                              <a:gd name="T41" fmla="*/ T40 w 120"/>
                              <a:gd name="T42" fmla="+- 0 260 158"/>
                              <a:gd name="T43" fmla="*/ 260 h 120"/>
                              <a:gd name="T44" fmla="+- 0 7286 7171"/>
                              <a:gd name="T45" fmla="*/ T44 w 120"/>
                              <a:gd name="T46" fmla="+- 0 241 158"/>
                              <a:gd name="T47" fmla="*/ 241 h 120"/>
                              <a:gd name="T48" fmla="+- 0 7291 7171"/>
                              <a:gd name="T49" fmla="*/ T48 w 120"/>
                              <a:gd name="T50" fmla="+- 0 218 158"/>
                              <a:gd name="T51" fmla="*/ 218 h 120"/>
                              <a:gd name="T52" fmla="+- 0 7286 7171"/>
                              <a:gd name="T53" fmla="*/ T52 w 120"/>
                              <a:gd name="T54" fmla="+- 0 195 158"/>
                              <a:gd name="T55" fmla="*/ 195 h 120"/>
                              <a:gd name="T56" fmla="+- 0 7273 7171"/>
                              <a:gd name="T57" fmla="*/ T56 w 120"/>
                              <a:gd name="T58" fmla="+- 0 175 158"/>
                              <a:gd name="T59" fmla="*/ 175 h 120"/>
                              <a:gd name="T60" fmla="+- 0 7254 7171"/>
                              <a:gd name="T61" fmla="*/ T60 w 120"/>
                              <a:gd name="T62" fmla="+- 0 163 158"/>
                              <a:gd name="T63" fmla="*/ 163 h 120"/>
                              <a:gd name="T64" fmla="+- 0 7231 7171"/>
                              <a:gd name="T65" fmla="*/ T64 w 120"/>
                              <a:gd name="T66" fmla="+- 0 158 158"/>
                              <a:gd name="T67" fmla="*/ 158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0" h="120">
                                <a:moveTo>
                                  <a:pt x="60" y="0"/>
                                </a:moveTo>
                                <a:lnTo>
                                  <a:pt x="37" y="5"/>
                                </a:lnTo>
                                <a:lnTo>
                                  <a:pt x="18" y="17"/>
                                </a:lnTo>
                                <a:lnTo>
                                  <a:pt x="5" y="37"/>
                                </a:lnTo>
                                <a:lnTo>
                                  <a:pt x="0" y="60"/>
                                </a:lnTo>
                                <a:lnTo>
                                  <a:pt x="5" y="83"/>
                                </a:lnTo>
                                <a:lnTo>
                                  <a:pt x="18" y="102"/>
                                </a:lnTo>
                                <a:lnTo>
                                  <a:pt x="37" y="115"/>
                                </a:lnTo>
                                <a:lnTo>
                                  <a:pt x="60" y="120"/>
                                </a:lnTo>
                                <a:lnTo>
                                  <a:pt x="83" y="115"/>
                                </a:lnTo>
                                <a:lnTo>
                                  <a:pt x="102" y="102"/>
                                </a:lnTo>
                                <a:lnTo>
                                  <a:pt x="115" y="83"/>
                                </a:lnTo>
                                <a:lnTo>
                                  <a:pt x="120" y="60"/>
                                </a:lnTo>
                                <a:lnTo>
                                  <a:pt x="115" y="37"/>
                                </a:lnTo>
                                <a:lnTo>
                                  <a:pt x="102" y="17"/>
                                </a:lnTo>
                                <a:lnTo>
                                  <a:pt x="83" y="5"/>
                                </a:lnTo>
                                <a:lnTo>
                                  <a:pt x="60" y="0"/>
                                </a:lnTo>
                                <a:close/>
                              </a:path>
                            </a:pathLst>
                          </a:custGeom>
                          <a:solidFill>
                            <a:srgbClr val="ED7D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43"/>
                        <wps:cNvSpPr>
                          <a:spLocks/>
                        </wps:cNvSpPr>
                        <wps:spPr bwMode="auto">
                          <a:xfrm>
                            <a:off x="7159" y="134"/>
                            <a:ext cx="144" cy="144"/>
                          </a:xfrm>
                          <a:custGeom>
                            <a:avLst/>
                            <a:gdLst>
                              <a:gd name="T0" fmla="+- 0 7231 7159"/>
                              <a:gd name="T1" fmla="*/ T0 w 144"/>
                              <a:gd name="T2" fmla="+- 0 134 134"/>
                              <a:gd name="T3" fmla="*/ 134 h 144"/>
                              <a:gd name="T4" fmla="+- 0 7159 7159"/>
                              <a:gd name="T5" fmla="*/ T4 w 144"/>
                              <a:gd name="T6" fmla="+- 0 206 134"/>
                              <a:gd name="T7" fmla="*/ 206 h 144"/>
                              <a:gd name="T8" fmla="+- 0 7231 7159"/>
                              <a:gd name="T9" fmla="*/ T8 w 144"/>
                              <a:gd name="T10" fmla="+- 0 278 134"/>
                              <a:gd name="T11" fmla="*/ 278 h 144"/>
                              <a:gd name="T12" fmla="+- 0 7303 7159"/>
                              <a:gd name="T13" fmla="*/ T12 w 144"/>
                              <a:gd name="T14" fmla="+- 0 206 134"/>
                              <a:gd name="T15" fmla="*/ 206 h 144"/>
                              <a:gd name="T16" fmla="+- 0 7231 7159"/>
                              <a:gd name="T17" fmla="*/ T16 w 144"/>
                              <a:gd name="T18" fmla="+- 0 134 134"/>
                              <a:gd name="T19" fmla="*/ 134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4A66673F" id="Group 347" o:spid="_x0000_s1026" style="position:absolute;margin-left:357.95pt;margin-top:6.7pt;width:7.2pt;height:7.2pt;z-index:251676672;mso-position-horizontal-relative:page" coordorigin="7159,134" coordsize="144,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">
                <v:shape id="Freeform 342" o:spid="_x0000_s1027" style="position:absolute;left:7171;top:158;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" path="m60,l37,5,18,17,5,37,,60,5,83r13,19l37,115r23,5l83,115r19,-13l115,83r5,-23l115,37,102,17,83,5,60,xe" fillcolor="#ed7d31" stroked="f">
                  <v:path arrowok="t" o:connecttype="custom" o:connectlocs="60,158;37,163;18,175;5,195;0,218;5,241;18,260;37,273;60,278;83,273;102,260;115,241;120,218;115,195;102,175;83,163;60,158" o:connectangles="0,0,0,0,0,0,0,0,0,0,0,0,0,0,0,0,0"/>
                </v:shape>
                <v:shape id="Freeform 343" o:spid="_x0000_s1028" style="position:absolute;left:7159;top:134;width:144;height:144;visibility:visible;mso-wrap-style:square;v-text-anchor:top"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" path="m72,l,72r72,72l144,72,72,xe" fillcolor="#2e75b6" stroked="f">
                  <v:path arrowok="t" o:connecttype="custom" o:connectlocs="72,134;0,206;72,278;144,206;72,134" o:connectangles="0,0,0,0,0"/>
                </v:shape>
                <w10:wrap anchorx="page"/>
              </v:group>
            </w:pict>
          </mc:Fallback>
        </mc:AlternateContent>
      </w:r>
      <w:r w:rsidRPr="00DB0C40">
        <w:rPr>
          <w:rFonts w:asciiTheme="minorHAnsi" w:eastAsia="Calibri Light" w:hAnsiTheme="minorHAnsi" w:cstheme="minorHAnsi"/>
          <w:noProof/>
          <w:sz w:val="22"/>
          <w:szCs w:val="22"/>
        </w:rPr>
        <mc:AlternateContent>
          <mc:Choice Requires="wpg">
            <w:drawing>
              <wp:anchor distT="0" distB="0" distL="114300" distR="114300" simplePos="0" relativeHeight="251678720" behindDoc="0" locked="0" layoutInCell="1" allowOverlap="1" wp14:anchorId="5AAC2139" wp14:editId="18836479">
                <wp:simplePos x="0" y="0"/>
                <wp:positionH relativeFrom="page">
                  <wp:posOffset>5094605</wp:posOffset>
                </wp:positionH>
                <wp:positionV relativeFrom="paragraph">
                  <wp:posOffset>85090</wp:posOffset>
                </wp:positionV>
                <wp:extent cx="91440" cy="137160"/>
                <wp:effectExtent l="8255" t="1270" r="5080" b="4445"/>
                <wp:wrapNone/>
                <wp:docPr id="344" name="Group 3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137160"/>
                          <a:chOff x="8023" y="134"/>
                          <a:chExt cx="144" cy="216"/>
                        </a:xfrm>
                      </wpg:grpSpPr>
                      <wps:wsp>
                        <wps:cNvPr id="345" name="Freeform 348"/>
                        <wps:cNvSpPr>
                          <a:spLocks/>
                        </wps:cNvSpPr>
                        <wps:spPr bwMode="auto">
                          <a:xfrm>
                            <a:off x="8035" y="134"/>
                            <a:ext cx="120" cy="120"/>
                          </a:xfrm>
                          <a:custGeom>
                            <a:avLst/>
                            <a:gdLst>
                              <a:gd name="T0" fmla="+- 0 8095 8035"/>
                              <a:gd name="T1" fmla="*/ T0 w 120"/>
                              <a:gd name="T2" fmla="+- 0 134 134"/>
                              <a:gd name="T3" fmla="*/ 134 h 120"/>
                              <a:gd name="T4" fmla="+- 0 8072 8035"/>
                              <a:gd name="T5" fmla="*/ T4 w 120"/>
                              <a:gd name="T6" fmla="+- 0 139 134"/>
                              <a:gd name="T7" fmla="*/ 139 h 120"/>
                              <a:gd name="T8" fmla="+- 0 8053 8035"/>
                              <a:gd name="T9" fmla="*/ T8 w 120"/>
                              <a:gd name="T10" fmla="+- 0 151 134"/>
                              <a:gd name="T11" fmla="*/ 151 h 120"/>
                              <a:gd name="T12" fmla="+- 0 8040 8035"/>
                              <a:gd name="T13" fmla="*/ T12 w 120"/>
                              <a:gd name="T14" fmla="+- 0 171 134"/>
                              <a:gd name="T15" fmla="*/ 171 h 120"/>
                              <a:gd name="T16" fmla="+- 0 8035 8035"/>
                              <a:gd name="T17" fmla="*/ T16 w 120"/>
                              <a:gd name="T18" fmla="+- 0 194 134"/>
                              <a:gd name="T19" fmla="*/ 194 h 120"/>
                              <a:gd name="T20" fmla="+- 0 8040 8035"/>
                              <a:gd name="T21" fmla="*/ T20 w 120"/>
                              <a:gd name="T22" fmla="+- 0 217 134"/>
                              <a:gd name="T23" fmla="*/ 217 h 120"/>
                              <a:gd name="T24" fmla="+- 0 8053 8035"/>
                              <a:gd name="T25" fmla="*/ T24 w 120"/>
                              <a:gd name="T26" fmla="+- 0 236 134"/>
                              <a:gd name="T27" fmla="*/ 236 h 120"/>
                              <a:gd name="T28" fmla="+- 0 8072 8035"/>
                              <a:gd name="T29" fmla="*/ T28 w 120"/>
                              <a:gd name="T30" fmla="+- 0 249 134"/>
                              <a:gd name="T31" fmla="*/ 249 h 120"/>
                              <a:gd name="T32" fmla="+- 0 8095 8035"/>
                              <a:gd name="T33" fmla="*/ T32 w 120"/>
                              <a:gd name="T34" fmla="+- 0 254 134"/>
                              <a:gd name="T35" fmla="*/ 254 h 120"/>
                              <a:gd name="T36" fmla="+- 0 8118 8035"/>
                              <a:gd name="T37" fmla="*/ T36 w 120"/>
                              <a:gd name="T38" fmla="+- 0 249 134"/>
                              <a:gd name="T39" fmla="*/ 249 h 120"/>
                              <a:gd name="T40" fmla="+- 0 8137 8035"/>
                              <a:gd name="T41" fmla="*/ T40 w 120"/>
                              <a:gd name="T42" fmla="+- 0 236 134"/>
                              <a:gd name="T43" fmla="*/ 236 h 120"/>
                              <a:gd name="T44" fmla="+- 0 8150 8035"/>
                              <a:gd name="T45" fmla="*/ T44 w 120"/>
                              <a:gd name="T46" fmla="+- 0 217 134"/>
                              <a:gd name="T47" fmla="*/ 217 h 120"/>
                              <a:gd name="T48" fmla="+- 0 8155 8035"/>
                              <a:gd name="T49" fmla="*/ T48 w 120"/>
                              <a:gd name="T50" fmla="+- 0 194 134"/>
                              <a:gd name="T51" fmla="*/ 194 h 120"/>
                              <a:gd name="T52" fmla="+- 0 8150 8035"/>
                              <a:gd name="T53" fmla="*/ T52 w 120"/>
                              <a:gd name="T54" fmla="+- 0 171 134"/>
                              <a:gd name="T55" fmla="*/ 171 h 120"/>
                              <a:gd name="T56" fmla="+- 0 8137 8035"/>
                              <a:gd name="T57" fmla="*/ T56 w 120"/>
                              <a:gd name="T58" fmla="+- 0 151 134"/>
                              <a:gd name="T59" fmla="*/ 151 h 120"/>
                              <a:gd name="T60" fmla="+- 0 8118 8035"/>
                              <a:gd name="T61" fmla="*/ T60 w 120"/>
                              <a:gd name="T62" fmla="+- 0 139 134"/>
                              <a:gd name="T63" fmla="*/ 139 h 120"/>
                              <a:gd name="T64" fmla="+- 0 8095 8035"/>
                              <a:gd name="T65" fmla="*/ T64 w 120"/>
                              <a:gd name="T66" fmla="+- 0 134 134"/>
                              <a:gd name="T67" fmla="*/ 134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0" h="120">
                                <a:moveTo>
                                  <a:pt x="60" y="0"/>
                                </a:moveTo>
                                <a:lnTo>
                                  <a:pt x="37" y="5"/>
                                </a:lnTo>
                                <a:lnTo>
                                  <a:pt x="18" y="17"/>
                                </a:lnTo>
                                <a:lnTo>
                                  <a:pt x="5" y="37"/>
                                </a:lnTo>
                                <a:lnTo>
                                  <a:pt x="0" y="60"/>
                                </a:lnTo>
                                <a:lnTo>
                                  <a:pt x="5" y="83"/>
                                </a:lnTo>
                                <a:lnTo>
                                  <a:pt x="18" y="102"/>
                                </a:lnTo>
                                <a:lnTo>
                                  <a:pt x="37" y="115"/>
                                </a:lnTo>
                                <a:lnTo>
                                  <a:pt x="60" y="120"/>
                                </a:lnTo>
                                <a:lnTo>
                                  <a:pt x="83" y="115"/>
                                </a:lnTo>
                                <a:lnTo>
                                  <a:pt x="102" y="102"/>
                                </a:lnTo>
                                <a:lnTo>
                                  <a:pt x="115" y="83"/>
                                </a:lnTo>
                                <a:lnTo>
                                  <a:pt x="120" y="60"/>
                                </a:lnTo>
                                <a:lnTo>
                                  <a:pt x="115" y="37"/>
                                </a:lnTo>
                                <a:lnTo>
                                  <a:pt x="102" y="17"/>
                                </a:lnTo>
                                <a:lnTo>
                                  <a:pt x="83" y="5"/>
                                </a:lnTo>
                                <a:lnTo>
                                  <a:pt x="60" y="0"/>
                                </a:lnTo>
                                <a:close/>
                              </a:path>
                            </a:pathLst>
                          </a:custGeom>
                          <a:solidFill>
                            <a:srgbClr val="ED7D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349"/>
                        <wps:cNvSpPr>
                          <a:spLocks/>
                        </wps:cNvSpPr>
                        <wps:spPr bwMode="auto">
                          <a:xfrm>
                            <a:off x="8023" y="206"/>
                            <a:ext cx="144" cy="144"/>
                          </a:xfrm>
                          <a:custGeom>
                            <a:avLst/>
                            <a:gdLst>
                              <a:gd name="T0" fmla="+- 0 8095 8023"/>
                              <a:gd name="T1" fmla="*/ T0 w 144"/>
                              <a:gd name="T2" fmla="+- 0 206 206"/>
                              <a:gd name="T3" fmla="*/ 206 h 144"/>
                              <a:gd name="T4" fmla="+- 0 8023 8023"/>
                              <a:gd name="T5" fmla="*/ T4 w 144"/>
                              <a:gd name="T6" fmla="+- 0 278 206"/>
                              <a:gd name="T7" fmla="*/ 278 h 144"/>
                              <a:gd name="T8" fmla="+- 0 8095 8023"/>
                              <a:gd name="T9" fmla="*/ T8 w 144"/>
                              <a:gd name="T10" fmla="+- 0 350 206"/>
                              <a:gd name="T11" fmla="*/ 350 h 144"/>
                              <a:gd name="T12" fmla="+- 0 8167 8023"/>
                              <a:gd name="T13" fmla="*/ T12 w 144"/>
                              <a:gd name="T14" fmla="+- 0 278 206"/>
                              <a:gd name="T15" fmla="*/ 278 h 144"/>
                              <a:gd name="T16" fmla="+- 0 8095 8023"/>
                              <a:gd name="T17" fmla="*/ T16 w 144"/>
                              <a:gd name="T18" fmla="+- 0 206 206"/>
                              <a:gd name="T19" fmla="*/ 206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1B8C9ABE" id="Group 344" o:spid="_x0000_s1026" style="position:absolute;margin-left:401.15pt;margin-top:6.7pt;width:7.2pt;height:10.8pt;z-index:251678720;mso-position-horizontal-relative:page" coordorigin="8023,134" coordsize="14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">
                <v:shape id="Freeform 348" o:spid="_x0000_s1027" style="position:absolute;left:8035;top:134;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" path="m60,l37,5,18,17,5,37,,60,5,83r13,19l37,115r23,5l83,115r19,-13l115,83r5,-23l115,37,102,17,83,5,60,xe" fillcolor="#ed7d31" stroked="f">
                  <v:path arrowok="t" o:connecttype="custom" o:connectlocs="60,134;37,139;18,151;5,171;0,194;5,217;18,236;37,249;60,254;83,249;102,236;115,217;120,194;115,171;102,151;83,139;60,134" o:connectangles="0,0,0,0,0,0,0,0,0,0,0,0,0,0,0,0,0"/>
                </v:shape>
                <v:shape id="Freeform 349" o:spid="_x0000_s1028" style="position:absolute;left:8023;top:206;width:144;height:144;visibility:visible;mso-wrap-style:square;v-text-anchor:top"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" path="m72,l,72r72,72l144,72,72,xe" fillcolor="#2e75b6" stroked="f">
                  <v:path arrowok="t" o:connecttype="custom" o:connectlocs="72,206;0,278;72,350;144,278;72,206" o:connectangles="0,0,0,0,0"/>
                </v:shape>
                <w10:wrap anchorx="page"/>
              </v:group>
            </w:pict>
          </mc:Fallback>
        </mc:AlternateContent>
      </w:r>
      <w:r w:rsidRPr="00DB0C40">
        <w:rPr>
          <w:rFonts w:asciiTheme="minorHAnsi" w:eastAsia="Calibri Light" w:hAnsiTheme="minorHAnsi" w:cstheme="minorHAnsi"/>
          <w:noProof/>
          <w:sz w:val="22"/>
          <w:szCs w:val="22"/>
        </w:rPr>
        <mc:AlternateContent>
          <mc:Choice Requires="wps">
            <w:drawing>
              <wp:anchor distT="0" distB="0" distL="114300" distR="114300" simplePos="0" relativeHeight="251688960" behindDoc="0" locked="0" layoutInCell="1" allowOverlap="1" wp14:anchorId="03B2247E" wp14:editId="642EA188">
                <wp:simplePos x="0" y="0"/>
                <wp:positionH relativeFrom="page">
                  <wp:posOffset>5368925</wp:posOffset>
                </wp:positionH>
                <wp:positionV relativeFrom="paragraph">
                  <wp:posOffset>138430</wp:posOffset>
                </wp:positionV>
                <wp:extent cx="91440" cy="91440"/>
                <wp:effectExtent l="6350" t="6985" r="6985" b="6350"/>
                <wp:wrapNone/>
                <wp:docPr id="343" name="Freeform: Shape 3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 cy="91440"/>
                        </a:xfrm>
                        <a:custGeom>
                          <a:avLst/>
                          <a:gdLst>
                            <a:gd name="T0" fmla="+- 0 8527 8455"/>
                            <a:gd name="T1" fmla="*/ T0 w 144"/>
                            <a:gd name="T2" fmla="+- 0 218 218"/>
                            <a:gd name="T3" fmla="*/ 218 h 144"/>
                            <a:gd name="T4" fmla="+- 0 8455 8455"/>
                            <a:gd name="T5" fmla="*/ T4 w 144"/>
                            <a:gd name="T6" fmla="+- 0 290 218"/>
                            <a:gd name="T7" fmla="*/ 290 h 144"/>
                            <a:gd name="T8" fmla="+- 0 8527 8455"/>
                            <a:gd name="T9" fmla="*/ T8 w 144"/>
                            <a:gd name="T10" fmla="+- 0 362 218"/>
                            <a:gd name="T11" fmla="*/ 362 h 144"/>
                            <a:gd name="T12" fmla="+- 0 8599 8455"/>
                            <a:gd name="T13" fmla="*/ T12 w 144"/>
                            <a:gd name="T14" fmla="+- 0 290 218"/>
                            <a:gd name="T15" fmla="*/ 290 h 144"/>
                            <a:gd name="T16" fmla="+- 0 8527 8455"/>
                            <a:gd name="T17" fmla="*/ T16 w 144"/>
                            <a:gd name="T18" fmla="+- 0 218 218"/>
                            <a:gd name="T19" fmla="*/ 218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3D5148B2" id="Freeform: Shape 343" o:spid="_x0000_s1026" style="position:absolute;margin-left:422.75pt;margin-top:10.9pt;width:7.2pt;height:7.2pt;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144,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" path="m72,l,72r72,72l144,72,72,xe" fillcolor="#2e75b6" stroked="f">
                <v:path arrowok="t" o:connecttype="custom" o:connectlocs="45720,138430;0,184150;45720,229870;91440,184150;45720,138430" o:connectangles="0,0,0,0,0"/>
                <w10:wrap anchorx="page"/>
              </v:shape>
            </w:pict>
          </mc:Fallback>
        </mc:AlternateContent>
      </w:r>
      <w:r w:rsidRPr="00DB0C40">
        <w:rPr>
          <w:rFonts w:asciiTheme="minorHAnsi" w:eastAsia="Calibri Light" w:hAnsiTheme="minorHAnsi" w:cstheme="minorHAnsi"/>
          <w:w w:val="105"/>
          <w:sz w:val="22"/>
          <w:szCs w:val="22"/>
        </w:rPr>
        <w:t>15</w:t>
      </w:r>
    </w:p>
    <w:p w14:paraId="7655BEC6" w14:textId="77777777" w:rsidR="002557B7" w:rsidRPr="00DB0C40" w:rsidRDefault="002557B7" w:rsidP="002557B7">
      <w:pPr>
        <w:widowControl w:val="0"/>
        <w:autoSpaceDE w:val="0"/>
        <w:autoSpaceDN w:val="0"/>
        <w:spacing w:before="40"/>
        <w:ind w:left="668"/>
        <w:rPr>
          <w:rFonts w:asciiTheme="minorHAnsi" w:eastAsia="Calibri Light" w:hAnsiTheme="minorHAnsi" w:cstheme="minorHAnsi"/>
          <w:sz w:val="22"/>
          <w:szCs w:val="22"/>
        </w:rPr>
      </w:pPr>
      <w:r w:rsidRPr="00DB0C40">
        <w:rPr>
          <w:rFonts w:asciiTheme="minorHAnsi" w:eastAsia="Calibri Light" w:hAnsiTheme="minorHAnsi" w:cstheme="minorHAnsi"/>
          <w:noProof/>
          <w:sz w:val="22"/>
          <w:szCs w:val="22"/>
        </w:rPr>
        <mc:AlternateContent>
          <mc:Choice Requires="wpg">
            <w:drawing>
              <wp:anchor distT="0" distB="0" distL="114300" distR="114300" simplePos="0" relativeHeight="251680768" behindDoc="0" locked="0" layoutInCell="1" allowOverlap="1" wp14:anchorId="6BF7BB3D" wp14:editId="19D71563">
                <wp:simplePos x="0" y="0"/>
                <wp:positionH relativeFrom="page">
                  <wp:posOffset>5643245</wp:posOffset>
                </wp:positionH>
                <wp:positionV relativeFrom="paragraph">
                  <wp:posOffset>50165</wp:posOffset>
                </wp:positionV>
                <wp:extent cx="91440" cy="91440"/>
                <wp:effectExtent l="4445" t="5715" r="8890" b="7620"/>
                <wp:wrapNone/>
                <wp:docPr id="340" name="Group 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91440"/>
                          <a:chOff x="8887" y="79"/>
                          <a:chExt cx="144" cy="144"/>
                        </a:xfrm>
                      </wpg:grpSpPr>
                      <wps:wsp>
                        <wps:cNvPr id="341" name="Freeform 351"/>
                        <wps:cNvSpPr>
                          <a:spLocks/>
                        </wps:cNvSpPr>
                        <wps:spPr bwMode="auto">
                          <a:xfrm>
                            <a:off x="8899" y="102"/>
                            <a:ext cx="120" cy="120"/>
                          </a:xfrm>
                          <a:custGeom>
                            <a:avLst/>
                            <a:gdLst>
                              <a:gd name="T0" fmla="+- 0 8959 8899"/>
                              <a:gd name="T1" fmla="*/ T0 w 120"/>
                              <a:gd name="T2" fmla="+- 0 103 103"/>
                              <a:gd name="T3" fmla="*/ 103 h 120"/>
                              <a:gd name="T4" fmla="+- 0 8936 8899"/>
                              <a:gd name="T5" fmla="*/ T4 w 120"/>
                              <a:gd name="T6" fmla="+- 0 107 103"/>
                              <a:gd name="T7" fmla="*/ 107 h 120"/>
                              <a:gd name="T8" fmla="+- 0 8917 8899"/>
                              <a:gd name="T9" fmla="*/ T8 w 120"/>
                              <a:gd name="T10" fmla="+- 0 120 103"/>
                              <a:gd name="T11" fmla="*/ 120 h 120"/>
                              <a:gd name="T12" fmla="+- 0 8904 8899"/>
                              <a:gd name="T13" fmla="*/ T12 w 120"/>
                              <a:gd name="T14" fmla="+- 0 139 103"/>
                              <a:gd name="T15" fmla="*/ 139 h 120"/>
                              <a:gd name="T16" fmla="+- 0 8899 8899"/>
                              <a:gd name="T17" fmla="*/ T16 w 120"/>
                              <a:gd name="T18" fmla="+- 0 163 103"/>
                              <a:gd name="T19" fmla="*/ 163 h 120"/>
                              <a:gd name="T20" fmla="+- 0 8904 8899"/>
                              <a:gd name="T21" fmla="*/ T20 w 120"/>
                              <a:gd name="T22" fmla="+- 0 186 103"/>
                              <a:gd name="T23" fmla="*/ 186 h 120"/>
                              <a:gd name="T24" fmla="+- 0 8917 8899"/>
                              <a:gd name="T25" fmla="*/ T24 w 120"/>
                              <a:gd name="T26" fmla="+- 0 205 103"/>
                              <a:gd name="T27" fmla="*/ 205 h 120"/>
                              <a:gd name="T28" fmla="+- 0 8936 8899"/>
                              <a:gd name="T29" fmla="*/ T28 w 120"/>
                              <a:gd name="T30" fmla="+- 0 218 103"/>
                              <a:gd name="T31" fmla="*/ 218 h 120"/>
                              <a:gd name="T32" fmla="+- 0 8959 8899"/>
                              <a:gd name="T33" fmla="*/ T32 w 120"/>
                              <a:gd name="T34" fmla="+- 0 223 103"/>
                              <a:gd name="T35" fmla="*/ 223 h 120"/>
                              <a:gd name="T36" fmla="+- 0 8982 8899"/>
                              <a:gd name="T37" fmla="*/ T36 w 120"/>
                              <a:gd name="T38" fmla="+- 0 218 103"/>
                              <a:gd name="T39" fmla="*/ 218 h 120"/>
                              <a:gd name="T40" fmla="+- 0 9001 8899"/>
                              <a:gd name="T41" fmla="*/ T40 w 120"/>
                              <a:gd name="T42" fmla="+- 0 205 103"/>
                              <a:gd name="T43" fmla="*/ 205 h 120"/>
                              <a:gd name="T44" fmla="+- 0 9014 8899"/>
                              <a:gd name="T45" fmla="*/ T44 w 120"/>
                              <a:gd name="T46" fmla="+- 0 186 103"/>
                              <a:gd name="T47" fmla="*/ 186 h 120"/>
                              <a:gd name="T48" fmla="+- 0 9019 8899"/>
                              <a:gd name="T49" fmla="*/ T48 w 120"/>
                              <a:gd name="T50" fmla="+- 0 163 103"/>
                              <a:gd name="T51" fmla="*/ 163 h 120"/>
                              <a:gd name="T52" fmla="+- 0 9014 8899"/>
                              <a:gd name="T53" fmla="*/ T52 w 120"/>
                              <a:gd name="T54" fmla="+- 0 139 103"/>
                              <a:gd name="T55" fmla="*/ 139 h 120"/>
                              <a:gd name="T56" fmla="+- 0 9001 8899"/>
                              <a:gd name="T57" fmla="*/ T56 w 120"/>
                              <a:gd name="T58" fmla="+- 0 120 103"/>
                              <a:gd name="T59" fmla="*/ 120 h 120"/>
                              <a:gd name="T60" fmla="+- 0 8982 8899"/>
                              <a:gd name="T61" fmla="*/ T60 w 120"/>
                              <a:gd name="T62" fmla="+- 0 107 103"/>
                              <a:gd name="T63" fmla="*/ 107 h 120"/>
                              <a:gd name="T64" fmla="+- 0 8959 8899"/>
                              <a:gd name="T65" fmla="*/ T64 w 120"/>
                              <a:gd name="T66" fmla="+- 0 103 103"/>
                              <a:gd name="T67" fmla="*/ 103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0" h="120">
                                <a:moveTo>
                                  <a:pt x="60" y="0"/>
                                </a:moveTo>
                                <a:lnTo>
                                  <a:pt x="37" y="4"/>
                                </a:lnTo>
                                <a:lnTo>
                                  <a:pt x="18" y="17"/>
                                </a:lnTo>
                                <a:lnTo>
                                  <a:pt x="5" y="36"/>
                                </a:lnTo>
                                <a:lnTo>
                                  <a:pt x="0" y="60"/>
                                </a:lnTo>
                                <a:lnTo>
                                  <a:pt x="5" y="83"/>
                                </a:lnTo>
                                <a:lnTo>
                                  <a:pt x="18" y="102"/>
                                </a:lnTo>
                                <a:lnTo>
                                  <a:pt x="37" y="115"/>
                                </a:lnTo>
                                <a:lnTo>
                                  <a:pt x="60" y="120"/>
                                </a:lnTo>
                                <a:lnTo>
                                  <a:pt x="83" y="115"/>
                                </a:lnTo>
                                <a:lnTo>
                                  <a:pt x="102" y="102"/>
                                </a:lnTo>
                                <a:lnTo>
                                  <a:pt x="115" y="83"/>
                                </a:lnTo>
                                <a:lnTo>
                                  <a:pt x="120" y="60"/>
                                </a:lnTo>
                                <a:lnTo>
                                  <a:pt x="115" y="36"/>
                                </a:lnTo>
                                <a:lnTo>
                                  <a:pt x="102" y="17"/>
                                </a:lnTo>
                                <a:lnTo>
                                  <a:pt x="83" y="4"/>
                                </a:lnTo>
                                <a:lnTo>
                                  <a:pt x="60" y="0"/>
                                </a:lnTo>
                                <a:close/>
                              </a:path>
                            </a:pathLst>
                          </a:custGeom>
                          <a:solidFill>
                            <a:srgbClr val="ED7D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352"/>
                        <wps:cNvSpPr>
                          <a:spLocks/>
                        </wps:cNvSpPr>
                        <wps:spPr bwMode="auto">
                          <a:xfrm>
                            <a:off x="8887" y="78"/>
                            <a:ext cx="144" cy="144"/>
                          </a:xfrm>
                          <a:custGeom>
                            <a:avLst/>
                            <a:gdLst>
                              <a:gd name="T0" fmla="+- 0 8959 8887"/>
                              <a:gd name="T1" fmla="*/ T0 w 144"/>
                              <a:gd name="T2" fmla="+- 0 79 79"/>
                              <a:gd name="T3" fmla="*/ 79 h 144"/>
                              <a:gd name="T4" fmla="+- 0 8887 8887"/>
                              <a:gd name="T5" fmla="*/ T4 w 144"/>
                              <a:gd name="T6" fmla="+- 0 151 79"/>
                              <a:gd name="T7" fmla="*/ 151 h 144"/>
                              <a:gd name="T8" fmla="+- 0 8959 8887"/>
                              <a:gd name="T9" fmla="*/ T8 w 144"/>
                              <a:gd name="T10" fmla="+- 0 223 79"/>
                              <a:gd name="T11" fmla="*/ 223 h 144"/>
                              <a:gd name="T12" fmla="+- 0 9031 8887"/>
                              <a:gd name="T13" fmla="*/ T12 w 144"/>
                              <a:gd name="T14" fmla="+- 0 151 79"/>
                              <a:gd name="T15" fmla="*/ 151 h 144"/>
                              <a:gd name="T16" fmla="+- 0 8959 8887"/>
                              <a:gd name="T17" fmla="*/ T16 w 144"/>
                              <a:gd name="T18" fmla="+- 0 79 79"/>
                              <a:gd name="T19" fmla="*/ 79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37F69C83" id="Group 340" o:spid="_x0000_s1026" style="position:absolute;margin-left:444.35pt;margin-top:3.95pt;width:7.2pt;height:7.2pt;z-index:251680768;mso-position-horizontal-relative:page" coordorigin="8887,79" coordsize="144,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">
                <v:shape id="Freeform 351" o:spid="_x0000_s1027" style="position:absolute;left:8899;top:102;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" path="m60,l37,4,18,17,5,36,,60,5,83r13,19l37,115r23,5l83,115r19,-13l115,83r5,-23l115,36,102,17,83,4,60,xe" fillcolor="#ed7d31" stroked="f">
                  <v:path arrowok="t" o:connecttype="custom" o:connectlocs="60,103;37,107;18,120;5,139;0,163;5,186;18,205;37,218;60,223;83,218;102,205;115,186;120,163;115,139;102,120;83,107;60,103" o:connectangles="0,0,0,0,0,0,0,0,0,0,0,0,0,0,0,0,0"/>
                </v:shape>
                <v:shape id="Freeform 352" o:spid="_x0000_s1028" style="position:absolute;left:8887;top:78;width:144;height:144;visibility:visible;mso-wrap-style:square;v-text-anchor:top"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" path="m72,l,72r72,72l144,72,72,xe" fillcolor="#2e75b6" stroked="f">
                  <v:path arrowok="t" o:connecttype="custom" o:connectlocs="72,79;0,151;72,223;144,151;72,79" o:connectangles="0,0,0,0,0"/>
                </v:shape>
                <w10:wrap anchorx="page"/>
              </v:group>
            </w:pict>
          </mc:Fallback>
        </mc:AlternateContent>
      </w:r>
      <w:r w:rsidRPr="00DB0C40">
        <w:rPr>
          <w:rFonts w:asciiTheme="minorHAnsi" w:eastAsia="Calibri Light" w:hAnsiTheme="minorHAnsi" w:cstheme="minorHAnsi"/>
          <w:noProof/>
          <w:sz w:val="22"/>
          <w:szCs w:val="22"/>
        </w:rPr>
        <mc:AlternateContent>
          <mc:Choice Requires="wpg">
            <w:drawing>
              <wp:anchor distT="0" distB="0" distL="114300" distR="114300" simplePos="0" relativeHeight="251681792" behindDoc="0" locked="0" layoutInCell="1" allowOverlap="1" wp14:anchorId="6B5C451D" wp14:editId="4DD454AF">
                <wp:simplePos x="0" y="0"/>
                <wp:positionH relativeFrom="page">
                  <wp:posOffset>5917565</wp:posOffset>
                </wp:positionH>
                <wp:positionV relativeFrom="paragraph">
                  <wp:posOffset>118745</wp:posOffset>
                </wp:positionV>
                <wp:extent cx="91440" cy="182880"/>
                <wp:effectExtent l="2540" t="7620" r="1270" b="0"/>
                <wp:wrapNone/>
                <wp:docPr id="337" name="Group 3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182880"/>
                          <a:chOff x="9319" y="187"/>
                          <a:chExt cx="144" cy="288"/>
                        </a:xfrm>
                      </wpg:grpSpPr>
                      <wps:wsp>
                        <wps:cNvPr id="338" name="Freeform 354"/>
                        <wps:cNvSpPr>
                          <a:spLocks/>
                        </wps:cNvSpPr>
                        <wps:spPr bwMode="auto">
                          <a:xfrm>
                            <a:off x="9331" y="354"/>
                            <a:ext cx="120" cy="120"/>
                          </a:xfrm>
                          <a:custGeom>
                            <a:avLst/>
                            <a:gdLst>
                              <a:gd name="T0" fmla="+- 0 9391 9331"/>
                              <a:gd name="T1" fmla="*/ T0 w 120"/>
                              <a:gd name="T2" fmla="+- 0 355 355"/>
                              <a:gd name="T3" fmla="*/ 355 h 120"/>
                              <a:gd name="T4" fmla="+- 0 9368 9331"/>
                              <a:gd name="T5" fmla="*/ T4 w 120"/>
                              <a:gd name="T6" fmla="+- 0 359 355"/>
                              <a:gd name="T7" fmla="*/ 359 h 120"/>
                              <a:gd name="T8" fmla="+- 0 9349 9331"/>
                              <a:gd name="T9" fmla="*/ T8 w 120"/>
                              <a:gd name="T10" fmla="+- 0 372 355"/>
                              <a:gd name="T11" fmla="*/ 372 h 120"/>
                              <a:gd name="T12" fmla="+- 0 9336 9331"/>
                              <a:gd name="T13" fmla="*/ T12 w 120"/>
                              <a:gd name="T14" fmla="+- 0 391 355"/>
                              <a:gd name="T15" fmla="*/ 391 h 120"/>
                              <a:gd name="T16" fmla="+- 0 9331 9331"/>
                              <a:gd name="T17" fmla="*/ T16 w 120"/>
                              <a:gd name="T18" fmla="+- 0 415 355"/>
                              <a:gd name="T19" fmla="*/ 415 h 120"/>
                              <a:gd name="T20" fmla="+- 0 9336 9331"/>
                              <a:gd name="T21" fmla="*/ T20 w 120"/>
                              <a:gd name="T22" fmla="+- 0 438 355"/>
                              <a:gd name="T23" fmla="*/ 438 h 120"/>
                              <a:gd name="T24" fmla="+- 0 9349 9331"/>
                              <a:gd name="T25" fmla="*/ T24 w 120"/>
                              <a:gd name="T26" fmla="+- 0 457 355"/>
                              <a:gd name="T27" fmla="*/ 457 h 120"/>
                              <a:gd name="T28" fmla="+- 0 9368 9331"/>
                              <a:gd name="T29" fmla="*/ T28 w 120"/>
                              <a:gd name="T30" fmla="+- 0 470 355"/>
                              <a:gd name="T31" fmla="*/ 470 h 120"/>
                              <a:gd name="T32" fmla="+- 0 9391 9331"/>
                              <a:gd name="T33" fmla="*/ T32 w 120"/>
                              <a:gd name="T34" fmla="+- 0 475 355"/>
                              <a:gd name="T35" fmla="*/ 475 h 120"/>
                              <a:gd name="T36" fmla="+- 0 9414 9331"/>
                              <a:gd name="T37" fmla="*/ T36 w 120"/>
                              <a:gd name="T38" fmla="+- 0 470 355"/>
                              <a:gd name="T39" fmla="*/ 470 h 120"/>
                              <a:gd name="T40" fmla="+- 0 9433 9331"/>
                              <a:gd name="T41" fmla="*/ T40 w 120"/>
                              <a:gd name="T42" fmla="+- 0 457 355"/>
                              <a:gd name="T43" fmla="*/ 457 h 120"/>
                              <a:gd name="T44" fmla="+- 0 9446 9331"/>
                              <a:gd name="T45" fmla="*/ T44 w 120"/>
                              <a:gd name="T46" fmla="+- 0 438 355"/>
                              <a:gd name="T47" fmla="*/ 438 h 120"/>
                              <a:gd name="T48" fmla="+- 0 9451 9331"/>
                              <a:gd name="T49" fmla="*/ T48 w 120"/>
                              <a:gd name="T50" fmla="+- 0 415 355"/>
                              <a:gd name="T51" fmla="*/ 415 h 120"/>
                              <a:gd name="T52" fmla="+- 0 9446 9331"/>
                              <a:gd name="T53" fmla="*/ T52 w 120"/>
                              <a:gd name="T54" fmla="+- 0 391 355"/>
                              <a:gd name="T55" fmla="*/ 391 h 120"/>
                              <a:gd name="T56" fmla="+- 0 9433 9331"/>
                              <a:gd name="T57" fmla="*/ T56 w 120"/>
                              <a:gd name="T58" fmla="+- 0 372 355"/>
                              <a:gd name="T59" fmla="*/ 372 h 120"/>
                              <a:gd name="T60" fmla="+- 0 9414 9331"/>
                              <a:gd name="T61" fmla="*/ T60 w 120"/>
                              <a:gd name="T62" fmla="+- 0 359 355"/>
                              <a:gd name="T63" fmla="*/ 359 h 120"/>
                              <a:gd name="T64" fmla="+- 0 9391 9331"/>
                              <a:gd name="T65" fmla="*/ T64 w 120"/>
                              <a:gd name="T66" fmla="+- 0 355 355"/>
                              <a:gd name="T67" fmla="*/ 355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0" h="120">
                                <a:moveTo>
                                  <a:pt x="60" y="0"/>
                                </a:moveTo>
                                <a:lnTo>
                                  <a:pt x="37" y="4"/>
                                </a:lnTo>
                                <a:lnTo>
                                  <a:pt x="18" y="17"/>
                                </a:lnTo>
                                <a:lnTo>
                                  <a:pt x="5" y="36"/>
                                </a:lnTo>
                                <a:lnTo>
                                  <a:pt x="0" y="60"/>
                                </a:lnTo>
                                <a:lnTo>
                                  <a:pt x="5" y="83"/>
                                </a:lnTo>
                                <a:lnTo>
                                  <a:pt x="18" y="102"/>
                                </a:lnTo>
                                <a:lnTo>
                                  <a:pt x="37" y="115"/>
                                </a:lnTo>
                                <a:lnTo>
                                  <a:pt x="60" y="120"/>
                                </a:lnTo>
                                <a:lnTo>
                                  <a:pt x="83" y="115"/>
                                </a:lnTo>
                                <a:lnTo>
                                  <a:pt x="102" y="102"/>
                                </a:lnTo>
                                <a:lnTo>
                                  <a:pt x="115" y="83"/>
                                </a:lnTo>
                                <a:lnTo>
                                  <a:pt x="120" y="60"/>
                                </a:lnTo>
                                <a:lnTo>
                                  <a:pt x="115" y="36"/>
                                </a:lnTo>
                                <a:lnTo>
                                  <a:pt x="102" y="17"/>
                                </a:lnTo>
                                <a:lnTo>
                                  <a:pt x="83" y="4"/>
                                </a:lnTo>
                                <a:lnTo>
                                  <a:pt x="60" y="0"/>
                                </a:lnTo>
                                <a:close/>
                              </a:path>
                            </a:pathLst>
                          </a:custGeom>
                          <a:solidFill>
                            <a:srgbClr val="ED7D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355"/>
                        <wps:cNvSpPr>
                          <a:spLocks/>
                        </wps:cNvSpPr>
                        <wps:spPr bwMode="auto">
                          <a:xfrm>
                            <a:off x="9319" y="186"/>
                            <a:ext cx="144" cy="144"/>
                          </a:xfrm>
                          <a:custGeom>
                            <a:avLst/>
                            <a:gdLst>
                              <a:gd name="T0" fmla="+- 0 9391 9319"/>
                              <a:gd name="T1" fmla="*/ T0 w 144"/>
                              <a:gd name="T2" fmla="+- 0 187 187"/>
                              <a:gd name="T3" fmla="*/ 187 h 144"/>
                              <a:gd name="T4" fmla="+- 0 9319 9319"/>
                              <a:gd name="T5" fmla="*/ T4 w 144"/>
                              <a:gd name="T6" fmla="+- 0 259 187"/>
                              <a:gd name="T7" fmla="*/ 259 h 144"/>
                              <a:gd name="T8" fmla="+- 0 9391 9319"/>
                              <a:gd name="T9" fmla="*/ T8 w 144"/>
                              <a:gd name="T10" fmla="+- 0 331 187"/>
                              <a:gd name="T11" fmla="*/ 331 h 144"/>
                              <a:gd name="T12" fmla="+- 0 9463 9319"/>
                              <a:gd name="T13" fmla="*/ T12 w 144"/>
                              <a:gd name="T14" fmla="+- 0 259 187"/>
                              <a:gd name="T15" fmla="*/ 259 h 144"/>
                              <a:gd name="T16" fmla="+- 0 9391 9319"/>
                              <a:gd name="T17" fmla="*/ T16 w 144"/>
                              <a:gd name="T18" fmla="+- 0 187 187"/>
                              <a:gd name="T19" fmla="*/ 187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51912F34" id="Group 337" o:spid="_x0000_s1026" style="position:absolute;margin-left:465.95pt;margin-top:9.35pt;width:7.2pt;height:14.4pt;z-index:251681792;mso-position-horizontal-relative:page" coordorigin="9319,187" coordsize="144,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">
                <v:shape id="Freeform 354" o:spid="_x0000_s1027" style="position:absolute;left:9331;top:354;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" path="m60,l37,4,18,17,5,36,,60,5,83r13,19l37,115r23,5l83,115r19,-13l115,83r5,-23l115,36,102,17,83,4,60,xe" fillcolor="#ed7d31" stroked="f">
                  <v:path arrowok="t" o:connecttype="custom" o:connectlocs="60,355;37,359;18,372;5,391;0,415;5,438;18,457;37,470;60,475;83,470;102,457;115,438;120,415;115,391;102,372;83,359;60,355" o:connectangles="0,0,0,0,0,0,0,0,0,0,0,0,0,0,0,0,0"/>
                </v:shape>
                <v:shape id="Freeform 355" o:spid="_x0000_s1028" style="position:absolute;left:9319;top:186;width:144;height:144;visibility:visible;mso-wrap-style:square;v-text-anchor:top"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" path="m72,l,72r72,72l144,72,72,xe" fillcolor="#2e75b6" stroked="f">
                  <v:path arrowok="t" o:connecttype="custom" o:connectlocs="72,187;0,259;72,331;144,259;72,187" o:connectangles="0,0,0,0,0"/>
                </v:shape>
                <w10:wrap anchorx="page"/>
              </v:group>
            </w:pict>
          </mc:Fallback>
        </mc:AlternateContent>
      </w:r>
      <w:r w:rsidRPr="00DB0C40">
        <w:rPr>
          <w:rFonts w:asciiTheme="minorHAnsi" w:eastAsia="Calibri Light" w:hAnsiTheme="minorHAnsi" w:cstheme="minorHAnsi"/>
          <w:noProof/>
          <w:sz w:val="22"/>
          <w:szCs w:val="22"/>
        </w:rPr>
        <mc:AlternateContent>
          <mc:Choice Requires="wpg">
            <w:drawing>
              <wp:anchor distT="0" distB="0" distL="114300" distR="114300" simplePos="0" relativeHeight="251682816" behindDoc="0" locked="0" layoutInCell="1" allowOverlap="1" wp14:anchorId="65C18DD2" wp14:editId="4D6A9FBC">
                <wp:simplePos x="0" y="0"/>
                <wp:positionH relativeFrom="page">
                  <wp:posOffset>6191885</wp:posOffset>
                </wp:positionH>
                <wp:positionV relativeFrom="paragraph">
                  <wp:posOffset>111125</wp:posOffset>
                </wp:positionV>
                <wp:extent cx="91440" cy="137160"/>
                <wp:effectExtent l="635" t="9525" r="3175" b="5715"/>
                <wp:wrapNone/>
                <wp:docPr id="334" name="Group 3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 cy="137160"/>
                          <a:chOff x="9751" y="175"/>
                          <a:chExt cx="144" cy="216"/>
                        </a:xfrm>
                      </wpg:grpSpPr>
                      <wps:wsp>
                        <wps:cNvPr id="335" name="Freeform 357"/>
                        <wps:cNvSpPr>
                          <a:spLocks/>
                        </wps:cNvSpPr>
                        <wps:spPr bwMode="auto">
                          <a:xfrm>
                            <a:off x="9763" y="174"/>
                            <a:ext cx="120" cy="120"/>
                          </a:xfrm>
                          <a:custGeom>
                            <a:avLst/>
                            <a:gdLst>
                              <a:gd name="T0" fmla="+- 0 9823 9763"/>
                              <a:gd name="T1" fmla="*/ T0 w 120"/>
                              <a:gd name="T2" fmla="+- 0 175 175"/>
                              <a:gd name="T3" fmla="*/ 175 h 120"/>
                              <a:gd name="T4" fmla="+- 0 9800 9763"/>
                              <a:gd name="T5" fmla="*/ T4 w 120"/>
                              <a:gd name="T6" fmla="+- 0 179 175"/>
                              <a:gd name="T7" fmla="*/ 179 h 120"/>
                              <a:gd name="T8" fmla="+- 0 9781 9763"/>
                              <a:gd name="T9" fmla="*/ T8 w 120"/>
                              <a:gd name="T10" fmla="+- 0 192 175"/>
                              <a:gd name="T11" fmla="*/ 192 h 120"/>
                              <a:gd name="T12" fmla="+- 0 9768 9763"/>
                              <a:gd name="T13" fmla="*/ T12 w 120"/>
                              <a:gd name="T14" fmla="+- 0 211 175"/>
                              <a:gd name="T15" fmla="*/ 211 h 120"/>
                              <a:gd name="T16" fmla="+- 0 9763 9763"/>
                              <a:gd name="T17" fmla="*/ T16 w 120"/>
                              <a:gd name="T18" fmla="+- 0 235 175"/>
                              <a:gd name="T19" fmla="*/ 235 h 120"/>
                              <a:gd name="T20" fmla="+- 0 9768 9763"/>
                              <a:gd name="T21" fmla="*/ T20 w 120"/>
                              <a:gd name="T22" fmla="+- 0 258 175"/>
                              <a:gd name="T23" fmla="*/ 258 h 120"/>
                              <a:gd name="T24" fmla="+- 0 9781 9763"/>
                              <a:gd name="T25" fmla="*/ T24 w 120"/>
                              <a:gd name="T26" fmla="+- 0 277 175"/>
                              <a:gd name="T27" fmla="*/ 277 h 120"/>
                              <a:gd name="T28" fmla="+- 0 9800 9763"/>
                              <a:gd name="T29" fmla="*/ T28 w 120"/>
                              <a:gd name="T30" fmla="+- 0 290 175"/>
                              <a:gd name="T31" fmla="*/ 290 h 120"/>
                              <a:gd name="T32" fmla="+- 0 9823 9763"/>
                              <a:gd name="T33" fmla="*/ T32 w 120"/>
                              <a:gd name="T34" fmla="+- 0 295 175"/>
                              <a:gd name="T35" fmla="*/ 295 h 120"/>
                              <a:gd name="T36" fmla="+- 0 9846 9763"/>
                              <a:gd name="T37" fmla="*/ T36 w 120"/>
                              <a:gd name="T38" fmla="+- 0 290 175"/>
                              <a:gd name="T39" fmla="*/ 290 h 120"/>
                              <a:gd name="T40" fmla="+- 0 9865 9763"/>
                              <a:gd name="T41" fmla="*/ T40 w 120"/>
                              <a:gd name="T42" fmla="+- 0 277 175"/>
                              <a:gd name="T43" fmla="*/ 277 h 120"/>
                              <a:gd name="T44" fmla="+- 0 9878 9763"/>
                              <a:gd name="T45" fmla="*/ T44 w 120"/>
                              <a:gd name="T46" fmla="+- 0 258 175"/>
                              <a:gd name="T47" fmla="*/ 258 h 120"/>
                              <a:gd name="T48" fmla="+- 0 9883 9763"/>
                              <a:gd name="T49" fmla="*/ T48 w 120"/>
                              <a:gd name="T50" fmla="+- 0 235 175"/>
                              <a:gd name="T51" fmla="*/ 235 h 120"/>
                              <a:gd name="T52" fmla="+- 0 9878 9763"/>
                              <a:gd name="T53" fmla="*/ T52 w 120"/>
                              <a:gd name="T54" fmla="+- 0 211 175"/>
                              <a:gd name="T55" fmla="*/ 211 h 120"/>
                              <a:gd name="T56" fmla="+- 0 9865 9763"/>
                              <a:gd name="T57" fmla="*/ T56 w 120"/>
                              <a:gd name="T58" fmla="+- 0 192 175"/>
                              <a:gd name="T59" fmla="*/ 192 h 120"/>
                              <a:gd name="T60" fmla="+- 0 9846 9763"/>
                              <a:gd name="T61" fmla="*/ T60 w 120"/>
                              <a:gd name="T62" fmla="+- 0 179 175"/>
                              <a:gd name="T63" fmla="*/ 179 h 120"/>
                              <a:gd name="T64" fmla="+- 0 9823 9763"/>
                              <a:gd name="T65" fmla="*/ T64 w 120"/>
                              <a:gd name="T66" fmla="+- 0 175 175"/>
                              <a:gd name="T67" fmla="*/ 175 h 1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20" h="120">
                                <a:moveTo>
                                  <a:pt x="60" y="0"/>
                                </a:moveTo>
                                <a:lnTo>
                                  <a:pt x="37" y="4"/>
                                </a:lnTo>
                                <a:lnTo>
                                  <a:pt x="18" y="17"/>
                                </a:lnTo>
                                <a:lnTo>
                                  <a:pt x="5" y="36"/>
                                </a:lnTo>
                                <a:lnTo>
                                  <a:pt x="0" y="60"/>
                                </a:lnTo>
                                <a:lnTo>
                                  <a:pt x="5" y="83"/>
                                </a:lnTo>
                                <a:lnTo>
                                  <a:pt x="18" y="102"/>
                                </a:lnTo>
                                <a:lnTo>
                                  <a:pt x="37" y="115"/>
                                </a:lnTo>
                                <a:lnTo>
                                  <a:pt x="60" y="120"/>
                                </a:lnTo>
                                <a:lnTo>
                                  <a:pt x="83" y="115"/>
                                </a:lnTo>
                                <a:lnTo>
                                  <a:pt x="102" y="102"/>
                                </a:lnTo>
                                <a:lnTo>
                                  <a:pt x="115" y="83"/>
                                </a:lnTo>
                                <a:lnTo>
                                  <a:pt x="120" y="60"/>
                                </a:lnTo>
                                <a:lnTo>
                                  <a:pt x="115" y="36"/>
                                </a:lnTo>
                                <a:lnTo>
                                  <a:pt x="102" y="17"/>
                                </a:lnTo>
                                <a:lnTo>
                                  <a:pt x="83" y="4"/>
                                </a:lnTo>
                                <a:lnTo>
                                  <a:pt x="60" y="0"/>
                                </a:lnTo>
                                <a:close/>
                              </a:path>
                            </a:pathLst>
                          </a:custGeom>
                          <a:solidFill>
                            <a:srgbClr val="ED7D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358"/>
                        <wps:cNvSpPr>
                          <a:spLocks/>
                        </wps:cNvSpPr>
                        <wps:spPr bwMode="auto">
                          <a:xfrm>
                            <a:off x="9751" y="246"/>
                            <a:ext cx="144" cy="144"/>
                          </a:xfrm>
                          <a:custGeom>
                            <a:avLst/>
                            <a:gdLst>
                              <a:gd name="T0" fmla="+- 0 9823 9751"/>
                              <a:gd name="T1" fmla="*/ T0 w 144"/>
                              <a:gd name="T2" fmla="+- 0 247 247"/>
                              <a:gd name="T3" fmla="*/ 247 h 144"/>
                              <a:gd name="T4" fmla="+- 0 9751 9751"/>
                              <a:gd name="T5" fmla="*/ T4 w 144"/>
                              <a:gd name="T6" fmla="+- 0 319 247"/>
                              <a:gd name="T7" fmla="*/ 319 h 144"/>
                              <a:gd name="T8" fmla="+- 0 9823 9751"/>
                              <a:gd name="T9" fmla="*/ T8 w 144"/>
                              <a:gd name="T10" fmla="+- 0 391 247"/>
                              <a:gd name="T11" fmla="*/ 391 h 144"/>
                              <a:gd name="T12" fmla="+- 0 9895 9751"/>
                              <a:gd name="T13" fmla="*/ T12 w 144"/>
                              <a:gd name="T14" fmla="+- 0 319 247"/>
                              <a:gd name="T15" fmla="*/ 319 h 144"/>
                              <a:gd name="T16" fmla="+- 0 9823 9751"/>
                              <a:gd name="T17" fmla="*/ T16 w 144"/>
                              <a:gd name="T18" fmla="+- 0 247 247"/>
                              <a:gd name="T19" fmla="*/ 247 h 144"/>
                            </a:gdLst>
                            <a:ahLst/>
                            <a:cxnLst>
                              <a:cxn ang="0">
                                <a:pos x="T1" y="T3"/>
                              </a:cxn>
                              <a:cxn ang="0">
                                <a:pos x="T5" y="T7"/>
                              </a:cxn>
                              <a:cxn ang="0">
                                <a:pos x="T9" y="T11"/>
                              </a:cxn>
                              <a:cxn ang="0">
                                <a:pos x="T13" y="T15"/>
                              </a:cxn>
                              <a:cxn ang="0">
                                <a:pos x="T17" y="T19"/>
                              </a:cxn>
                            </a:cxnLst>
                            <a:rect l="0" t="0" r="r" b="b"/>
                            <a:pathLst>
                              <a:path w="144" h="144">
                                <a:moveTo>
                                  <a:pt x="72" y="0"/>
                                </a:moveTo>
                                <a:lnTo>
                                  <a:pt x="0" y="72"/>
                                </a:lnTo>
                                <a:lnTo>
                                  <a:pt x="72" y="144"/>
                                </a:lnTo>
                                <a:lnTo>
                                  <a:pt x="144" y="72"/>
                                </a:lnTo>
                                <a:lnTo>
                                  <a:pt x="72" y="0"/>
                                </a:lnTo>
                                <a:close/>
                              </a:path>
                            </a:pathLst>
                          </a:custGeom>
                          <a:solidFill>
                            <a:srgbClr val="2E75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group w14:anchorId="19D02244" id="Group 334" o:spid="_x0000_s1026" style="position:absolute;margin-left:487.55pt;margin-top:8.75pt;width:7.2pt;height:10.8pt;z-index:251682816;mso-position-horizontal-relative:page" coordorigin="9751,175" coordsize="144,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">
                <v:shape id="Freeform 357" o:spid="_x0000_s1027" style="position:absolute;left:9763;top:174;width:120;height:120;visibility:visible;mso-wrap-style:square;v-text-anchor:top" coordsize="120,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" path="m60,l37,4,18,17,5,36,,60,5,83r13,19l37,115r23,5l83,115r19,-13l115,83r5,-23l115,36,102,17,83,4,60,xe" fillcolor="#ed7d31" stroked="f">
                  <v:path arrowok="t" o:connecttype="custom" o:connectlocs="60,175;37,179;18,192;5,211;0,235;5,258;18,277;37,290;60,295;83,290;102,277;115,258;120,235;115,211;102,192;83,179;60,175" o:connectangles="0,0,0,0,0,0,0,0,0,0,0,0,0,0,0,0,0"/>
                </v:shape>
                <v:shape id="Freeform 358" o:spid="_x0000_s1028" style="position:absolute;left:9751;top:246;width:144;height:144;visibility:visible;mso-wrap-style:square;v-text-anchor:top" coordsize="14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" path="m72,l,72r72,72l144,72,72,xe" fillcolor="#2e75b6" stroked="f">
                  <v:path arrowok="t" o:connecttype="custom" o:connectlocs="72,247;0,319;72,391;144,319;72,247" o:connectangles="0,0,0,0,0"/>
                </v:shape>
                <w10:wrap anchorx="page"/>
              </v:group>
            </w:pict>
          </mc:Fallback>
        </mc:AlternateContent>
      </w:r>
      <w:r w:rsidRPr="00DB0C40">
        <w:rPr>
          <w:rFonts w:asciiTheme="minorHAnsi" w:eastAsia="Calibri Light" w:hAnsiTheme="minorHAnsi" w:cstheme="minorHAnsi"/>
          <w:w w:val="105"/>
          <w:sz w:val="22"/>
          <w:szCs w:val="22"/>
        </w:rPr>
        <w:t>10</w:t>
      </w:r>
    </w:p>
    <w:p w14:paraId="5284B50E" w14:textId="77777777" w:rsidR="002557B7" w:rsidRPr="00DB0C40" w:rsidRDefault="002557B7" w:rsidP="002557B7">
      <w:pPr>
        <w:widowControl w:val="0"/>
        <w:autoSpaceDE w:val="0"/>
        <w:autoSpaceDN w:val="0"/>
        <w:spacing w:before="39"/>
        <w:ind w:left="752"/>
        <w:rPr>
          <w:rFonts w:asciiTheme="minorHAnsi" w:eastAsia="Calibri Light" w:hAnsiTheme="minorHAnsi" w:cstheme="minorHAnsi"/>
          <w:sz w:val="22"/>
          <w:szCs w:val="22"/>
        </w:rPr>
      </w:pPr>
      <w:r w:rsidRPr="00DB0C40">
        <w:rPr>
          <w:rFonts w:asciiTheme="minorHAnsi" w:eastAsia="Calibri Light" w:hAnsiTheme="minorHAnsi" w:cstheme="minorHAnsi"/>
          <w:w w:val="103"/>
          <w:sz w:val="22"/>
          <w:szCs w:val="22"/>
        </w:rPr>
        <w:t>5</w:t>
      </w:r>
    </w:p>
    <w:p w14:paraId="4822AF21" w14:textId="77777777" w:rsidR="002557B7" w:rsidRPr="00DB0C40" w:rsidRDefault="002557B7" w:rsidP="002557B7">
      <w:pPr>
        <w:widowControl w:val="0"/>
        <w:autoSpaceDE w:val="0"/>
        <w:autoSpaceDN w:val="0"/>
        <w:spacing w:before="40" w:after="22"/>
        <w:ind w:left="752"/>
        <w:rPr>
          <w:rFonts w:asciiTheme="minorHAnsi" w:eastAsia="Calibri Light" w:hAnsiTheme="minorHAnsi" w:cstheme="minorHAnsi"/>
          <w:sz w:val="22"/>
          <w:szCs w:val="22"/>
        </w:rPr>
      </w:pPr>
      <w:r w:rsidRPr="00DB0C40">
        <w:rPr>
          <w:rFonts w:asciiTheme="minorHAnsi" w:eastAsia="Calibri Light" w:hAnsiTheme="minorHAnsi" w:cstheme="minorHAnsi"/>
          <w:w w:val="103"/>
          <w:sz w:val="22"/>
          <w:szCs w:val="22"/>
        </w:rPr>
        <w:t>0</w:t>
      </w:r>
    </w:p>
    <w:p w14:paraId="75A5650B" w14:textId="77777777" w:rsidR="002557B7" w:rsidRPr="00DB0C40" w:rsidRDefault="002557B7" w:rsidP="002557B7">
      <w:pPr>
        <w:widowControl w:val="0"/>
        <w:tabs>
          <w:tab w:val="left" w:pos="2714"/>
          <w:tab w:val="left" w:pos="4437"/>
        </w:tabs>
        <w:autoSpaceDE w:val="0"/>
        <w:autoSpaceDN w:val="0"/>
        <w:ind w:left="854"/>
        <w:rPr>
          <w:rFonts w:asciiTheme="minorHAnsi" w:eastAsia="Calibri Light" w:hAnsiTheme="minorHAnsi" w:cstheme="minorHAnsi"/>
          <w:sz w:val="22"/>
          <w:szCs w:val="22"/>
        </w:rPr>
      </w:pPr>
      <w:r w:rsidRPr="00DB0C40">
        <w:rPr>
          <w:rFonts w:asciiTheme="minorHAnsi" w:eastAsia="Calibri Light" w:hAnsiTheme="minorHAnsi" w:cstheme="minorHAnsi"/>
          <w:noProof/>
          <w:position w:val="34"/>
          <w:sz w:val="22"/>
          <w:szCs w:val="22"/>
        </w:rPr>
        <w:drawing>
          <wp:inline distT="0" distB="0" distL="0" distR="0" wp14:anchorId="0E7EBF19" wp14:editId="2F75E6B8">
            <wp:extent cx="220559" cy="200025"/>
            <wp:effectExtent l="0" t="0" r="0" b="0"/>
            <wp:docPr id="328" name="image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70.png"/>
                    <pic:cNvPicPr/>
                  </pic:nvPicPr>
                  <pic:blipFill>
                    <a:blip r:embed="rId29" cstate="print"/>
                    <a:stretch>
                      <a:fillRect/>
                    </a:stretch>
                  </pic:blipFill>
                  <pic:spPr>
                    <a:xfrm>
                      <a:off x="0" y="0"/>
                      <a:ext cx="220559" cy="200025"/>
                    </a:xfrm>
                    <a:prstGeom prst="rect">
                      <a:avLst/>
                    </a:prstGeom>
                  </pic:spPr>
                </pic:pic>
              </a:graphicData>
            </a:graphic>
          </wp:inline>
        </w:drawing>
      </w:r>
      <w:r w:rsidRPr="00DB0C40">
        <w:rPr>
          <w:rFonts w:asciiTheme="minorHAnsi" w:eastAsia="Calibri Light" w:hAnsiTheme="minorHAnsi" w:cstheme="minorHAnsi"/>
          <w:spacing w:val="88"/>
          <w:position w:val="34"/>
          <w:sz w:val="22"/>
          <w:szCs w:val="22"/>
        </w:rPr>
        <w:t xml:space="preserve"> </w:t>
      </w:r>
      <w:r w:rsidRPr="00DB0C40">
        <w:rPr>
          <w:rFonts w:asciiTheme="minorHAnsi" w:eastAsia="Calibri Light" w:hAnsiTheme="minorHAnsi" w:cstheme="minorHAnsi"/>
          <w:noProof/>
          <w:spacing w:val="88"/>
          <w:position w:val="6"/>
          <w:sz w:val="22"/>
          <w:szCs w:val="22"/>
        </w:rPr>
        <w:drawing>
          <wp:inline distT="0" distB="0" distL="0" distR="0" wp14:anchorId="5920E301" wp14:editId="5DB1861D">
            <wp:extent cx="460089" cy="381000"/>
            <wp:effectExtent l="0" t="0" r="0" b="0"/>
            <wp:docPr id="329" name="image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71.png"/>
                    <pic:cNvPicPr/>
                  </pic:nvPicPr>
                  <pic:blipFill>
                    <a:blip r:embed="rId30" cstate="print"/>
                    <a:stretch>
                      <a:fillRect/>
                    </a:stretch>
                  </pic:blipFill>
                  <pic:spPr>
                    <a:xfrm>
                      <a:off x="0" y="0"/>
                      <a:ext cx="460089" cy="381000"/>
                    </a:xfrm>
                    <a:prstGeom prst="rect">
                      <a:avLst/>
                    </a:prstGeom>
                  </pic:spPr>
                </pic:pic>
              </a:graphicData>
            </a:graphic>
          </wp:inline>
        </w:drawing>
      </w:r>
      <w:r w:rsidRPr="00DB0C40">
        <w:rPr>
          <w:rFonts w:asciiTheme="minorHAnsi" w:eastAsia="Calibri Light" w:hAnsiTheme="minorHAnsi" w:cstheme="minorHAnsi"/>
          <w:spacing w:val="54"/>
          <w:position w:val="6"/>
          <w:sz w:val="22"/>
          <w:szCs w:val="22"/>
        </w:rPr>
        <w:t xml:space="preserve"> </w:t>
      </w:r>
      <w:r w:rsidRPr="00DB0C40">
        <w:rPr>
          <w:rFonts w:asciiTheme="minorHAnsi" w:eastAsia="Calibri Light" w:hAnsiTheme="minorHAnsi" w:cstheme="minorHAnsi"/>
          <w:noProof/>
          <w:spacing w:val="54"/>
          <w:position w:val="35"/>
          <w:sz w:val="22"/>
          <w:szCs w:val="22"/>
        </w:rPr>
        <w:drawing>
          <wp:inline distT="0" distB="0" distL="0" distR="0" wp14:anchorId="7E72DDD3" wp14:editId="17B4D8F2">
            <wp:extent cx="205235" cy="200691"/>
            <wp:effectExtent l="0" t="0" r="0" b="0"/>
            <wp:docPr id="330" name="image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72.png"/>
                    <pic:cNvPicPr/>
                  </pic:nvPicPr>
                  <pic:blipFill>
                    <a:blip r:embed="rId31" cstate="print"/>
                    <a:stretch>
                      <a:fillRect/>
                    </a:stretch>
                  </pic:blipFill>
                  <pic:spPr>
                    <a:xfrm>
                      <a:off x="0" y="0"/>
                      <a:ext cx="205235" cy="200691"/>
                    </a:xfrm>
                    <a:prstGeom prst="rect">
                      <a:avLst/>
                    </a:prstGeom>
                  </pic:spPr>
                </pic:pic>
              </a:graphicData>
            </a:graphic>
          </wp:inline>
        </w:drawing>
      </w:r>
      <w:r w:rsidRPr="00DB0C40">
        <w:rPr>
          <w:rFonts w:asciiTheme="minorHAnsi" w:eastAsia="Calibri Light" w:hAnsiTheme="minorHAnsi" w:cstheme="minorHAnsi"/>
          <w:spacing w:val="54"/>
          <w:position w:val="35"/>
          <w:sz w:val="22"/>
          <w:szCs w:val="22"/>
        </w:rPr>
        <w:tab/>
      </w:r>
      <w:r w:rsidRPr="00DB0C40">
        <w:rPr>
          <w:rFonts w:asciiTheme="minorHAnsi" w:eastAsia="Calibri Light" w:hAnsiTheme="minorHAnsi" w:cstheme="minorHAnsi"/>
          <w:noProof/>
          <w:spacing w:val="54"/>
          <w:sz w:val="22"/>
          <w:szCs w:val="22"/>
        </w:rPr>
        <w:drawing>
          <wp:inline distT="0" distB="0" distL="0" distR="0" wp14:anchorId="0FF387F8" wp14:editId="0CB3F696">
            <wp:extent cx="959172" cy="438150"/>
            <wp:effectExtent l="0" t="0" r="0" b="0"/>
            <wp:docPr id="331" name="image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73.png"/>
                    <pic:cNvPicPr/>
                  </pic:nvPicPr>
                  <pic:blipFill>
                    <a:blip r:embed="rId32" cstate="print"/>
                    <a:stretch>
                      <a:fillRect/>
                    </a:stretch>
                  </pic:blipFill>
                  <pic:spPr>
                    <a:xfrm>
                      <a:off x="0" y="0"/>
                      <a:ext cx="959172" cy="438150"/>
                    </a:xfrm>
                    <a:prstGeom prst="rect">
                      <a:avLst/>
                    </a:prstGeom>
                  </pic:spPr>
                </pic:pic>
              </a:graphicData>
            </a:graphic>
          </wp:inline>
        </w:drawing>
      </w:r>
      <w:r w:rsidRPr="00DB0C40">
        <w:rPr>
          <w:rFonts w:asciiTheme="minorHAnsi" w:eastAsia="Calibri Light" w:hAnsiTheme="minorHAnsi" w:cstheme="minorHAnsi"/>
          <w:spacing w:val="54"/>
          <w:sz w:val="22"/>
          <w:szCs w:val="22"/>
        </w:rPr>
        <w:tab/>
      </w:r>
      <w:r w:rsidRPr="00DB0C40">
        <w:rPr>
          <w:rFonts w:asciiTheme="minorHAnsi" w:eastAsia="Calibri Light" w:hAnsiTheme="minorHAnsi" w:cstheme="minorHAnsi"/>
          <w:noProof/>
          <w:spacing w:val="54"/>
          <w:position w:val="17"/>
          <w:sz w:val="22"/>
          <w:szCs w:val="22"/>
        </w:rPr>
        <w:drawing>
          <wp:inline distT="0" distB="0" distL="0" distR="0" wp14:anchorId="6F078286" wp14:editId="0E274B10">
            <wp:extent cx="2314532" cy="338137"/>
            <wp:effectExtent l="0" t="0" r="0" b="0"/>
            <wp:docPr id="332"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74.png"/>
                    <pic:cNvPicPr/>
                  </pic:nvPicPr>
                  <pic:blipFill>
                    <a:blip r:embed="rId33" cstate="print"/>
                    <a:stretch>
                      <a:fillRect/>
                    </a:stretch>
                  </pic:blipFill>
                  <pic:spPr>
                    <a:xfrm>
                      <a:off x="0" y="0"/>
                      <a:ext cx="2314532" cy="338137"/>
                    </a:xfrm>
                    <a:prstGeom prst="rect">
                      <a:avLst/>
                    </a:prstGeom>
                  </pic:spPr>
                </pic:pic>
              </a:graphicData>
            </a:graphic>
          </wp:inline>
        </w:drawing>
      </w:r>
      <w:r w:rsidRPr="00DB0C40">
        <w:rPr>
          <w:rFonts w:asciiTheme="minorHAnsi" w:eastAsia="Calibri Light" w:hAnsiTheme="minorHAnsi" w:cstheme="minorHAnsi"/>
          <w:spacing w:val="137"/>
          <w:position w:val="17"/>
          <w:sz w:val="22"/>
          <w:szCs w:val="22"/>
        </w:rPr>
        <w:t xml:space="preserve"> </w:t>
      </w:r>
      <w:r w:rsidRPr="00DB0C40">
        <w:rPr>
          <w:rFonts w:asciiTheme="minorHAnsi" w:eastAsia="Calibri Light" w:hAnsiTheme="minorHAnsi" w:cstheme="minorHAnsi"/>
          <w:noProof/>
          <w:spacing w:val="137"/>
          <w:position w:val="44"/>
          <w:sz w:val="22"/>
          <w:szCs w:val="22"/>
        </w:rPr>
        <w:drawing>
          <wp:inline distT="0" distB="0" distL="0" distR="0" wp14:anchorId="14776C5F" wp14:editId="44853DE5">
            <wp:extent cx="162305" cy="155448"/>
            <wp:effectExtent l="0" t="0" r="0" b="0"/>
            <wp:docPr id="333" name="image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75.png"/>
                    <pic:cNvPicPr/>
                  </pic:nvPicPr>
                  <pic:blipFill>
                    <a:blip r:embed="rId34" cstate="print"/>
                    <a:stretch>
                      <a:fillRect/>
                    </a:stretch>
                  </pic:blipFill>
                  <pic:spPr>
                    <a:xfrm>
                      <a:off x="0" y="0"/>
                      <a:ext cx="162305" cy="155448"/>
                    </a:xfrm>
                    <a:prstGeom prst="rect">
                      <a:avLst/>
                    </a:prstGeom>
                  </pic:spPr>
                </pic:pic>
              </a:graphicData>
            </a:graphic>
          </wp:inline>
        </w:drawing>
      </w:r>
    </w:p>
    <w:p w14:paraId="652251F4" w14:textId="77777777" w:rsidR="002557B7" w:rsidRPr="00DB0C40" w:rsidRDefault="002557B7" w:rsidP="002557B7">
      <w:pPr>
        <w:widowControl w:val="0"/>
        <w:autoSpaceDE w:val="0"/>
        <w:autoSpaceDN w:val="0"/>
        <w:spacing w:before="2"/>
        <w:rPr>
          <w:rFonts w:asciiTheme="minorHAnsi" w:eastAsia="Calibri Light" w:hAnsiTheme="minorHAnsi" w:cstheme="minorHAnsi"/>
          <w:sz w:val="22"/>
          <w:szCs w:val="22"/>
        </w:rPr>
      </w:pPr>
    </w:p>
    <w:p w14:paraId="70AEDA53" w14:textId="77777777" w:rsidR="002557B7" w:rsidRPr="00DB0C40" w:rsidRDefault="002557B7" w:rsidP="002557B7">
      <w:pPr>
        <w:widowControl w:val="0"/>
        <w:autoSpaceDE w:val="0"/>
        <w:autoSpaceDN w:val="0"/>
        <w:spacing w:before="1"/>
        <w:ind w:left="119" w:right="156"/>
        <w:jc w:val="both"/>
        <w:rPr>
          <w:rFonts w:asciiTheme="minorHAnsi" w:eastAsia="Calibri Light" w:hAnsiTheme="minorHAnsi" w:cstheme="minorHAnsi"/>
          <w:sz w:val="18"/>
          <w:szCs w:val="18"/>
        </w:rPr>
      </w:pPr>
      <w:r w:rsidRPr="00DB0C40">
        <w:rPr>
          <w:rFonts w:asciiTheme="minorHAnsi" w:eastAsia="Calibri Light" w:hAnsiTheme="minorHAnsi" w:cstheme="minorHAnsi"/>
          <w:sz w:val="18"/>
          <w:szCs w:val="18"/>
        </w:rPr>
        <w:t>Note:</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The</w:t>
      </w:r>
      <w:r w:rsidRPr="00DB0C40">
        <w:rPr>
          <w:rFonts w:asciiTheme="minorHAnsi" w:eastAsia="Calibri Light" w:hAnsiTheme="minorHAnsi" w:cstheme="minorHAnsi"/>
          <w:spacing w:val="-3"/>
          <w:sz w:val="18"/>
          <w:szCs w:val="18"/>
        </w:rPr>
        <w:t xml:space="preserve"> </w:t>
      </w:r>
      <w:r w:rsidRPr="00DB0C40">
        <w:rPr>
          <w:rFonts w:asciiTheme="minorHAnsi" w:eastAsia="Calibri Light" w:hAnsiTheme="minorHAnsi" w:cstheme="minorHAnsi"/>
          <w:sz w:val="18"/>
          <w:szCs w:val="18"/>
        </w:rPr>
        <w:t>data</w:t>
      </w:r>
      <w:r w:rsidRPr="00DB0C40">
        <w:rPr>
          <w:rFonts w:asciiTheme="minorHAnsi" w:eastAsia="Calibri Light" w:hAnsiTheme="minorHAnsi" w:cstheme="minorHAnsi"/>
          <w:spacing w:val="-3"/>
          <w:sz w:val="18"/>
          <w:szCs w:val="18"/>
        </w:rPr>
        <w:t xml:space="preserve"> </w:t>
      </w:r>
      <w:r w:rsidRPr="00DB0C40">
        <w:rPr>
          <w:rFonts w:asciiTheme="minorHAnsi" w:eastAsia="Calibri Light" w:hAnsiTheme="minorHAnsi" w:cstheme="minorHAnsi"/>
          <w:sz w:val="18"/>
          <w:szCs w:val="18"/>
        </w:rPr>
        <w:t>refer</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to</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gross</w:t>
      </w:r>
      <w:r w:rsidRPr="00DB0C40">
        <w:rPr>
          <w:rFonts w:asciiTheme="minorHAnsi" w:eastAsia="Calibri Light" w:hAnsiTheme="minorHAnsi" w:cstheme="minorHAnsi"/>
          <w:spacing w:val="-3"/>
          <w:sz w:val="18"/>
          <w:szCs w:val="18"/>
        </w:rPr>
        <w:t xml:space="preserve"> </w:t>
      </w:r>
      <w:r w:rsidRPr="00DB0C40">
        <w:rPr>
          <w:rFonts w:asciiTheme="minorHAnsi" w:eastAsia="Calibri Light" w:hAnsiTheme="minorHAnsi" w:cstheme="minorHAnsi"/>
          <w:sz w:val="18"/>
          <w:szCs w:val="18"/>
        </w:rPr>
        <w:t>(monthly</w:t>
      </w:r>
      <w:r w:rsidRPr="00DB0C40">
        <w:rPr>
          <w:rFonts w:asciiTheme="minorHAnsi" w:eastAsia="Calibri Light" w:hAnsiTheme="minorHAnsi" w:cstheme="minorHAnsi"/>
          <w:spacing w:val="-6"/>
          <w:sz w:val="18"/>
          <w:szCs w:val="18"/>
        </w:rPr>
        <w:t xml:space="preserve"> </w:t>
      </w:r>
      <w:r w:rsidRPr="00DB0C40">
        <w:rPr>
          <w:rFonts w:asciiTheme="minorHAnsi" w:eastAsia="Calibri Light" w:hAnsiTheme="minorHAnsi" w:cstheme="minorHAnsi"/>
          <w:sz w:val="18"/>
          <w:szCs w:val="18"/>
        </w:rPr>
        <w:t>or</w:t>
      </w:r>
      <w:r w:rsidRPr="00DB0C40">
        <w:rPr>
          <w:rFonts w:asciiTheme="minorHAnsi" w:eastAsia="Calibri Light" w:hAnsiTheme="minorHAnsi" w:cstheme="minorHAnsi"/>
          <w:spacing w:val="-3"/>
          <w:sz w:val="18"/>
          <w:szCs w:val="18"/>
        </w:rPr>
        <w:t xml:space="preserve"> </w:t>
      </w:r>
      <w:r w:rsidRPr="00DB0C40">
        <w:rPr>
          <w:rFonts w:asciiTheme="minorHAnsi" w:eastAsia="Calibri Light" w:hAnsiTheme="minorHAnsi" w:cstheme="minorHAnsi"/>
          <w:sz w:val="18"/>
          <w:szCs w:val="18"/>
        </w:rPr>
        <w:t>weekly)</w:t>
      </w:r>
      <w:r w:rsidRPr="00DB0C40">
        <w:rPr>
          <w:rFonts w:asciiTheme="minorHAnsi" w:eastAsia="Calibri Light" w:hAnsiTheme="minorHAnsi" w:cstheme="minorHAnsi"/>
          <w:spacing w:val="-2"/>
          <w:sz w:val="18"/>
          <w:szCs w:val="18"/>
        </w:rPr>
        <w:t xml:space="preserve"> </w:t>
      </w:r>
      <w:r w:rsidRPr="00DB0C40">
        <w:rPr>
          <w:rFonts w:asciiTheme="minorHAnsi" w:eastAsia="Calibri Light" w:hAnsiTheme="minorHAnsi" w:cstheme="minorHAnsi"/>
          <w:sz w:val="18"/>
          <w:szCs w:val="18"/>
        </w:rPr>
        <w:t>earnings</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of</w:t>
      </w:r>
      <w:r w:rsidRPr="00DB0C40">
        <w:rPr>
          <w:rFonts w:asciiTheme="minorHAnsi" w:eastAsia="Calibri Light" w:hAnsiTheme="minorHAnsi" w:cstheme="minorHAnsi"/>
          <w:spacing w:val="-3"/>
          <w:sz w:val="18"/>
          <w:szCs w:val="18"/>
        </w:rPr>
        <w:t xml:space="preserve"> </w:t>
      </w:r>
      <w:r w:rsidRPr="00DB0C40">
        <w:rPr>
          <w:rFonts w:asciiTheme="minorHAnsi" w:eastAsia="Calibri Light" w:hAnsiTheme="minorHAnsi" w:cstheme="minorHAnsi"/>
          <w:sz w:val="18"/>
          <w:szCs w:val="18"/>
        </w:rPr>
        <w:t>full-time</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wage</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and</w:t>
      </w:r>
      <w:r w:rsidRPr="00DB0C40">
        <w:rPr>
          <w:rFonts w:asciiTheme="minorHAnsi" w:eastAsia="Calibri Light" w:hAnsiTheme="minorHAnsi" w:cstheme="minorHAnsi"/>
          <w:spacing w:val="-3"/>
          <w:sz w:val="18"/>
          <w:szCs w:val="18"/>
        </w:rPr>
        <w:t xml:space="preserve"> </w:t>
      </w:r>
      <w:r w:rsidRPr="00DB0C40">
        <w:rPr>
          <w:rFonts w:asciiTheme="minorHAnsi" w:eastAsia="Calibri Light" w:hAnsiTheme="minorHAnsi" w:cstheme="minorHAnsi"/>
          <w:sz w:val="18"/>
          <w:szCs w:val="18"/>
        </w:rPr>
        <w:t>salary</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workers.</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The</w:t>
      </w:r>
      <w:r w:rsidRPr="00DB0C40">
        <w:rPr>
          <w:rFonts w:asciiTheme="minorHAnsi" w:eastAsia="Calibri Light" w:hAnsiTheme="minorHAnsi" w:cstheme="minorHAnsi"/>
          <w:spacing w:val="-2"/>
          <w:sz w:val="18"/>
          <w:szCs w:val="18"/>
        </w:rPr>
        <w:t xml:space="preserve"> </w:t>
      </w:r>
      <w:r w:rsidRPr="00DB0C40">
        <w:rPr>
          <w:rFonts w:asciiTheme="minorHAnsi" w:eastAsia="Calibri Light" w:hAnsiTheme="minorHAnsi" w:cstheme="minorHAnsi"/>
          <w:sz w:val="18"/>
          <w:szCs w:val="18"/>
        </w:rPr>
        <w:t>data</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for</w:t>
      </w:r>
      <w:r w:rsidRPr="00DB0C40">
        <w:rPr>
          <w:rFonts w:asciiTheme="minorHAnsi" w:eastAsia="Calibri Light" w:hAnsiTheme="minorHAnsi" w:cstheme="minorHAnsi"/>
          <w:spacing w:val="-3"/>
          <w:sz w:val="18"/>
          <w:szCs w:val="18"/>
        </w:rPr>
        <w:t xml:space="preserve"> </w:t>
      </w:r>
      <w:r w:rsidRPr="00DB0C40">
        <w:rPr>
          <w:rFonts w:asciiTheme="minorHAnsi" w:eastAsia="Calibri Light" w:hAnsiTheme="minorHAnsi" w:cstheme="minorHAnsi"/>
          <w:sz w:val="18"/>
          <w:szCs w:val="18"/>
        </w:rPr>
        <w:t>2017</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refer</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to:</w:t>
      </w:r>
      <w:r w:rsidRPr="00DB0C40">
        <w:rPr>
          <w:rFonts w:asciiTheme="minorHAnsi" w:eastAsia="Calibri Light" w:hAnsiTheme="minorHAnsi" w:cstheme="minorHAnsi"/>
          <w:spacing w:val="-3"/>
          <w:sz w:val="18"/>
          <w:szCs w:val="18"/>
        </w:rPr>
        <w:t xml:space="preserve"> </w:t>
      </w:r>
      <w:r w:rsidRPr="00DB0C40">
        <w:rPr>
          <w:rFonts w:asciiTheme="minorHAnsi" w:eastAsia="Calibri Light" w:hAnsiTheme="minorHAnsi" w:cstheme="minorHAnsi"/>
          <w:sz w:val="18"/>
          <w:szCs w:val="18"/>
        </w:rPr>
        <w:t>2012</w:t>
      </w:r>
      <w:r w:rsidRPr="00DB0C40">
        <w:rPr>
          <w:rFonts w:asciiTheme="minorHAnsi" w:eastAsia="Calibri Light" w:hAnsiTheme="minorHAnsi" w:cstheme="minorHAnsi"/>
          <w:spacing w:val="-42"/>
          <w:sz w:val="18"/>
          <w:szCs w:val="18"/>
        </w:rPr>
        <w:t xml:space="preserve"> </w:t>
      </w:r>
      <w:r w:rsidRPr="00DB0C40">
        <w:rPr>
          <w:rFonts w:asciiTheme="minorHAnsi" w:eastAsia="Calibri Light" w:hAnsiTheme="minorHAnsi" w:cstheme="minorHAnsi"/>
          <w:sz w:val="18"/>
          <w:szCs w:val="18"/>
        </w:rPr>
        <w:t>for</w:t>
      </w:r>
      <w:r w:rsidRPr="00DB0C40">
        <w:rPr>
          <w:rFonts w:asciiTheme="minorHAnsi" w:eastAsia="Calibri Light" w:hAnsiTheme="minorHAnsi" w:cstheme="minorHAnsi"/>
          <w:spacing w:val="-6"/>
          <w:sz w:val="18"/>
          <w:szCs w:val="18"/>
        </w:rPr>
        <w:t xml:space="preserve"> </w:t>
      </w:r>
      <w:r w:rsidRPr="00DB0C40">
        <w:rPr>
          <w:rFonts w:asciiTheme="minorHAnsi" w:eastAsia="Calibri Light" w:hAnsiTheme="minorHAnsi" w:cstheme="minorHAnsi"/>
          <w:sz w:val="18"/>
          <w:szCs w:val="18"/>
        </w:rPr>
        <w:t>India;</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2014</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for</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the</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EU,</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France,</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Spain</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and</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Türkiye;</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2015</w:t>
      </w:r>
      <w:r w:rsidRPr="00DB0C40">
        <w:rPr>
          <w:rFonts w:asciiTheme="minorHAnsi" w:eastAsia="Calibri Light" w:hAnsiTheme="minorHAnsi" w:cstheme="minorHAnsi"/>
          <w:spacing w:val="-6"/>
          <w:sz w:val="18"/>
          <w:szCs w:val="18"/>
        </w:rPr>
        <w:t xml:space="preserve"> </w:t>
      </w:r>
      <w:r w:rsidRPr="00DB0C40">
        <w:rPr>
          <w:rFonts w:asciiTheme="minorHAnsi" w:eastAsia="Calibri Light" w:hAnsiTheme="minorHAnsi" w:cstheme="minorHAnsi"/>
          <w:sz w:val="18"/>
          <w:szCs w:val="18"/>
        </w:rPr>
        <w:t>for</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Brazil</w:t>
      </w:r>
      <w:r w:rsidRPr="00DB0C40">
        <w:rPr>
          <w:rFonts w:asciiTheme="minorHAnsi" w:eastAsia="Calibri Light" w:hAnsiTheme="minorHAnsi" w:cstheme="minorHAnsi"/>
          <w:spacing w:val="-6"/>
          <w:sz w:val="18"/>
          <w:szCs w:val="18"/>
        </w:rPr>
        <w:t xml:space="preserve"> </w:t>
      </w:r>
      <w:r w:rsidRPr="00DB0C40">
        <w:rPr>
          <w:rFonts w:asciiTheme="minorHAnsi" w:eastAsia="Calibri Light" w:hAnsiTheme="minorHAnsi" w:cstheme="minorHAnsi"/>
          <w:sz w:val="18"/>
          <w:szCs w:val="18"/>
        </w:rPr>
        <w:t>and</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South</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Africa;</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and</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2016</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for</w:t>
      </w:r>
      <w:r w:rsidRPr="00DB0C40">
        <w:rPr>
          <w:rFonts w:asciiTheme="minorHAnsi" w:eastAsia="Calibri Light" w:hAnsiTheme="minorHAnsi" w:cstheme="minorHAnsi"/>
          <w:spacing w:val="-6"/>
          <w:sz w:val="18"/>
          <w:szCs w:val="18"/>
        </w:rPr>
        <w:t xml:space="preserve"> </w:t>
      </w:r>
      <w:r w:rsidRPr="00DB0C40">
        <w:rPr>
          <w:rFonts w:asciiTheme="minorHAnsi" w:eastAsia="Calibri Light" w:hAnsiTheme="minorHAnsi" w:cstheme="minorHAnsi"/>
          <w:sz w:val="18"/>
          <w:szCs w:val="18"/>
        </w:rPr>
        <w:t>Italy</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and</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Germany.</w:t>
      </w:r>
      <w:r w:rsidRPr="00DB0C40">
        <w:rPr>
          <w:rFonts w:asciiTheme="minorHAnsi" w:eastAsia="Calibri Light" w:hAnsiTheme="minorHAnsi" w:cstheme="minorHAnsi"/>
          <w:spacing w:val="-4"/>
          <w:sz w:val="18"/>
          <w:szCs w:val="18"/>
        </w:rPr>
        <w:t xml:space="preserve"> </w:t>
      </w:r>
      <w:r w:rsidRPr="00DB0C40">
        <w:rPr>
          <w:rFonts w:asciiTheme="minorHAnsi" w:eastAsia="Calibri Light" w:hAnsiTheme="minorHAnsi" w:cstheme="minorHAnsi"/>
          <w:sz w:val="18"/>
          <w:szCs w:val="18"/>
        </w:rPr>
        <w:t>The</w:t>
      </w:r>
      <w:r w:rsidRPr="00DB0C40">
        <w:rPr>
          <w:rFonts w:asciiTheme="minorHAnsi" w:eastAsia="Calibri Light" w:hAnsiTheme="minorHAnsi" w:cstheme="minorHAnsi"/>
          <w:spacing w:val="-5"/>
          <w:sz w:val="18"/>
          <w:szCs w:val="18"/>
        </w:rPr>
        <w:t xml:space="preserve"> </w:t>
      </w:r>
      <w:r w:rsidRPr="00DB0C40">
        <w:rPr>
          <w:rFonts w:asciiTheme="minorHAnsi" w:eastAsia="Calibri Light" w:hAnsiTheme="minorHAnsi" w:cstheme="minorHAnsi"/>
          <w:sz w:val="18"/>
          <w:szCs w:val="18"/>
        </w:rPr>
        <w:t>data</w:t>
      </w:r>
      <w:r w:rsidRPr="00DB0C40">
        <w:rPr>
          <w:rFonts w:asciiTheme="minorHAnsi" w:eastAsia="Calibri Light" w:hAnsiTheme="minorHAnsi" w:cstheme="minorHAnsi"/>
          <w:spacing w:val="-42"/>
          <w:sz w:val="18"/>
          <w:szCs w:val="18"/>
        </w:rPr>
        <w:t xml:space="preserve"> </w:t>
      </w:r>
      <w:r w:rsidRPr="00DB0C40">
        <w:rPr>
          <w:rFonts w:asciiTheme="minorHAnsi" w:eastAsia="Calibri Light" w:hAnsiTheme="minorHAnsi" w:cstheme="minorHAnsi"/>
          <w:sz w:val="18"/>
          <w:szCs w:val="18"/>
        </w:rPr>
        <w:t>for</w:t>
      </w:r>
      <w:r w:rsidRPr="00DB0C40">
        <w:rPr>
          <w:rFonts w:asciiTheme="minorHAnsi" w:eastAsia="Calibri Light" w:hAnsiTheme="minorHAnsi" w:cstheme="minorHAnsi"/>
          <w:spacing w:val="-2"/>
          <w:sz w:val="18"/>
          <w:szCs w:val="18"/>
        </w:rPr>
        <w:t xml:space="preserve"> </w:t>
      </w:r>
      <w:r w:rsidRPr="00DB0C40">
        <w:rPr>
          <w:rFonts w:asciiTheme="minorHAnsi" w:eastAsia="Calibri Light" w:hAnsiTheme="minorHAnsi" w:cstheme="minorHAnsi"/>
          <w:sz w:val="18"/>
          <w:szCs w:val="18"/>
        </w:rPr>
        <w:t>2006</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refer</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to</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2008</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for</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South</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Africa.</w:t>
      </w:r>
    </w:p>
    <w:p w14:paraId="7EFA9670" w14:textId="77777777" w:rsidR="002557B7" w:rsidRPr="00DB0C40" w:rsidRDefault="002557B7" w:rsidP="002557B7">
      <w:pPr>
        <w:widowControl w:val="0"/>
        <w:autoSpaceDE w:val="0"/>
        <w:autoSpaceDN w:val="0"/>
        <w:spacing w:before="120"/>
        <w:ind w:left="119" w:right="156"/>
        <w:jc w:val="both"/>
        <w:rPr>
          <w:rFonts w:asciiTheme="minorHAnsi" w:eastAsia="Calibri Light" w:hAnsiTheme="minorHAnsi" w:cstheme="minorHAnsi"/>
          <w:sz w:val="18"/>
          <w:szCs w:val="18"/>
        </w:rPr>
      </w:pPr>
      <w:r w:rsidRPr="00DB0C40">
        <w:rPr>
          <w:rFonts w:asciiTheme="minorHAnsi" w:eastAsia="Calibri Light" w:hAnsiTheme="minorHAnsi" w:cstheme="minorHAnsi"/>
          <w:sz w:val="18"/>
          <w:szCs w:val="18"/>
        </w:rPr>
        <w:t>Source: OECD Earnings Distribution Database, OECD estimates based on national labour force surveys for Argentina, Brazil,</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India</w:t>
      </w:r>
      <w:r w:rsidRPr="00DB0C40">
        <w:rPr>
          <w:rFonts w:asciiTheme="minorHAnsi" w:eastAsia="Calibri Light" w:hAnsiTheme="minorHAnsi" w:cstheme="minorHAnsi"/>
          <w:spacing w:val="-1"/>
          <w:sz w:val="18"/>
          <w:szCs w:val="18"/>
        </w:rPr>
        <w:t xml:space="preserve"> </w:t>
      </w:r>
      <w:r w:rsidRPr="00DB0C40">
        <w:rPr>
          <w:rFonts w:asciiTheme="minorHAnsi" w:eastAsia="Calibri Light" w:hAnsiTheme="minorHAnsi" w:cstheme="minorHAnsi"/>
          <w:sz w:val="18"/>
          <w:szCs w:val="18"/>
        </w:rPr>
        <w:t>and Indonesia, and the NIDS panel survey</w:t>
      </w:r>
      <w:r w:rsidRPr="00DB0C40">
        <w:rPr>
          <w:rFonts w:asciiTheme="minorHAnsi" w:eastAsia="Calibri Light" w:hAnsiTheme="minorHAnsi" w:cstheme="minorHAnsi"/>
          <w:spacing w:val="-2"/>
          <w:sz w:val="18"/>
          <w:szCs w:val="18"/>
        </w:rPr>
        <w:t xml:space="preserve"> </w:t>
      </w:r>
      <w:r w:rsidRPr="00DB0C40">
        <w:rPr>
          <w:rFonts w:asciiTheme="minorHAnsi" w:eastAsia="Calibri Light" w:hAnsiTheme="minorHAnsi" w:cstheme="minorHAnsi"/>
          <w:sz w:val="18"/>
          <w:szCs w:val="18"/>
        </w:rPr>
        <w:t>for South Africa.</w:t>
      </w:r>
    </w:p>
    <w:p w14:paraId="6E6A434A"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p>
    <w:p w14:paraId="7DA470C7"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r w:rsidRPr="00DB0C40">
        <w:rPr>
          <w:rFonts w:asciiTheme="minorHAnsi" w:eastAsiaTheme="minorHAnsi" w:hAnsiTheme="minorHAnsi" w:cstheme="minorHAnsi"/>
          <w:iCs/>
          <w:sz w:val="22"/>
          <w:szCs w:val="22"/>
        </w:rPr>
        <w:t xml:space="preserve">In terms of policy action to foster greater gender equality in the labour market, 2019’s report noted increased attention towards measures aimed at supporting women through work transitions, in particular returning to work after maternity. In 2020, G20 countries are converging in promoting better family leave </w:t>
      </w:r>
      <w:r w:rsidRPr="00DB0C40">
        <w:rPr>
          <w:rFonts w:asciiTheme="minorHAnsi" w:eastAsiaTheme="minorHAnsi" w:hAnsiTheme="minorHAnsi" w:cstheme="minorHAnsi"/>
          <w:iCs/>
          <w:sz w:val="22"/>
          <w:szCs w:val="22"/>
        </w:rPr>
        <w:lastRenderedPageBreak/>
        <w:t>policies and work‐life balance, taking into consideration that greater choice over time use would be particularly effective within a world of work where everybody needs to be more involved in care. Overall efforts in increasing childcare provisions are re‐confirmed practically in all G20 countries, while more efforts should be undertaken in the context of long‐term care, including care leave provisions. While quality, affordable and inclusive public care services and well‐designed care leave policies for both women and men will help to reduce women’s unpaid work responsibilities, more needs to be done to ensure that men take on a bigger responsibility for unpaid work. There is scope for initiatives, such as well‐tailored awareness‐raising campaigns, that challenge deep‐seated gender stereotypes and change mind‐sets concerning what is the ‘appropriate’ role of women and men at home and at work.</w:t>
      </w:r>
    </w:p>
    <w:p w14:paraId="28878F16"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r w:rsidRPr="00DB0C40">
        <w:rPr>
          <w:rFonts w:asciiTheme="minorHAnsi" w:eastAsiaTheme="minorHAnsi" w:hAnsiTheme="minorHAnsi" w:cstheme="minorHAnsi"/>
          <w:iCs/>
          <w:sz w:val="22"/>
          <w:szCs w:val="22"/>
        </w:rPr>
        <w:t>Reinvigorated efforts are also noticeable in the context of tackling gender‐based discrimination, including pregnancy and maternity status, and violence and harassment in the world of work. However, this is an area that should be further explored as concerns have been raised regarding the use of non‐ standard forms of employment, including in the platform economy, to circumvent the requirement to respect non‐discriminatory provisions and maternity protection legislation for women.</w:t>
      </w:r>
    </w:p>
    <w:p w14:paraId="7388FE27"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r w:rsidRPr="00DB0C40">
        <w:rPr>
          <w:rFonts w:asciiTheme="minorHAnsi" w:eastAsiaTheme="minorHAnsi" w:hAnsiTheme="minorHAnsi" w:cstheme="minorHAnsi"/>
          <w:iCs/>
          <w:sz w:val="22"/>
          <w:szCs w:val="22"/>
        </w:rPr>
        <w:t>Although entrepreneurship development remains a common intervention area among all G20 countries, more efforts should be devoted to ensure that such opportunities embrace all women, including older women. Recognizing their life experience, self‐confidence and willingness to try new things would help to boost economies, including in rural areas, and tackle poverty in old ages, which is a growing concern in many G20 countries. However, it will also be important to ensure that there are adequate employment and social protections in place for these jobs.</w:t>
      </w:r>
    </w:p>
    <w:p w14:paraId="698B2317" w14:textId="77777777" w:rsidR="002557B7" w:rsidRPr="00CD2A61" w:rsidRDefault="002557B7">
      <w:pPr>
        <w:pStyle w:val="ListParagraph"/>
        <w:numPr>
          <w:ilvl w:val="3"/>
          <w:numId w:val="45"/>
        </w:numPr>
        <w:spacing w:after="160" w:line="259" w:lineRule="auto"/>
        <w:jc w:val="both"/>
        <w:rPr>
          <w:rFonts w:asciiTheme="majorHAnsi" w:eastAsiaTheme="majorEastAsia" w:hAnsiTheme="majorHAnsi" w:cstheme="majorBidi"/>
          <w:color w:val="1F3763" w:themeColor="accent1" w:themeShade="7F"/>
        </w:rPr>
      </w:pPr>
      <w:bookmarkStart w:id="83" w:name="_Hlk106961227"/>
      <w:r w:rsidRPr="00CD2A61">
        <w:rPr>
          <w:rFonts w:asciiTheme="majorHAnsi" w:eastAsiaTheme="majorEastAsia" w:hAnsiTheme="majorHAnsi" w:cstheme="majorBidi"/>
          <w:color w:val="1F3763" w:themeColor="accent1" w:themeShade="7F"/>
        </w:rPr>
        <w:t>Indicators Analysed by the World Bank (“Women, Business and the Law”)</w:t>
      </w:r>
    </w:p>
    <w:bookmarkEnd w:id="83"/>
    <w:p w14:paraId="19CE0C30"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Women Business and the Law Reports is a series of annual studies measuring the laws and regulations in 190 economies, in eight areas impacting women’s economic participation – mobility, workplace, pay, marriage, parenthood, entrepreneurship, assets, and pensions. The 2022 Report also includes pilot research on the legal frameworks for available, affordable and quality childcare, as well as on the implementation of laws.</w:t>
      </w:r>
    </w:p>
    <w:p w14:paraId="10B65752"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An important methodological note to be consider is that Data refer to the laws and regulations that are applicable to the main business city (Istanbul). Based on this approach, Türkiye scores 82.5 out of 100. The overall score for Türkiye is only slightly lower than the regional average observed across Europe and Central Asia (84.1). </w:t>
      </w:r>
    </w:p>
    <w:p w14:paraId="3E409C03" w14:textId="5D60DBF7" w:rsidR="002557B7" w:rsidRPr="00DB0C40" w:rsidRDefault="002557B7" w:rsidP="00044DE2">
      <w:pPr>
        <w:spacing w:after="160" w:line="259" w:lineRule="auto"/>
        <w:jc w:val="center"/>
        <w:rPr>
          <w:rFonts w:asciiTheme="minorHAnsi" w:eastAsiaTheme="minorHAnsi" w:hAnsiTheme="minorHAnsi" w:cstheme="minorHAnsi"/>
          <w:b/>
          <w:bCs/>
          <w:sz w:val="22"/>
          <w:szCs w:val="22"/>
        </w:rPr>
      </w:pPr>
      <w:bookmarkStart w:id="84" w:name="_Hlk107137615"/>
      <w:r w:rsidRPr="00DB0C40">
        <w:rPr>
          <w:rFonts w:asciiTheme="minorHAnsi" w:eastAsiaTheme="minorHAnsi" w:hAnsiTheme="minorHAnsi" w:cstheme="minorHAnsi"/>
          <w:b/>
          <w:bCs/>
          <w:sz w:val="22"/>
          <w:szCs w:val="22"/>
        </w:rPr>
        <w:t>Figure</w:t>
      </w:r>
      <w:r w:rsidR="00044DE2" w:rsidRPr="00DB0C40">
        <w:rPr>
          <w:rFonts w:asciiTheme="minorHAnsi" w:eastAsiaTheme="minorHAnsi" w:hAnsiTheme="minorHAnsi" w:cstheme="minorHAnsi"/>
          <w:b/>
          <w:bCs/>
          <w:sz w:val="22"/>
          <w:szCs w:val="22"/>
        </w:rPr>
        <w:t xml:space="preserve"> 5</w:t>
      </w:r>
      <w:r w:rsidRPr="00DB0C40">
        <w:rPr>
          <w:rFonts w:asciiTheme="minorHAnsi" w:eastAsiaTheme="minorHAnsi" w:hAnsiTheme="minorHAnsi" w:cstheme="minorHAnsi"/>
          <w:b/>
          <w:bCs/>
          <w:sz w:val="22"/>
          <w:szCs w:val="22"/>
        </w:rPr>
        <w:t>. Türkiye - Scores for Women, Business and the Law 2022</w:t>
      </w:r>
    </w:p>
    <w:bookmarkEnd w:id="84"/>
    <w:p w14:paraId="4FADF3E8"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noProof/>
          <w:sz w:val="22"/>
          <w:szCs w:val="22"/>
        </w:rPr>
        <w:drawing>
          <wp:inline distT="0" distB="0" distL="0" distR="0" wp14:anchorId="46A45BAC" wp14:editId="2A5DBB63">
            <wp:extent cx="5943600" cy="1086485"/>
            <wp:effectExtent l="0" t="0" r="0" b="0"/>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1086485"/>
                    </a:xfrm>
                    <a:prstGeom prst="rect">
                      <a:avLst/>
                    </a:prstGeom>
                  </pic:spPr>
                </pic:pic>
              </a:graphicData>
            </a:graphic>
          </wp:inline>
        </w:drawing>
      </w:r>
    </w:p>
    <w:p w14:paraId="5F72FCCC" w14:textId="77777777" w:rsidR="002557B7" w:rsidRPr="00DB0C40" w:rsidRDefault="002557B7" w:rsidP="002557B7">
      <w:pPr>
        <w:spacing w:after="160" w:line="259" w:lineRule="auto"/>
        <w:jc w:val="center"/>
        <w:rPr>
          <w:rFonts w:asciiTheme="minorHAnsi" w:eastAsiaTheme="minorHAnsi" w:hAnsiTheme="minorHAnsi" w:cstheme="minorHAnsi"/>
          <w:sz w:val="18"/>
          <w:szCs w:val="18"/>
        </w:rPr>
      </w:pPr>
      <w:r w:rsidRPr="00DB0C40">
        <w:rPr>
          <w:rFonts w:asciiTheme="minorHAnsi" w:eastAsiaTheme="minorHAnsi" w:hAnsiTheme="minorHAnsi" w:cstheme="minorHAnsi"/>
          <w:sz w:val="18"/>
          <w:szCs w:val="18"/>
        </w:rPr>
        <w:t>Source: World Bank, “Women, Business and the Law” (2022)</w:t>
      </w:r>
      <w:r w:rsidRPr="00DB0C40">
        <w:rPr>
          <w:rFonts w:asciiTheme="minorHAnsi" w:eastAsiaTheme="minorHAnsi" w:hAnsiTheme="minorHAnsi" w:cstheme="minorHAnsi"/>
          <w:sz w:val="18"/>
          <w:szCs w:val="18"/>
        </w:rPr>
        <w:br w:type="page"/>
      </w:r>
    </w:p>
    <w:p w14:paraId="5958FF11" w14:textId="77777777" w:rsidR="002557B7" w:rsidRPr="00DB0C40" w:rsidRDefault="002557B7" w:rsidP="002557B7">
      <w:pPr>
        <w:shd w:val="clear" w:color="auto" w:fill="FFFFFF"/>
        <w:jc w:val="both"/>
        <w:rPr>
          <w:rFonts w:asciiTheme="minorHAnsi" w:eastAsia="Times New Roman" w:hAnsiTheme="minorHAnsi" w:cstheme="minorHAnsi"/>
          <w:sz w:val="22"/>
          <w:szCs w:val="22"/>
        </w:rPr>
      </w:pPr>
      <w:r w:rsidRPr="00DB0C40">
        <w:rPr>
          <w:rFonts w:asciiTheme="minorHAnsi" w:eastAsia="Times New Roman" w:hAnsiTheme="minorHAnsi" w:cstheme="minorHAnsi"/>
          <w:sz w:val="22"/>
          <w:szCs w:val="22"/>
        </w:rPr>
        <w:lastRenderedPageBreak/>
        <w:t xml:space="preserve">On relative Strengths, when it comes to constraints on freedom of movement, laws affecting women’s decisions to work, and gender differences in property and inheritance, Türkiye gets a perfect score. </w:t>
      </w:r>
    </w:p>
    <w:p w14:paraId="463E0AAA" w14:textId="77777777" w:rsidR="002557B7" w:rsidRPr="00DB0C40" w:rsidRDefault="002557B7" w:rsidP="002557B7">
      <w:pPr>
        <w:shd w:val="clear" w:color="auto" w:fill="FFFFFF"/>
        <w:jc w:val="both"/>
        <w:rPr>
          <w:rFonts w:asciiTheme="minorHAnsi" w:eastAsia="Times New Roman" w:hAnsiTheme="minorHAnsi" w:cstheme="minorHAnsi"/>
          <w:sz w:val="22"/>
          <w:szCs w:val="22"/>
        </w:rPr>
      </w:pPr>
    </w:p>
    <w:p w14:paraId="552BED47" w14:textId="77777777" w:rsidR="002557B7" w:rsidRPr="00DB0C40" w:rsidRDefault="002557B7" w:rsidP="002557B7">
      <w:pPr>
        <w:shd w:val="clear" w:color="auto" w:fill="FFFFFF"/>
        <w:jc w:val="both"/>
        <w:rPr>
          <w:rFonts w:asciiTheme="minorHAnsi" w:eastAsia="Times New Roman" w:hAnsiTheme="minorHAnsi" w:cstheme="minorHAnsi"/>
          <w:sz w:val="22"/>
          <w:szCs w:val="22"/>
        </w:rPr>
      </w:pPr>
      <w:r w:rsidRPr="00DB0C40">
        <w:rPr>
          <w:rFonts w:asciiTheme="minorHAnsi" w:eastAsia="Times New Roman" w:hAnsiTheme="minorHAnsi" w:cstheme="minorHAnsi"/>
          <w:sz w:val="22"/>
          <w:szCs w:val="22"/>
        </w:rPr>
        <w:t xml:space="preserve">The following Table shows some of the questions considered on “Workplace” and “Pay” and the answer applied. </w:t>
      </w:r>
    </w:p>
    <w:p w14:paraId="113AAE9D" w14:textId="0F0205BA" w:rsidR="002557B7" w:rsidRPr="00DB0C40" w:rsidRDefault="002557B7" w:rsidP="002557B7">
      <w:pPr>
        <w:shd w:val="clear" w:color="auto" w:fill="FFFFFF"/>
        <w:jc w:val="both"/>
        <w:rPr>
          <w:rFonts w:asciiTheme="minorHAnsi" w:eastAsia="Times New Roman" w:hAnsiTheme="minorHAnsi" w:cstheme="minorHAnsi"/>
          <w:sz w:val="22"/>
          <w:szCs w:val="22"/>
        </w:rPr>
      </w:pPr>
    </w:p>
    <w:p w14:paraId="5BA27A60" w14:textId="5A17EE0F" w:rsidR="00044DE2" w:rsidRPr="00DB0C40" w:rsidRDefault="00044DE2" w:rsidP="00EF4332">
      <w:pPr>
        <w:shd w:val="clear" w:color="auto" w:fill="FFFFFF"/>
        <w:jc w:val="center"/>
        <w:rPr>
          <w:rFonts w:asciiTheme="minorHAnsi" w:eastAsia="Times New Roman" w:hAnsiTheme="minorHAnsi" w:cstheme="minorHAnsi"/>
          <w:b/>
          <w:bCs/>
          <w:sz w:val="22"/>
          <w:szCs w:val="22"/>
        </w:rPr>
      </w:pPr>
      <w:bookmarkStart w:id="85" w:name="_Hlk107137784"/>
      <w:r w:rsidRPr="00DB0C40">
        <w:rPr>
          <w:rFonts w:asciiTheme="minorHAnsi" w:eastAsia="Times New Roman" w:hAnsiTheme="minorHAnsi" w:cstheme="minorHAnsi"/>
          <w:b/>
          <w:bCs/>
          <w:sz w:val="22"/>
          <w:szCs w:val="22"/>
        </w:rPr>
        <w:t>Table 3. Law Sources used for the Women Business and the Law Reports</w:t>
      </w:r>
      <w:r w:rsidR="00EF4332" w:rsidRPr="00DB0C40">
        <w:rPr>
          <w:rFonts w:asciiTheme="minorHAnsi" w:eastAsia="Times New Roman" w:hAnsiTheme="minorHAnsi" w:cstheme="minorHAnsi"/>
          <w:b/>
          <w:bCs/>
          <w:sz w:val="22"/>
          <w:szCs w:val="22"/>
        </w:rPr>
        <w:t xml:space="preserve"> in </w:t>
      </w:r>
      <w:proofErr w:type="spellStart"/>
      <w:r w:rsidR="00EF4332" w:rsidRPr="00DB0C40">
        <w:rPr>
          <w:rFonts w:asciiTheme="minorHAnsi" w:eastAsia="Times New Roman" w:hAnsiTheme="minorHAnsi" w:cstheme="minorHAnsi"/>
          <w:b/>
          <w:bCs/>
          <w:sz w:val="22"/>
          <w:szCs w:val="22"/>
        </w:rPr>
        <w:t>Turkiye</w:t>
      </w:r>
      <w:proofErr w:type="spellEnd"/>
    </w:p>
    <w:bookmarkEnd w:id="85"/>
    <w:p w14:paraId="13496D24" w14:textId="77777777" w:rsidR="002557B7" w:rsidRPr="00DB0C40" w:rsidRDefault="002557B7" w:rsidP="002557B7">
      <w:pPr>
        <w:shd w:val="clear" w:color="auto" w:fill="FFFFFF"/>
        <w:jc w:val="both"/>
        <w:rPr>
          <w:rFonts w:asciiTheme="minorHAnsi" w:eastAsia="Times New Roman" w:hAnsiTheme="minorHAnsi" w:cstheme="minorHAnsi"/>
          <w:sz w:val="22"/>
          <w:szCs w:val="22"/>
        </w:rPr>
      </w:pPr>
      <w:r w:rsidRPr="00DB0C40">
        <w:rPr>
          <w:rFonts w:asciiTheme="minorHAnsi" w:eastAsia="Times New Roman" w:hAnsiTheme="minorHAnsi" w:cstheme="minorHAnsi"/>
          <w:sz w:val="22"/>
          <w:szCs w:val="22"/>
        </w:rPr>
        <w:t> </w:t>
      </w:r>
    </w:p>
    <w:tbl>
      <w:tblPr>
        <w:tblStyle w:val="TableGrid3"/>
        <w:tblW w:w="0" w:type="auto"/>
        <w:tblLook w:val="04A0" w:firstRow="1" w:lastRow="0" w:firstColumn="1" w:lastColumn="0" w:noHBand="0" w:noVBand="1"/>
      </w:tblPr>
      <w:tblGrid>
        <w:gridCol w:w="1022"/>
        <w:gridCol w:w="4269"/>
        <w:gridCol w:w="783"/>
        <w:gridCol w:w="3276"/>
      </w:tblGrid>
      <w:tr w:rsidR="002557B7" w:rsidRPr="00DB0C40" w14:paraId="2C7C07CA" w14:textId="77777777" w:rsidTr="00EA37BB">
        <w:tc>
          <w:tcPr>
            <w:tcW w:w="0" w:type="auto"/>
            <w:shd w:val="clear" w:color="auto" w:fill="D9E2F3" w:themeFill="accent1" w:themeFillTint="33"/>
          </w:tcPr>
          <w:p w14:paraId="02ECC916" w14:textId="77777777" w:rsidR="002557B7" w:rsidRPr="00DB0C40" w:rsidRDefault="002557B7" w:rsidP="002557B7">
            <w:pPr>
              <w:jc w:val="both"/>
              <w:rPr>
                <w:rFonts w:eastAsia="Times New Roman" w:cstheme="minorHAnsi"/>
                <w:sz w:val="18"/>
                <w:szCs w:val="18"/>
                <w:lang w:val="en-GB"/>
              </w:rPr>
            </w:pPr>
          </w:p>
        </w:tc>
        <w:tc>
          <w:tcPr>
            <w:tcW w:w="0" w:type="auto"/>
            <w:shd w:val="clear" w:color="auto" w:fill="D9E2F3" w:themeFill="accent1" w:themeFillTint="33"/>
          </w:tcPr>
          <w:p w14:paraId="50EAFDA6" w14:textId="77777777" w:rsidR="002557B7" w:rsidRPr="00DB0C40" w:rsidRDefault="002557B7" w:rsidP="002557B7">
            <w:pPr>
              <w:jc w:val="both"/>
              <w:rPr>
                <w:rFonts w:eastAsia="Times New Roman" w:cstheme="minorHAnsi"/>
                <w:b/>
                <w:bCs/>
                <w:sz w:val="18"/>
                <w:szCs w:val="18"/>
                <w:lang w:val="en-GB"/>
              </w:rPr>
            </w:pPr>
            <w:r w:rsidRPr="00DB0C40">
              <w:rPr>
                <w:rFonts w:eastAsia="Times New Roman" w:cstheme="minorHAnsi"/>
                <w:b/>
                <w:bCs/>
                <w:sz w:val="18"/>
                <w:szCs w:val="18"/>
                <w:lang w:val="en-GB"/>
              </w:rPr>
              <w:t>Question</w:t>
            </w:r>
          </w:p>
        </w:tc>
        <w:tc>
          <w:tcPr>
            <w:tcW w:w="0" w:type="auto"/>
            <w:shd w:val="clear" w:color="auto" w:fill="D9E2F3" w:themeFill="accent1" w:themeFillTint="33"/>
          </w:tcPr>
          <w:p w14:paraId="6211AD09" w14:textId="77777777" w:rsidR="002557B7" w:rsidRPr="00DB0C40" w:rsidRDefault="002557B7" w:rsidP="002557B7">
            <w:pPr>
              <w:jc w:val="both"/>
              <w:rPr>
                <w:rFonts w:eastAsia="Times New Roman" w:cstheme="minorHAnsi"/>
                <w:b/>
                <w:bCs/>
                <w:sz w:val="18"/>
                <w:szCs w:val="18"/>
                <w:lang w:val="en-GB"/>
              </w:rPr>
            </w:pPr>
            <w:r w:rsidRPr="00DB0C40">
              <w:rPr>
                <w:rFonts w:eastAsia="Times New Roman" w:cstheme="minorHAnsi"/>
                <w:b/>
                <w:bCs/>
                <w:sz w:val="18"/>
                <w:szCs w:val="18"/>
                <w:lang w:val="en-GB"/>
              </w:rPr>
              <w:t>Answer</w:t>
            </w:r>
          </w:p>
        </w:tc>
        <w:tc>
          <w:tcPr>
            <w:tcW w:w="0" w:type="auto"/>
            <w:shd w:val="clear" w:color="auto" w:fill="D9E2F3" w:themeFill="accent1" w:themeFillTint="33"/>
          </w:tcPr>
          <w:p w14:paraId="5B281A0B" w14:textId="77777777" w:rsidR="002557B7" w:rsidRPr="00DB0C40" w:rsidRDefault="002557B7" w:rsidP="002557B7">
            <w:pPr>
              <w:jc w:val="both"/>
              <w:rPr>
                <w:rFonts w:eastAsia="Times New Roman" w:cstheme="minorHAnsi"/>
                <w:b/>
                <w:bCs/>
                <w:sz w:val="18"/>
                <w:szCs w:val="18"/>
                <w:lang w:val="en-GB"/>
              </w:rPr>
            </w:pPr>
            <w:r w:rsidRPr="00DB0C40">
              <w:rPr>
                <w:rFonts w:eastAsia="Times New Roman" w:cstheme="minorHAnsi"/>
                <w:b/>
                <w:bCs/>
                <w:sz w:val="18"/>
                <w:szCs w:val="18"/>
                <w:lang w:val="en-GB"/>
              </w:rPr>
              <w:t>Legal Basis</w:t>
            </w:r>
          </w:p>
        </w:tc>
      </w:tr>
      <w:tr w:rsidR="002557B7" w:rsidRPr="00DB0C40" w14:paraId="243293B6" w14:textId="77777777" w:rsidTr="00EA37BB">
        <w:tc>
          <w:tcPr>
            <w:tcW w:w="0" w:type="auto"/>
            <w:shd w:val="clear" w:color="auto" w:fill="B4C6E7" w:themeFill="accent1" w:themeFillTint="66"/>
          </w:tcPr>
          <w:p w14:paraId="2D43AA86" w14:textId="77777777" w:rsidR="002557B7" w:rsidRPr="00DB0C40" w:rsidRDefault="002557B7" w:rsidP="002557B7">
            <w:pPr>
              <w:jc w:val="both"/>
              <w:rPr>
                <w:rFonts w:eastAsia="Times New Roman" w:cstheme="minorHAnsi"/>
                <w:b/>
                <w:bCs/>
                <w:sz w:val="18"/>
                <w:szCs w:val="18"/>
                <w:lang w:val="en-GB"/>
              </w:rPr>
            </w:pPr>
            <w:r w:rsidRPr="00DB0C40">
              <w:rPr>
                <w:rFonts w:eastAsia="Times New Roman" w:cstheme="minorHAnsi"/>
                <w:b/>
                <w:bCs/>
                <w:sz w:val="18"/>
                <w:szCs w:val="18"/>
                <w:lang w:val="en-GB"/>
              </w:rPr>
              <w:t>Mobility</w:t>
            </w:r>
          </w:p>
        </w:tc>
        <w:tc>
          <w:tcPr>
            <w:tcW w:w="0" w:type="auto"/>
            <w:shd w:val="clear" w:color="auto" w:fill="FBE4D5" w:themeFill="accent2" w:themeFillTint="33"/>
          </w:tcPr>
          <w:p w14:paraId="17F19DDD"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 xml:space="preserve">Can a woman choose where to live in the same way as a man? </w:t>
            </w:r>
          </w:p>
        </w:tc>
        <w:tc>
          <w:tcPr>
            <w:tcW w:w="0" w:type="auto"/>
            <w:shd w:val="clear" w:color="auto" w:fill="FBE4D5" w:themeFill="accent2" w:themeFillTint="33"/>
          </w:tcPr>
          <w:p w14:paraId="2B41F031"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sz w:val="18"/>
                <w:szCs w:val="18"/>
                <w:lang w:val="en-GB"/>
              </w:rPr>
              <w:t>Yes</w:t>
            </w:r>
          </w:p>
        </w:tc>
        <w:tc>
          <w:tcPr>
            <w:tcW w:w="0" w:type="auto"/>
            <w:shd w:val="clear" w:color="auto" w:fill="FBE4D5" w:themeFill="accent2" w:themeFillTint="33"/>
          </w:tcPr>
          <w:p w14:paraId="1BA85787"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Civil Code, Art. 186</w:t>
            </w:r>
          </w:p>
        </w:tc>
      </w:tr>
      <w:tr w:rsidR="002557B7" w:rsidRPr="00DB0C40" w14:paraId="30DC7C69" w14:textId="77777777" w:rsidTr="00EA37BB">
        <w:tc>
          <w:tcPr>
            <w:tcW w:w="0" w:type="auto"/>
            <w:vMerge w:val="restart"/>
            <w:shd w:val="clear" w:color="auto" w:fill="B4C6E7" w:themeFill="accent1" w:themeFillTint="66"/>
          </w:tcPr>
          <w:p w14:paraId="43597366" w14:textId="77777777" w:rsidR="002557B7" w:rsidRPr="00DB0C40" w:rsidRDefault="002557B7" w:rsidP="002557B7">
            <w:pPr>
              <w:jc w:val="both"/>
              <w:rPr>
                <w:rFonts w:eastAsia="Times New Roman" w:cstheme="minorHAnsi"/>
                <w:b/>
                <w:bCs/>
                <w:sz w:val="18"/>
                <w:szCs w:val="18"/>
                <w:lang w:val="en-GB"/>
              </w:rPr>
            </w:pPr>
            <w:r w:rsidRPr="00DB0C40">
              <w:rPr>
                <w:rFonts w:eastAsia="Times New Roman" w:cstheme="minorHAnsi"/>
                <w:b/>
                <w:bCs/>
                <w:sz w:val="18"/>
                <w:szCs w:val="18"/>
                <w:lang w:val="en-GB"/>
              </w:rPr>
              <w:t>Workplace</w:t>
            </w:r>
          </w:p>
        </w:tc>
        <w:tc>
          <w:tcPr>
            <w:tcW w:w="0" w:type="auto"/>
            <w:shd w:val="clear" w:color="auto" w:fill="FBE4D5" w:themeFill="accent2" w:themeFillTint="33"/>
          </w:tcPr>
          <w:p w14:paraId="59ACF86E"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 xml:space="preserve">Can a woman get a job in the same way as a man? </w:t>
            </w:r>
          </w:p>
        </w:tc>
        <w:tc>
          <w:tcPr>
            <w:tcW w:w="0" w:type="auto"/>
            <w:shd w:val="clear" w:color="auto" w:fill="FBE4D5" w:themeFill="accent2" w:themeFillTint="33"/>
          </w:tcPr>
          <w:p w14:paraId="5BC36EC6"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sz w:val="18"/>
                <w:szCs w:val="18"/>
                <w:lang w:val="en-GB"/>
              </w:rPr>
              <w:t>Yes</w:t>
            </w:r>
          </w:p>
        </w:tc>
        <w:tc>
          <w:tcPr>
            <w:tcW w:w="0" w:type="auto"/>
            <w:shd w:val="clear" w:color="auto" w:fill="FBE4D5" w:themeFill="accent2" w:themeFillTint="33"/>
          </w:tcPr>
          <w:p w14:paraId="737D8176"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Civil Code, Art. 192</w:t>
            </w:r>
          </w:p>
        </w:tc>
      </w:tr>
      <w:tr w:rsidR="002557B7" w:rsidRPr="00DB0C40" w14:paraId="5560FB89" w14:textId="77777777" w:rsidTr="00EA37BB">
        <w:tc>
          <w:tcPr>
            <w:tcW w:w="0" w:type="auto"/>
            <w:vMerge/>
            <w:shd w:val="clear" w:color="auto" w:fill="B4C6E7" w:themeFill="accent1" w:themeFillTint="66"/>
          </w:tcPr>
          <w:p w14:paraId="159D9B65" w14:textId="77777777" w:rsidR="002557B7" w:rsidRPr="00DB0C40" w:rsidRDefault="002557B7" w:rsidP="002557B7">
            <w:pPr>
              <w:jc w:val="both"/>
              <w:rPr>
                <w:rFonts w:eastAsia="Times New Roman" w:cstheme="minorHAnsi"/>
                <w:b/>
                <w:bCs/>
                <w:sz w:val="18"/>
                <w:szCs w:val="18"/>
                <w:lang w:val="en-GB"/>
              </w:rPr>
            </w:pPr>
          </w:p>
        </w:tc>
        <w:tc>
          <w:tcPr>
            <w:tcW w:w="0" w:type="auto"/>
            <w:shd w:val="clear" w:color="auto" w:fill="FBE4D5" w:themeFill="accent2" w:themeFillTint="33"/>
          </w:tcPr>
          <w:p w14:paraId="5A5F1D99"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 xml:space="preserve">Does the law prohibit discrimination in employment based on gender? </w:t>
            </w:r>
          </w:p>
        </w:tc>
        <w:tc>
          <w:tcPr>
            <w:tcW w:w="0" w:type="auto"/>
            <w:shd w:val="clear" w:color="auto" w:fill="FBE4D5" w:themeFill="accent2" w:themeFillTint="33"/>
          </w:tcPr>
          <w:p w14:paraId="0DFF615C"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sz w:val="18"/>
                <w:szCs w:val="18"/>
                <w:lang w:val="en-GB"/>
              </w:rPr>
              <w:t>Yes</w:t>
            </w:r>
          </w:p>
        </w:tc>
        <w:tc>
          <w:tcPr>
            <w:tcW w:w="0" w:type="auto"/>
            <w:shd w:val="clear" w:color="auto" w:fill="FBE4D5" w:themeFill="accent2" w:themeFillTint="33"/>
          </w:tcPr>
          <w:p w14:paraId="1946B3AE" w14:textId="77777777" w:rsidR="002557B7" w:rsidRPr="00DB0C40" w:rsidRDefault="002557B7" w:rsidP="002557B7">
            <w:pPr>
              <w:jc w:val="both"/>
              <w:rPr>
                <w:rFonts w:eastAsia="Times New Roman" w:cstheme="minorHAnsi"/>
                <w:iCs/>
                <w:sz w:val="18"/>
                <w:szCs w:val="18"/>
                <w:lang w:val="en-GB"/>
              </w:rPr>
            </w:pPr>
            <w:r w:rsidRPr="00DB0C40">
              <w:rPr>
                <w:rFonts w:eastAsia="Times New Roman" w:cstheme="minorHAnsi"/>
                <w:iCs/>
                <w:sz w:val="18"/>
                <w:szCs w:val="18"/>
                <w:lang w:val="en-GB"/>
              </w:rPr>
              <w:t>Labour Act, Art. 5</w:t>
            </w:r>
          </w:p>
          <w:p w14:paraId="4867E8F6"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Law on Human Rights and Equality, Arts. 3 and 6</w:t>
            </w:r>
          </w:p>
        </w:tc>
      </w:tr>
      <w:tr w:rsidR="002557B7" w:rsidRPr="00DB0C40" w14:paraId="330656CE" w14:textId="77777777" w:rsidTr="00EA37BB">
        <w:tc>
          <w:tcPr>
            <w:tcW w:w="0" w:type="auto"/>
            <w:vMerge/>
            <w:shd w:val="clear" w:color="auto" w:fill="B4C6E7" w:themeFill="accent1" w:themeFillTint="66"/>
          </w:tcPr>
          <w:p w14:paraId="049E8C44" w14:textId="77777777" w:rsidR="002557B7" w:rsidRPr="00DB0C40" w:rsidRDefault="002557B7" w:rsidP="002557B7">
            <w:pPr>
              <w:jc w:val="both"/>
              <w:rPr>
                <w:rFonts w:eastAsia="Times New Roman" w:cstheme="minorHAnsi"/>
                <w:b/>
                <w:bCs/>
                <w:sz w:val="18"/>
                <w:szCs w:val="18"/>
                <w:lang w:val="en-GB"/>
              </w:rPr>
            </w:pPr>
          </w:p>
        </w:tc>
        <w:tc>
          <w:tcPr>
            <w:tcW w:w="0" w:type="auto"/>
            <w:shd w:val="clear" w:color="auto" w:fill="FBE4D5" w:themeFill="accent2" w:themeFillTint="33"/>
          </w:tcPr>
          <w:p w14:paraId="5177C9D8"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Is there legislation on sexual harassment in employment?</w:t>
            </w:r>
          </w:p>
        </w:tc>
        <w:tc>
          <w:tcPr>
            <w:tcW w:w="0" w:type="auto"/>
            <w:shd w:val="clear" w:color="auto" w:fill="FBE4D5" w:themeFill="accent2" w:themeFillTint="33"/>
          </w:tcPr>
          <w:p w14:paraId="7B8745B2"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sz w:val="18"/>
                <w:szCs w:val="18"/>
                <w:lang w:val="en-GB"/>
              </w:rPr>
              <w:t>Yes</w:t>
            </w:r>
          </w:p>
        </w:tc>
        <w:tc>
          <w:tcPr>
            <w:tcW w:w="0" w:type="auto"/>
            <w:shd w:val="clear" w:color="auto" w:fill="FBE4D5" w:themeFill="accent2" w:themeFillTint="33"/>
          </w:tcPr>
          <w:p w14:paraId="0F89C2E4"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Penal Code, Art. 105(2); Labour Act, Art. 24(II)(a)</w:t>
            </w:r>
          </w:p>
        </w:tc>
      </w:tr>
      <w:tr w:rsidR="002557B7" w:rsidRPr="00DB0C40" w14:paraId="6E1BC329" w14:textId="77777777" w:rsidTr="00EA37BB">
        <w:tc>
          <w:tcPr>
            <w:tcW w:w="0" w:type="auto"/>
            <w:vMerge/>
            <w:shd w:val="clear" w:color="auto" w:fill="B4C6E7" w:themeFill="accent1" w:themeFillTint="66"/>
          </w:tcPr>
          <w:p w14:paraId="153CFC99" w14:textId="77777777" w:rsidR="002557B7" w:rsidRPr="00DB0C40" w:rsidRDefault="002557B7" w:rsidP="002557B7">
            <w:pPr>
              <w:jc w:val="both"/>
              <w:rPr>
                <w:rFonts w:eastAsia="Times New Roman" w:cstheme="minorHAnsi"/>
                <w:b/>
                <w:bCs/>
                <w:sz w:val="18"/>
                <w:szCs w:val="18"/>
                <w:lang w:val="en-GB"/>
              </w:rPr>
            </w:pPr>
          </w:p>
        </w:tc>
        <w:tc>
          <w:tcPr>
            <w:tcW w:w="0" w:type="auto"/>
            <w:shd w:val="clear" w:color="auto" w:fill="FBE4D5" w:themeFill="accent2" w:themeFillTint="33"/>
          </w:tcPr>
          <w:p w14:paraId="5FB3324D"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Are there criminal penalties or civil remedies for sexual harassment in employment?</w:t>
            </w:r>
          </w:p>
        </w:tc>
        <w:tc>
          <w:tcPr>
            <w:tcW w:w="0" w:type="auto"/>
            <w:shd w:val="clear" w:color="auto" w:fill="FBE4D5" w:themeFill="accent2" w:themeFillTint="33"/>
          </w:tcPr>
          <w:p w14:paraId="789DA111"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sz w:val="18"/>
                <w:szCs w:val="18"/>
                <w:lang w:val="en-GB"/>
              </w:rPr>
              <w:t>Yes</w:t>
            </w:r>
          </w:p>
        </w:tc>
        <w:tc>
          <w:tcPr>
            <w:tcW w:w="0" w:type="auto"/>
            <w:shd w:val="clear" w:color="auto" w:fill="FBE4D5" w:themeFill="accent2" w:themeFillTint="33"/>
          </w:tcPr>
          <w:p w14:paraId="5238F4FF"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Criminal: Penal Code, Art. 105(2) Civil: Penal Code, Art. 50(1)(b)</w:t>
            </w:r>
          </w:p>
        </w:tc>
      </w:tr>
      <w:tr w:rsidR="002557B7" w:rsidRPr="00DB0C40" w14:paraId="3F5B7C05" w14:textId="77777777" w:rsidTr="00EA37BB">
        <w:tc>
          <w:tcPr>
            <w:tcW w:w="0" w:type="auto"/>
            <w:vMerge w:val="restart"/>
            <w:shd w:val="clear" w:color="auto" w:fill="B4C6E7" w:themeFill="accent1" w:themeFillTint="66"/>
          </w:tcPr>
          <w:p w14:paraId="3A1AE4A5" w14:textId="77777777" w:rsidR="002557B7" w:rsidRPr="00DB0C40" w:rsidRDefault="002557B7" w:rsidP="002557B7">
            <w:pPr>
              <w:jc w:val="both"/>
              <w:rPr>
                <w:rFonts w:eastAsia="Times New Roman" w:cstheme="minorHAnsi"/>
                <w:b/>
                <w:bCs/>
                <w:sz w:val="18"/>
                <w:szCs w:val="18"/>
                <w:lang w:val="en-GB"/>
              </w:rPr>
            </w:pPr>
            <w:r w:rsidRPr="00DB0C40">
              <w:rPr>
                <w:rFonts w:eastAsia="Times New Roman" w:cstheme="minorHAnsi"/>
                <w:b/>
                <w:bCs/>
                <w:sz w:val="18"/>
                <w:szCs w:val="18"/>
                <w:lang w:val="en-GB"/>
              </w:rPr>
              <w:t>Pay</w:t>
            </w:r>
          </w:p>
        </w:tc>
        <w:tc>
          <w:tcPr>
            <w:tcW w:w="0" w:type="auto"/>
            <w:shd w:val="clear" w:color="auto" w:fill="FBE4D5" w:themeFill="accent2" w:themeFillTint="33"/>
          </w:tcPr>
          <w:p w14:paraId="34C26562"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Does the law mandate equal remuneration for work of equal value?</w:t>
            </w:r>
          </w:p>
        </w:tc>
        <w:tc>
          <w:tcPr>
            <w:tcW w:w="0" w:type="auto"/>
            <w:shd w:val="clear" w:color="auto" w:fill="FBE4D5" w:themeFill="accent2" w:themeFillTint="33"/>
          </w:tcPr>
          <w:p w14:paraId="20B83978"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sz w:val="18"/>
                <w:szCs w:val="18"/>
                <w:lang w:val="en-GB"/>
              </w:rPr>
              <w:t>Yes</w:t>
            </w:r>
          </w:p>
        </w:tc>
        <w:tc>
          <w:tcPr>
            <w:tcW w:w="0" w:type="auto"/>
            <w:shd w:val="clear" w:color="auto" w:fill="FBE4D5" w:themeFill="accent2" w:themeFillTint="33"/>
          </w:tcPr>
          <w:p w14:paraId="56817467"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Labour Act, Art. 5</w:t>
            </w:r>
          </w:p>
        </w:tc>
      </w:tr>
      <w:tr w:rsidR="002557B7" w:rsidRPr="00DB0C40" w14:paraId="64CA0FAC" w14:textId="77777777" w:rsidTr="00EA37BB">
        <w:tc>
          <w:tcPr>
            <w:tcW w:w="0" w:type="auto"/>
            <w:vMerge/>
            <w:shd w:val="clear" w:color="auto" w:fill="B4C6E7" w:themeFill="accent1" w:themeFillTint="66"/>
          </w:tcPr>
          <w:p w14:paraId="33B1952C" w14:textId="77777777" w:rsidR="002557B7" w:rsidRPr="00DB0C40" w:rsidRDefault="002557B7" w:rsidP="002557B7">
            <w:pPr>
              <w:jc w:val="both"/>
              <w:rPr>
                <w:rFonts w:eastAsia="Times New Roman" w:cstheme="minorHAnsi"/>
                <w:sz w:val="18"/>
                <w:szCs w:val="18"/>
                <w:lang w:val="en-GB"/>
              </w:rPr>
            </w:pPr>
          </w:p>
        </w:tc>
        <w:tc>
          <w:tcPr>
            <w:tcW w:w="0" w:type="auto"/>
            <w:shd w:val="clear" w:color="auto" w:fill="FBE4D5" w:themeFill="accent2" w:themeFillTint="33"/>
          </w:tcPr>
          <w:p w14:paraId="3EB48C28"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Can a woman work at night in the same way as a man?</w:t>
            </w:r>
          </w:p>
        </w:tc>
        <w:tc>
          <w:tcPr>
            <w:tcW w:w="0" w:type="auto"/>
            <w:shd w:val="clear" w:color="auto" w:fill="FBE4D5" w:themeFill="accent2" w:themeFillTint="33"/>
          </w:tcPr>
          <w:p w14:paraId="2F71A5D6"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sz w:val="18"/>
                <w:szCs w:val="18"/>
                <w:lang w:val="en-GB"/>
              </w:rPr>
              <w:t>Yes</w:t>
            </w:r>
          </w:p>
        </w:tc>
        <w:tc>
          <w:tcPr>
            <w:tcW w:w="0" w:type="auto"/>
            <w:shd w:val="clear" w:color="auto" w:fill="FBE4D5" w:themeFill="accent2" w:themeFillTint="33"/>
          </w:tcPr>
          <w:p w14:paraId="35F3CB46"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No restrictions could be located</w:t>
            </w:r>
          </w:p>
        </w:tc>
      </w:tr>
      <w:tr w:rsidR="002557B7" w:rsidRPr="00DB0C40" w14:paraId="598C3F1E" w14:textId="77777777" w:rsidTr="00EA37BB">
        <w:tc>
          <w:tcPr>
            <w:tcW w:w="0" w:type="auto"/>
            <w:vMerge/>
            <w:shd w:val="clear" w:color="auto" w:fill="B4C6E7" w:themeFill="accent1" w:themeFillTint="66"/>
          </w:tcPr>
          <w:p w14:paraId="36C8321F" w14:textId="77777777" w:rsidR="002557B7" w:rsidRPr="00DB0C40" w:rsidRDefault="002557B7" w:rsidP="002557B7">
            <w:pPr>
              <w:jc w:val="both"/>
              <w:rPr>
                <w:rFonts w:eastAsia="Times New Roman" w:cstheme="minorHAnsi"/>
                <w:sz w:val="18"/>
                <w:szCs w:val="18"/>
                <w:lang w:val="en-GB"/>
              </w:rPr>
            </w:pPr>
          </w:p>
        </w:tc>
        <w:tc>
          <w:tcPr>
            <w:tcW w:w="0" w:type="auto"/>
            <w:shd w:val="clear" w:color="auto" w:fill="FBE4D5" w:themeFill="accent2" w:themeFillTint="33"/>
          </w:tcPr>
          <w:p w14:paraId="393793AC"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sz w:val="18"/>
                <w:szCs w:val="18"/>
                <w:lang w:val="en-GB"/>
              </w:rPr>
              <w:t>Can a woman work in a job deemed dangerous in the same way as a man?</w:t>
            </w:r>
          </w:p>
        </w:tc>
        <w:tc>
          <w:tcPr>
            <w:tcW w:w="0" w:type="auto"/>
            <w:shd w:val="clear" w:color="auto" w:fill="FBE4D5" w:themeFill="accent2" w:themeFillTint="33"/>
          </w:tcPr>
          <w:p w14:paraId="2429011B"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sz w:val="18"/>
                <w:szCs w:val="18"/>
                <w:lang w:val="en-GB"/>
              </w:rPr>
              <w:t>Yes</w:t>
            </w:r>
          </w:p>
        </w:tc>
        <w:tc>
          <w:tcPr>
            <w:tcW w:w="0" w:type="auto"/>
            <w:shd w:val="clear" w:color="auto" w:fill="FBE4D5" w:themeFill="accent2" w:themeFillTint="33"/>
          </w:tcPr>
          <w:p w14:paraId="541C378F"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No restrictions could be located</w:t>
            </w:r>
          </w:p>
        </w:tc>
      </w:tr>
      <w:tr w:rsidR="002557B7" w:rsidRPr="00DB0C40" w14:paraId="18FB5399" w14:textId="77777777" w:rsidTr="00EA37BB">
        <w:tc>
          <w:tcPr>
            <w:tcW w:w="0" w:type="auto"/>
            <w:vMerge/>
            <w:shd w:val="clear" w:color="auto" w:fill="B4C6E7" w:themeFill="accent1" w:themeFillTint="66"/>
          </w:tcPr>
          <w:p w14:paraId="745E3764" w14:textId="77777777" w:rsidR="002557B7" w:rsidRPr="00DB0C40" w:rsidRDefault="002557B7" w:rsidP="002557B7">
            <w:pPr>
              <w:jc w:val="both"/>
              <w:rPr>
                <w:rFonts w:eastAsia="Times New Roman" w:cstheme="minorHAnsi"/>
                <w:sz w:val="18"/>
                <w:szCs w:val="18"/>
                <w:lang w:val="en-GB"/>
              </w:rPr>
            </w:pPr>
          </w:p>
        </w:tc>
        <w:tc>
          <w:tcPr>
            <w:tcW w:w="0" w:type="auto"/>
            <w:shd w:val="clear" w:color="auto" w:fill="FBE4D5" w:themeFill="accent2" w:themeFillTint="33"/>
          </w:tcPr>
          <w:p w14:paraId="5D7FDAD5"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 xml:space="preserve">Can a woman work in an industrial job in the same way as a man? </w:t>
            </w:r>
          </w:p>
        </w:tc>
        <w:tc>
          <w:tcPr>
            <w:tcW w:w="0" w:type="auto"/>
            <w:shd w:val="clear" w:color="auto" w:fill="FBE4D5" w:themeFill="accent2" w:themeFillTint="33"/>
          </w:tcPr>
          <w:p w14:paraId="0CFAFF9D"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sz w:val="18"/>
                <w:szCs w:val="18"/>
                <w:lang w:val="en-GB"/>
              </w:rPr>
              <w:t>No</w:t>
            </w:r>
          </w:p>
        </w:tc>
        <w:tc>
          <w:tcPr>
            <w:tcW w:w="0" w:type="auto"/>
            <w:shd w:val="clear" w:color="auto" w:fill="FBE4D5" w:themeFill="accent2" w:themeFillTint="33"/>
          </w:tcPr>
          <w:p w14:paraId="142CE289" w14:textId="77777777" w:rsidR="002557B7" w:rsidRPr="00DB0C40" w:rsidRDefault="002557B7" w:rsidP="002557B7">
            <w:pPr>
              <w:jc w:val="both"/>
              <w:rPr>
                <w:rFonts w:eastAsia="Times New Roman" w:cstheme="minorHAnsi"/>
                <w:sz w:val="18"/>
                <w:szCs w:val="18"/>
                <w:lang w:val="en-GB"/>
              </w:rPr>
            </w:pPr>
            <w:r w:rsidRPr="00DB0C40">
              <w:rPr>
                <w:rFonts w:eastAsia="Times New Roman" w:cstheme="minorHAnsi"/>
                <w:iCs/>
                <w:sz w:val="18"/>
                <w:szCs w:val="18"/>
                <w:lang w:val="en-GB"/>
              </w:rPr>
              <w:t>Labour Act, Art. 72</w:t>
            </w:r>
          </w:p>
        </w:tc>
      </w:tr>
    </w:tbl>
    <w:p w14:paraId="7CC2E666" w14:textId="684C3025" w:rsidR="002557B7" w:rsidRPr="00DB0C40" w:rsidRDefault="00EF4332" w:rsidP="00EF4332">
      <w:pPr>
        <w:shd w:val="clear" w:color="auto" w:fill="FFFFFF"/>
        <w:jc w:val="center"/>
        <w:rPr>
          <w:rFonts w:asciiTheme="minorHAnsi" w:eastAsia="Times New Roman" w:hAnsiTheme="minorHAnsi" w:cstheme="minorHAnsi"/>
          <w:sz w:val="18"/>
          <w:szCs w:val="18"/>
        </w:rPr>
      </w:pPr>
      <w:r w:rsidRPr="00DB0C40">
        <w:rPr>
          <w:rFonts w:asciiTheme="minorHAnsi" w:eastAsia="Times New Roman" w:hAnsiTheme="minorHAnsi" w:cstheme="minorHAnsi"/>
          <w:sz w:val="18"/>
          <w:szCs w:val="18"/>
        </w:rPr>
        <w:t>Source: Women Business and the Law</w:t>
      </w:r>
    </w:p>
    <w:p w14:paraId="5C0DE4BE" w14:textId="14D4C90B" w:rsidR="002557B7" w:rsidRDefault="002557B7" w:rsidP="002557B7">
      <w:pPr>
        <w:spacing w:after="160" w:line="259" w:lineRule="auto"/>
        <w:jc w:val="both"/>
        <w:rPr>
          <w:rFonts w:asciiTheme="minorHAnsi" w:eastAsiaTheme="minorHAnsi" w:hAnsiTheme="minorHAnsi" w:cstheme="minorHAnsi"/>
          <w:iCs/>
          <w:sz w:val="22"/>
          <w:szCs w:val="22"/>
        </w:rPr>
      </w:pPr>
    </w:p>
    <w:p w14:paraId="60169502" w14:textId="767D1480" w:rsidR="00D93026" w:rsidRPr="00D93026" w:rsidRDefault="00D93026" w:rsidP="00D93026">
      <w:pPr>
        <w:rPr>
          <w:rFonts w:asciiTheme="majorHAnsi" w:eastAsiaTheme="majorEastAsia" w:hAnsiTheme="majorHAnsi" w:cstheme="majorBidi"/>
          <w:color w:val="1F3763" w:themeColor="accent1" w:themeShade="7F"/>
        </w:rPr>
      </w:pPr>
      <w:r>
        <w:rPr>
          <w:rFonts w:asciiTheme="majorHAnsi" w:eastAsiaTheme="majorEastAsia" w:hAnsiTheme="majorHAnsi" w:cstheme="majorBidi"/>
          <w:color w:val="1F3763" w:themeColor="accent1" w:themeShade="7F"/>
        </w:rPr>
        <w:t>3.8.2.3</w:t>
      </w:r>
      <w:r w:rsidRPr="00D93026">
        <w:rPr>
          <w:rFonts w:asciiTheme="majorHAnsi" w:eastAsiaTheme="majorEastAsia" w:hAnsiTheme="majorHAnsi" w:cstheme="majorBidi"/>
          <w:color w:val="1F3763" w:themeColor="accent1" w:themeShade="7F"/>
        </w:rPr>
        <w:t xml:space="preserve"> International Labour Standards and other key instruments</w:t>
      </w:r>
    </w:p>
    <w:p w14:paraId="5D5F628A" w14:textId="77777777" w:rsidR="00D93026" w:rsidRPr="00F1136B" w:rsidRDefault="00D93026" w:rsidP="00D93026">
      <w:pPr>
        <w:rPr>
          <w:rFonts w:cstheme="minorHAnsi"/>
          <w:sz w:val="22"/>
          <w:szCs w:val="22"/>
        </w:rPr>
      </w:pPr>
    </w:p>
    <w:p w14:paraId="2F5428CB" w14:textId="5FD34449" w:rsidR="00D93026" w:rsidRPr="00F1136B" w:rsidRDefault="00D93026" w:rsidP="00D93026">
      <w:pPr>
        <w:jc w:val="both"/>
        <w:rPr>
          <w:rFonts w:cstheme="minorHAnsi"/>
          <w:sz w:val="22"/>
          <w:szCs w:val="22"/>
        </w:rPr>
      </w:pPr>
      <w:r>
        <w:rPr>
          <w:rFonts w:cstheme="minorHAnsi"/>
          <w:sz w:val="22"/>
          <w:szCs w:val="22"/>
        </w:rPr>
        <w:t>3.8.2.3.1</w:t>
      </w:r>
      <w:r w:rsidRPr="00F1136B">
        <w:rPr>
          <w:rFonts w:cstheme="minorHAnsi"/>
          <w:sz w:val="22"/>
          <w:szCs w:val="22"/>
        </w:rPr>
        <w:t xml:space="preserve"> The ILO Centenary Declaration for the Future of Work, adopted in 2019, focuses its “human- centred approach” on three areas of action: 1) Increasing investment in people’s capabilities; 2) Increasing investment in the institutions of work; 3) Increasing investment in decent and sustainable work. The Declaration recognizes the challenges posed by technological innovation, demographic shifts, climate change and globalization, and commits the ILO to focusing its efforts on “promoting the acquisition of skills, competencies and qualifications for all workers throughout their working lives as a joint responsibility of governments and social partners.” Specific areas for action include addressing existing and anticipated skills gaps; ensuring that education and training systems are responsive to labour market needs, considering the evolution of work; and enhancing workers’ capacity to make use of the opportunities available for decent work. The Declaration also calls for the achievement of gender equality at work through a transformative agenda that includes the promotion of investment in the care economy.</w:t>
      </w:r>
    </w:p>
    <w:p w14:paraId="4AADB35C" w14:textId="77777777" w:rsidR="00D93026" w:rsidRPr="00F1136B" w:rsidRDefault="00D93026" w:rsidP="00D93026">
      <w:pPr>
        <w:jc w:val="both"/>
        <w:rPr>
          <w:rFonts w:cstheme="minorHAnsi"/>
          <w:sz w:val="22"/>
          <w:szCs w:val="22"/>
        </w:rPr>
      </w:pPr>
      <w:r w:rsidRPr="00F1136B">
        <w:rPr>
          <w:rFonts w:cstheme="minorHAnsi"/>
          <w:sz w:val="22"/>
          <w:szCs w:val="22"/>
        </w:rPr>
        <w:t>-</w:t>
      </w:r>
      <w:r>
        <w:rPr>
          <w:rFonts w:cstheme="minorHAnsi"/>
          <w:sz w:val="22"/>
          <w:szCs w:val="22"/>
        </w:rPr>
        <w:t>2.5.1.2.</w:t>
      </w:r>
      <w:r w:rsidRPr="00F1136B">
        <w:rPr>
          <w:rFonts w:cstheme="minorHAnsi"/>
          <w:sz w:val="22"/>
          <w:szCs w:val="22"/>
        </w:rPr>
        <w:t xml:space="preserve"> The EU Gender Equality Strategy 2020-25 aims to address gender gaps in STEM-related occupations through the “Updated Digital Education Action Plan” and the implementation of the Ministerial Declaration of commitment on “Women in Digital”. The aim of the Declaration is to encourage women to play an active and prominent role in the digital and technology sectors. In addition, the new “European Skills Agenda” places “access to education, training and lifelong learning for everybody, everywhere in the EU” at the heart of building resilience in the aftermath of the COVID-19 crisis. It focuses on skills and upskilling initiatives, increasing the numbers of STEM graduates, and fostering entrepreneurial and transversal skills (Action 7). The EC has put forward a proposal for an “EU Council </w:t>
      </w:r>
      <w:r w:rsidRPr="00F1136B">
        <w:rPr>
          <w:rFonts w:cstheme="minorHAnsi"/>
          <w:sz w:val="22"/>
          <w:szCs w:val="22"/>
        </w:rPr>
        <w:lastRenderedPageBreak/>
        <w:t>recommendation on vocational education and training,” which would address horizontal segregation and gender stereotypes.</w:t>
      </w:r>
    </w:p>
    <w:p w14:paraId="04C6B26F" w14:textId="77777777" w:rsidR="00D93026" w:rsidRPr="00F1136B" w:rsidRDefault="00D93026" w:rsidP="00D93026">
      <w:pPr>
        <w:rPr>
          <w:rFonts w:cstheme="minorHAnsi"/>
          <w:sz w:val="22"/>
          <w:szCs w:val="22"/>
        </w:rPr>
      </w:pPr>
    </w:p>
    <w:p w14:paraId="55B7EFEA" w14:textId="77777777" w:rsidR="00D93026" w:rsidRPr="00F1136B" w:rsidRDefault="00D93026" w:rsidP="00D93026">
      <w:pPr>
        <w:rPr>
          <w:rFonts w:cstheme="minorHAnsi"/>
          <w:sz w:val="22"/>
          <w:szCs w:val="22"/>
        </w:rPr>
      </w:pPr>
      <w:r w:rsidRPr="00F1136B">
        <w:rPr>
          <w:rFonts w:cstheme="minorHAnsi"/>
          <w:sz w:val="22"/>
          <w:szCs w:val="22"/>
        </w:rPr>
        <w:t>Government policies can help to achieve a future of work that is more gender-equal and contributes to the economic empowerment of women by:</w:t>
      </w:r>
    </w:p>
    <w:p w14:paraId="0C7BC891" w14:textId="77777777" w:rsidR="00D93026" w:rsidRPr="00F1136B" w:rsidRDefault="00D93026" w:rsidP="00D93026">
      <w:pPr>
        <w:pStyle w:val="ListParagraph"/>
        <w:numPr>
          <w:ilvl w:val="1"/>
          <w:numId w:val="23"/>
        </w:numPr>
        <w:spacing w:after="200"/>
        <w:rPr>
          <w:rFonts w:asciiTheme="minorHAnsi" w:hAnsiTheme="minorHAnsi" w:cstheme="minorHAnsi"/>
        </w:rPr>
      </w:pPr>
      <w:r w:rsidRPr="00F1136B">
        <w:rPr>
          <w:rFonts w:asciiTheme="minorHAnsi" w:hAnsiTheme="minorHAnsi" w:cstheme="minorHAnsi"/>
        </w:rPr>
        <w:t>facilitating lifelong learning</w:t>
      </w:r>
    </w:p>
    <w:p w14:paraId="03CA0D04" w14:textId="77777777" w:rsidR="00D93026" w:rsidRPr="00F1136B" w:rsidRDefault="00D93026" w:rsidP="00D93026">
      <w:pPr>
        <w:pStyle w:val="ListParagraph"/>
        <w:numPr>
          <w:ilvl w:val="1"/>
          <w:numId w:val="23"/>
        </w:numPr>
        <w:spacing w:after="200"/>
        <w:rPr>
          <w:rFonts w:asciiTheme="minorHAnsi" w:hAnsiTheme="minorHAnsi" w:cstheme="minorHAnsi"/>
        </w:rPr>
      </w:pPr>
      <w:r w:rsidRPr="00F1136B">
        <w:rPr>
          <w:rFonts w:asciiTheme="minorHAnsi" w:hAnsiTheme="minorHAnsi" w:cstheme="minorHAnsi"/>
        </w:rPr>
        <w:t>closing the gender-related digital divide</w:t>
      </w:r>
    </w:p>
    <w:p w14:paraId="7961F79D" w14:textId="77777777" w:rsidR="00D93026" w:rsidRPr="00F1136B" w:rsidRDefault="00D93026" w:rsidP="00D93026">
      <w:pPr>
        <w:pStyle w:val="ListParagraph"/>
        <w:numPr>
          <w:ilvl w:val="1"/>
          <w:numId w:val="23"/>
        </w:numPr>
        <w:spacing w:after="200"/>
        <w:rPr>
          <w:rFonts w:asciiTheme="minorHAnsi" w:hAnsiTheme="minorHAnsi" w:cstheme="minorHAnsi"/>
        </w:rPr>
      </w:pPr>
      <w:r w:rsidRPr="00F1136B">
        <w:rPr>
          <w:rFonts w:asciiTheme="minorHAnsi" w:hAnsiTheme="minorHAnsi" w:cstheme="minorHAnsi"/>
        </w:rPr>
        <w:t>creating and protecting quality jobs in the care economy; and</w:t>
      </w:r>
    </w:p>
    <w:p w14:paraId="3E6545D6" w14:textId="77777777" w:rsidR="00D93026" w:rsidRPr="00F1136B" w:rsidRDefault="00D93026" w:rsidP="00D93026">
      <w:pPr>
        <w:pStyle w:val="ListParagraph"/>
        <w:numPr>
          <w:ilvl w:val="1"/>
          <w:numId w:val="23"/>
        </w:numPr>
        <w:spacing w:after="200"/>
        <w:rPr>
          <w:rFonts w:asciiTheme="minorHAnsi" w:hAnsiTheme="minorHAnsi" w:cstheme="minorHAnsi"/>
        </w:rPr>
      </w:pPr>
      <w:r w:rsidRPr="00F1136B">
        <w:rPr>
          <w:rFonts w:asciiTheme="minorHAnsi" w:hAnsiTheme="minorHAnsi" w:cstheme="minorHAnsi"/>
        </w:rPr>
        <w:t>harnessing technology to promote decent care work.</w:t>
      </w:r>
    </w:p>
    <w:p w14:paraId="4E34E9B3" w14:textId="44AA3FA4" w:rsidR="00D93026" w:rsidRDefault="00D93026" w:rsidP="00D93026">
      <w:pPr>
        <w:rPr>
          <w:rFonts w:cstheme="minorHAnsi"/>
          <w:b/>
          <w:bCs/>
          <w:sz w:val="22"/>
          <w:szCs w:val="22"/>
        </w:rPr>
      </w:pPr>
      <w:r w:rsidRPr="00D93026">
        <w:rPr>
          <w:rFonts w:asciiTheme="majorHAnsi" w:eastAsiaTheme="majorEastAsia" w:hAnsiTheme="majorHAnsi" w:cstheme="majorBidi"/>
          <w:color w:val="1F3763" w:themeColor="accent1" w:themeShade="7F"/>
        </w:rPr>
        <w:t>3.8.</w:t>
      </w:r>
      <w:r>
        <w:rPr>
          <w:rFonts w:asciiTheme="majorHAnsi" w:eastAsiaTheme="majorEastAsia" w:hAnsiTheme="majorHAnsi" w:cstheme="majorBidi"/>
          <w:color w:val="1F3763" w:themeColor="accent1" w:themeShade="7F"/>
        </w:rPr>
        <w:t>2</w:t>
      </w:r>
      <w:r w:rsidRPr="00D93026">
        <w:rPr>
          <w:rFonts w:asciiTheme="majorHAnsi" w:eastAsiaTheme="majorEastAsia" w:hAnsiTheme="majorHAnsi" w:cstheme="majorBidi"/>
          <w:color w:val="1F3763" w:themeColor="accent1" w:themeShade="7F"/>
        </w:rPr>
        <w:t>.4</w:t>
      </w:r>
      <w:r w:rsidRPr="00F1136B">
        <w:rPr>
          <w:rFonts w:cstheme="minorHAnsi"/>
          <w:sz w:val="22"/>
          <w:szCs w:val="22"/>
        </w:rPr>
        <w:t xml:space="preserve"> </w:t>
      </w:r>
      <w:r w:rsidRPr="00D93026">
        <w:rPr>
          <w:rFonts w:asciiTheme="majorHAnsi" w:eastAsiaTheme="majorEastAsia" w:hAnsiTheme="majorHAnsi" w:cstheme="majorBidi"/>
          <w:color w:val="1F3763" w:themeColor="accent1" w:themeShade="7F"/>
        </w:rPr>
        <w:t>Some examples of national legal framework in European countries (Belgium and Denmark)</w:t>
      </w:r>
    </w:p>
    <w:p w14:paraId="5EF65264" w14:textId="77777777" w:rsidR="00D93026" w:rsidRPr="00F1136B" w:rsidRDefault="00D93026" w:rsidP="00D93026">
      <w:pPr>
        <w:rPr>
          <w:rFonts w:cstheme="minorHAnsi"/>
          <w:sz w:val="22"/>
          <w:szCs w:val="22"/>
        </w:rPr>
      </w:pPr>
    </w:p>
    <w:p w14:paraId="2AC3A26B" w14:textId="77777777" w:rsidR="00D93026" w:rsidRPr="00F1136B" w:rsidRDefault="00D93026" w:rsidP="00D93026">
      <w:pPr>
        <w:pBdr>
          <w:top w:val="single" w:sz="4" w:space="1" w:color="auto"/>
          <w:left w:val="single" w:sz="4" w:space="4" w:color="auto"/>
          <w:bottom w:val="single" w:sz="4" w:space="1" w:color="auto"/>
          <w:right w:val="single" w:sz="4" w:space="4" w:color="auto"/>
        </w:pBdr>
        <w:rPr>
          <w:rFonts w:cstheme="minorHAnsi"/>
          <w:b/>
          <w:bCs/>
          <w:sz w:val="22"/>
          <w:szCs w:val="22"/>
        </w:rPr>
      </w:pPr>
      <w:r w:rsidRPr="00F1136B">
        <w:rPr>
          <w:rFonts w:cstheme="minorHAnsi"/>
          <w:b/>
          <w:bCs/>
          <w:sz w:val="22"/>
          <w:szCs w:val="22"/>
        </w:rPr>
        <w:t xml:space="preserve">Breaking down occupational segregation in the care workforce (Belgium)       </w:t>
      </w:r>
    </w:p>
    <w:p w14:paraId="2E3A9F6A" w14:textId="77777777" w:rsidR="00D93026" w:rsidRPr="00F1136B" w:rsidRDefault="00D93026" w:rsidP="00D93026">
      <w:pPr>
        <w:pBdr>
          <w:top w:val="single" w:sz="4" w:space="1" w:color="auto"/>
          <w:left w:val="single" w:sz="4" w:space="4" w:color="auto"/>
          <w:bottom w:val="single" w:sz="4" w:space="1" w:color="auto"/>
          <w:right w:val="single" w:sz="4" w:space="4" w:color="auto"/>
        </w:pBdr>
        <w:rPr>
          <w:rFonts w:cstheme="minorHAnsi"/>
          <w:sz w:val="22"/>
          <w:szCs w:val="22"/>
        </w:rPr>
      </w:pPr>
    </w:p>
    <w:p w14:paraId="1A02765C" w14:textId="77777777" w:rsidR="00D93026" w:rsidRPr="00F1136B" w:rsidRDefault="00D93026" w:rsidP="00D93026">
      <w:pPr>
        <w:pBdr>
          <w:top w:val="single" w:sz="4" w:space="1" w:color="auto"/>
          <w:left w:val="single" w:sz="4" w:space="4" w:color="auto"/>
          <w:bottom w:val="single" w:sz="4" w:space="1" w:color="auto"/>
          <w:right w:val="single" w:sz="4" w:space="4" w:color="auto"/>
        </w:pBdr>
        <w:jc w:val="both"/>
        <w:rPr>
          <w:rFonts w:cstheme="minorHAnsi"/>
          <w:sz w:val="22"/>
          <w:szCs w:val="22"/>
        </w:rPr>
      </w:pPr>
      <w:r w:rsidRPr="00F1136B">
        <w:rPr>
          <w:rFonts w:cstheme="minorHAnsi"/>
          <w:sz w:val="22"/>
          <w:szCs w:val="22"/>
        </w:rPr>
        <w:t>The European Social Fund sponsored a project entitled “Men into Childcare” (2001-2003), to increase the proportion of men working in ECCE, as part of a broader ten-year plan initiated by the European Commission Network on Childcare.48 The objective was to increase gender-neutral professionalism in the childcare sector so as to decrease gender-related bias and social expectations.49 One significant outcome of this project was the shift to a gender- neutral, less emotional term for the members of the profession: “</w:t>
      </w:r>
      <w:proofErr w:type="spellStart"/>
      <w:r w:rsidRPr="00F1136B">
        <w:rPr>
          <w:rFonts w:cstheme="minorHAnsi"/>
          <w:sz w:val="22"/>
          <w:szCs w:val="22"/>
        </w:rPr>
        <w:t>Kinderbegeleiter</w:t>
      </w:r>
      <w:proofErr w:type="spellEnd"/>
      <w:r w:rsidRPr="00F1136B">
        <w:rPr>
          <w:rFonts w:cstheme="minorHAnsi"/>
          <w:sz w:val="22"/>
          <w:szCs w:val="22"/>
        </w:rPr>
        <w:t>”, meaning “companions of children”.</w:t>
      </w:r>
    </w:p>
    <w:p w14:paraId="6B835A85" w14:textId="77777777" w:rsidR="00D93026" w:rsidRPr="00F1136B" w:rsidRDefault="00D93026" w:rsidP="00D93026">
      <w:pPr>
        <w:pBdr>
          <w:top w:val="single" w:sz="4" w:space="1" w:color="auto"/>
          <w:left w:val="single" w:sz="4" w:space="4" w:color="auto"/>
          <w:bottom w:val="single" w:sz="4" w:space="1" w:color="auto"/>
          <w:right w:val="single" w:sz="4" w:space="4" w:color="auto"/>
        </w:pBdr>
        <w:jc w:val="both"/>
        <w:rPr>
          <w:rFonts w:cstheme="minorHAnsi"/>
          <w:sz w:val="22"/>
          <w:szCs w:val="22"/>
        </w:rPr>
      </w:pPr>
      <w:r w:rsidRPr="00F1136B">
        <w:rPr>
          <w:rFonts w:cstheme="minorHAnsi"/>
          <w:sz w:val="22"/>
          <w:szCs w:val="22"/>
        </w:rPr>
        <w:t>In 2002, the Government of the Flanders region of Belgium mandated a more diverse hiring protocol, emphasizing the need for gender and ethnic diversity in hiring. The training was reformed to be more inclusive of men, and the salaries of all employees in day-care centres were increased. To encourage men to work in childcare, the Government of Flanders also sponsored media campaigns and distributed marketing materials. Although the proportion of men working in ECCE in Flanders rose from 0.9 per cent in 2002 to 3.4 per cent in 2010, the EC’s goal of having 20 per cent male representation in this sector was not achieved.</w:t>
      </w:r>
    </w:p>
    <w:p w14:paraId="29349BE0" w14:textId="77777777" w:rsidR="00D93026" w:rsidRPr="00F1136B" w:rsidRDefault="00D93026" w:rsidP="00D93026">
      <w:pPr>
        <w:pBdr>
          <w:top w:val="single" w:sz="4" w:space="1" w:color="auto"/>
          <w:left w:val="single" w:sz="4" w:space="4" w:color="auto"/>
          <w:bottom w:val="single" w:sz="4" w:space="1" w:color="auto"/>
          <w:right w:val="single" w:sz="4" w:space="4" w:color="auto"/>
        </w:pBdr>
        <w:jc w:val="both"/>
        <w:rPr>
          <w:rFonts w:cstheme="minorHAnsi"/>
          <w:sz w:val="22"/>
          <w:szCs w:val="22"/>
        </w:rPr>
      </w:pPr>
      <w:r w:rsidRPr="00F1136B">
        <w:rPr>
          <w:rFonts w:cstheme="minorHAnsi"/>
          <w:sz w:val="22"/>
          <w:szCs w:val="22"/>
        </w:rPr>
        <w:t>In 2012, the Government adopted a new Childcare Law, which established minimum qualifications for working in ECCE, thus creating new skills development opportunities.</w:t>
      </w:r>
    </w:p>
    <w:p w14:paraId="624CA814" w14:textId="77777777" w:rsidR="00D93026" w:rsidRPr="00F1136B" w:rsidRDefault="00D93026" w:rsidP="00D93026">
      <w:pPr>
        <w:rPr>
          <w:rFonts w:cstheme="minorHAnsi"/>
          <w:sz w:val="22"/>
          <w:szCs w:val="22"/>
        </w:rPr>
      </w:pPr>
    </w:p>
    <w:p w14:paraId="31D900F3" w14:textId="77777777" w:rsidR="00D93026" w:rsidRPr="00F1136B" w:rsidRDefault="00D93026" w:rsidP="00D93026">
      <w:pPr>
        <w:rPr>
          <w:rFonts w:cstheme="minorHAnsi"/>
          <w:b/>
          <w:bCs/>
          <w:sz w:val="22"/>
          <w:szCs w:val="22"/>
        </w:rPr>
      </w:pPr>
      <w:r w:rsidRPr="00F1136B">
        <w:rPr>
          <w:rFonts w:cstheme="minorHAnsi"/>
          <w:b/>
          <w:bCs/>
          <w:sz w:val="22"/>
          <w:szCs w:val="22"/>
        </w:rPr>
        <w:t>Supporting lifelong learning (Denmark)</w:t>
      </w:r>
      <w:r w:rsidRPr="00F1136B">
        <w:rPr>
          <w:rFonts w:cstheme="minorHAnsi"/>
          <w:b/>
          <w:bCs/>
          <w:sz w:val="22"/>
          <w:szCs w:val="22"/>
        </w:rPr>
        <w:tab/>
      </w:r>
    </w:p>
    <w:p w14:paraId="6D064384" w14:textId="77777777" w:rsidR="00D93026" w:rsidRPr="00F1136B" w:rsidRDefault="00D93026" w:rsidP="00D93026">
      <w:pPr>
        <w:pBdr>
          <w:top w:val="single" w:sz="4" w:space="1" w:color="auto"/>
          <w:left w:val="single" w:sz="4" w:space="4" w:color="auto"/>
          <w:bottom w:val="single" w:sz="4" w:space="1" w:color="auto"/>
          <w:right w:val="single" w:sz="4" w:space="4" w:color="auto"/>
        </w:pBdr>
        <w:rPr>
          <w:rFonts w:cstheme="minorHAnsi"/>
          <w:sz w:val="22"/>
          <w:szCs w:val="22"/>
        </w:rPr>
      </w:pPr>
    </w:p>
    <w:p w14:paraId="2459059B" w14:textId="77777777" w:rsidR="00D93026" w:rsidRPr="00F1136B" w:rsidRDefault="00D93026" w:rsidP="00D93026">
      <w:pPr>
        <w:pBdr>
          <w:top w:val="single" w:sz="4" w:space="1" w:color="auto"/>
          <w:left w:val="single" w:sz="4" w:space="4" w:color="auto"/>
          <w:bottom w:val="single" w:sz="4" w:space="1" w:color="auto"/>
          <w:right w:val="single" w:sz="4" w:space="4" w:color="auto"/>
        </w:pBdr>
        <w:jc w:val="both"/>
        <w:rPr>
          <w:rFonts w:cstheme="minorHAnsi"/>
          <w:sz w:val="22"/>
          <w:szCs w:val="22"/>
        </w:rPr>
      </w:pPr>
      <w:r w:rsidRPr="00F1136B">
        <w:rPr>
          <w:rFonts w:cstheme="minorHAnsi"/>
          <w:sz w:val="22"/>
          <w:szCs w:val="22"/>
        </w:rPr>
        <w:t>The Government’s lifelong learning policy provides adult education in a variety of formats, from informal learning programmes, e-learning and vocational training to formal programmes delivered in adult education centres. The programme is overseen by five government ministries, and performed in partnership with municipalities, non-profit organizations, research centres and social partners.</w:t>
      </w:r>
    </w:p>
    <w:p w14:paraId="0638DF75" w14:textId="77777777" w:rsidR="00D93026" w:rsidRPr="00F1136B" w:rsidRDefault="00D93026" w:rsidP="00D93026">
      <w:pPr>
        <w:pBdr>
          <w:top w:val="single" w:sz="4" w:space="1" w:color="auto"/>
          <w:left w:val="single" w:sz="4" w:space="4" w:color="auto"/>
          <w:bottom w:val="single" w:sz="4" w:space="1" w:color="auto"/>
          <w:right w:val="single" w:sz="4" w:space="4" w:color="auto"/>
        </w:pBdr>
        <w:jc w:val="both"/>
        <w:rPr>
          <w:rFonts w:cstheme="minorHAnsi"/>
          <w:sz w:val="22"/>
          <w:szCs w:val="22"/>
        </w:rPr>
      </w:pPr>
      <w:r w:rsidRPr="00F1136B">
        <w:rPr>
          <w:rFonts w:cstheme="minorHAnsi"/>
          <w:sz w:val="22"/>
          <w:szCs w:val="22"/>
        </w:rPr>
        <w:t xml:space="preserve">Adult vocational training programmes target both low-skilled and skilled workers, to enable them to maintain their skill levels, up-skill, and acquire new skills as required by the labour market. Some 3,000 adult vocational programmes on two hundred different subjects are on offer, ranging in duration from half a day to six weeks. All adult vocational programmes are publicly financed, developed by social partners, and approved by the Ministry of Education. Participants who are in employment may have to pay modest user fees, which are typically reimbursed by their employers, while the unemployed are exempted. Providers of the training programmes are required to measure and publicly report the satisfaction rates of participants, which serves to maintain ambitious standards. </w:t>
      </w:r>
    </w:p>
    <w:p w14:paraId="4EE13E4E" w14:textId="77777777" w:rsidR="00D93026" w:rsidRPr="00F1136B" w:rsidRDefault="00D93026" w:rsidP="00D93026">
      <w:pPr>
        <w:pBdr>
          <w:top w:val="single" w:sz="4" w:space="1" w:color="auto"/>
          <w:left w:val="single" w:sz="4" w:space="4" w:color="auto"/>
          <w:bottom w:val="single" w:sz="4" w:space="1" w:color="auto"/>
          <w:right w:val="single" w:sz="4" w:space="4" w:color="auto"/>
        </w:pBdr>
        <w:jc w:val="both"/>
        <w:rPr>
          <w:rFonts w:cstheme="minorHAnsi"/>
          <w:sz w:val="22"/>
          <w:szCs w:val="22"/>
        </w:rPr>
      </w:pPr>
      <w:r w:rsidRPr="00F1136B">
        <w:rPr>
          <w:rFonts w:cstheme="minorHAnsi"/>
          <w:sz w:val="22"/>
          <w:szCs w:val="22"/>
        </w:rPr>
        <w:lastRenderedPageBreak/>
        <w:t>The lifelong learning opportunities provided by the general adult education programme are taken up by 90,000 adults each year, with numbers having increased in recent years. Non-formal education programmes attract 700,000 participants annually.</w:t>
      </w:r>
    </w:p>
    <w:p w14:paraId="42317A92" w14:textId="23C32BE1" w:rsidR="00D93026" w:rsidRPr="00DB0C40" w:rsidRDefault="00D93026" w:rsidP="002557B7">
      <w:pPr>
        <w:spacing w:after="160" w:line="259" w:lineRule="auto"/>
        <w:jc w:val="both"/>
        <w:rPr>
          <w:rFonts w:asciiTheme="minorHAnsi" w:eastAsiaTheme="minorHAnsi" w:hAnsiTheme="minorHAnsi" w:cstheme="minorHAnsi"/>
          <w:iCs/>
          <w:sz w:val="22"/>
          <w:szCs w:val="22"/>
        </w:rPr>
      </w:pPr>
    </w:p>
    <w:p w14:paraId="1C0D3972" w14:textId="41F6D667" w:rsidR="002557B7" w:rsidRPr="00CD2A61" w:rsidRDefault="00EF6EB8" w:rsidP="00CD2A61">
      <w:pPr>
        <w:spacing w:after="160" w:line="259" w:lineRule="auto"/>
        <w:jc w:val="both"/>
        <w:rPr>
          <w:rFonts w:asciiTheme="majorHAnsi" w:eastAsiaTheme="majorEastAsia" w:hAnsiTheme="majorHAnsi" w:cstheme="majorBidi"/>
          <w:color w:val="1F3763" w:themeColor="accent1" w:themeShade="7F"/>
        </w:rPr>
      </w:pPr>
      <w:bookmarkStart w:id="86" w:name="_Hlk106961353"/>
      <w:r>
        <w:rPr>
          <w:rFonts w:asciiTheme="majorHAnsi" w:eastAsiaTheme="majorEastAsia" w:hAnsiTheme="majorHAnsi" w:cstheme="majorBidi"/>
          <w:color w:val="1F3763" w:themeColor="accent1" w:themeShade="7F"/>
        </w:rPr>
        <w:t xml:space="preserve">3.8.3 </w:t>
      </w:r>
      <w:r w:rsidRPr="00CD2A61">
        <w:rPr>
          <w:rFonts w:asciiTheme="majorHAnsi" w:eastAsiaTheme="majorEastAsia" w:hAnsiTheme="majorHAnsi" w:cstheme="majorBidi"/>
          <w:color w:val="1F3763" w:themeColor="accent1" w:themeShade="7F"/>
        </w:rPr>
        <w:t>Some Indicators for Türkiye</w:t>
      </w:r>
    </w:p>
    <w:bookmarkEnd w:id="86"/>
    <w:p w14:paraId="42619DE2" w14:textId="77777777" w:rsidR="002557B7" w:rsidRPr="00DB0C40" w:rsidRDefault="002557B7" w:rsidP="002557B7">
      <w:pPr>
        <w:spacing w:after="160" w:line="259" w:lineRule="auto"/>
        <w:jc w:val="both"/>
        <w:rPr>
          <w:rFonts w:asciiTheme="minorHAnsi" w:eastAsiaTheme="minorHAnsi" w:hAnsiTheme="minorHAnsi" w:cstheme="minorHAnsi"/>
          <w:iCs/>
          <w:sz w:val="22"/>
          <w:szCs w:val="22"/>
        </w:rPr>
      </w:pPr>
      <w:r w:rsidRPr="00DB0C40">
        <w:rPr>
          <w:rFonts w:asciiTheme="minorHAnsi" w:eastAsiaTheme="minorHAnsi" w:hAnsiTheme="minorHAnsi" w:cstheme="minorHAnsi"/>
          <w:iCs/>
          <w:sz w:val="22"/>
          <w:szCs w:val="22"/>
        </w:rPr>
        <w:t xml:space="preserve">As we mentioned, the impact of Laws and government policies are key drivers of female labour force participation. We briefly analyse some changes in the labour market from 2015 to 2021 according to some indicators and also some indicators that show social changes of women in Türkiye for the same period. Lastly, we analyse the indicators mentioned for the World Bank’s Women, Business and the Law Database (WBL) for Türkiye on legal restrictions and regulations relating to women’s economic participation and entrepreneurship, including limitations related to accessing institutions, owning and managing property, getting a job (such as restrictions on women’s work, including working at night or in certain industries), building credit, and going to court for the period mentioned. </w:t>
      </w:r>
    </w:p>
    <w:p w14:paraId="35F2CE47" w14:textId="570964A4" w:rsidR="002557B7" w:rsidRPr="00CD2A61" w:rsidRDefault="002557B7">
      <w:pPr>
        <w:pStyle w:val="ListParagraph"/>
        <w:keepNext/>
        <w:keepLines/>
        <w:numPr>
          <w:ilvl w:val="3"/>
          <w:numId w:val="46"/>
        </w:numPr>
        <w:spacing w:before="240" w:after="120" w:line="259" w:lineRule="auto"/>
        <w:outlineLvl w:val="0"/>
        <w:rPr>
          <w:rFonts w:asciiTheme="majorHAnsi" w:eastAsiaTheme="majorEastAsia" w:hAnsiTheme="majorHAnsi" w:cstheme="majorBidi"/>
          <w:color w:val="1F3763" w:themeColor="accent1" w:themeShade="7F"/>
        </w:rPr>
      </w:pPr>
      <w:bookmarkStart w:id="87" w:name="_Hlk106961392"/>
      <w:r w:rsidRPr="00CD2A61">
        <w:rPr>
          <w:rFonts w:asciiTheme="majorHAnsi" w:eastAsiaTheme="majorEastAsia" w:hAnsiTheme="majorHAnsi" w:cstheme="majorBidi"/>
          <w:color w:val="1F3763" w:themeColor="accent1" w:themeShade="7F"/>
        </w:rPr>
        <w:t>Analysis of Data Gender Employment in Türkiye during the Period 2015 – 2021</w:t>
      </w:r>
    </w:p>
    <w:bookmarkEnd w:id="87"/>
    <w:p w14:paraId="3EE05834"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In 2015, according to the Turkish Household Labour Force Survey, the countrywide employment rate stood at 46%. Of those working, only about half were formal wage earners with a permanent job (51%), while one in five were self-employed (4% with employees, 17% without employees). Other workers were split between formal wage earners with a temporary job (4%), informal wage earners (7%) and unpaid family workers (12%), the vast majority of whom worked informally. As a result, the Turkish labour market was also notably characterised by a dual structure with a sharp distinction between formal and informal employment arrangements. Labour market disparities exist throughout the Turkish labour market and are particularly visible when employment rates are disaggregated by gender.</w:t>
      </w:r>
    </w:p>
    <w:p w14:paraId="3FA497A3" w14:textId="6B497D3A"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Here the Report shows  the trends in female employment, from 2015 to 2021 according the data of </w:t>
      </w:r>
      <w:r w:rsidR="00A45334">
        <w:rPr>
          <w:rFonts w:asciiTheme="minorHAnsi" w:eastAsiaTheme="minorHAnsi" w:hAnsiTheme="minorHAnsi" w:cstheme="minorHAnsi"/>
          <w:sz w:val="22"/>
          <w:szCs w:val="22"/>
        </w:rPr>
        <w:t>TURKSTAT</w:t>
      </w:r>
      <w:r w:rsidRPr="00DB0C40">
        <w:rPr>
          <w:rFonts w:asciiTheme="minorHAnsi" w:eastAsiaTheme="minorHAnsi" w:hAnsiTheme="minorHAnsi" w:cstheme="minorHAnsi"/>
          <w:sz w:val="22"/>
          <w:szCs w:val="22"/>
          <w:vertAlign w:val="superscript"/>
        </w:rPr>
        <w:footnoteReference w:id="36"/>
      </w:r>
      <w:r w:rsidRPr="00DB0C40">
        <w:rPr>
          <w:rFonts w:asciiTheme="minorHAnsi" w:eastAsiaTheme="minorHAnsi" w:hAnsiTheme="minorHAnsi" w:cstheme="minorHAnsi"/>
          <w:sz w:val="22"/>
          <w:szCs w:val="22"/>
        </w:rPr>
        <w:t xml:space="preserve"> to show the impact of the legislation on women employment of the year 2016.</w:t>
      </w:r>
    </w:p>
    <w:p w14:paraId="285A0C67" w14:textId="43402877" w:rsidR="002557B7" w:rsidRPr="00CD2A61" w:rsidRDefault="002557B7">
      <w:pPr>
        <w:pStyle w:val="ListParagraph"/>
        <w:keepNext/>
        <w:keepLines/>
        <w:numPr>
          <w:ilvl w:val="4"/>
          <w:numId w:val="46"/>
        </w:numPr>
        <w:spacing w:before="40"/>
        <w:outlineLvl w:val="1"/>
        <w:rPr>
          <w:rFonts w:asciiTheme="majorHAnsi" w:eastAsiaTheme="majorEastAsia" w:hAnsiTheme="majorHAnsi" w:cstheme="majorBidi"/>
          <w:color w:val="1F3763" w:themeColor="accent1" w:themeShade="7F"/>
        </w:rPr>
      </w:pPr>
      <w:bookmarkStart w:id="88" w:name="_Toc92359093"/>
      <w:bookmarkStart w:id="89" w:name="_Hlk107138001"/>
      <w:r w:rsidRPr="00CD2A61">
        <w:rPr>
          <w:rFonts w:asciiTheme="majorHAnsi" w:eastAsiaTheme="majorEastAsia" w:hAnsiTheme="majorHAnsi" w:cstheme="majorBidi"/>
          <w:color w:val="1F3763" w:themeColor="accent1" w:themeShade="7F"/>
        </w:rPr>
        <w:t>Female Employment Rate (2015 – 2021)</w:t>
      </w:r>
      <w:bookmarkEnd w:id="88"/>
      <w:r w:rsidRPr="00CD2A61">
        <w:rPr>
          <w:rFonts w:asciiTheme="majorHAnsi" w:eastAsiaTheme="majorEastAsia" w:hAnsiTheme="majorHAnsi" w:cstheme="majorBidi"/>
          <w:color w:val="1F3763" w:themeColor="accent1" w:themeShade="7F"/>
        </w:rPr>
        <w:t xml:space="preserve"> </w:t>
      </w:r>
    </w:p>
    <w:bookmarkEnd w:id="89"/>
    <w:p w14:paraId="219A8A23" w14:textId="77777777" w:rsidR="002557B7" w:rsidRPr="00DB0C40" w:rsidRDefault="002557B7" w:rsidP="002557B7">
      <w:pPr>
        <w:keepNext/>
        <w:keepLines/>
        <w:spacing w:before="40"/>
        <w:outlineLvl w:val="1"/>
        <w:rPr>
          <w:rFonts w:asciiTheme="minorHAnsi" w:eastAsiaTheme="majorEastAsia" w:hAnsiTheme="minorHAnsi" w:cstheme="minorHAnsi"/>
          <w:b/>
          <w:bCs/>
          <w:sz w:val="22"/>
          <w:szCs w:val="22"/>
        </w:rPr>
      </w:pPr>
    </w:p>
    <w:p w14:paraId="40B21577"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According to the results of the Household Labour Force Survey; in 2015, the proportion of those who were 15 years of age and over and in employment was 32</w:t>
      </w:r>
      <w:r w:rsidRPr="00DB0C40">
        <w:rPr>
          <w:rFonts w:asciiTheme="minorHAnsi" w:eastAsiaTheme="minorHAnsi" w:hAnsiTheme="minorHAnsi" w:cstheme="minorHAnsi"/>
          <w:b/>
          <w:bCs/>
          <w:sz w:val="22"/>
          <w:szCs w:val="22"/>
        </w:rPr>
        <w:t>.</w:t>
      </w:r>
      <w:r w:rsidRPr="00DB0C40">
        <w:rPr>
          <w:rFonts w:asciiTheme="minorHAnsi" w:eastAsiaTheme="minorHAnsi" w:hAnsiTheme="minorHAnsi" w:cstheme="minorHAnsi"/>
          <w:sz w:val="22"/>
          <w:szCs w:val="22"/>
        </w:rPr>
        <w:t>2% for females and 71.0% for males, and the gender gap was 38,8%. The percentage of women and men remained at the same average, declining during 2020 as a consequence of the pandemic to 31.0% for females and 64.0% for males, improving in 2021 to an average similar to that of 2015. (There was an improvement of 0.7% in women’s employment during 2021)</w:t>
      </w:r>
    </w:p>
    <w:p w14:paraId="0AEE4B47" w14:textId="4F06DB03" w:rsidR="002557B7" w:rsidRPr="00DB0C40" w:rsidRDefault="002557B7" w:rsidP="002557B7">
      <w:pPr>
        <w:spacing w:after="160" w:line="259" w:lineRule="auto"/>
        <w:jc w:val="center"/>
        <w:rPr>
          <w:rFonts w:asciiTheme="minorHAnsi" w:eastAsiaTheme="minorHAnsi" w:hAnsiTheme="minorHAnsi" w:cstheme="minorHAnsi"/>
          <w:b/>
          <w:bCs/>
          <w:sz w:val="22"/>
          <w:szCs w:val="22"/>
        </w:rPr>
      </w:pPr>
      <w:bookmarkStart w:id="90" w:name="_Hlk107138055"/>
      <w:r w:rsidRPr="00DB0C40">
        <w:rPr>
          <w:rFonts w:asciiTheme="minorHAnsi" w:eastAsiaTheme="minorHAnsi" w:hAnsiTheme="minorHAnsi" w:cstheme="minorHAnsi"/>
          <w:b/>
          <w:bCs/>
          <w:sz w:val="22"/>
          <w:szCs w:val="22"/>
        </w:rPr>
        <w:t xml:space="preserve">Figure </w:t>
      </w:r>
      <w:r w:rsidR="00EF4332" w:rsidRPr="00DB0C40">
        <w:rPr>
          <w:rFonts w:asciiTheme="minorHAnsi" w:eastAsiaTheme="minorHAnsi" w:hAnsiTheme="minorHAnsi" w:cstheme="minorHAnsi"/>
          <w:b/>
          <w:bCs/>
          <w:sz w:val="22"/>
          <w:szCs w:val="22"/>
        </w:rPr>
        <w:t>6</w:t>
      </w:r>
      <w:r w:rsidRPr="00DB0C40">
        <w:rPr>
          <w:rFonts w:asciiTheme="minorHAnsi" w:eastAsiaTheme="minorHAnsi" w:hAnsiTheme="minorHAnsi" w:cstheme="minorHAnsi"/>
          <w:b/>
          <w:bCs/>
          <w:sz w:val="22"/>
          <w:szCs w:val="22"/>
        </w:rPr>
        <w:t>. Female Employment Rate</w:t>
      </w:r>
      <w:r w:rsidR="00EF4332" w:rsidRPr="00DB0C40">
        <w:rPr>
          <w:rFonts w:asciiTheme="minorHAnsi" w:eastAsiaTheme="majorEastAsia" w:hAnsiTheme="minorHAnsi" w:cstheme="minorHAnsi"/>
          <w:b/>
          <w:bCs/>
          <w:sz w:val="22"/>
          <w:szCs w:val="22"/>
        </w:rPr>
        <w:t xml:space="preserve"> </w:t>
      </w:r>
      <w:r w:rsidR="00EF4332" w:rsidRPr="00DB0C40">
        <w:rPr>
          <w:rFonts w:asciiTheme="minorHAnsi" w:eastAsiaTheme="minorHAnsi" w:hAnsiTheme="minorHAnsi" w:cstheme="minorHAnsi"/>
          <w:b/>
          <w:bCs/>
          <w:sz w:val="22"/>
          <w:szCs w:val="22"/>
        </w:rPr>
        <w:t>Türkiye</w:t>
      </w:r>
      <w:r w:rsidRPr="00DB0C40">
        <w:rPr>
          <w:rFonts w:asciiTheme="minorHAnsi" w:eastAsiaTheme="minorHAnsi" w:hAnsiTheme="minorHAnsi" w:cstheme="minorHAnsi"/>
          <w:b/>
          <w:bCs/>
          <w:sz w:val="22"/>
          <w:szCs w:val="22"/>
        </w:rPr>
        <w:t xml:space="preserve"> (2015 – 2021)</w:t>
      </w:r>
    </w:p>
    <w:bookmarkEnd w:id="90"/>
    <w:p w14:paraId="72CA9C7C" w14:textId="77777777" w:rsidR="002557B7" w:rsidRPr="00DB0C40" w:rsidRDefault="002557B7" w:rsidP="002557B7">
      <w:pPr>
        <w:spacing w:after="160" w:line="259" w:lineRule="auto"/>
        <w:jc w:val="center"/>
        <w:rPr>
          <w:rFonts w:asciiTheme="minorHAnsi" w:eastAsiaTheme="minorHAnsi" w:hAnsiTheme="minorHAnsi" w:cstheme="minorHAnsi"/>
          <w:sz w:val="22"/>
          <w:szCs w:val="22"/>
        </w:rPr>
      </w:pPr>
    </w:p>
    <w:p w14:paraId="61E23C01" w14:textId="77777777" w:rsidR="002557B7" w:rsidRPr="00DB0C40" w:rsidRDefault="002557B7" w:rsidP="002557B7">
      <w:pPr>
        <w:spacing w:after="160" w:line="259" w:lineRule="auto"/>
        <w:jc w:val="center"/>
        <w:rPr>
          <w:rFonts w:asciiTheme="minorHAnsi" w:eastAsiaTheme="minorHAnsi" w:hAnsiTheme="minorHAnsi" w:cstheme="minorHAnsi"/>
          <w:sz w:val="22"/>
          <w:szCs w:val="22"/>
        </w:rPr>
      </w:pPr>
      <w:r w:rsidRPr="00DB0C40">
        <w:rPr>
          <w:rFonts w:asciiTheme="minorHAnsi" w:eastAsiaTheme="minorHAnsi" w:hAnsiTheme="minorHAnsi" w:cstheme="minorHAnsi"/>
          <w:noProof/>
          <w:sz w:val="22"/>
          <w:szCs w:val="22"/>
          <w:lang w:eastAsia="en-GB"/>
        </w:rPr>
        <w:lastRenderedPageBreak/>
        <w:drawing>
          <wp:inline distT="0" distB="0" distL="0" distR="0" wp14:anchorId="68EAA000" wp14:editId="0C091471">
            <wp:extent cx="4718292" cy="2089257"/>
            <wp:effectExtent l="19050" t="19050" r="25400" b="2540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718292" cy="2089257"/>
                    </a:xfrm>
                    <a:prstGeom prst="rect">
                      <a:avLst/>
                    </a:prstGeom>
                    <a:ln w="6350">
                      <a:solidFill>
                        <a:sysClr val="windowText" lastClr="000000"/>
                      </a:solidFill>
                    </a:ln>
                  </pic:spPr>
                </pic:pic>
              </a:graphicData>
            </a:graphic>
          </wp:inline>
        </w:drawing>
      </w:r>
    </w:p>
    <w:p w14:paraId="0227F3A7" w14:textId="69635662" w:rsidR="002557B7" w:rsidRPr="00A45334" w:rsidRDefault="002557B7" w:rsidP="002557B7">
      <w:pPr>
        <w:spacing w:after="160" w:line="259" w:lineRule="auto"/>
        <w:jc w:val="center"/>
        <w:rPr>
          <w:rFonts w:asciiTheme="minorHAnsi" w:eastAsiaTheme="minorHAnsi" w:hAnsiTheme="minorHAnsi" w:cstheme="minorHAnsi"/>
          <w:sz w:val="18"/>
          <w:szCs w:val="18"/>
        </w:rPr>
      </w:pPr>
      <w:bookmarkStart w:id="91" w:name="_Hlk88582683"/>
      <w:r w:rsidRPr="00A45334">
        <w:rPr>
          <w:rFonts w:asciiTheme="minorHAnsi" w:eastAsiaTheme="minorHAnsi" w:hAnsiTheme="minorHAnsi" w:cstheme="minorHAnsi"/>
          <w:sz w:val="18"/>
          <w:szCs w:val="18"/>
        </w:rPr>
        <w:t xml:space="preserve">Source: </w:t>
      </w:r>
      <w:proofErr w:type="spellStart"/>
      <w:r w:rsidR="00A45334">
        <w:rPr>
          <w:rFonts w:asciiTheme="minorHAnsi" w:eastAsiaTheme="minorHAnsi" w:hAnsiTheme="minorHAnsi" w:cstheme="minorHAnsi"/>
          <w:sz w:val="18"/>
          <w:szCs w:val="18"/>
        </w:rPr>
        <w:t>TurkStat</w:t>
      </w:r>
      <w:proofErr w:type="spellEnd"/>
    </w:p>
    <w:bookmarkEnd w:id="91"/>
    <w:p w14:paraId="51BAFD8C" w14:textId="77777777" w:rsidR="002557B7" w:rsidRPr="00DB0C40" w:rsidRDefault="002557B7" w:rsidP="002557B7">
      <w:pPr>
        <w:spacing w:after="160" w:line="259" w:lineRule="auto"/>
        <w:ind w:left="720"/>
        <w:contextualSpacing/>
        <w:rPr>
          <w:rFonts w:asciiTheme="minorHAnsi" w:hAnsiTheme="minorHAnsi" w:cstheme="minorHAnsi"/>
          <w:b/>
          <w:bCs/>
          <w:sz w:val="22"/>
          <w:szCs w:val="22"/>
        </w:rPr>
      </w:pPr>
    </w:p>
    <w:p w14:paraId="0D9DC054" w14:textId="0F1F7516" w:rsidR="002557B7" w:rsidRPr="00CD2A61" w:rsidRDefault="002557B7">
      <w:pPr>
        <w:pStyle w:val="ListParagraph"/>
        <w:keepNext/>
        <w:keepLines/>
        <w:numPr>
          <w:ilvl w:val="4"/>
          <w:numId w:val="46"/>
        </w:numPr>
        <w:spacing w:before="40"/>
        <w:outlineLvl w:val="1"/>
        <w:rPr>
          <w:rFonts w:asciiTheme="majorHAnsi" w:eastAsiaTheme="majorEastAsia" w:hAnsiTheme="majorHAnsi" w:cstheme="majorBidi"/>
          <w:color w:val="1F3763" w:themeColor="accent1" w:themeShade="7F"/>
        </w:rPr>
      </w:pPr>
      <w:bookmarkStart w:id="92" w:name="_Toc92359094"/>
      <w:bookmarkStart w:id="93" w:name="_Hlk107138098"/>
      <w:r w:rsidRPr="00CD2A61">
        <w:rPr>
          <w:rFonts w:asciiTheme="majorHAnsi" w:eastAsiaTheme="majorEastAsia" w:hAnsiTheme="majorHAnsi" w:cstheme="majorBidi"/>
          <w:color w:val="1F3763" w:themeColor="accent1" w:themeShade="7F"/>
        </w:rPr>
        <w:t>Gender Employment Gap (2015 – 2021)</w:t>
      </w:r>
      <w:bookmarkEnd w:id="92"/>
    </w:p>
    <w:bookmarkEnd w:id="93"/>
    <w:p w14:paraId="77E8002C" w14:textId="77777777" w:rsidR="002557B7" w:rsidRPr="00DB0C40" w:rsidRDefault="002557B7" w:rsidP="002557B7">
      <w:pPr>
        <w:keepNext/>
        <w:keepLines/>
        <w:spacing w:before="40"/>
        <w:ind w:left="1080"/>
        <w:contextualSpacing/>
        <w:outlineLvl w:val="1"/>
        <w:rPr>
          <w:rFonts w:asciiTheme="minorHAnsi" w:eastAsiaTheme="majorEastAsia" w:hAnsiTheme="minorHAnsi" w:cstheme="minorHAnsi"/>
          <w:sz w:val="22"/>
          <w:szCs w:val="22"/>
        </w:rPr>
      </w:pPr>
    </w:p>
    <w:p w14:paraId="1A5B97E4"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gender employment gap is defined by Eurostat as the difference between the employment rates of men and women aged 20–64. Hidden behind this indicator is the reality of millions of women who are unable to participate in the labour market. These include women who would like to have a job but who cannot take one due to family responsibilities, women who cannot secure a job under the right conditions, one that offers fair treatment, good job quality and equal pay, and women who seek to avoid segregation into the traditional ‘women’s’ sectors.</w:t>
      </w:r>
    </w:p>
    <w:p w14:paraId="46DEBBB4"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In Türkiye, the employed rate gap by gender (%) starts with 36.4% in 2015, moves to 34.9% in 2018, 32.6% in 2020 during the pandemic, and returns to 35.7% in 2021. </w:t>
      </w:r>
    </w:p>
    <w:p w14:paraId="69D3B2DE"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p>
    <w:p w14:paraId="7981DD9D" w14:textId="1A27AC60" w:rsidR="002557B7" w:rsidRPr="00DB0C40" w:rsidRDefault="002557B7" w:rsidP="002557B7">
      <w:pPr>
        <w:spacing w:after="160" w:line="259" w:lineRule="auto"/>
        <w:jc w:val="center"/>
        <w:rPr>
          <w:rFonts w:asciiTheme="minorHAnsi" w:eastAsiaTheme="minorHAnsi" w:hAnsiTheme="minorHAnsi" w:cstheme="minorHAnsi"/>
          <w:b/>
          <w:bCs/>
          <w:sz w:val="22"/>
          <w:szCs w:val="22"/>
        </w:rPr>
      </w:pPr>
      <w:bookmarkStart w:id="94" w:name="_Hlk107138180"/>
      <w:r w:rsidRPr="00DB0C40">
        <w:rPr>
          <w:rFonts w:asciiTheme="minorHAnsi" w:eastAsiaTheme="minorHAnsi" w:hAnsiTheme="minorHAnsi" w:cstheme="minorHAnsi"/>
          <w:b/>
          <w:bCs/>
          <w:sz w:val="22"/>
          <w:szCs w:val="22"/>
        </w:rPr>
        <w:t xml:space="preserve">Figure </w:t>
      </w:r>
      <w:r w:rsidR="00AD2223" w:rsidRPr="00DB0C40">
        <w:rPr>
          <w:rFonts w:asciiTheme="minorHAnsi" w:eastAsiaTheme="minorHAnsi" w:hAnsiTheme="minorHAnsi" w:cstheme="minorHAnsi"/>
          <w:b/>
          <w:bCs/>
          <w:sz w:val="22"/>
          <w:szCs w:val="22"/>
        </w:rPr>
        <w:t>7</w:t>
      </w:r>
      <w:r w:rsidRPr="00DB0C40">
        <w:rPr>
          <w:rFonts w:asciiTheme="minorHAnsi" w:eastAsiaTheme="minorHAnsi" w:hAnsiTheme="minorHAnsi" w:cstheme="minorHAnsi"/>
          <w:b/>
          <w:bCs/>
          <w:sz w:val="22"/>
          <w:szCs w:val="22"/>
        </w:rPr>
        <w:t>. Employed Rate by gender</w:t>
      </w:r>
      <w:r w:rsidR="00AD2223" w:rsidRPr="00DB0C40">
        <w:rPr>
          <w:rFonts w:asciiTheme="minorHAnsi" w:eastAsiaTheme="minorHAnsi" w:hAnsiTheme="minorHAnsi" w:cstheme="minorHAnsi"/>
          <w:b/>
          <w:bCs/>
          <w:sz w:val="22"/>
          <w:szCs w:val="22"/>
        </w:rPr>
        <w:t xml:space="preserve"> </w:t>
      </w:r>
      <w:r w:rsidR="00EF4332" w:rsidRPr="00DB0C40">
        <w:rPr>
          <w:rFonts w:asciiTheme="minorHAnsi" w:eastAsiaTheme="minorHAnsi" w:hAnsiTheme="minorHAnsi" w:cstheme="minorHAnsi"/>
          <w:b/>
          <w:bCs/>
          <w:sz w:val="22"/>
          <w:szCs w:val="22"/>
        </w:rPr>
        <w:t>Türkiye</w:t>
      </w:r>
      <w:r w:rsidRPr="00DB0C40">
        <w:rPr>
          <w:rFonts w:asciiTheme="minorHAnsi" w:eastAsiaTheme="minorHAnsi" w:hAnsiTheme="minorHAnsi" w:cstheme="minorHAnsi"/>
          <w:b/>
          <w:bCs/>
          <w:sz w:val="22"/>
          <w:szCs w:val="22"/>
        </w:rPr>
        <w:t xml:space="preserve"> (%) (2015 - 2021)</w:t>
      </w:r>
    </w:p>
    <w:bookmarkEnd w:id="94"/>
    <w:p w14:paraId="061FD09E" w14:textId="77777777" w:rsidR="002557B7" w:rsidRPr="00DB0C40" w:rsidRDefault="002557B7" w:rsidP="002557B7">
      <w:pPr>
        <w:spacing w:after="160" w:line="259" w:lineRule="auto"/>
        <w:jc w:val="center"/>
        <w:rPr>
          <w:rFonts w:asciiTheme="minorHAnsi" w:eastAsiaTheme="minorHAnsi" w:hAnsiTheme="minorHAnsi" w:cstheme="minorHAnsi"/>
          <w:sz w:val="22"/>
          <w:szCs w:val="22"/>
        </w:rPr>
      </w:pPr>
      <w:r w:rsidRPr="00DB0C40">
        <w:rPr>
          <w:rFonts w:asciiTheme="minorHAnsi" w:eastAsiaTheme="minorHAnsi" w:hAnsiTheme="minorHAnsi" w:cstheme="minorHAnsi"/>
          <w:noProof/>
          <w:sz w:val="22"/>
          <w:szCs w:val="22"/>
          <w:lang w:eastAsia="en-GB"/>
        </w:rPr>
        <w:drawing>
          <wp:inline distT="0" distB="0" distL="0" distR="0" wp14:anchorId="5361F0DE" wp14:editId="6F6248DE">
            <wp:extent cx="4584700" cy="276796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584700" cy="2767965"/>
                    </a:xfrm>
                    <a:prstGeom prst="rect">
                      <a:avLst/>
                    </a:prstGeom>
                    <a:noFill/>
                  </pic:spPr>
                </pic:pic>
              </a:graphicData>
            </a:graphic>
          </wp:inline>
        </w:drawing>
      </w:r>
    </w:p>
    <w:p w14:paraId="0D92E530" w14:textId="28ABD5BD" w:rsidR="002557B7" w:rsidRPr="00A45334" w:rsidRDefault="002557B7" w:rsidP="002557B7">
      <w:pPr>
        <w:spacing w:after="160" w:line="259" w:lineRule="auto"/>
        <w:jc w:val="center"/>
        <w:rPr>
          <w:rFonts w:asciiTheme="minorHAnsi" w:eastAsiaTheme="minorHAnsi" w:hAnsiTheme="minorHAnsi" w:cstheme="minorHAnsi"/>
          <w:sz w:val="18"/>
          <w:szCs w:val="18"/>
        </w:rPr>
      </w:pPr>
      <w:r w:rsidRPr="00A45334">
        <w:rPr>
          <w:rFonts w:asciiTheme="minorHAnsi" w:eastAsiaTheme="minorHAnsi" w:hAnsiTheme="minorHAnsi" w:cstheme="minorHAnsi"/>
          <w:sz w:val="18"/>
          <w:szCs w:val="18"/>
        </w:rPr>
        <w:lastRenderedPageBreak/>
        <w:t xml:space="preserve">Source: </w:t>
      </w:r>
      <w:proofErr w:type="spellStart"/>
      <w:r w:rsidR="00A45334" w:rsidRPr="00A45334">
        <w:rPr>
          <w:rFonts w:asciiTheme="minorHAnsi" w:eastAsiaTheme="minorHAnsi" w:hAnsiTheme="minorHAnsi" w:cstheme="minorHAnsi"/>
          <w:sz w:val="18"/>
          <w:szCs w:val="18"/>
        </w:rPr>
        <w:t>T</w:t>
      </w:r>
      <w:r w:rsidR="00A45334">
        <w:rPr>
          <w:rFonts w:asciiTheme="minorHAnsi" w:eastAsiaTheme="minorHAnsi" w:hAnsiTheme="minorHAnsi" w:cstheme="minorHAnsi"/>
          <w:sz w:val="18"/>
          <w:szCs w:val="18"/>
        </w:rPr>
        <w:t>urkStat</w:t>
      </w:r>
      <w:proofErr w:type="spellEnd"/>
    </w:p>
    <w:p w14:paraId="576F2738"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But the employment gap can be better understood with a rise, sometimes sharp, in unemployment. In 2015, 12.7% of women were unemployed (Instead of 9.3% of men) - a gender gap of -3,4%. In 2016, the gap increases to -4.6%, and then decreases to -3.2% in 2018. In 2020, during the pandemic, the gender gap was 1.7%, but returned to -4.6% in 2021. </w:t>
      </w:r>
    </w:p>
    <w:p w14:paraId="71C0A8F7" w14:textId="7D46B104" w:rsidR="00AD2223" w:rsidRPr="00DB0C40" w:rsidRDefault="002557B7" w:rsidP="00AD2223">
      <w:pPr>
        <w:spacing w:after="160" w:line="259" w:lineRule="auto"/>
        <w:jc w:val="center"/>
        <w:rPr>
          <w:rFonts w:asciiTheme="minorHAnsi" w:eastAsiaTheme="minorHAnsi" w:hAnsiTheme="minorHAnsi" w:cstheme="minorHAnsi"/>
          <w:b/>
          <w:bCs/>
          <w:sz w:val="22"/>
          <w:szCs w:val="22"/>
        </w:rPr>
      </w:pPr>
      <w:bookmarkStart w:id="95" w:name="_Hlk107138220"/>
      <w:r w:rsidRPr="00DB0C40">
        <w:rPr>
          <w:rFonts w:asciiTheme="minorHAnsi" w:eastAsiaTheme="minorHAnsi" w:hAnsiTheme="minorHAnsi" w:cstheme="minorHAnsi"/>
          <w:b/>
          <w:bCs/>
          <w:sz w:val="22"/>
          <w:szCs w:val="22"/>
        </w:rPr>
        <w:t xml:space="preserve">Figure </w:t>
      </w:r>
      <w:r w:rsidR="00AD2223" w:rsidRPr="00DB0C40">
        <w:rPr>
          <w:rFonts w:asciiTheme="minorHAnsi" w:eastAsiaTheme="minorHAnsi" w:hAnsiTheme="minorHAnsi" w:cstheme="minorHAnsi"/>
          <w:b/>
          <w:bCs/>
          <w:sz w:val="22"/>
          <w:szCs w:val="22"/>
        </w:rPr>
        <w:t>8</w:t>
      </w:r>
      <w:r w:rsidRPr="00DB0C40">
        <w:rPr>
          <w:rFonts w:asciiTheme="minorHAnsi" w:eastAsiaTheme="minorHAnsi" w:hAnsiTheme="minorHAnsi" w:cstheme="minorHAnsi"/>
          <w:b/>
          <w:bCs/>
          <w:sz w:val="22"/>
          <w:szCs w:val="22"/>
        </w:rPr>
        <w:t>.  Unemployment rate by gender</w:t>
      </w:r>
      <w:r w:rsidR="00AD2223" w:rsidRPr="00DB0C40">
        <w:rPr>
          <w:rFonts w:asciiTheme="minorHAnsi" w:eastAsiaTheme="minorHAnsi" w:hAnsiTheme="minorHAnsi" w:cstheme="minorHAnsi"/>
          <w:b/>
          <w:bCs/>
          <w:sz w:val="22"/>
          <w:szCs w:val="22"/>
        </w:rPr>
        <w:t xml:space="preserve"> </w:t>
      </w:r>
      <w:r w:rsidR="00EF4332" w:rsidRPr="00DB0C40">
        <w:rPr>
          <w:rFonts w:asciiTheme="minorHAnsi" w:eastAsiaTheme="minorHAnsi" w:hAnsiTheme="minorHAnsi" w:cstheme="minorHAnsi"/>
          <w:b/>
          <w:bCs/>
          <w:sz w:val="22"/>
          <w:szCs w:val="22"/>
        </w:rPr>
        <w:t>Türkiye</w:t>
      </w:r>
      <w:r w:rsidR="00AD2223" w:rsidRPr="00DB0C40">
        <w:rPr>
          <w:rFonts w:asciiTheme="minorHAnsi" w:eastAsiaTheme="minorHAnsi" w:hAnsiTheme="minorHAnsi" w:cstheme="minorHAnsi"/>
          <w:b/>
          <w:bCs/>
          <w:sz w:val="22"/>
          <w:szCs w:val="22"/>
        </w:rPr>
        <w:t xml:space="preserve"> (%) (2015 - 2021)</w:t>
      </w:r>
    </w:p>
    <w:bookmarkEnd w:id="95"/>
    <w:p w14:paraId="5E4085CE" w14:textId="071EEEDD" w:rsidR="002557B7" w:rsidRPr="00DB0C40" w:rsidRDefault="002557B7" w:rsidP="002557B7">
      <w:pPr>
        <w:spacing w:after="160" w:line="259" w:lineRule="auto"/>
        <w:jc w:val="center"/>
        <w:rPr>
          <w:rFonts w:asciiTheme="minorHAnsi" w:eastAsiaTheme="minorHAnsi" w:hAnsiTheme="minorHAnsi" w:cstheme="minorHAnsi"/>
          <w:b/>
          <w:bCs/>
          <w:sz w:val="22"/>
          <w:szCs w:val="22"/>
        </w:rPr>
      </w:pPr>
      <w:r w:rsidRPr="00DB0C40">
        <w:rPr>
          <w:rFonts w:asciiTheme="minorHAnsi" w:eastAsiaTheme="minorHAnsi" w:hAnsiTheme="minorHAnsi" w:cstheme="minorHAnsi"/>
          <w:b/>
          <w:bCs/>
          <w:sz w:val="22"/>
          <w:szCs w:val="22"/>
        </w:rPr>
        <w:t xml:space="preserve"> (%) (2015 – 2021)</w:t>
      </w:r>
    </w:p>
    <w:p w14:paraId="6C5A1057" w14:textId="77777777" w:rsidR="002557B7" w:rsidRPr="00DB0C40" w:rsidRDefault="002557B7" w:rsidP="002557B7">
      <w:pPr>
        <w:spacing w:after="160" w:line="259" w:lineRule="auto"/>
        <w:jc w:val="center"/>
        <w:rPr>
          <w:rFonts w:asciiTheme="minorHAnsi" w:eastAsiaTheme="minorHAnsi" w:hAnsiTheme="minorHAnsi" w:cstheme="minorHAnsi"/>
          <w:sz w:val="22"/>
          <w:szCs w:val="22"/>
        </w:rPr>
      </w:pPr>
      <w:r w:rsidRPr="00DB0C40">
        <w:rPr>
          <w:rFonts w:asciiTheme="minorHAnsi" w:eastAsiaTheme="minorHAnsi" w:hAnsiTheme="minorHAnsi" w:cstheme="minorHAnsi"/>
          <w:noProof/>
          <w:sz w:val="22"/>
          <w:szCs w:val="22"/>
          <w:lang w:eastAsia="en-GB"/>
        </w:rPr>
        <w:drawing>
          <wp:inline distT="0" distB="0" distL="0" distR="0" wp14:anchorId="28924CC8" wp14:editId="0F98704C">
            <wp:extent cx="4584700" cy="28225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584700" cy="2822575"/>
                    </a:xfrm>
                    <a:prstGeom prst="rect">
                      <a:avLst/>
                    </a:prstGeom>
                    <a:noFill/>
                  </pic:spPr>
                </pic:pic>
              </a:graphicData>
            </a:graphic>
          </wp:inline>
        </w:drawing>
      </w:r>
    </w:p>
    <w:p w14:paraId="5631D802" w14:textId="6732EA79" w:rsidR="002557B7" w:rsidRPr="00DB0C40" w:rsidRDefault="002557B7" w:rsidP="002557B7">
      <w:pPr>
        <w:spacing w:after="160" w:line="259" w:lineRule="auto"/>
        <w:jc w:val="center"/>
        <w:rPr>
          <w:rFonts w:asciiTheme="minorHAnsi" w:eastAsiaTheme="minorHAnsi" w:hAnsiTheme="minorHAnsi" w:cstheme="minorHAnsi"/>
          <w:sz w:val="18"/>
          <w:szCs w:val="18"/>
        </w:rPr>
      </w:pPr>
      <w:r w:rsidRPr="00DB0C40">
        <w:rPr>
          <w:rFonts w:asciiTheme="minorHAnsi" w:eastAsiaTheme="minorHAnsi" w:hAnsiTheme="minorHAnsi" w:cstheme="minorHAnsi"/>
          <w:sz w:val="18"/>
          <w:szCs w:val="18"/>
        </w:rPr>
        <w:t xml:space="preserve">Source: </w:t>
      </w:r>
      <w:proofErr w:type="spellStart"/>
      <w:r w:rsidR="00A45334">
        <w:rPr>
          <w:rFonts w:asciiTheme="minorHAnsi" w:eastAsiaTheme="minorHAnsi" w:hAnsiTheme="minorHAnsi" w:cstheme="minorHAnsi"/>
          <w:sz w:val="18"/>
          <w:szCs w:val="18"/>
        </w:rPr>
        <w:t>TurkStat</w:t>
      </w:r>
      <w:proofErr w:type="spellEnd"/>
    </w:p>
    <w:p w14:paraId="5138AF0D"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An important consideration is related to educational level. The relatively high shares of women in such different occupational groups (for instance professionals, but also service and sales workers) is a reflection of a gendered and segregated labour market, and of highly uneven educational outcomes. When compared to men, women have either relatively low or relatively high levels of education. Among active workers, in 2019, 46% of women had a primary level of education, compared to 37% of men; at the same time, however, 26% of women were graduates of tertiary education, compared to only 19% of men. Women with higher education levels are more likely to participate in the labour market than men, and the gender wage gap is narrowest among those with a tertiary level of education. The higher rates of labour market participation among women with tertiary education skew the data relating to inequalities in earnings, resulting in a mean wage gap that is narrower than the median wage gap (10% compared to 20%). It is also clear that the gender wage gap is wider among those with lower levels of education, affecting a greater number of women. </w:t>
      </w:r>
    </w:p>
    <w:p w14:paraId="06A055E6"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To see the employment rate according the level of studies, we can consider that: In 2015, the employment rate by educational level shows that percentage of women with less than high school was 23,9%; started to increase in 2016 to 24.2%, having a maximum for the period considered in 2018 at 25.1% and decreasing again in the following years (to 20.8% in the first quarter of 2021). For women with high school education, the trend starts in 2015 with 26.0%, reaching 27.7% in 2018 before decreasing to 24.5% in the </w:t>
      </w:r>
      <w:r w:rsidRPr="00DB0C40">
        <w:rPr>
          <w:rFonts w:asciiTheme="minorHAnsi" w:eastAsiaTheme="minorHAnsi" w:hAnsiTheme="minorHAnsi" w:cstheme="minorHAnsi"/>
          <w:sz w:val="22"/>
          <w:szCs w:val="22"/>
        </w:rPr>
        <w:lastRenderedPageBreak/>
        <w:t>first quarter of 2021. For women in vocational high school, the percentage of the start of the period in 2015 is 33.4% (that shows a gap of 41.5%), maintain the percentage during all the period to show a reduction for the first quarter of 2021: 28.2% (a gap of 41.5%).</w:t>
      </w:r>
    </w:p>
    <w:p w14:paraId="500C19AB" w14:textId="6F3AB5E7" w:rsidR="002557B7" w:rsidRPr="00DB0C40" w:rsidRDefault="002557B7" w:rsidP="002557B7">
      <w:pPr>
        <w:spacing w:after="160" w:line="259" w:lineRule="auto"/>
        <w:jc w:val="center"/>
        <w:rPr>
          <w:rFonts w:asciiTheme="minorHAnsi" w:eastAsiaTheme="minorHAnsi" w:hAnsiTheme="minorHAnsi" w:cstheme="minorHAnsi"/>
          <w:b/>
          <w:bCs/>
          <w:sz w:val="22"/>
          <w:szCs w:val="22"/>
        </w:rPr>
      </w:pPr>
      <w:bookmarkStart w:id="96" w:name="_Hlk88582838"/>
      <w:r w:rsidRPr="00DB0C40">
        <w:rPr>
          <w:rFonts w:asciiTheme="minorHAnsi" w:eastAsiaTheme="minorHAnsi" w:hAnsiTheme="minorHAnsi" w:cstheme="minorHAnsi"/>
          <w:b/>
          <w:bCs/>
          <w:sz w:val="22"/>
          <w:szCs w:val="22"/>
        </w:rPr>
        <w:t xml:space="preserve">Figure </w:t>
      </w:r>
      <w:r w:rsidR="00AD2223" w:rsidRPr="00DB0C40">
        <w:rPr>
          <w:rFonts w:asciiTheme="minorHAnsi" w:eastAsiaTheme="minorHAnsi" w:hAnsiTheme="minorHAnsi" w:cstheme="minorHAnsi"/>
          <w:b/>
          <w:bCs/>
          <w:sz w:val="22"/>
          <w:szCs w:val="22"/>
        </w:rPr>
        <w:t>9</w:t>
      </w:r>
      <w:r w:rsidRPr="00DB0C40">
        <w:rPr>
          <w:rFonts w:asciiTheme="minorHAnsi" w:eastAsiaTheme="minorHAnsi" w:hAnsiTheme="minorHAnsi" w:cstheme="minorHAnsi"/>
          <w:b/>
          <w:bCs/>
          <w:sz w:val="22"/>
          <w:szCs w:val="22"/>
        </w:rPr>
        <w:t>. Employment rate by educational level</w:t>
      </w:r>
      <w:r w:rsidR="00AD2223" w:rsidRPr="00DB0C40">
        <w:rPr>
          <w:rFonts w:asciiTheme="minorHAnsi" w:eastAsiaTheme="minorHAnsi" w:hAnsiTheme="minorHAnsi" w:cstheme="minorHAnsi"/>
          <w:b/>
          <w:bCs/>
          <w:sz w:val="22"/>
          <w:szCs w:val="22"/>
        </w:rPr>
        <w:t xml:space="preserve"> </w:t>
      </w:r>
      <w:r w:rsidR="00EF4332" w:rsidRPr="00DB0C40">
        <w:rPr>
          <w:rFonts w:asciiTheme="minorHAnsi" w:eastAsiaTheme="minorHAnsi" w:hAnsiTheme="minorHAnsi" w:cstheme="minorHAnsi"/>
          <w:b/>
          <w:bCs/>
          <w:sz w:val="22"/>
          <w:szCs w:val="22"/>
        </w:rPr>
        <w:t>Türkiye</w:t>
      </w:r>
      <w:r w:rsidRPr="00DB0C40">
        <w:rPr>
          <w:rFonts w:asciiTheme="minorHAnsi" w:eastAsiaTheme="minorHAnsi" w:hAnsiTheme="minorHAnsi" w:cstheme="minorHAnsi"/>
          <w:b/>
          <w:bCs/>
          <w:sz w:val="22"/>
          <w:szCs w:val="22"/>
        </w:rPr>
        <w:t xml:space="preserve"> (less than high school) (%) (2015 – 2021)</w:t>
      </w:r>
    </w:p>
    <w:bookmarkEnd w:id="96"/>
    <w:p w14:paraId="7B41890A" w14:textId="77777777" w:rsidR="002557B7" w:rsidRPr="00DB0C40" w:rsidRDefault="002557B7" w:rsidP="002557B7">
      <w:pPr>
        <w:spacing w:after="160" w:line="259" w:lineRule="auto"/>
        <w:jc w:val="center"/>
        <w:rPr>
          <w:rFonts w:asciiTheme="minorHAnsi" w:eastAsiaTheme="minorHAnsi" w:hAnsiTheme="minorHAnsi" w:cstheme="minorHAnsi"/>
          <w:sz w:val="22"/>
          <w:szCs w:val="22"/>
        </w:rPr>
      </w:pPr>
      <w:r w:rsidRPr="00DB0C40">
        <w:rPr>
          <w:rFonts w:asciiTheme="minorHAnsi" w:eastAsiaTheme="minorHAnsi" w:hAnsiTheme="minorHAnsi" w:cstheme="minorHAnsi"/>
          <w:noProof/>
          <w:sz w:val="22"/>
          <w:szCs w:val="22"/>
          <w:lang w:eastAsia="en-GB"/>
        </w:rPr>
        <w:drawing>
          <wp:inline distT="0" distB="0" distL="0" distR="0" wp14:anchorId="6618CCB4" wp14:editId="6071FEF7">
            <wp:extent cx="4651375" cy="27559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51375" cy="2755900"/>
                    </a:xfrm>
                    <a:prstGeom prst="rect">
                      <a:avLst/>
                    </a:prstGeom>
                    <a:noFill/>
                  </pic:spPr>
                </pic:pic>
              </a:graphicData>
            </a:graphic>
          </wp:inline>
        </w:drawing>
      </w:r>
    </w:p>
    <w:p w14:paraId="1C332F42" w14:textId="50CB7703" w:rsidR="002557B7" w:rsidRPr="00DB0C40" w:rsidRDefault="002557B7" w:rsidP="002557B7">
      <w:pPr>
        <w:spacing w:after="160" w:line="259" w:lineRule="auto"/>
        <w:jc w:val="center"/>
        <w:rPr>
          <w:rFonts w:asciiTheme="minorHAnsi" w:eastAsiaTheme="minorHAnsi" w:hAnsiTheme="minorHAnsi" w:cstheme="minorHAnsi"/>
          <w:sz w:val="18"/>
          <w:szCs w:val="18"/>
        </w:rPr>
      </w:pPr>
      <w:r w:rsidRPr="00DB0C40">
        <w:rPr>
          <w:rFonts w:asciiTheme="minorHAnsi" w:eastAsiaTheme="minorHAnsi" w:hAnsiTheme="minorHAnsi" w:cstheme="minorHAnsi"/>
          <w:sz w:val="18"/>
          <w:szCs w:val="18"/>
        </w:rPr>
        <w:t xml:space="preserve">Source: </w:t>
      </w:r>
      <w:proofErr w:type="spellStart"/>
      <w:r w:rsidR="00A45334">
        <w:rPr>
          <w:rFonts w:asciiTheme="minorHAnsi" w:eastAsiaTheme="minorHAnsi" w:hAnsiTheme="minorHAnsi" w:cstheme="minorHAnsi"/>
          <w:sz w:val="18"/>
          <w:szCs w:val="18"/>
        </w:rPr>
        <w:t>TurkStat</w:t>
      </w:r>
      <w:proofErr w:type="spellEnd"/>
    </w:p>
    <w:p w14:paraId="72A8BCBB" w14:textId="788A273D" w:rsidR="002557B7" w:rsidRPr="00DB0C40" w:rsidRDefault="002557B7" w:rsidP="002557B7">
      <w:pPr>
        <w:spacing w:after="160" w:line="259" w:lineRule="auto"/>
        <w:jc w:val="center"/>
        <w:rPr>
          <w:rFonts w:asciiTheme="minorHAnsi" w:eastAsiaTheme="minorHAnsi" w:hAnsiTheme="minorHAnsi" w:cstheme="minorHAnsi"/>
          <w:b/>
          <w:bCs/>
          <w:sz w:val="22"/>
          <w:szCs w:val="22"/>
        </w:rPr>
      </w:pPr>
    </w:p>
    <w:p w14:paraId="6710568E" w14:textId="77777777" w:rsidR="00AD2223" w:rsidRPr="00DB0C40" w:rsidRDefault="00AD2223" w:rsidP="002557B7">
      <w:pPr>
        <w:spacing w:after="160" w:line="259" w:lineRule="auto"/>
        <w:jc w:val="center"/>
        <w:rPr>
          <w:rFonts w:asciiTheme="minorHAnsi" w:eastAsiaTheme="minorHAnsi" w:hAnsiTheme="minorHAnsi" w:cstheme="minorHAnsi"/>
          <w:b/>
          <w:bCs/>
          <w:sz w:val="22"/>
          <w:szCs w:val="22"/>
        </w:rPr>
      </w:pPr>
    </w:p>
    <w:p w14:paraId="4E5D5642" w14:textId="52585224" w:rsidR="002557B7" w:rsidRDefault="002557B7" w:rsidP="002557B7">
      <w:pPr>
        <w:spacing w:after="160" w:line="259" w:lineRule="auto"/>
        <w:jc w:val="center"/>
        <w:rPr>
          <w:rFonts w:asciiTheme="minorHAnsi" w:eastAsiaTheme="minorHAnsi" w:hAnsiTheme="minorHAnsi" w:cstheme="minorHAnsi"/>
          <w:b/>
          <w:bCs/>
          <w:sz w:val="22"/>
          <w:szCs w:val="22"/>
        </w:rPr>
      </w:pPr>
    </w:p>
    <w:p w14:paraId="21540792" w14:textId="2FB3335F" w:rsidR="00D93026" w:rsidRDefault="00D93026" w:rsidP="002557B7">
      <w:pPr>
        <w:spacing w:after="160" w:line="259" w:lineRule="auto"/>
        <w:jc w:val="center"/>
        <w:rPr>
          <w:rFonts w:asciiTheme="minorHAnsi" w:eastAsiaTheme="minorHAnsi" w:hAnsiTheme="minorHAnsi" w:cstheme="minorHAnsi"/>
          <w:b/>
          <w:bCs/>
          <w:sz w:val="22"/>
          <w:szCs w:val="22"/>
        </w:rPr>
      </w:pPr>
    </w:p>
    <w:p w14:paraId="08C69A5B" w14:textId="461C5C8A" w:rsidR="00D93026" w:rsidRDefault="00D93026" w:rsidP="002557B7">
      <w:pPr>
        <w:spacing w:after="160" w:line="259" w:lineRule="auto"/>
        <w:jc w:val="center"/>
        <w:rPr>
          <w:rFonts w:asciiTheme="minorHAnsi" w:eastAsiaTheme="minorHAnsi" w:hAnsiTheme="minorHAnsi" w:cstheme="minorHAnsi"/>
          <w:b/>
          <w:bCs/>
          <w:sz w:val="22"/>
          <w:szCs w:val="22"/>
        </w:rPr>
      </w:pPr>
    </w:p>
    <w:p w14:paraId="4916FEE9" w14:textId="123E1640" w:rsidR="00D93026" w:rsidRDefault="00D93026" w:rsidP="002557B7">
      <w:pPr>
        <w:spacing w:after="160" w:line="259" w:lineRule="auto"/>
        <w:jc w:val="center"/>
        <w:rPr>
          <w:rFonts w:asciiTheme="minorHAnsi" w:eastAsiaTheme="minorHAnsi" w:hAnsiTheme="minorHAnsi" w:cstheme="minorHAnsi"/>
          <w:b/>
          <w:bCs/>
          <w:sz w:val="22"/>
          <w:szCs w:val="22"/>
        </w:rPr>
      </w:pPr>
    </w:p>
    <w:p w14:paraId="72E85469" w14:textId="55FB4511" w:rsidR="00D93026" w:rsidRDefault="00D93026" w:rsidP="002557B7">
      <w:pPr>
        <w:spacing w:after="160" w:line="259" w:lineRule="auto"/>
        <w:jc w:val="center"/>
        <w:rPr>
          <w:rFonts w:asciiTheme="minorHAnsi" w:eastAsiaTheme="minorHAnsi" w:hAnsiTheme="minorHAnsi" w:cstheme="minorHAnsi"/>
          <w:b/>
          <w:bCs/>
          <w:sz w:val="22"/>
          <w:szCs w:val="22"/>
        </w:rPr>
      </w:pPr>
    </w:p>
    <w:p w14:paraId="23958002" w14:textId="395C969B" w:rsidR="00D93026" w:rsidRDefault="00D93026" w:rsidP="002557B7">
      <w:pPr>
        <w:spacing w:after="160" w:line="259" w:lineRule="auto"/>
        <w:jc w:val="center"/>
        <w:rPr>
          <w:rFonts w:asciiTheme="minorHAnsi" w:eastAsiaTheme="minorHAnsi" w:hAnsiTheme="minorHAnsi" w:cstheme="minorHAnsi"/>
          <w:b/>
          <w:bCs/>
          <w:sz w:val="22"/>
          <w:szCs w:val="22"/>
        </w:rPr>
      </w:pPr>
    </w:p>
    <w:p w14:paraId="300A95E5" w14:textId="21254703" w:rsidR="00D93026" w:rsidRDefault="00D93026" w:rsidP="002557B7">
      <w:pPr>
        <w:spacing w:after="160" w:line="259" w:lineRule="auto"/>
        <w:jc w:val="center"/>
        <w:rPr>
          <w:rFonts w:asciiTheme="minorHAnsi" w:eastAsiaTheme="minorHAnsi" w:hAnsiTheme="minorHAnsi" w:cstheme="minorHAnsi"/>
          <w:b/>
          <w:bCs/>
          <w:sz w:val="22"/>
          <w:szCs w:val="22"/>
        </w:rPr>
      </w:pPr>
    </w:p>
    <w:p w14:paraId="2E22093F" w14:textId="6AC9707A" w:rsidR="00D93026" w:rsidRDefault="00D93026" w:rsidP="002557B7">
      <w:pPr>
        <w:spacing w:after="160" w:line="259" w:lineRule="auto"/>
        <w:jc w:val="center"/>
        <w:rPr>
          <w:rFonts w:asciiTheme="minorHAnsi" w:eastAsiaTheme="minorHAnsi" w:hAnsiTheme="minorHAnsi" w:cstheme="minorHAnsi"/>
          <w:b/>
          <w:bCs/>
          <w:sz w:val="22"/>
          <w:szCs w:val="22"/>
        </w:rPr>
      </w:pPr>
    </w:p>
    <w:p w14:paraId="4CECFA2C" w14:textId="3A463B95" w:rsidR="00D93026" w:rsidRDefault="00D93026" w:rsidP="002557B7">
      <w:pPr>
        <w:spacing w:after="160" w:line="259" w:lineRule="auto"/>
        <w:jc w:val="center"/>
        <w:rPr>
          <w:rFonts w:asciiTheme="minorHAnsi" w:eastAsiaTheme="minorHAnsi" w:hAnsiTheme="minorHAnsi" w:cstheme="minorHAnsi"/>
          <w:b/>
          <w:bCs/>
          <w:sz w:val="22"/>
          <w:szCs w:val="22"/>
        </w:rPr>
      </w:pPr>
    </w:p>
    <w:p w14:paraId="3368958D" w14:textId="4E3E1491" w:rsidR="00D93026" w:rsidRDefault="00D93026" w:rsidP="002557B7">
      <w:pPr>
        <w:spacing w:after="160" w:line="259" w:lineRule="auto"/>
        <w:jc w:val="center"/>
        <w:rPr>
          <w:rFonts w:asciiTheme="minorHAnsi" w:eastAsiaTheme="minorHAnsi" w:hAnsiTheme="minorHAnsi" w:cstheme="minorHAnsi"/>
          <w:b/>
          <w:bCs/>
          <w:sz w:val="22"/>
          <w:szCs w:val="22"/>
        </w:rPr>
      </w:pPr>
    </w:p>
    <w:p w14:paraId="7AB0F3A2" w14:textId="77777777" w:rsidR="00D93026" w:rsidRDefault="00D93026" w:rsidP="002557B7">
      <w:pPr>
        <w:spacing w:after="160" w:line="259" w:lineRule="auto"/>
        <w:jc w:val="center"/>
        <w:rPr>
          <w:rFonts w:asciiTheme="minorHAnsi" w:eastAsiaTheme="minorHAnsi" w:hAnsiTheme="minorHAnsi" w:cstheme="minorHAnsi"/>
          <w:b/>
          <w:bCs/>
          <w:sz w:val="22"/>
          <w:szCs w:val="22"/>
        </w:rPr>
      </w:pPr>
      <w:bookmarkStart w:id="97" w:name="_GoBack"/>
      <w:bookmarkEnd w:id="97"/>
    </w:p>
    <w:p w14:paraId="4765DF70" w14:textId="77777777" w:rsidR="00BF6983" w:rsidRPr="00DB0C40" w:rsidRDefault="00BF6983" w:rsidP="002557B7">
      <w:pPr>
        <w:spacing w:after="160" w:line="259" w:lineRule="auto"/>
        <w:jc w:val="center"/>
        <w:rPr>
          <w:rFonts w:asciiTheme="minorHAnsi" w:eastAsiaTheme="minorHAnsi" w:hAnsiTheme="minorHAnsi" w:cstheme="minorHAnsi"/>
          <w:b/>
          <w:bCs/>
          <w:sz w:val="22"/>
          <w:szCs w:val="22"/>
        </w:rPr>
      </w:pPr>
    </w:p>
    <w:p w14:paraId="6DC2F36C" w14:textId="251DA5E5" w:rsidR="002557B7" w:rsidRPr="00DB0C40" w:rsidRDefault="002557B7" w:rsidP="002557B7">
      <w:pPr>
        <w:spacing w:after="160" w:line="259" w:lineRule="auto"/>
        <w:jc w:val="center"/>
        <w:rPr>
          <w:rFonts w:asciiTheme="minorHAnsi" w:eastAsiaTheme="minorHAnsi" w:hAnsiTheme="minorHAnsi" w:cstheme="minorHAnsi"/>
          <w:b/>
          <w:bCs/>
          <w:sz w:val="22"/>
          <w:szCs w:val="22"/>
        </w:rPr>
      </w:pPr>
      <w:bookmarkStart w:id="98" w:name="_Hlk107138325"/>
      <w:r w:rsidRPr="00DB0C40">
        <w:rPr>
          <w:rFonts w:asciiTheme="minorHAnsi" w:eastAsiaTheme="minorHAnsi" w:hAnsiTheme="minorHAnsi" w:cstheme="minorHAnsi"/>
          <w:b/>
          <w:bCs/>
          <w:sz w:val="22"/>
          <w:szCs w:val="22"/>
        </w:rPr>
        <w:lastRenderedPageBreak/>
        <w:t xml:space="preserve">Figure </w:t>
      </w:r>
      <w:r w:rsidR="00AD2223" w:rsidRPr="00DB0C40">
        <w:rPr>
          <w:rFonts w:asciiTheme="minorHAnsi" w:eastAsiaTheme="minorHAnsi" w:hAnsiTheme="minorHAnsi" w:cstheme="minorHAnsi"/>
          <w:b/>
          <w:bCs/>
          <w:sz w:val="22"/>
          <w:szCs w:val="22"/>
        </w:rPr>
        <w:t>10</w:t>
      </w:r>
      <w:r w:rsidRPr="00DB0C40">
        <w:rPr>
          <w:rFonts w:asciiTheme="minorHAnsi" w:eastAsiaTheme="minorHAnsi" w:hAnsiTheme="minorHAnsi" w:cstheme="minorHAnsi"/>
          <w:b/>
          <w:bCs/>
          <w:sz w:val="22"/>
          <w:szCs w:val="22"/>
        </w:rPr>
        <w:t xml:space="preserve">. Employment rate by educational level </w:t>
      </w:r>
      <w:r w:rsidR="00EF4332" w:rsidRPr="00DB0C40">
        <w:rPr>
          <w:rFonts w:asciiTheme="minorHAnsi" w:eastAsiaTheme="minorHAnsi" w:hAnsiTheme="minorHAnsi" w:cstheme="minorHAnsi"/>
          <w:b/>
          <w:bCs/>
          <w:sz w:val="22"/>
          <w:szCs w:val="22"/>
        </w:rPr>
        <w:t>Türkiye</w:t>
      </w:r>
      <w:r w:rsidR="00AD2223" w:rsidRPr="00DB0C40">
        <w:rPr>
          <w:rFonts w:asciiTheme="minorHAnsi" w:eastAsiaTheme="minorHAnsi" w:hAnsiTheme="minorHAnsi" w:cstheme="minorHAnsi"/>
          <w:b/>
          <w:bCs/>
          <w:sz w:val="22"/>
          <w:szCs w:val="22"/>
        </w:rPr>
        <w:t xml:space="preserve"> </w:t>
      </w:r>
      <w:r w:rsidRPr="00DB0C40">
        <w:rPr>
          <w:rFonts w:asciiTheme="minorHAnsi" w:eastAsiaTheme="minorHAnsi" w:hAnsiTheme="minorHAnsi" w:cstheme="minorHAnsi"/>
          <w:b/>
          <w:bCs/>
          <w:sz w:val="22"/>
          <w:szCs w:val="22"/>
        </w:rPr>
        <w:t>(high school) (%) (2015 – 2021)</w:t>
      </w:r>
    </w:p>
    <w:bookmarkEnd w:id="98"/>
    <w:p w14:paraId="6B016114" w14:textId="77777777" w:rsidR="002557B7" w:rsidRPr="00DB0C40" w:rsidRDefault="002557B7" w:rsidP="002557B7">
      <w:pPr>
        <w:spacing w:after="160" w:line="259" w:lineRule="auto"/>
        <w:jc w:val="center"/>
        <w:rPr>
          <w:rFonts w:asciiTheme="minorHAnsi" w:eastAsiaTheme="minorHAnsi" w:hAnsiTheme="minorHAnsi" w:cstheme="minorHAnsi"/>
          <w:sz w:val="22"/>
          <w:szCs w:val="22"/>
        </w:rPr>
      </w:pPr>
      <w:r w:rsidRPr="00DB0C40">
        <w:rPr>
          <w:rFonts w:asciiTheme="minorHAnsi" w:eastAsiaTheme="minorHAnsi" w:hAnsiTheme="minorHAnsi" w:cstheme="minorHAnsi"/>
          <w:noProof/>
          <w:sz w:val="22"/>
          <w:szCs w:val="22"/>
          <w:lang w:eastAsia="en-GB"/>
        </w:rPr>
        <w:drawing>
          <wp:inline distT="0" distB="0" distL="0" distR="0" wp14:anchorId="104F20F3" wp14:editId="46AFCE3D">
            <wp:extent cx="4657725" cy="27432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57725" cy="2743200"/>
                    </a:xfrm>
                    <a:prstGeom prst="rect">
                      <a:avLst/>
                    </a:prstGeom>
                    <a:noFill/>
                  </pic:spPr>
                </pic:pic>
              </a:graphicData>
            </a:graphic>
          </wp:inline>
        </w:drawing>
      </w:r>
    </w:p>
    <w:p w14:paraId="2EF63D5E" w14:textId="74164673" w:rsidR="002557B7" w:rsidRPr="00DB0C40" w:rsidRDefault="002557B7" w:rsidP="002557B7">
      <w:pPr>
        <w:spacing w:after="160" w:line="259" w:lineRule="auto"/>
        <w:jc w:val="center"/>
        <w:rPr>
          <w:rFonts w:asciiTheme="minorHAnsi" w:eastAsiaTheme="minorHAnsi" w:hAnsiTheme="minorHAnsi" w:cstheme="minorHAnsi"/>
          <w:sz w:val="18"/>
          <w:szCs w:val="18"/>
        </w:rPr>
      </w:pPr>
      <w:r w:rsidRPr="00DB0C40">
        <w:rPr>
          <w:rFonts w:asciiTheme="minorHAnsi" w:eastAsiaTheme="minorHAnsi" w:hAnsiTheme="minorHAnsi" w:cstheme="minorHAnsi"/>
          <w:sz w:val="18"/>
          <w:szCs w:val="18"/>
        </w:rPr>
        <w:t xml:space="preserve">Source: </w:t>
      </w:r>
      <w:proofErr w:type="spellStart"/>
      <w:r w:rsidR="00A45334">
        <w:rPr>
          <w:rFonts w:asciiTheme="minorHAnsi" w:eastAsiaTheme="minorHAnsi" w:hAnsiTheme="minorHAnsi" w:cstheme="minorHAnsi"/>
          <w:sz w:val="18"/>
          <w:szCs w:val="18"/>
        </w:rPr>
        <w:t>T</w:t>
      </w:r>
      <w:r w:rsidR="00C2410D">
        <w:rPr>
          <w:rFonts w:asciiTheme="minorHAnsi" w:eastAsiaTheme="minorHAnsi" w:hAnsiTheme="minorHAnsi" w:cstheme="minorHAnsi"/>
          <w:sz w:val="18"/>
          <w:szCs w:val="18"/>
        </w:rPr>
        <w:t>urkStat</w:t>
      </w:r>
      <w:proofErr w:type="spellEnd"/>
    </w:p>
    <w:p w14:paraId="379D17CA" w14:textId="77777777" w:rsidR="002557B7" w:rsidRPr="00DB0C40" w:rsidRDefault="002557B7" w:rsidP="002557B7">
      <w:pPr>
        <w:spacing w:after="160" w:line="259" w:lineRule="auto"/>
        <w:jc w:val="center"/>
        <w:rPr>
          <w:rFonts w:asciiTheme="minorHAnsi" w:eastAsiaTheme="minorHAnsi" w:hAnsiTheme="minorHAnsi" w:cstheme="minorHAnsi"/>
          <w:sz w:val="22"/>
          <w:szCs w:val="22"/>
        </w:rPr>
      </w:pPr>
    </w:p>
    <w:p w14:paraId="20A675A7" w14:textId="0B969E5C" w:rsidR="002557B7" w:rsidRPr="00DB0C40" w:rsidRDefault="002557B7" w:rsidP="002557B7">
      <w:pPr>
        <w:spacing w:after="160" w:line="259" w:lineRule="auto"/>
        <w:jc w:val="center"/>
        <w:rPr>
          <w:rFonts w:asciiTheme="minorHAnsi" w:eastAsiaTheme="minorHAnsi" w:hAnsiTheme="minorHAnsi" w:cstheme="minorHAnsi"/>
          <w:b/>
          <w:bCs/>
          <w:sz w:val="22"/>
          <w:szCs w:val="22"/>
        </w:rPr>
      </w:pPr>
      <w:bookmarkStart w:id="99" w:name="_Hlk107138359"/>
      <w:r w:rsidRPr="00DB0C40">
        <w:rPr>
          <w:rFonts w:asciiTheme="minorHAnsi" w:eastAsiaTheme="minorHAnsi" w:hAnsiTheme="minorHAnsi" w:cstheme="minorHAnsi"/>
          <w:b/>
          <w:bCs/>
          <w:sz w:val="22"/>
          <w:szCs w:val="22"/>
        </w:rPr>
        <w:t xml:space="preserve">Figure </w:t>
      </w:r>
      <w:r w:rsidR="00AD2223" w:rsidRPr="00DB0C40">
        <w:rPr>
          <w:rFonts w:asciiTheme="minorHAnsi" w:eastAsiaTheme="minorHAnsi" w:hAnsiTheme="minorHAnsi" w:cstheme="minorHAnsi"/>
          <w:b/>
          <w:bCs/>
          <w:sz w:val="22"/>
          <w:szCs w:val="22"/>
        </w:rPr>
        <w:t>11</w:t>
      </w:r>
      <w:r w:rsidRPr="00DB0C40">
        <w:rPr>
          <w:rFonts w:asciiTheme="minorHAnsi" w:eastAsiaTheme="minorHAnsi" w:hAnsiTheme="minorHAnsi" w:cstheme="minorHAnsi"/>
          <w:b/>
          <w:bCs/>
          <w:sz w:val="22"/>
          <w:szCs w:val="22"/>
        </w:rPr>
        <w:t xml:space="preserve">. Employment rate by educational level </w:t>
      </w:r>
      <w:r w:rsidR="00EF4332" w:rsidRPr="00DB0C40">
        <w:rPr>
          <w:rFonts w:asciiTheme="minorHAnsi" w:eastAsiaTheme="minorHAnsi" w:hAnsiTheme="minorHAnsi" w:cstheme="minorHAnsi"/>
          <w:b/>
          <w:bCs/>
          <w:sz w:val="22"/>
          <w:szCs w:val="22"/>
        </w:rPr>
        <w:t>Türkiye</w:t>
      </w:r>
      <w:r w:rsidR="00AD2223" w:rsidRPr="00DB0C40">
        <w:rPr>
          <w:rFonts w:asciiTheme="minorHAnsi" w:eastAsiaTheme="minorHAnsi" w:hAnsiTheme="minorHAnsi" w:cstheme="minorHAnsi"/>
          <w:b/>
          <w:bCs/>
          <w:sz w:val="22"/>
          <w:szCs w:val="22"/>
        </w:rPr>
        <w:t xml:space="preserve"> </w:t>
      </w:r>
      <w:r w:rsidRPr="00DB0C40">
        <w:rPr>
          <w:rFonts w:asciiTheme="minorHAnsi" w:eastAsiaTheme="minorHAnsi" w:hAnsiTheme="minorHAnsi" w:cstheme="minorHAnsi"/>
          <w:b/>
          <w:bCs/>
          <w:sz w:val="22"/>
          <w:szCs w:val="22"/>
        </w:rPr>
        <w:t>(vocational high school) (%) (2015 – 2021)</w:t>
      </w:r>
    </w:p>
    <w:bookmarkEnd w:id="99"/>
    <w:p w14:paraId="2CFC5645" w14:textId="77777777" w:rsidR="002557B7" w:rsidRPr="00DB0C40" w:rsidRDefault="002557B7" w:rsidP="002557B7">
      <w:pPr>
        <w:spacing w:after="160" w:line="259" w:lineRule="auto"/>
        <w:jc w:val="center"/>
        <w:rPr>
          <w:rFonts w:asciiTheme="minorHAnsi" w:eastAsiaTheme="minorHAnsi" w:hAnsiTheme="minorHAnsi" w:cstheme="minorHAnsi"/>
          <w:sz w:val="22"/>
          <w:szCs w:val="22"/>
        </w:rPr>
      </w:pPr>
      <w:r w:rsidRPr="00DB0C40">
        <w:rPr>
          <w:rFonts w:asciiTheme="minorHAnsi" w:eastAsiaTheme="minorHAnsi" w:hAnsiTheme="minorHAnsi" w:cstheme="minorHAnsi"/>
          <w:noProof/>
          <w:sz w:val="22"/>
          <w:szCs w:val="22"/>
          <w:lang w:eastAsia="en-GB"/>
        </w:rPr>
        <w:drawing>
          <wp:inline distT="0" distB="0" distL="0" distR="0" wp14:anchorId="6187CA55" wp14:editId="316A065B">
            <wp:extent cx="4651375" cy="27559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51375" cy="2755900"/>
                    </a:xfrm>
                    <a:prstGeom prst="rect">
                      <a:avLst/>
                    </a:prstGeom>
                    <a:noFill/>
                  </pic:spPr>
                </pic:pic>
              </a:graphicData>
            </a:graphic>
          </wp:inline>
        </w:drawing>
      </w:r>
    </w:p>
    <w:p w14:paraId="67865D4C" w14:textId="3BECBE14" w:rsidR="002557B7" w:rsidRPr="00DB0C40" w:rsidRDefault="002557B7" w:rsidP="002557B7">
      <w:pPr>
        <w:spacing w:after="160" w:line="259" w:lineRule="auto"/>
        <w:jc w:val="center"/>
        <w:rPr>
          <w:rFonts w:asciiTheme="minorHAnsi" w:eastAsiaTheme="minorHAnsi" w:hAnsiTheme="minorHAnsi" w:cstheme="minorHAnsi"/>
          <w:sz w:val="18"/>
          <w:szCs w:val="18"/>
        </w:rPr>
      </w:pPr>
      <w:r w:rsidRPr="00DB0C40">
        <w:rPr>
          <w:rFonts w:asciiTheme="minorHAnsi" w:eastAsiaTheme="minorHAnsi" w:hAnsiTheme="minorHAnsi" w:cstheme="minorHAnsi"/>
          <w:sz w:val="18"/>
          <w:szCs w:val="18"/>
        </w:rPr>
        <w:t xml:space="preserve">Source: </w:t>
      </w:r>
      <w:proofErr w:type="spellStart"/>
      <w:r w:rsidR="00A45334">
        <w:rPr>
          <w:rFonts w:asciiTheme="minorHAnsi" w:eastAsiaTheme="minorHAnsi" w:hAnsiTheme="minorHAnsi" w:cstheme="minorHAnsi"/>
          <w:sz w:val="18"/>
          <w:szCs w:val="18"/>
        </w:rPr>
        <w:t>T</w:t>
      </w:r>
      <w:r w:rsidR="00C2410D">
        <w:rPr>
          <w:rFonts w:asciiTheme="minorHAnsi" w:eastAsiaTheme="minorHAnsi" w:hAnsiTheme="minorHAnsi" w:cstheme="minorHAnsi"/>
          <w:sz w:val="18"/>
          <w:szCs w:val="18"/>
        </w:rPr>
        <w:t>urkStat</w:t>
      </w:r>
      <w:proofErr w:type="spellEnd"/>
    </w:p>
    <w:p w14:paraId="28B60A59"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p>
    <w:p w14:paraId="6AB7B4B9"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p>
    <w:p w14:paraId="249D067C" w14:textId="0444C722" w:rsidR="002557B7" w:rsidRDefault="002557B7" w:rsidP="002557B7">
      <w:pPr>
        <w:spacing w:after="160" w:line="259" w:lineRule="auto"/>
        <w:jc w:val="center"/>
        <w:rPr>
          <w:rFonts w:asciiTheme="minorHAnsi" w:eastAsiaTheme="minorHAnsi" w:hAnsiTheme="minorHAnsi" w:cstheme="minorHAnsi"/>
          <w:b/>
          <w:bCs/>
          <w:sz w:val="22"/>
          <w:szCs w:val="22"/>
        </w:rPr>
      </w:pPr>
    </w:p>
    <w:p w14:paraId="5D9809DD" w14:textId="77777777" w:rsidR="00C2410D" w:rsidRPr="00DB0C40" w:rsidRDefault="00C2410D" w:rsidP="002557B7">
      <w:pPr>
        <w:spacing w:after="160" w:line="259" w:lineRule="auto"/>
        <w:jc w:val="center"/>
        <w:rPr>
          <w:rFonts w:asciiTheme="minorHAnsi" w:eastAsiaTheme="minorHAnsi" w:hAnsiTheme="minorHAnsi" w:cstheme="minorHAnsi"/>
          <w:b/>
          <w:bCs/>
          <w:sz w:val="22"/>
          <w:szCs w:val="22"/>
        </w:rPr>
      </w:pPr>
    </w:p>
    <w:p w14:paraId="370E7E64"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p>
    <w:p w14:paraId="421396C6" w14:textId="6274B8B2" w:rsidR="002557B7" w:rsidRPr="00DB0C40" w:rsidRDefault="002557B7" w:rsidP="002557B7">
      <w:pPr>
        <w:spacing w:after="160" w:line="259" w:lineRule="auto"/>
        <w:jc w:val="center"/>
        <w:rPr>
          <w:rFonts w:asciiTheme="minorHAnsi" w:eastAsiaTheme="minorHAnsi" w:hAnsiTheme="minorHAnsi" w:cstheme="minorHAnsi"/>
          <w:b/>
          <w:bCs/>
          <w:sz w:val="22"/>
          <w:szCs w:val="22"/>
        </w:rPr>
      </w:pPr>
      <w:bookmarkStart w:id="100" w:name="_Hlk107138386"/>
      <w:r w:rsidRPr="00DB0C40">
        <w:rPr>
          <w:rFonts w:asciiTheme="minorHAnsi" w:eastAsiaTheme="minorHAnsi" w:hAnsiTheme="minorHAnsi" w:cstheme="minorHAnsi"/>
          <w:b/>
          <w:bCs/>
          <w:sz w:val="22"/>
          <w:szCs w:val="22"/>
        </w:rPr>
        <w:t xml:space="preserve">Figure </w:t>
      </w:r>
      <w:r w:rsidR="00B15F85" w:rsidRPr="00DB0C40">
        <w:rPr>
          <w:rFonts w:asciiTheme="minorHAnsi" w:eastAsiaTheme="minorHAnsi" w:hAnsiTheme="minorHAnsi" w:cstheme="minorHAnsi"/>
          <w:b/>
          <w:bCs/>
          <w:sz w:val="22"/>
          <w:szCs w:val="22"/>
        </w:rPr>
        <w:t>12</w:t>
      </w:r>
      <w:r w:rsidRPr="00DB0C40">
        <w:rPr>
          <w:rFonts w:asciiTheme="minorHAnsi" w:eastAsiaTheme="minorHAnsi" w:hAnsiTheme="minorHAnsi" w:cstheme="minorHAnsi"/>
          <w:b/>
          <w:bCs/>
          <w:sz w:val="22"/>
          <w:szCs w:val="22"/>
        </w:rPr>
        <w:t>. Employment rate by educational level</w:t>
      </w:r>
      <w:r w:rsidR="00B15F85" w:rsidRPr="00DB0C40">
        <w:rPr>
          <w:rFonts w:asciiTheme="minorHAnsi" w:eastAsiaTheme="minorHAnsi" w:hAnsiTheme="minorHAnsi" w:cstheme="minorBidi"/>
          <w:b/>
          <w:bCs/>
          <w:sz w:val="22"/>
          <w:szCs w:val="22"/>
        </w:rPr>
        <w:t xml:space="preserve"> </w:t>
      </w:r>
      <w:r w:rsidR="00EF4332" w:rsidRPr="00DB0C40">
        <w:rPr>
          <w:rFonts w:asciiTheme="minorHAnsi" w:eastAsiaTheme="minorHAnsi" w:hAnsiTheme="minorHAnsi" w:cstheme="minorHAnsi"/>
          <w:b/>
          <w:bCs/>
          <w:sz w:val="22"/>
          <w:szCs w:val="22"/>
        </w:rPr>
        <w:t>Türkiye</w:t>
      </w:r>
      <w:r w:rsidRPr="00DB0C40">
        <w:rPr>
          <w:rFonts w:asciiTheme="minorHAnsi" w:eastAsiaTheme="minorHAnsi" w:hAnsiTheme="minorHAnsi" w:cstheme="minorHAnsi"/>
          <w:b/>
          <w:bCs/>
          <w:sz w:val="22"/>
          <w:szCs w:val="22"/>
        </w:rPr>
        <w:t xml:space="preserve"> (less than high school) (%) (2015 – 2021)</w:t>
      </w:r>
    </w:p>
    <w:bookmarkEnd w:id="100"/>
    <w:p w14:paraId="048BF89C" w14:textId="77777777" w:rsidR="002557B7" w:rsidRPr="00DB0C40" w:rsidRDefault="002557B7" w:rsidP="002557B7">
      <w:pPr>
        <w:spacing w:after="160" w:line="259" w:lineRule="auto"/>
        <w:jc w:val="center"/>
        <w:rPr>
          <w:rFonts w:asciiTheme="minorHAnsi" w:eastAsiaTheme="minorHAnsi" w:hAnsiTheme="minorHAnsi" w:cstheme="minorHAnsi"/>
          <w:sz w:val="22"/>
          <w:szCs w:val="22"/>
        </w:rPr>
      </w:pPr>
      <w:r w:rsidRPr="00DB0C40">
        <w:rPr>
          <w:rFonts w:asciiTheme="minorHAnsi" w:eastAsiaTheme="minorHAnsi" w:hAnsiTheme="minorHAnsi" w:cstheme="minorHAnsi"/>
          <w:noProof/>
          <w:sz w:val="22"/>
          <w:szCs w:val="22"/>
          <w:lang w:eastAsia="en-GB"/>
        </w:rPr>
        <w:drawing>
          <wp:inline distT="0" distB="0" distL="0" distR="0" wp14:anchorId="4B82A4FA" wp14:editId="6DFFF571">
            <wp:extent cx="4657725" cy="27559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57725" cy="2755900"/>
                    </a:xfrm>
                    <a:prstGeom prst="rect">
                      <a:avLst/>
                    </a:prstGeom>
                    <a:noFill/>
                  </pic:spPr>
                </pic:pic>
              </a:graphicData>
            </a:graphic>
          </wp:inline>
        </w:drawing>
      </w:r>
    </w:p>
    <w:p w14:paraId="08CD2183" w14:textId="6F41C841" w:rsidR="002557B7" w:rsidRPr="00DB0C40" w:rsidRDefault="002557B7" w:rsidP="002557B7">
      <w:pPr>
        <w:spacing w:after="160" w:line="259" w:lineRule="auto"/>
        <w:jc w:val="center"/>
        <w:rPr>
          <w:rFonts w:asciiTheme="minorHAnsi" w:eastAsiaTheme="minorHAnsi" w:hAnsiTheme="minorHAnsi" w:cstheme="minorHAnsi"/>
          <w:sz w:val="18"/>
          <w:szCs w:val="18"/>
        </w:rPr>
      </w:pPr>
      <w:bookmarkStart w:id="101" w:name="_Hlk88652242"/>
      <w:r w:rsidRPr="00DB0C40">
        <w:rPr>
          <w:rFonts w:asciiTheme="minorHAnsi" w:eastAsiaTheme="minorHAnsi" w:hAnsiTheme="minorHAnsi" w:cstheme="minorHAnsi"/>
          <w:sz w:val="18"/>
          <w:szCs w:val="18"/>
        </w:rPr>
        <w:t xml:space="preserve">Source: </w:t>
      </w:r>
      <w:proofErr w:type="spellStart"/>
      <w:r w:rsidR="00A45334">
        <w:rPr>
          <w:rFonts w:asciiTheme="minorHAnsi" w:eastAsiaTheme="minorHAnsi" w:hAnsiTheme="minorHAnsi" w:cstheme="minorHAnsi"/>
          <w:sz w:val="18"/>
          <w:szCs w:val="18"/>
        </w:rPr>
        <w:t>T</w:t>
      </w:r>
      <w:r w:rsidR="00C2410D">
        <w:rPr>
          <w:rFonts w:asciiTheme="minorHAnsi" w:eastAsiaTheme="minorHAnsi" w:hAnsiTheme="minorHAnsi" w:cstheme="minorHAnsi"/>
          <w:sz w:val="18"/>
          <w:szCs w:val="18"/>
        </w:rPr>
        <w:t>urkStat</w:t>
      </w:r>
      <w:proofErr w:type="spellEnd"/>
    </w:p>
    <w:bookmarkEnd w:id="101"/>
    <w:p w14:paraId="408B51D7" w14:textId="77777777" w:rsidR="002557B7" w:rsidRPr="00DB0C40" w:rsidRDefault="002557B7" w:rsidP="002557B7">
      <w:pPr>
        <w:spacing w:after="160" w:line="259" w:lineRule="auto"/>
        <w:jc w:val="center"/>
        <w:rPr>
          <w:rFonts w:asciiTheme="minorHAnsi" w:eastAsiaTheme="minorHAnsi" w:hAnsiTheme="minorHAnsi" w:cstheme="minorHAnsi"/>
          <w:sz w:val="22"/>
          <w:szCs w:val="22"/>
        </w:rPr>
      </w:pPr>
    </w:p>
    <w:p w14:paraId="3BCF883C"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Gender disparities are also observed across different occupations, and men outnumber women in every occupational category. In terms of the total number of women employed, the most common occupational groups for women are service and sales workers, elementary occupations and agricultural workers. These three occupational groups are also the most common among all workers, irrespective of gender, with agricultural workers outnumbering workers in elementary occupations by 1 percentage point. As a proportion of the occupational workforce, there is a relatively high presence of women who work in clerical support (this occupation also has the greatest gender parity), as professionals, and service and sales workers. Other conclusions on women employment in sectors are:</w:t>
      </w:r>
    </w:p>
    <w:p w14:paraId="23AA4B8D" w14:textId="12DC15EF" w:rsidR="002557B7" w:rsidRPr="00DB0C40" w:rsidRDefault="002557B7">
      <w:pPr>
        <w:numPr>
          <w:ilvl w:val="0"/>
          <w:numId w:val="31"/>
        </w:numPr>
        <w:spacing w:after="160" w:line="259" w:lineRule="auto"/>
        <w:contextualSpacing/>
        <w:jc w:val="both"/>
        <w:rPr>
          <w:rFonts w:asciiTheme="minorHAnsi" w:hAnsiTheme="minorHAnsi" w:cstheme="minorHAnsi"/>
          <w:sz w:val="22"/>
          <w:szCs w:val="22"/>
        </w:rPr>
      </w:pPr>
      <w:r w:rsidRPr="00DB0C40">
        <w:rPr>
          <w:rFonts w:asciiTheme="minorHAnsi" w:hAnsiTheme="minorHAnsi" w:cstheme="minorHAnsi"/>
          <w:sz w:val="22"/>
          <w:szCs w:val="22"/>
        </w:rPr>
        <w:t xml:space="preserve">on employment by sector of activity (% of men and women), from the data collected by </w:t>
      </w:r>
      <w:r w:rsidR="00A45334">
        <w:rPr>
          <w:rFonts w:asciiTheme="minorHAnsi" w:hAnsiTheme="minorHAnsi" w:cstheme="minorHAnsi"/>
          <w:sz w:val="22"/>
          <w:szCs w:val="22"/>
        </w:rPr>
        <w:t>TURKSTAT</w:t>
      </w:r>
      <w:r w:rsidRPr="00DB0C40">
        <w:rPr>
          <w:rFonts w:asciiTheme="minorHAnsi" w:hAnsiTheme="minorHAnsi" w:cstheme="minorHAnsi"/>
          <w:sz w:val="22"/>
          <w:szCs w:val="22"/>
        </w:rPr>
        <w:t>, and considering only 4 sectors (Agriculture, Industry, Construction and Service), women are particularly employed in services. Even though, the gender gap in this sector starts at -3.7% in 2015 and reached -5.0% during the first quarter of 2021.</w:t>
      </w:r>
    </w:p>
    <w:p w14:paraId="57212D53" w14:textId="77777777" w:rsidR="002557B7" w:rsidRPr="00DB0C40" w:rsidRDefault="002557B7">
      <w:pPr>
        <w:numPr>
          <w:ilvl w:val="0"/>
          <w:numId w:val="31"/>
        </w:numPr>
        <w:spacing w:after="160" w:line="259" w:lineRule="auto"/>
        <w:contextualSpacing/>
        <w:jc w:val="both"/>
        <w:rPr>
          <w:rFonts w:asciiTheme="minorHAnsi" w:hAnsiTheme="minorHAnsi" w:cstheme="minorHAnsi"/>
          <w:sz w:val="22"/>
          <w:szCs w:val="22"/>
        </w:rPr>
      </w:pPr>
      <w:r w:rsidRPr="00DB0C40">
        <w:rPr>
          <w:rFonts w:asciiTheme="minorHAnsi" w:hAnsiTheme="minorHAnsi" w:cstheme="minorHAnsi"/>
          <w:sz w:val="22"/>
          <w:szCs w:val="22"/>
        </w:rPr>
        <w:t xml:space="preserve"> The contribution of women in agriculture was 26.8% in 2015 (representing a gender gap of -12.2%) to decrease year after year to 24.9% in 2021 (with a gender gap of 10%).</w:t>
      </w:r>
    </w:p>
    <w:p w14:paraId="2ED49F79" w14:textId="77777777" w:rsidR="002557B7" w:rsidRPr="00DB0C40" w:rsidRDefault="002557B7">
      <w:pPr>
        <w:numPr>
          <w:ilvl w:val="0"/>
          <w:numId w:val="31"/>
        </w:numPr>
        <w:spacing w:after="160" w:line="259" w:lineRule="auto"/>
        <w:contextualSpacing/>
        <w:jc w:val="both"/>
        <w:rPr>
          <w:rFonts w:asciiTheme="minorHAnsi" w:hAnsiTheme="minorHAnsi" w:cstheme="minorHAnsi"/>
          <w:sz w:val="22"/>
          <w:szCs w:val="22"/>
        </w:rPr>
      </w:pPr>
      <w:r w:rsidRPr="00DB0C40">
        <w:rPr>
          <w:rFonts w:asciiTheme="minorHAnsi" w:hAnsiTheme="minorHAnsi" w:cstheme="minorHAnsi"/>
          <w:sz w:val="22"/>
          <w:szCs w:val="22"/>
        </w:rPr>
        <w:t>Only a 15.3% of women were represented in industry in 2015 (with a gender gap of 6.5%). This increased during 2020 to 17.9% before reducing to 16.7% during the first quarter of 2021 (a gender gap of 6.8%).</w:t>
      </w:r>
    </w:p>
    <w:p w14:paraId="2DF6A206" w14:textId="77777777" w:rsidR="002557B7" w:rsidRPr="00DB0C40" w:rsidRDefault="002557B7">
      <w:pPr>
        <w:numPr>
          <w:ilvl w:val="0"/>
          <w:numId w:val="31"/>
        </w:numPr>
        <w:spacing w:after="160" w:line="259" w:lineRule="auto"/>
        <w:contextualSpacing/>
        <w:jc w:val="both"/>
        <w:rPr>
          <w:rFonts w:asciiTheme="minorHAnsi" w:hAnsiTheme="minorHAnsi" w:cstheme="minorHAnsi"/>
          <w:sz w:val="22"/>
          <w:szCs w:val="22"/>
        </w:rPr>
      </w:pPr>
      <w:r w:rsidRPr="00DB0C40">
        <w:rPr>
          <w:rFonts w:asciiTheme="minorHAnsi" w:hAnsiTheme="minorHAnsi" w:cstheme="minorHAnsi"/>
          <w:sz w:val="22"/>
          <w:szCs w:val="22"/>
        </w:rPr>
        <w:t xml:space="preserve">Finally, in construction, the percentage of women was 0.7% (representing a gender gap of 9.4% for the sector). The gender gap started to diminish in 2017 and in 2021 reached 8.2%. </w:t>
      </w:r>
    </w:p>
    <w:p w14:paraId="69B29B71"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p>
    <w:p w14:paraId="5BC7198D"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p>
    <w:p w14:paraId="002C0BCC" w14:textId="605001CC" w:rsidR="002557B7" w:rsidRPr="00DB0C40" w:rsidRDefault="002557B7" w:rsidP="002557B7">
      <w:pPr>
        <w:spacing w:after="160" w:line="259" w:lineRule="auto"/>
        <w:jc w:val="center"/>
        <w:rPr>
          <w:rFonts w:asciiTheme="minorHAnsi" w:eastAsiaTheme="minorHAnsi" w:hAnsiTheme="minorHAnsi" w:cstheme="minorHAnsi"/>
          <w:b/>
          <w:bCs/>
          <w:sz w:val="22"/>
          <w:szCs w:val="22"/>
        </w:rPr>
      </w:pPr>
      <w:bookmarkStart w:id="102" w:name="_Hlk107138435"/>
      <w:r w:rsidRPr="00DB0C40">
        <w:rPr>
          <w:rFonts w:asciiTheme="minorHAnsi" w:eastAsiaTheme="minorHAnsi" w:hAnsiTheme="minorHAnsi" w:cstheme="minorHAnsi"/>
          <w:b/>
          <w:bCs/>
          <w:sz w:val="22"/>
          <w:szCs w:val="22"/>
        </w:rPr>
        <w:lastRenderedPageBreak/>
        <w:t>Figure</w:t>
      </w:r>
      <w:r w:rsidR="00B15F85" w:rsidRPr="00DB0C40">
        <w:rPr>
          <w:rFonts w:asciiTheme="minorHAnsi" w:eastAsiaTheme="minorHAnsi" w:hAnsiTheme="minorHAnsi" w:cstheme="minorHAnsi"/>
          <w:b/>
          <w:bCs/>
          <w:sz w:val="22"/>
          <w:szCs w:val="22"/>
        </w:rPr>
        <w:t xml:space="preserve"> 13</w:t>
      </w:r>
      <w:r w:rsidRPr="00DB0C40">
        <w:rPr>
          <w:rFonts w:asciiTheme="minorHAnsi" w:eastAsiaTheme="minorHAnsi" w:hAnsiTheme="minorHAnsi" w:cstheme="minorHAnsi"/>
          <w:b/>
          <w:bCs/>
          <w:sz w:val="22"/>
          <w:szCs w:val="22"/>
        </w:rPr>
        <w:t>. Employment by sector of activity - Agriculture</w:t>
      </w:r>
      <w:r w:rsidR="00B15F85" w:rsidRPr="00DB0C40">
        <w:rPr>
          <w:rFonts w:asciiTheme="minorHAnsi" w:eastAsiaTheme="minorHAnsi" w:hAnsiTheme="minorHAnsi" w:cstheme="minorBidi"/>
          <w:b/>
          <w:bCs/>
          <w:sz w:val="22"/>
          <w:szCs w:val="22"/>
        </w:rPr>
        <w:t xml:space="preserve"> </w:t>
      </w:r>
      <w:r w:rsidR="00EF4332" w:rsidRPr="00DB0C40">
        <w:rPr>
          <w:rFonts w:asciiTheme="minorHAnsi" w:eastAsiaTheme="minorHAnsi" w:hAnsiTheme="minorHAnsi" w:cstheme="minorHAnsi"/>
          <w:b/>
          <w:bCs/>
          <w:sz w:val="22"/>
          <w:szCs w:val="22"/>
        </w:rPr>
        <w:t>Türkiye</w:t>
      </w:r>
      <w:r w:rsidRPr="00DB0C40">
        <w:rPr>
          <w:rFonts w:asciiTheme="minorHAnsi" w:eastAsiaTheme="minorHAnsi" w:hAnsiTheme="minorHAnsi" w:cstheme="minorHAnsi"/>
          <w:b/>
          <w:bCs/>
          <w:sz w:val="22"/>
          <w:szCs w:val="22"/>
        </w:rPr>
        <w:t xml:space="preserve"> (% of men and women) (2015 – 2021)</w:t>
      </w:r>
    </w:p>
    <w:bookmarkEnd w:id="102"/>
    <w:p w14:paraId="34CD2EDB"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r w:rsidRPr="00DB0C40">
        <w:rPr>
          <w:rFonts w:asciiTheme="minorHAnsi" w:eastAsiaTheme="minorHAnsi" w:hAnsiTheme="minorHAnsi" w:cstheme="minorHAnsi"/>
          <w:b/>
          <w:bCs/>
          <w:noProof/>
          <w:sz w:val="22"/>
          <w:szCs w:val="22"/>
          <w:lang w:eastAsia="en-GB"/>
        </w:rPr>
        <w:drawing>
          <wp:inline distT="0" distB="0" distL="0" distR="0" wp14:anchorId="0F77DC1A" wp14:editId="0443823A">
            <wp:extent cx="4603115" cy="27559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603115" cy="2755900"/>
                    </a:xfrm>
                    <a:prstGeom prst="rect">
                      <a:avLst/>
                    </a:prstGeom>
                    <a:noFill/>
                  </pic:spPr>
                </pic:pic>
              </a:graphicData>
            </a:graphic>
          </wp:inline>
        </w:drawing>
      </w:r>
    </w:p>
    <w:p w14:paraId="3E8B65AC" w14:textId="3772D43F" w:rsidR="002557B7" w:rsidRPr="00DB0C40" w:rsidRDefault="002557B7" w:rsidP="002557B7">
      <w:pPr>
        <w:spacing w:after="160" w:line="259" w:lineRule="auto"/>
        <w:jc w:val="center"/>
        <w:rPr>
          <w:rFonts w:asciiTheme="minorHAnsi" w:eastAsiaTheme="minorHAnsi" w:hAnsiTheme="minorHAnsi" w:cstheme="minorHAnsi"/>
          <w:sz w:val="18"/>
          <w:szCs w:val="18"/>
        </w:rPr>
      </w:pPr>
      <w:r w:rsidRPr="00DB0C40">
        <w:rPr>
          <w:rFonts w:asciiTheme="minorHAnsi" w:eastAsiaTheme="minorHAnsi" w:hAnsiTheme="minorHAnsi" w:cstheme="minorHAnsi"/>
          <w:sz w:val="18"/>
          <w:szCs w:val="18"/>
        </w:rPr>
        <w:t xml:space="preserve">Source: </w:t>
      </w:r>
      <w:proofErr w:type="spellStart"/>
      <w:r w:rsidR="00A45334">
        <w:rPr>
          <w:rFonts w:asciiTheme="minorHAnsi" w:eastAsiaTheme="minorHAnsi" w:hAnsiTheme="minorHAnsi" w:cstheme="minorHAnsi"/>
          <w:sz w:val="18"/>
          <w:szCs w:val="18"/>
        </w:rPr>
        <w:t>T</w:t>
      </w:r>
      <w:r w:rsidR="00C2410D">
        <w:rPr>
          <w:rFonts w:asciiTheme="minorHAnsi" w:eastAsiaTheme="minorHAnsi" w:hAnsiTheme="minorHAnsi" w:cstheme="minorHAnsi"/>
          <w:sz w:val="18"/>
          <w:szCs w:val="18"/>
        </w:rPr>
        <w:t>urkStat</w:t>
      </w:r>
      <w:proofErr w:type="spellEnd"/>
    </w:p>
    <w:p w14:paraId="04C83EBF" w14:textId="77777777" w:rsidR="002557B7" w:rsidRPr="00DB0C40" w:rsidRDefault="002557B7" w:rsidP="002557B7">
      <w:pPr>
        <w:spacing w:after="160" w:line="259" w:lineRule="auto"/>
        <w:rPr>
          <w:rFonts w:asciiTheme="minorHAnsi" w:eastAsiaTheme="minorHAnsi" w:hAnsiTheme="minorHAnsi" w:cstheme="minorHAnsi"/>
          <w:b/>
          <w:bCs/>
          <w:sz w:val="22"/>
          <w:szCs w:val="22"/>
        </w:rPr>
      </w:pPr>
    </w:p>
    <w:p w14:paraId="111BCEE6" w14:textId="4919C070" w:rsidR="002557B7" w:rsidRPr="00DB0C40" w:rsidRDefault="002557B7" w:rsidP="002557B7">
      <w:pPr>
        <w:spacing w:after="160" w:line="259" w:lineRule="auto"/>
        <w:jc w:val="center"/>
        <w:rPr>
          <w:rFonts w:asciiTheme="minorHAnsi" w:eastAsiaTheme="minorHAnsi" w:hAnsiTheme="minorHAnsi" w:cstheme="minorHAnsi"/>
          <w:b/>
          <w:bCs/>
          <w:sz w:val="22"/>
          <w:szCs w:val="22"/>
        </w:rPr>
      </w:pPr>
      <w:bookmarkStart w:id="103" w:name="_Hlk107138468"/>
      <w:r w:rsidRPr="00DB0C40">
        <w:rPr>
          <w:rFonts w:asciiTheme="minorHAnsi" w:eastAsiaTheme="minorHAnsi" w:hAnsiTheme="minorHAnsi" w:cstheme="minorHAnsi"/>
          <w:b/>
          <w:bCs/>
          <w:sz w:val="22"/>
          <w:szCs w:val="22"/>
        </w:rPr>
        <w:t xml:space="preserve">Figure </w:t>
      </w:r>
      <w:r w:rsidR="00B15F85" w:rsidRPr="00DB0C40">
        <w:rPr>
          <w:rFonts w:asciiTheme="minorHAnsi" w:eastAsiaTheme="minorHAnsi" w:hAnsiTheme="minorHAnsi" w:cstheme="minorHAnsi"/>
          <w:b/>
          <w:bCs/>
          <w:sz w:val="22"/>
          <w:szCs w:val="22"/>
        </w:rPr>
        <w:t>14</w:t>
      </w:r>
      <w:r w:rsidRPr="00DB0C40">
        <w:rPr>
          <w:rFonts w:asciiTheme="minorHAnsi" w:eastAsiaTheme="minorHAnsi" w:hAnsiTheme="minorHAnsi" w:cstheme="minorHAnsi"/>
          <w:b/>
          <w:bCs/>
          <w:sz w:val="22"/>
          <w:szCs w:val="22"/>
        </w:rPr>
        <w:t>. Employment by sector of activity - Industry</w:t>
      </w:r>
      <w:r w:rsidR="00B15F85" w:rsidRPr="00DB0C40">
        <w:rPr>
          <w:rFonts w:asciiTheme="minorHAnsi" w:eastAsiaTheme="minorHAnsi" w:hAnsiTheme="minorHAnsi" w:cstheme="minorHAnsi"/>
          <w:b/>
          <w:bCs/>
          <w:sz w:val="22"/>
          <w:szCs w:val="22"/>
        </w:rPr>
        <w:t xml:space="preserve"> </w:t>
      </w:r>
      <w:r w:rsidR="00EF4332" w:rsidRPr="00DB0C40">
        <w:rPr>
          <w:rFonts w:asciiTheme="minorHAnsi" w:eastAsiaTheme="minorHAnsi" w:hAnsiTheme="minorHAnsi" w:cstheme="minorHAnsi"/>
          <w:b/>
          <w:bCs/>
          <w:sz w:val="22"/>
          <w:szCs w:val="22"/>
        </w:rPr>
        <w:t>Türkiye</w:t>
      </w:r>
      <w:r w:rsidRPr="00DB0C40">
        <w:rPr>
          <w:rFonts w:asciiTheme="minorHAnsi" w:eastAsiaTheme="minorHAnsi" w:hAnsiTheme="minorHAnsi" w:cstheme="minorHAnsi"/>
          <w:b/>
          <w:bCs/>
          <w:sz w:val="22"/>
          <w:szCs w:val="22"/>
        </w:rPr>
        <w:t xml:space="preserve"> (% of men and women) (2015 – 2021)</w:t>
      </w:r>
    </w:p>
    <w:bookmarkEnd w:id="103"/>
    <w:p w14:paraId="72DD1928"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p>
    <w:p w14:paraId="271AF7F0"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r w:rsidRPr="00DB0C40">
        <w:rPr>
          <w:rFonts w:asciiTheme="minorHAnsi" w:eastAsiaTheme="minorHAnsi" w:hAnsiTheme="minorHAnsi" w:cstheme="minorHAnsi"/>
          <w:b/>
          <w:bCs/>
          <w:noProof/>
          <w:sz w:val="22"/>
          <w:szCs w:val="22"/>
          <w:lang w:eastAsia="en-GB"/>
        </w:rPr>
        <w:drawing>
          <wp:inline distT="0" distB="0" distL="0" distR="0" wp14:anchorId="2CE7A810" wp14:editId="4E27421B">
            <wp:extent cx="4609465" cy="2759702"/>
            <wp:effectExtent l="0" t="0" r="635"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10513" cy="2760329"/>
                    </a:xfrm>
                    <a:prstGeom prst="rect">
                      <a:avLst/>
                    </a:prstGeom>
                    <a:noFill/>
                  </pic:spPr>
                </pic:pic>
              </a:graphicData>
            </a:graphic>
          </wp:inline>
        </w:drawing>
      </w:r>
    </w:p>
    <w:p w14:paraId="50A674F3" w14:textId="6D12EFF5" w:rsidR="002557B7" w:rsidRPr="00DB0C40" w:rsidRDefault="002557B7" w:rsidP="002557B7">
      <w:pPr>
        <w:spacing w:after="160" w:line="259" w:lineRule="auto"/>
        <w:jc w:val="center"/>
        <w:rPr>
          <w:rFonts w:asciiTheme="minorHAnsi" w:eastAsiaTheme="minorHAnsi" w:hAnsiTheme="minorHAnsi" w:cstheme="minorHAnsi"/>
          <w:sz w:val="18"/>
          <w:szCs w:val="18"/>
        </w:rPr>
      </w:pPr>
      <w:r w:rsidRPr="00DB0C40">
        <w:rPr>
          <w:rFonts w:asciiTheme="minorHAnsi" w:eastAsiaTheme="minorHAnsi" w:hAnsiTheme="minorHAnsi" w:cstheme="minorHAnsi"/>
          <w:sz w:val="18"/>
          <w:szCs w:val="18"/>
        </w:rPr>
        <w:t xml:space="preserve">Source: </w:t>
      </w:r>
      <w:proofErr w:type="spellStart"/>
      <w:r w:rsidR="00C2410D">
        <w:rPr>
          <w:rFonts w:asciiTheme="minorHAnsi" w:eastAsiaTheme="minorHAnsi" w:hAnsiTheme="minorHAnsi" w:cstheme="minorHAnsi"/>
          <w:sz w:val="18"/>
          <w:szCs w:val="18"/>
        </w:rPr>
        <w:t>TurkStat</w:t>
      </w:r>
      <w:proofErr w:type="spellEnd"/>
    </w:p>
    <w:p w14:paraId="1CE1620D"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p>
    <w:p w14:paraId="0D7B430D"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p>
    <w:p w14:paraId="4CC7F149"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p>
    <w:p w14:paraId="2D8053C3" w14:textId="440FFEE4" w:rsidR="002557B7" w:rsidRPr="00DB0C40" w:rsidRDefault="002557B7" w:rsidP="002557B7">
      <w:pPr>
        <w:spacing w:after="160" w:line="259" w:lineRule="auto"/>
        <w:jc w:val="center"/>
        <w:rPr>
          <w:rFonts w:asciiTheme="minorHAnsi" w:eastAsiaTheme="minorHAnsi" w:hAnsiTheme="minorHAnsi" w:cstheme="minorHAnsi"/>
          <w:b/>
          <w:bCs/>
          <w:sz w:val="22"/>
          <w:szCs w:val="22"/>
        </w:rPr>
      </w:pPr>
      <w:bookmarkStart w:id="104" w:name="_Hlk107138509"/>
      <w:r w:rsidRPr="00DB0C40">
        <w:rPr>
          <w:rFonts w:asciiTheme="minorHAnsi" w:eastAsiaTheme="minorHAnsi" w:hAnsiTheme="minorHAnsi" w:cstheme="minorHAnsi"/>
          <w:b/>
          <w:bCs/>
          <w:sz w:val="22"/>
          <w:szCs w:val="22"/>
        </w:rPr>
        <w:lastRenderedPageBreak/>
        <w:t xml:space="preserve">Figure </w:t>
      </w:r>
      <w:r w:rsidR="00B15F85" w:rsidRPr="00DB0C40">
        <w:rPr>
          <w:rFonts w:asciiTheme="minorHAnsi" w:eastAsiaTheme="minorHAnsi" w:hAnsiTheme="minorHAnsi" w:cstheme="minorHAnsi"/>
          <w:b/>
          <w:bCs/>
          <w:sz w:val="22"/>
          <w:szCs w:val="22"/>
        </w:rPr>
        <w:t>15</w:t>
      </w:r>
      <w:r w:rsidRPr="00DB0C40">
        <w:rPr>
          <w:rFonts w:asciiTheme="minorHAnsi" w:eastAsiaTheme="minorHAnsi" w:hAnsiTheme="minorHAnsi" w:cstheme="minorHAnsi"/>
          <w:b/>
          <w:bCs/>
          <w:sz w:val="22"/>
          <w:szCs w:val="22"/>
        </w:rPr>
        <w:t xml:space="preserve">. Employment by sector of activity - Construction </w:t>
      </w:r>
      <w:r w:rsidR="00EF4332" w:rsidRPr="00DB0C40">
        <w:rPr>
          <w:rFonts w:asciiTheme="minorHAnsi" w:eastAsiaTheme="minorHAnsi" w:hAnsiTheme="minorHAnsi" w:cstheme="minorHAnsi"/>
          <w:b/>
          <w:bCs/>
          <w:sz w:val="22"/>
          <w:szCs w:val="22"/>
        </w:rPr>
        <w:t>Türkiye</w:t>
      </w:r>
      <w:r w:rsidR="00B15F85" w:rsidRPr="00DB0C40">
        <w:rPr>
          <w:rFonts w:asciiTheme="minorHAnsi" w:eastAsiaTheme="minorHAnsi" w:hAnsiTheme="minorHAnsi" w:cstheme="minorHAnsi"/>
          <w:b/>
          <w:bCs/>
          <w:sz w:val="22"/>
          <w:szCs w:val="22"/>
        </w:rPr>
        <w:t xml:space="preserve"> </w:t>
      </w:r>
      <w:r w:rsidRPr="00DB0C40">
        <w:rPr>
          <w:rFonts w:asciiTheme="minorHAnsi" w:eastAsiaTheme="minorHAnsi" w:hAnsiTheme="minorHAnsi" w:cstheme="minorHAnsi"/>
          <w:b/>
          <w:bCs/>
          <w:sz w:val="22"/>
          <w:szCs w:val="22"/>
        </w:rPr>
        <w:t>(% of men and women) (2015 – 2021)</w:t>
      </w:r>
    </w:p>
    <w:bookmarkEnd w:id="104"/>
    <w:p w14:paraId="2F1A3C4D"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p>
    <w:p w14:paraId="1C88355C"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r w:rsidRPr="00DB0C40">
        <w:rPr>
          <w:rFonts w:asciiTheme="minorHAnsi" w:eastAsiaTheme="minorHAnsi" w:hAnsiTheme="minorHAnsi" w:cstheme="minorHAnsi"/>
          <w:b/>
          <w:bCs/>
          <w:noProof/>
          <w:sz w:val="22"/>
          <w:szCs w:val="22"/>
          <w:lang w:eastAsia="en-GB"/>
        </w:rPr>
        <w:drawing>
          <wp:inline distT="0" distB="0" distL="0" distR="0" wp14:anchorId="531FECE9" wp14:editId="0AD07E17">
            <wp:extent cx="4603115" cy="27559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03115" cy="2755900"/>
                    </a:xfrm>
                    <a:prstGeom prst="rect">
                      <a:avLst/>
                    </a:prstGeom>
                    <a:noFill/>
                  </pic:spPr>
                </pic:pic>
              </a:graphicData>
            </a:graphic>
          </wp:inline>
        </w:drawing>
      </w:r>
    </w:p>
    <w:p w14:paraId="3073C6AA" w14:textId="3B153B63" w:rsidR="002557B7" w:rsidRPr="00DB0C40" w:rsidRDefault="002557B7" w:rsidP="002557B7">
      <w:pPr>
        <w:spacing w:after="160" w:line="259" w:lineRule="auto"/>
        <w:jc w:val="center"/>
        <w:rPr>
          <w:rFonts w:asciiTheme="minorHAnsi" w:eastAsiaTheme="minorHAnsi" w:hAnsiTheme="minorHAnsi" w:cstheme="minorHAnsi"/>
          <w:sz w:val="18"/>
          <w:szCs w:val="18"/>
        </w:rPr>
      </w:pPr>
      <w:r w:rsidRPr="00DB0C40">
        <w:rPr>
          <w:rFonts w:asciiTheme="minorHAnsi" w:eastAsiaTheme="minorHAnsi" w:hAnsiTheme="minorHAnsi" w:cstheme="minorHAnsi"/>
          <w:sz w:val="18"/>
          <w:szCs w:val="18"/>
        </w:rPr>
        <w:t xml:space="preserve">Source: </w:t>
      </w:r>
      <w:proofErr w:type="spellStart"/>
      <w:r w:rsidR="00A45334">
        <w:rPr>
          <w:rFonts w:asciiTheme="minorHAnsi" w:eastAsiaTheme="minorHAnsi" w:hAnsiTheme="minorHAnsi" w:cstheme="minorHAnsi"/>
          <w:sz w:val="18"/>
          <w:szCs w:val="18"/>
        </w:rPr>
        <w:t>T</w:t>
      </w:r>
      <w:r w:rsidR="00C2410D">
        <w:rPr>
          <w:rFonts w:asciiTheme="minorHAnsi" w:eastAsiaTheme="minorHAnsi" w:hAnsiTheme="minorHAnsi" w:cstheme="minorHAnsi"/>
          <w:sz w:val="18"/>
          <w:szCs w:val="18"/>
        </w:rPr>
        <w:t>urkStat</w:t>
      </w:r>
      <w:proofErr w:type="spellEnd"/>
    </w:p>
    <w:p w14:paraId="64994318" w14:textId="77777777" w:rsidR="002557B7" w:rsidRPr="00DB0C40" w:rsidRDefault="002557B7" w:rsidP="002557B7">
      <w:pPr>
        <w:spacing w:after="160" w:line="259" w:lineRule="auto"/>
        <w:rPr>
          <w:rFonts w:asciiTheme="minorHAnsi" w:eastAsiaTheme="minorHAnsi" w:hAnsiTheme="minorHAnsi" w:cstheme="minorHAnsi"/>
          <w:b/>
          <w:bCs/>
          <w:sz w:val="22"/>
          <w:szCs w:val="22"/>
        </w:rPr>
      </w:pPr>
    </w:p>
    <w:p w14:paraId="66AFD9AA" w14:textId="50064E70" w:rsidR="002557B7" w:rsidRPr="00DB0C40" w:rsidRDefault="002557B7" w:rsidP="002557B7">
      <w:pPr>
        <w:spacing w:after="160" w:line="259" w:lineRule="auto"/>
        <w:jc w:val="center"/>
        <w:rPr>
          <w:rFonts w:asciiTheme="minorHAnsi" w:eastAsiaTheme="minorHAnsi" w:hAnsiTheme="minorHAnsi" w:cstheme="minorHAnsi"/>
          <w:b/>
          <w:bCs/>
          <w:sz w:val="22"/>
          <w:szCs w:val="22"/>
        </w:rPr>
      </w:pPr>
      <w:bookmarkStart w:id="105" w:name="_Hlk107138543"/>
      <w:r w:rsidRPr="00DB0C40">
        <w:rPr>
          <w:rFonts w:asciiTheme="minorHAnsi" w:eastAsiaTheme="minorHAnsi" w:hAnsiTheme="minorHAnsi" w:cstheme="minorHAnsi"/>
          <w:b/>
          <w:bCs/>
          <w:sz w:val="22"/>
          <w:szCs w:val="22"/>
        </w:rPr>
        <w:t xml:space="preserve">Figure </w:t>
      </w:r>
      <w:r w:rsidR="00B15F85" w:rsidRPr="00DB0C40">
        <w:rPr>
          <w:rFonts w:asciiTheme="minorHAnsi" w:eastAsiaTheme="minorHAnsi" w:hAnsiTheme="minorHAnsi" w:cstheme="minorHAnsi"/>
          <w:b/>
          <w:bCs/>
          <w:sz w:val="22"/>
          <w:szCs w:val="22"/>
        </w:rPr>
        <w:t>16</w:t>
      </w:r>
      <w:r w:rsidRPr="00DB0C40">
        <w:rPr>
          <w:rFonts w:asciiTheme="minorHAnsi" w:eastAsiaTheme="minorHAnsi" w:hAnsiTheme="minorHAnsi" w:cstheme="minorHAnsi"/>
          <w:b/>
          <w:bCs/>
          <w:sz w:val="22"/>
          <w:szCs w:val="22"/>
        </w:rPr>
        <w:t xml:space="preserve">. Employment by sector of activity - Service </w:t>
      </w:r>
      <w:bookmarkStart w:id="106" w:name="_Hlk107138576"/>
      <w:r w:rsidR="00EF4332" w:rsidRPr="00DB0C40">
        <w:rPr>
          <w:rFonts w:asciiTheme="minorHAnsi" w:eastAsiaTheme="minorHAnsi" w:hAnsiTheme="minorHAnsi" w:cstheme="minorHAnsi"/>
          <w:b/>
          <w:bCs/>
          <w:sz w:val="22"/>
          <w:szCs w:val="22"/>
        </w:rPr>
        <w:t>Türkiye</w:t>
      </w:r>
      <w:r w:rsidR="00B15F85" w:rsidRPr="00DB0C40">
        <w:rPr>
          <w:rFonts w:asciiTheme="minorHAnsi" w:eastAsiaTheme="minorHAnsi" w:hAnsiTheme="minorHAnsi" w:cstheme="minorHAnsi"/>
          <w:b/>
          <w:bCs/>
          <w:sz w:val="22"/>
          <w:szCs w:val="22"/>
        </w:rPr>
        <w:t xml:space="preserve"> </w:t>
      </w:r>
      <w:bookmarkEnd w:id="106"/>
      <w:r w:rsidRPr="00DB0C40">
        <w:rPr>
          <w:rFonts w:asciiTheme="minorHAnsi" w:eastAsiaTheme="minorHAnsi" w:hAnsiTheme="minorHAnsi" w:cstheme="minorHAnsi"/>
          <w:b/>
          <w:bCs/>
          <w:sz w:val="22"/>
          <w:szCs w:val="22"/>
        </w:rPr>
        <w:t>(% of men and women) (2015 – 2021)</w:t>
      </w:r>
    </w:p>
    <w:bookmarkEnd w:id="105"/>
    <w:p w14:paraId="033E48D2"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p>
    <w:p w14:paraId="077C4FA6"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pPr>
      <w:r w:rsidRPr="00DB0C40">
        <w:rPr>
          <w:rFonts w:asciiTheme="minorHAnsi" w:eastAsiaTheme="minorHAnsi" w:hAnsiTheme="minorHAnsi" w:cstheme="minorHAnsi"/>
          <w:b/>
          <w:bCs/>
          <w:noProof/>
          <w:sz w:val="22"/>
          <w:szCs w:val="22"/>
          <w:lang w:eastAsia="en-GB"/>
        </w:rPr>
        <w:drawing>
          <wp:inline distT="0" distB="0" distL="0" distR="0" wp14:anchorId="7B81EADB" wp14:editId="421BBDBB">
            <wp:extent cx="4603115" cy="27559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03115" cy="2755900"/>
                    </a:xfrm>
                    <a:prstGeom prst="rect">
                      <a:avLst/>
                    </a:prstGeom>
                    <a:noFill/>
                  </pic:spPr>
                </pic:pic>
              </a:graphicData>
            </a:graphic>
          </wp:inline>
        </w:drawing>
      </w:r>
    </w:p>
    <w:p w14:paraId="47083EFD" w14:textId="5384E144" w:rsidR="002557B7" w:rsidRPr="00DB0C40" w:rsidRDefault="002557B7" w:rsidP="002557B7">
      <w:pPr>
        <w:spacing w:after="160" w:line="259" w:lineRule="auto"/>
        <w:jc w:val="center"/>
        <w:rPr>
          <w:rFonts w:asciiTheme="minorHAnsi" w:eastAsiaTheme="minorHAnsi" w:hAnsiTheme="minorHAnsi" w:cstheme="minorHAnsi"/>
          <w:sz w:val="18"/>
          <w:szCs w:val="18"/>
        </w:rPr>
      </w:pPr>
      <w:r w:rsidRPr="00DB0C40">
        <w:rPr>
          <w:rFonts w:asciiTheme="minorHAnsi" w:eastAsiaTheme="minorHAnsi" w:hAnsiTheme="minorHAnsi" w:cstheme="minorHAnsi"/>
          <w:sz w:val="18"/>
          <w:szCs w:val="18"/>
        </w:rPr>
        <w:t xml:space="preserve">Source: </w:t>
      </w:r>
      <w:proofErr w:type="spellStart"/>
      <w:r w:rsidR="00A45334">
        <w:rPr>
          <w:rFonts w:asciiTheme="minorHAnsi" w:eastAsiaTheme="minorHAnsi" w:hAnsiTheme="minorHAnsi" w:cstheme="minorHAnsi"/>
          <w:sz w:val="18"/>
          <w:szCs w:val="18"/>
        </w:rPr>
        <w:t>T</w:t>
      </w:r>
      <w:r w:rsidR="00C2410D">
        <w:rPr>
          <w:rFonts w:asciiTheme="minorHAnsi" w:eastAsiaTheme="minorHAnsi" w:hAnsiTheme="minorHAnsi" w:cstheme="minorHAnsi"/>
          <w:sz w:val="18"/>
          <w:szCs w:val="18"/>
        </w:rPr>
        <w:t>urkStat</w:t>
      </w:r>
      <w:proofErr w:type="spellEnd"/>
    </w:p>
    <w:p w14:paraId="22655CC6" w14:textId="77777777" w:rsidR="002557B7" w:rsidRPr="00DB0C40" w:rsidRDefault="002557B7" w:rsidP="002557B7">
      <w:pPr>
        <w:spacing w:after="160" w:line="259" w:lineRule="auto"/>
        <w:jc w:val="center"/>
        <w:rPr>
          <w:rFonts w:asciiTheme="minorHAnsi" w:eastAsiaTheme="minorHAnsi" w:hAnsiTheme="minorHAnsi" w:cstheme="minorHAnsi"/>
          <w:b/>
          <w:bCs/>
          <w:sz w:val="22"/>
          <w:szCs w:val="22"/>
        </w:rPr>
        <w:sectPr w:rsidR="002557B7" w:rsidRPr="00DB0C40" w:rsidSect="00EA37BB">
          <w:footerReference w:type="default" r:id="rId47"/>
          <w:pgSz w:w="12240" w:h="15840"/>
          <w:pgMar w:top="1440" w:right="1440" w:bottom="1440" w:left="1440" w:header="709" w:footer="709" w:gutter="0"/>
          <w:cols w:space="708"/>
          <w:docGrid w:linePitch="360"/>
        </w:sectPr>
      </w:pPr>
    </w:p>
    <w:p w14:paraId="25A4DF90" w14:textId="77777777" w:rsidR="002557B7" w:rsidRPr="00DB0C40" w:rsidRDefault="002557B7" w:rsidP="002557B7">
      <w:pPr>
        <w:spacing w:after="160" w:line="259" w:lineRule="auto"/>
        <w:jc w:val="center"/>
        <w:rPr>
          <w:rFonts w:asciiTheme="minorHAnsi" w:eastAsiaTheme="minorHAnsi" w:hAnsiTheme="minorHAnsi" w:cstheme="minorHAnsi"/>
          <w:sz w:val="22"/>
          <w:szCs w:val="22"/>
        </w:rPr>
      </w:pPr>
    </w:p>
    <w:p w14:paraId="412163AA" w14:textId="7E5665C5" w:rsidR="002557B7" w:rsidRPr="00DB0C40" w:rsidRDefault="002557B7" w:rsidP="002557B7">
      <w:pPr>
        <w:spacing w:after="160" w:line="259" w:lineRule="auto"/>
        <w:jc w:val="center"/>
        <w:rPr>
          <w:rFonts w:asciiTheme="minorHAnsi" w:eastAsiaTheme="minorHAnsi" w:hAnsiTheme="minorHAnsi" w:cstheme="minorHAnsi"/>
          <w:b/>
          <w:bCs/>
          <w:sz w:val="22"/>
          <w:szCs w:val="22"/>
        </w:rPr>
      </w:pPr>
      <w:bookmarkStart w:id="107" w:name="_Hlk107138592"/>
      <w:r w:rsidRPr="00DB0C40">
        <w:rPr>
          <w:rFonts w:asciiTheme="minorHAnsi" w:eastAsiaTheme="minorHAnsi" w:hAnsiTheme="minorHAnsi" w:cstheme="minorHAnsi"/>
          <w:b/>
          <w:bCs/>
          <w:sz w:val="22"/>
          <w:szCs w:val="22"/>
        </w:rPr>
        <w:t>Table</w:t>
      </w:r>
      <w:r w:rsidR="00B15F85" w:rsidRPr="00DB0C40">
        <w:rPr>
          <w:rFonts w:asciiTheme="minorHAnsi" w:eastAsiaTheme="minorHAnsi" w:hAnsiTheme="minorHAnsi" w:cstheme="minorHAnsi"/>
          <w:b/>
          <w:bCs/>
          <w:sz w:val="22"/>
          <w:szCs w:val="22"/>
        </w:rPr>
        <w:t xml:space="preserve"> 4</w:t>
      </w:r>
      <w:r w:rsidRPr="00DB0C40">
        <w:rPr>
          <w:rFonts w:asciiTheme="minorHAnsi" w:eastAsiaTheme="minorHAnsi" w:hAnsiTheme="minorHAnsi" w:cstheme="minorHAnsi"/>
          <w:b/>
          <w:bCs/>
          <w:sz w:val="22"/>
          <w:szCs w:val="22"/>
        </w:rPr>
        <w:t xml:space="preserve">. Comparative data on employment </w:t>
      </w:r>
      <w:r w:rsidR="00EF4332" w:rsidRPr="00DB0C40">
        <w:rPr>
          <w:rFonts w:asciiTheme="minorHAnsi" w:eastAsiaTheme="minorHAnsi" w:hAnsiTheme="minorHAnsi" w:cstheme="minorHAnsi"/>
          <w:b/>
          <w:bCs/>
          <w:sz w:val="22"/>
          <w:szCs w:val="22"/>
        </w:rPr>
        <w:t>Türkiye</w:t>
      </w:r>
      <w:r w:rsidR="00B15F85" w:rsidRPr="00DB0C40">
        <w:rPr>
          <w:rFonts w:asciiTheme="minorHAnsi" w:eastAsiaTheme="minorHAnsi" w:hAnsiTheme="minorHAnsi" w:cstheme="minorHAnsi"/>
          <w:b/>
          <w:bCs/>
          <w:sz w:val="22"/>
          <w:szCs w:val="22"/>
        </w:rPr>
        <w:t xml:space="preserve"> </w:t>
      </w:r>
      <w:r w:rsidRPr="00DB0C40">
        <w:rPr>
          <w:rFonts w:asciiTheme="minorHAnsi" w:eastAsiaTheme="minorHAnsi" w:hAnsiTheme="minorHAnsi" w:cstheme="minorHAnsi"/>
          <w:b/>
          <w:bCs/>
          <w:sz w:val="22"/>
          <w:szCs w:val="22"/>
        </w:rPr>
        <w:t>from 2015 to 2021</w:t>
      </w:r>
    </w:p>
    <w:bookmarkEnd w:id="107"/>
    <w:p w14:paraId="38F94E1F" w14:textId="77777777" w:rsidR="002557B7" w:rsidRPr="00DB0C40" w:rsidRDefault="002557B7" w:rsidP="002557B7">
      <w:pPr>
        <w:spacing w:after="160" w:line="259" w:lineRule="auto"/>
        <w:rPr>
          <w:rFonts w:asciiTheme="minorHAnsi" w:eastAsiaTheme="minorHAnsi" w:hAnsiTheme="minorHAnsi" w:cstheme="minorHAnsi"/>
          <w:sz w:val="22"/>
          <w:szCs w:val="22"/>
        </w:rPr>
      </w:pPr>
    </w:p>
    <w:p w14:paraId="4F36BB2D" w14:textId="77777777" w:rsidR="002557B7" w:rsidRPr="00DB0C40" w:rsidRDefault="002557B7" w:rsidP="002557B7">
      <w:pPr>
        <w:spacing w:after="160" w:line="259" w:lineRule="auto"/>
        <w:rPr>
          <w:rFonts w:asciiTheme="minorHAnsi" w:eastAsiaTheme="minorHAnsi" w:hAnsiTheme="minorHAnsi" w:cstheme="minorHAnsi"/>
          <w:sz w:val="22"/>
          <w:szCs w:val="22"/>
        </w:rPr>
      </w:pPr>
      <w:r w:rsidRPr="00DB0C40">
        <w:rPr>
          <w:rFonts w:asciiTheme="minorHAnsi" w:eastAsiaTheme="minorHAnsi" w:hAnsiTheme="minorHAnsi" w:cstheme="minorHAnsi"/>
          <w:noProof/>
          <w:sz w:val="22"/>
          <w:szCs w:val="22"/>
          <w:lang w:eastAsia="en-GB"/>
        </w:rPr>
        <w:drawing>
          <wp:inline distT="0" distB="0" distL="0" distR="0" wp14:anchorId="3D4A979C" wp14:editId="71A70BFE">
            <wp:extent cx="8839929" cy="2851150"/>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844117" cy="2852501"/>
                    </a:xfrm>
                    <a:prstGeom prst="rect">
                      <a:avLst/>
                    </a:prstGeom>
                    <a:noFill/>
                    <a:ln>
                      <a:noFill/>
                    </a:ln>
                  </pic:spPr>
                </pic:pic>
              </a:graphicData>
            </a:graphic>
          </wp:inline>
        </w:drawing>
      </w:r>
    </w:p>
    <w:p w14:paraId="01B784DE" w14:textId="66591A10" w:rsidR="002557B7" w:rsidRPr="00DB0C40" w:rsidRDefault="002557B7" w:rsidP="002557B7">
      <w:pPr>
        <w:spacing w:after="160" w:line="259" w:lineRule="auto"/>
        <w:jc w:val="center"/>
        <w:rPr>
          <w:rFonts w:asciiTheme="minorHAnsi" w:eastAsiaTheme="minorHAnsi" w:hAnsiTheme="minorHAnsi" w:cstheme="minorHAnsi"/>
          <w:sz w:val="18"/>
          <w:szCs w:val="18"/>
        </w:rPr>
      </w:pPr>
      <w:r w:rsidRPr="00DB0C40">
        <w:rPr>
          <w:rFonts w:asciiTheme="minorHAnsi" w:eastAsiaTheme="minorHAnsi" w:hAnsiTheme="minorHAnsi" w:cstheme="minorHAnsi"/>
          <w:sz w:val="18"/>
          <w:szCs w:val="18"/>
        </w:rPr>
        <w:t xml:space="preserve">Source: </w:t>
      </w:r>
      <w:proofErr w:type="spellStart"/>
      <w:r w:rsidR="00A45334">
        <w:rPr>
          <w:rFonts w:asciiTheme="minorHAnsi" w:eastAsiaTheme="minorHAnsi" w:hAnsiTheme="minorHAnsi" w:cstheme="minorHAnsi"/>
          <w:sz w:val="18"/>
          <w:szCs w:val="18"/>
        </w:rPr>
        <w:t>T</w:t>
      </w:r>
      <w:r w:rsidR="00C2410D">
        <w:rPr>
          <w:rFonts w:asciiTheme="minorHAnsi" w:eastAsiaTheme="minorHAnsi" w:hAnsiTheme="minorHAnsi" w:cstheme="minorHAnsi"/>
          <w:sz w:val="18"/>
          <w:szCs w:val="18"/>
        </w:rPr>
        <w:t>urkStat</w:t>
      </w:r>
      <w:proofErr w:type="spellEnd"/>
    </w:p>
    <w:p w14:paraId="7870F21E" w14:textId="77777777" w:rsidR="002557B7" w:rsidRPr="00DB0C40" w:rsidRDefault="002557B7" w:rsidP="002557B7">
      <w:pPr>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br w:type="page"/>
      </w:r>
    </w:p>
    <w:p w14:paraId="20054EF5" w14:textId="77777777" w:rsidR="002557B7" w:rsidRPr="00DB0C40" w:rsidRDefault="002557B7" w:rsidP="002557B7">
      <w:pPr>
        <w:rPr>
          <w:rFonts w:asciiTheme="minorHAnsi" w:eastAsiaTheme="minorHAnsi" w:hAnsiTheme="minorHAnsi" w:cstheme="minorHAnsi"/>
          <w:sz w:val="22"/>
          <w:szCs w:val="22"/>
        </w:rPr>
        <w:sectPr w:rsidR="002557B7" w:rsidRPr="00DB0C40" w:rsidSect="00EA37BB">
          <w:headerReference w:type="default" r:id="rId49"/>
          <w:footerReference w:type="even" r:id="rId50"/>
          <w:footerReference w:type="default" r:id="rId51"/>
          <w:pgSz w:w="16840" w:h="11900" w:orient="landscape"/>
          <w:pgMar w:top="1440" w:right="1582" w:bottom="1440" w:left="2319" w:header="709" w:footer="709" w:gutter="0"/>
          <w:cols w:space="708"/>
          <w:docGrid w:linePitch="360"/>
        </w:sectPr>
      </w:pPr>
    </w:p>
    <w:p w14:paraId="06B2C055" w14:textId="77777777" w:rsidR="002557B7" w:rsidRPr="00CD2A61" w:rsidRDefault="002557B7">
      <w:pPr>
        <w:keepNext/>
        <w:keepLines/>
        <w:numPr>
          <w:ilvl w:val="2"/>
          <w:numId w:val="46"/>
        </w:numPr>
        <w:spacing w:before="40" w:after="160" w:line="259" w:lineRule="auto"/>
        <w:contextualSpacing/>
        <w:outlineLvl w:val="1"/>
        <w:rPr>
          <w:rFonts w:asciiTheme="majorHAnsi" w:eastAsiaTheme="majorEastAsia" w:hAnsiTheme="majorHAnsi" w:cstheme="majorBidi"/>
          <w:color w:val="1F3763" w:themeColor="accent1" w:themeShade="7F"/>
        </w:rPr>
      </w:pPr>
      <w:bookmarkStart w:id="108" w:name="_Hlk106961442"/>
      <w:bookmarkStart w:id="109" w:name="_Toc92359095"/>
      <w:r w:rsidRPr="00CD2A61">
        <w:rPr>
          <w:rFonts w:asciiTheme="majorHAnsi" w:eastAsiaTheme="majorEastAsia" w:hAnsiTheme="majorHAnsi" w:cstheme="majorBidi"/>
          <w:color w:val="1F3763" w:themeColor="accent1" w:themeShade="7F"/>
        </w:rPr>
        <w:lastRenderedPageBreak/>
        <w:t xml:space="preserve">On Part-Time Work </w:t>
      </w:r>
    </w:p>
    <w:bookmarkEnd w:id="108"/>
    <w:p w14:paraId="1289409E" w14:textId="77777777" w:rsidR="002557B7" w:rsidRPr="00DB0C40" w:rsidRDefault="002557B7" w:rsidP="002557B7">
      <w:pPr>
        <w:keepNext/>
        <w:keepLines/>
        <w:spacing w:before="40"/>
        <w:jc w:val="both"/>
        <w:outlineLvl w:val="1"/>
        <w:rPr>
          <w:rFonts w:asciiTheme="minorHAnsi" w:eastAsiaTheme="majorEastAsia" w:hAnsiTheme="minorHAnsi" w:cstheme="minorHAnsi"/>
          <w:sz w:val="22"/>
          <w:szCs w:val="22"/>
        </w:rPr>
      </w:pPr>
      <w:r w:rsidRPr="00DB0C40">
        <w:rPr>
          <w:rFonts w:asciiTheme="minorHAnsi" w:eastAsiaTheme="majorEastAsia" w:hAnsiTheme="minorHAnsi" w:cstheme="minorHAnsi"/>
          <w:sz w:val="22"/>
          <w:szCs w:val="22"/>
        </w:rPr>
        <w:t xml:space="preserve">In 2016, </w:t>
      </w:r>
      <w:bookmarkStart w:id="110" w:name="_Hlk106376271"/>
      <w:r w:rsidRPr="00DB0C40">
        <w:rPr>
          <w:rFonts w:asciiTheme="minorHAnsi" w:eastAsiaTheme="majorEastAsia" w:hAnsiTheme="minorHAnsi" w:cstheme="minorHAnsi"/>
          <w:sz w:val="22"/>
          <w:szCs w:val="22"/>
        </w:rPr>
        <w:t xml:space="preserve">part-time work in female employment was three times </w:t>
      </w:r>
      <w:bookmarkEnd w:id="110"/>
      <w:r w:rsidRPr="00DB0C40">
        <w:rPr>
          <w:rFonts w:asciiTheme="minorHAnsi" w:eastAsiaTheme="majorEastAsia" w:hAnsiTheme="minorHAnsi" w:cstheme="minorHAnsi"/>
          <w:sz w:val="22"/>
          <w:szCs w:val="22"/>
        </w:rPr>
        <w:t>that of male, but in 2020 this had reduced to two times, showing an increase in part-time work for men, with the volume of part-time work for women remaining almost unchanged</w:t>
      </w:r>
    </w:p>
    <w:p w14:paraId="3680A8AB" w14:textId="77777777" w:rsidR="002557B7" w:rsidRPr="00DB0C40" w:rsidRDefault="002557B7" w:rsidP="002557B7">
      <w:pPr>
        <w:keepNext/>
        <w:keepLines/>
        <w:spacing w:before="40"/>
        <w:jc w:val="both"/>
        <w:outlineLvl w:val="1"/>
        <w:rPr>
          <w:rFonts w:asciiTheme="minorHAnsi" w:eastAsiaTheme="majorEastAsia" w:hAnsiTheme="minorHAnsi" w:cstheme="minorHAnsi"/>
          <w:sz w:val="22"/>
          <w:szCs w:val="22"/>
        </w:rPr>
      </w:pPr>
    </w:p>
    <w:p w14:paraId="00D3759A" w14:textId="556BF4B6" w:rsidR="002557B7" w:rsidRPr="00DB0C40" w:rsidRDefault="002557B7" w:rsidP="002557B7">
      <w:pPr>
        <w:keepNext/>
        <w:keepLines/>
        <w:spacing w:before="40"/>
        <w:jc w:val="center"/>
        <w:outlineLvl w:val="1"/>
        <w:rPr>
          <w:rFonts w:asciiTheme="minorHAnsi" w:eastAsiaTheme="majorEastAsia" w:hAnsiTheme="minorHAnsi" w:cstheme="minorHAnsi"/>
          <w:b/>
          <w:bCs/>
          <w:sz w:val="22"/>
          <w:szCs w:val="22"/>
        </w:rPr>
      </w:pPr>
      <w:bookmarkStart w:id="111" w:name="_Hlk107138633"/>
      <w:r w:rsidRPr="00DB0C40">
        <w:rPr>
          <w:rFonts w:asciiTheme="minorHAnsi" w:eastAsiaTheme="majorEastAsia" w:hAnsiTheme="minorHAnsi" w:cstheme="minorHAnsi"/>
          <w:b/>
          <w:bCs/>
          <w:sz w:val="22"/>
          <w:szCs w:val="22"/>
        </w:rPr>
        <w:t xml:space="preserve">Table </w:t>
      </w:r>
      <w:r w:rsidR="00B15F85" w:rsidRPr="00DB0C40">
        <w:rPr>
          <w:rFonts w:asciiTheme="minorHAnsi" w:eastAsiaTheme="majorEastAsia" w:hAnsiTheme="minorHAnsi" w:cstheme="minorHAnsi"/>
          <w:b/>
          <w:bCs/>
          <w:sz w:val="22"/>
          <w:szCs w:val="22"/>
        </w:rPr>
        <w:t xml:space="preserve">5. </w:t>
      </w:r>
      <w:r w:rsidRPr="00DB0C40">
        <w:rPr>
          <w:rFonts w:asciiTheme="minorHAnsi" w:eastAsiaTheme="majorEastAsia" w:hAnsiTheme="minorHAnsi" w:cstheme="minorHAnsi"/>
          <w:b/>
          <w:bCs/>
          <w:sz w:val="22"/>
          <w:szCs w:val="22"/>
        </w:rPr>
        <w:t xml:space="preserve"> Part – Time work in Türkiye (2016 – 2020)</w:t>
      </w:r>
    </w:p>
    <w:bookmarkEnd w:id="111"/>
    <w:p w14:paraId="4B534161" w14:textId="77777777" w:rsidR="002557B7" w:rsidRPr="00DB0C40" w:rsidRDefault="002557B7" w:rsidP="002557B7">
      <w:pPr>
        <w:keepNext/>
        <w:keepLines/>
        <w:spacing w:before="40"/>
        <w:jc w:val="center"/>
        <w:outlineLvl w:val="1"/>
        <w:rPr>
          <w:rFonts w:asciiTheme="minorHAnsi" w:eastAsiaTheme="majorEastAsia" w:hAnsiTheme="minorHAnsi" w:cstheme="minorHAnsi"/>
          <w:sz w:val="22"/>
          <w:szCs w:val="22"/>
        </w:rPr>
      </w:pPr>
    </w:p>
    <w:tbl>
      <w:tblPr>
        <w:tblStyle w:val="TableGrid3"/>
        <w:tblW w:w="0" w:type="auto"/>
        <w:jc w:val="center"/>
        <w:tblLook w:val="04A0" w:firstRow="1" w:lastRow="0" w:firstColumn="1" w:lastColumn="0" w:noHBand="0" w:noVBand="1"/>
      </w:tblPr>
      <w:tblGrid>
        <w:gridCol w:w="881"/>
        <w:gridCol w:w="961"/>
        <w:gridCol w:w="1474"/>
        <w:gridCol w:w="961"/>
      </w:tblGrid>
      <w:tr w:rsidR="002557B7" w:rsidRPr="00DB0C40" w14:paraId="4B1CAEF5" w14:textId="77777777" w:rsidTr="003F7BB3">
        <w:trPr>
          <w:jc w:val="center"/>
        </w:trPr>
        <w:tc>
          <w:tcPr>
            <w:tcW w:w="0" w:type="auto"/>
            <w:shd w:val="clear" w:color="auto" w:fill="D9E2F3" w:themeFill="accent1" w:themeFillTint="33"/>
          </w:tcPr>
          <w:p w14:paraId="53FFF510" w14:textId="77777777" w:rsidR="002557B7" w:rsidRPr="00DB0C40" w:rsidRDefault="002557B7" w:rsidP="002557B7">
            <w:pPr>
              <w:keepNext/>
              <w:keepLines/>
              <w:spacing w:before="40"/>
              <w:jc w:val="both"/>
              <w:outlineLvl w:val="1"/>
              <w:rPr>
                <w:rFonts w:eastAsiaTheme="majorEastAsia" w:cstheme="minorHAnsi"/>
                <w:b/>
                <w:bCs/>
                <w:lang w:val="en-GB"/>
              </w:rPr>
            </w:pPr>
          </w:p>
        </w:tc>
        <w:tc>
          <w:tcPr>
            <w:tcW w:w="0" w:type="auto"/>
            <w:shd w:val="clear" w:color="auto" w:fill="D9E2F3" w:themeFill="accent1" w:themeFillTint="33"/>
          </w:tcPr>
          <w:p w14:paraId="1D694F6A" w14:textId="77777777" w:rsidR="002557B7" w:rsidRPr="00DB0C40" w:rsidRDefault="002557B7" w:rsidP="002557B7">
            <w:pPr>
              <w:keepNext/>
              <w:keepLines/>
              <w:spacing w:before="40"/>
              <w:jc w:val="center"/>
              <w:outlineLvl w:val="1"/>
              <w:rPr>
                <w:rFonts w:eastAsiaTheme="majorEastAsia" w:cstheme="minorHAnsi"/>
                <w:b/>
                <w:bCs/>
                <w:lang w:val="en-GB"/>
              </w:rPr>
            </w:pPr>
            <w:r w:rsidRPr="00DB0C40">
              <w:rPr>
                <w:rFonts w:eastAsiaTheme="majorEastAsia" w:cstheme="minorHAnsi"/>
                <w:b/>
                <w:bCs/>
                <w:lang w:val="en-GB"/>
              </w:rPr>
              <w:t>2016 (1)</w:t>
            </w:r>
          </w:p>
        </w:tc>
        <w:tc>
          <w:tcPr>
            <w:tcW w:w="0" w:type="auto"/>
            <w:shd w:val="clear" w:color="auto" w:fill="D9E2F3" w:themeFill="accent1" w:themeFillTint="33"/>
          </w:tcPr>
          <w:p w14:paraId="6C185EDC" w14:textId="77777777" w:rsidR="002557B7" w:rsidRPr="00DB0C40" w:rsidRDefault="002557B7" w:rsidP="002557B7">
            <w:pPr>
              <w:keepNext/>
              <w:keepLines/>
              <w:spacing w:before="40"/>
              <w:jc w:val="center"/>
              <w:outlineLvl w:val="1"/>
              <w:rPr>
                <w:rFonts w:eastAsiaTheme="majorEastAsia" w:cstheme="minorHAnsi"/>
                <w:b/>
                <w:bCs/>
                <w:lang w:val="en-GB"/>
              </w:rPr>
            </w:pPr>
            <w:r w:rsidRPr="00DB0C40">
              <w:rPr>
                <w:rFonts w:eastAsiaTheme="majorEastAsia" w:cstheme="minorHAnsi"/>
                <w:b/>
                <w:bCs/>
                <w:lang w:val="en-GB"/>
              </w:rPr>
              <w:t>2017-2019 (2)</w:t>
            </w:r>
          </w:p>
        </w:tc>
        <w:tc>
          <w:tcPr>
            <w:tcW w:w="0" w:type="auto"/>
            <w:shd w:val="clear" w:color="auto" w:fill="D9E2F3" w:themeFill="accent1" w:themeFillTint="33"/>
          </w:tcPr>
          <w:p w14:paraId="7DFC1774" w14:textId="77777777" w:rsidR="002557B7" w:rsidRPr="00DB0C40" w:rsidRDefault="002557B7" w:rsidP="002557B7">
            <w:pPr>
              <w:keepNext/>
              <w:keepLines/>
              <w:spacing w:before="40"/>
              <w:jc w:val="center"/>
              <w:outlineLvl w:val="1"/>
              <w:rPr>
                <w:rFonts w:eastAsiaTheme="majorEastAsia" w:cstheme="minorHAnsi"/>
                <w:b/>
                <w:bCs/>
                <w:lang w:val="en-GB"/>
              </w:rPr>
            </w:pPr>
            <w:r w:rsidRPr="00DB0C40">
              <w:rPr>
                <w:rFonts w:eastAsiaTheme="majorEastAsia" w:cstheme="minorHAnsi"/>
                <w:b/>
                <w:bCs/>
                <w:lang w:val="en-GB"/>
              </w:rPr>
              <w:t>2020 (3)</w:t>
            </w:r>
          </w:p>
        </w:tc>
      </w:tr>
      <w:tr w:rsidR="002557B7" w:rsidRPr="00DB0C40" w14:paraId="45C288CE" w14:textId="77777777" w:rsidTr="007A7E2D">
        <w:trPr>
          <w:jc w:val="center"/>
        </w:trPr>
        <w:tc>
          <w:tcPr>
            <w:tcW w:w="0" w:type="auto"/>
            <w:shd w:val="clear" w:color="auto" w:fill="B4C6E7" w:themeFill="accent1" w:themeFillTint="66"/>
          </w:tcPr>
          <w:p w14:paraId="2670C38C" w14:textId="77777777" w:rsidR="002557B7" w:rsidRPr="00DB0C40" w:rsidRDefault="002557B7" w:rsidP="002557B7">
            <w:pPr>
              <w:keepNext/>
              <w:keepLines/>
              <w:spacing w:before="40"/>
              <w:jc w:val="both"/>
              <w:outlineLvl w:val="1"/>
              <w:rPr>
                <w:rFonts w:eastAsiaTheme="majorEastAsia" w:cstheme="minorHAnsi"/>
                <w:b/>
                <w:bCs/>
                <w:lang w:val="en-GB"/>
              </w:rPr>
            </w:pPr>
            <w:r w:rsidRPr="00DB0C40">
              <w:rPr>
                <w:rFonts w:eastAsiaTheme="majorEastAsia" w:cstheme="minorHAnsi"/>
                <w:b/>
                <w:bCs/>
                <w:lang w:val="en-GB"/>
              </w:rPr>
              <w:t>Total</w:t>
            </w:r>
          </w:p>
        </w:tc>
        <w:tc>
          <w:tcPr>
            <w:tcW w:w="0" w:type="auto"/>
            <w:shd w:val="clear" w:color="auto" w:fill="FBE4D5" w:themeFill="accent2" w:themeFillTint="33"/>
          </w:tcPr>
          <w:p w14:paraId="4F0AA3D5" w14:textId="77777777" w:rsidR="002557B7" w:rsidRPr="00DB0C40" w:rsidRDefault="002557B7" w:rsidP="002557B7">
            <w:pPr>
              <w:keepNext/>
              <w:keepLines/>
              <w:spacing w:before="40"/>
              <w:jc w:val="center"/>
              <w:outlineLvl w:val="1"/>
              <w:rPr>
                <w:rFonts w:eastAsiaTheme="majorEastAsia" w:cstheme="minorHAnsi"/>
                <w:lang w:val="en-GB"/>
              </w:rPr>
            </w:pPr>
            <w:r w:rsidRPr="00DB0C40">
              <w:rPr>
                <w:rFonts w:eastAsiaTheme="majorEastAsia" w:cstheme="minorHAnsi"/>
                <w:lang w:val="en-GB"/>
              </w:rPr>
              <w:t>10.3%</w:t>
            </w:r>
          </w:p>
        </w:tc>
        <w:tc>
          <w:tcPr>
            <w:tcW w:w="0" w:type="auto"/>
            <w:shd w:val="clear" w:color="auto" w:fill="FBE4D5" w:themeFill="accent2" w:themeFillTint="33"/>
          </w:tcPr>
          <w:p w14:paraId="663BF147" w14:textId="77777777" w:rsidR="002557B7" w:rsidRPr="00DB0C40" w:rsidRDefault="002557B7" w:rsidP="002557B7">
            <w:pPr>
              <w:keepNext/>
              <w:keepLines/>
              <w:spacing w:before="40"/>
              <w:jc w:val="center"/>
              <w:outlineLvl w:val="1"/>
              <w:rPr>
                <w:rFonts w:eastAsiaTheme="majorEastAsia" w:cstheme="minorHAnsi"/>
                <w:lang w:val="en-GB"/>
              </w:rPr>
            </w:pPr>
            <w:r w:rsidRPr="00DB0C40">
              <w:rPr>
                <w:rFonts w:eastAsiaTheme="majorEastAsia" w:cstheme="minorHAnsi"/>
                <w:lang w:val="en-GB"/>
              </w:rPr>
              <w:t>-</w:t>
            </w:r>
          </w:p>
        </w:tc>
        <w:tc>
          <w:tcPr>
            <w:tcW w:w="0" w:type="auto"/>
            <w:shd w:val="clear" w:color="auto" w:fill="FBE4D5" w:themeFill="accent2" w:themeFillTint="33"/>
          </w:tcPr>
          <w:p w14:paraId="24A414E6" w14:textId="77777777" w:rsidR="002557B7" w:rsidRPr="00DB0C40" w:rsidRDefault="002557B7" w:rsidP="002557B7">
            <w:pPr>
              <w:keepNext/>
              <w:keepLines/>
              <w:spacing w:before="40"/>
              <w:jc w:val="center"/>
              <w:outlineLvl w:val="1"/>
              <w:rPr>
                <w:rFonts w:eastAsiaTheme="majorEastAsia" w:cstheme="minorHAnsi"/>
                <w:lang w:val="en-GB"/>
              </w:rPr>
            </w:pPr>
            <w:r w:rsidRPr="00DB0C40">
              <w:rPr>
                <w:rFonts w:eastAsiaTheme="majorEastAsia" w:cstheme="minorHAnsi"/>
                <w:lang w:val="en-GB"/>
              </w:rPr>
              <w:t>12.4%</w:t>
            </w:r>
          </w:p>
        </w:tc>
      </w:tr>
      <w:tr w:rsidR="002557B7" w:rsidRPr="00DB0C40" w14:paraId="04C0874E" w14:textId="77777777" w:rsidTr="007A7E2D">
        <w:trPr>
          <w:jc w:val="center"/>
        </w:trPr>
        <w:tc>
          <w:tcPr>
            <w:tcW w:w="0" w:type="auto"/>
            <w:shd w:val="clear" w:color="auto" w:fill="B4C6E7" w:themeFill="accent1" w:themeFillTint="66"/>
          </w:tcPr>
          <w:p w14:paraId="53072B17" w14:textId="77777777" w:rsidR="002557B7" w:rsidRPr="00DB0C40" w:rsidRDefault="002557B7" w:rsidP="002557B7">
            <w:pPr>
              <w:keepNext/>
              <w:keepLines/>
              <w:spacing w:before="40"/>
              <w:jc w:val="both"/>
              <w:outlineLvl w:val="1"/>
              <w:rPr>
                <w:rFonts w:eastAsiaTheme="majorEastAsia" w:cstheme="minorHAnsi"/>
                <w:b/>
                <w:bCs/>
                <w:lang w:val="en-GB"/>
              </w:rPr>
            </w:pPr>
            <w:r w:rsidRPr="00DB0C40">
              <w:rPr>
                <w:rFonts w:eastAsiaTheme="majorEastAsia" w:cstheme="minorHAnsi"/>
                <w:b/>
                <w:bCs/>
                <w:lang w:val="en-GB"/>
              </w:rPr>
              <w:t>Male</w:t>
            </w:r>
          </w:p>
        </w:tc>
        <w:tc>
          <w:tcPr>
            <w:tcW w:w="0" w:type="auto"/>
            <w:shd w:val="clear" w:color="auto" w:fill="FBE4D5" w:themeFill="accent2" w:themeFillTint="33"/>
          </w:tcPr>
          <w:p w14:paraId="550CEC8B" w14:textId="77777777" w:rsidR="002557B7" w:rsidRPr="00DB0C40" w:rsidRDefault="002557B7" w:rsidP="002557B7">
            <w:pPr>
              <w:keepNext/>
              <w:keepLines/>
              <w:spacing w:before="40"/>
              <w:jc w:val="center"/>
              <w:outlineLvl w:val="1"/>
              <w:rPr>
                <w:rFonts w:eastAsiaTheme="majorEastAsia" w:cstheme="minorHAnsi"/>
                <w:lang w:val="en-GB"/>
              </w:rPr>
            </w:pPr>
            <w:r w:rsidRPr="00DB0C40">
              <w:rPr>
                <w:rFonts w:eastAsiaTheme="majorEastAsia" w:cstheme="minorHAnsi"/>
                <w:lang w:val="en-GB"/>
              </w:rPr>
              <w:t>6.5%</w:t>
            </w:r>
          </w:p>
        </w:tc>
        <w:tc>
          <w:tcPr>
            <w:tcW w:w="0" w:type="auto"/>
            <w:shd w:val="clear" w:color="auto" w:fill="FBE4D5" w:themeFill="accent2" w:themeFillTint="33"/>
          </w:tcPr>
          <w:p w14:paraId="6BDB6C81" w14:textId="77777777" w:rsidR="002557B7" w:rsidRPr="00DB0C40" w:rsidRDefault="002557B7" w:rsidP="002557B7">
            <w:pPr>
              <w:keepNext/>
              <w:keepLines/>
              <w:spacing w:before="40"/>
              <w:jc w:val="center"/>
              <w:outlineLvl w:val="1"/>
              <w:rPr>
                <w:rFonts w:eastAsiaTheme="majorEastAsia" w:cstheme="minorHAnsi"/>
                <w:lang w:val="en-GB"/>
              </w:rPr>
            </w:pPr>
            <w:r w:rsidRPr="00DB0C40">
              <w:rPr>
                <w:rFonts w:eastAsiaTheme="majorEastAsia" w:cstheme="minorHAnsi"/>
                <w:lang w:val="en-GB"/>
              </w:rPr>
              <w:t>-</w:t>
            </w:r>
          </w:p>
        </w:tc>
        <w:tc>
          <w:tcPr>
            <w:tcW w:w="0" w:type="auto"/>
            <w:shd w:val="clear" w:color="auto" w:fill="FBE4D5" w:themeFill="accent2" w:themeFillTint="33"/>
          </w:tcPr>
          <w:p w14:paraId="5BDE932A" w14:textId="77777777" w:rsidR="002557B7" w:rsidRPr="00DB0C40" w:rsidRDefault="002557B7" w:rsidP="002557B7">
            <w:pPr>
              <w:keepNext/>
              <w:keepLines/>
              <w:spacing w:before="40"/>
              <w:jc w:val="center"/>
              <w:outlineLvl w:val="1"/>
              <w:rPr>
                <w:rFonts w:eastAsiaTheme="majorEastAsia" w:cstheme="minorHAnsi"/>
                <w:lang w:val="en-GB"/>
              </w:rPr>
            </w:pPr>
            <w:r w:rsidRPr="00DB0C40">
              <w:rPr>
                <w:rFonts w:eastAsiaTheme="majorEastAsia" w:cstheme="minorHAnsi"/>
                <w:lang w:val="en-GB"/>
              </w:rPr>
              <w:t>9.3%</w:t>
            </w:r>
          </w:p>
        </w:tc>
      </w:tr>
      <w:tr w:rsidR="002557B7" w:rsidRPr="00DB0C40" w14:paraId="22ED4A24" w14:textId="77777777" w:rsidTr="007A7E2D">
        <w:trPr>
          <w:jc w:val="center"/>
        </w:trPr>
        <w:tc>
          <w:tcPr>
            <w:tcW w:w="0" w:type="auto"/>
            <w:shd w:val="clear" w:color="auto" w:fill="B4C6E7" w:themeFill="accent1" w:themeFillTint="66"/>
          </w:tcPr>
          <w:p w14:paraId="69137507" w14:textId="77777777" w:rsidR="002557B7" w:rsidRPr="00DB0C40" w:rsidRDefault="002557B7" w:rsidP="002557B7">
            <w:pPr>
              <w:keepNext/>
              <w:keepLines/>
              <w:spacing w:before="40"/>
              <w:jc w:val="both"/>
              <w:outlineLvl w:val="1"/>
              <w:rPr>
                <w:rFonts w:eastAsiaTheme="majorEastAsia" w:cstheme="minorHAnsi"/>
                <w:b/>
                <w:bCs/>
                <w:lang w:val="en-GB"/>
              </w:rPr>
            </w:pPr>
            <w:r w:rsidRPr="00DB0C40">
              <w:rPr>
                <w:rFonts w:eastAsiaTheme="majorEastAsia" w:cstheme="minorHAnsi"/>
                <w:b/>
                <w:bCs/>
                <w:lang w:val="en-GB"/>
              </w:rPr>
              <w:t>Female</w:t>
            </w:r>
          </w:p>
        </w:tc>
        <w:tc>
          <w:tcPr>
            <w:tcW w:w="0" w:type="auto"/>
            <w:shd w:val="clear" w:color="auto" w:fill="FBE4D5" w:themeFill="accent2" w:themeFillTint="33"/>
          </w:tcPr>
          <w:p w14:paraId="2A7D8880" w14:textId="77777777" w:rsidR="002557B7" w:rsidRPr="00DB0C40" w:rsidRDefault="002557B7" w:rsidP="002557B7">
            <w:pPr>
              <w:keepNext/>
              <w:keepLines/>
              <w:spacing w:before="40"/>
              <w:jc w:val="center"/>
              <w:outlineLvl w:val="1"/>
              <w:rPr>
                <w:rFonts w:eastAsiaTheme="majorEastAsia" w:cstheme="minorHAnsi"/>
                <w:lang w:val="en-GB"/>
              </w:rPr>
            </w:pPr>
            <w:r w:rsidRPr="00DB0C40">
              <w:rPr>
                <w:rFonts w:eastAsiaTheme="majorEastAsia" w:cstheme="minorHAnsi"/>
                <w:lang w:val="en-GB"/>
              </w:rPr>
              <w:t>19.1%</w:t>
            </w:r>
          </w:p>
        </w:tc>
        <w:tc>
          <w:tcPr>
            <w:tcW w:w="0" w:type="auto"/>
            <w:shd w:val="clear" w:color="auto" w:fill="FBE4D5" w:themeFill="accent2" w:themeFillTint="33"/>
          </w:tcPr>
          <w:p w14:paraId="2CEA731D" w14:textId="77777777" w:rsidR="002557B7" w:rsidRPr="00DB0C40" w:rsidRDefault="002557B7" w:rsidP="002557B7">
            <w:pPr>
              <w:keepNext/>
              <w:keepLines/>
              <w:spacing w:before="40"/>
              <w:jc w:val="center"/>
              <w:outlineLvl w:val="1"/>
              <w:rPr>
                <w:rFonts w:eastAsiaTheme="majorEastAsia" w:cstheme="minorHAnsi"/>
                <w:lang w:val="en-GB"/>
              </w:rPr>
            </w:pPr>
            <w:r w:rsidRPr="00DB0C40">
              <w:rPr>
                <w:rFonts w:eastAsiaTheme="majorEastAsia" w:cstheme="minorHAnsi"/>
                <w:lang w:val="en-GB"/>
              </w:rPr>
              <w:t>-</w:t>
            </w:r>
          </w:p>
        </w:tc>
        <w:tc>
          <w:tcPr>
            <w:tcW w:w="0" w:type="auto"/>
            <w:shd w:val="clear" w:color="auto" w:fill="FBE4D5" w:themeFill="accent2" w:themeFillTint="33"/>
          </w:tcPr>
          <w:p w14:paraId="394EE67E" w14:textId="77777777" w:rsidR="002557B7" w:rsidRPr="00DB0C40" w:rsidRDefault="002557B7" w:rsidP="002557B7">
            <w:pPr>
              <w:keepNext/>
              <w:keepLines/>
              <w:spacing w:before="40"/>
              <w:jc w:val="center"/>
              <w:outlineLvl w:val="1"/>
              <w:rPr>
                <w:rFonts w:eastAsiaTheme="majorEastAsia" w:cstheme="minorHAnsi"/>
                <w:lang w:val="en-GB"/>
              </w:rPr>
            </w:pPr>
            <w:r w:rsidRPr="00DB0C40">
              <w:rPr>
                <w:rFonts w:eastAsiaTheme="majorEastAsia" w:cstheme="minorHAnsi"/>
                <w:lang w:val="en-GB"/>
              </w:rPr>
              <w:t>19.5%</w:t>
            </w:r>
          </w:p>
        </w:tc>
      </w:tr>
    </w:tbl>
    <w:p w14:paraId="0441FCCE" w14:textId="19F0B12A" w:rsidR="002557B7" w:rsidRPr="00DB0C40" w:rsidRDefault="002557B7" w:rsidP="002557B7">
      <w:pPr>
        <w:keepNext/>
        <w:keepLines/>
        <w:spacing w:before="40"/>
        <w:jc w:val="center"/>
        <w:outlineLvl w:val="1"/>
        <w:rPr>
          <w:rFonts w:asciiTheme="minorHAnsi" w:eastAsiaTheme="majorEastAsia" w:hAnsiTheme="minorHAnsi" w:cstheme="minorHAnsi"/>
          <w:sz w:val="18"/>
          <w:szCs w:val="18"/>
        </w:rPr>
      </w:pPr>
      <w:r w:rsidRPr="00DB0C40">
        <w:rPr>
          <w:rFonts w:asciiTheme="minorHAnsi" w:eastAsiaTheme="majorEastAsia" w:hAnsiTheme="minorHAnsi" w:cstheme="minorHAnsi"/>
          <w:sz w:val="18"/>
          <w:szCs w:val="18"/>
        </w:rPr>
        <w:t xml:space="preserve">Source: TAT </w:t>
      </w:r>
      <w:r w:rsidR="00F37BC3" w:rsidRPr="00DB0C40">
        <w:rPr>
          <w:rFonts w:asciiTheme="minorHAnsi" w:eastAsiaTheme="majorEastAsia" w:hAnsiTheme="minorHAnsi" w:cstheme="minorHAnsi"/>
          <w:sz w:val="18"/>
          <w:szCs w:val="18"/>
        </w:rPr>
        <w:t>E</w:t>
      </w:r>
      <w:r w:rsidR="00F37BC3">
        <w:rPr>
          <w:rFonts w:asciiTheme="minorHAnsi" w:eastAsiaTheme="majorEastAsia" w:hAnsiTheme="minorHAnsi" w:cstheme="minorHAnsi"/>
          <w:sz w:val="18"/>
          <w:szCs w:val="18"/>
        </w:rPr>
        <w:t>labora</w:t>
      </w:r>
      <w:r w:rsidR="00F37BC3" w:rsidRPr="00DB0C40">
        <w:rPr>
          <w:rFonts w:asciiTheme="minorHAnsi" w:eastAsiaTheme="majorEastAsia" w:hAnsiTheme="minorHAnsi" w:cstheme="minorHAnsi"/>
          <w:sz w:val="18"/>
          <w:szCs w:val="18"/>
        </w:rPr>
        <w:t>tion</w:t>
      </w:r>
      <w:r w:rsidRPr="00DB0C40">
        <w:rPr>
          <w:rFonts w:asciiTheme="minorHAnsi" w:eastAsiaTheme="majorEastAsia" w:hAnsiTheme="minorHAnsi" w:cstheme="minorHAnsi"/>
          <w:sz w:val="18"/>
          <w:szCs w:val="18"/>
        </w:rPr>
        <w:t xml:space="preserve"> </w:t>
      </w:r>
    </w:p>
    <w:p w14:paraId="728C2760" w14:textId="77777777" w:rsidR="002557B7" w:rsidRPr="00DB0C40" w:rsidRDefault="002557B7" w:rsidP="002557B7">
      <w:pPr>
        <w:keepNext/>
        <w:keepLines/>
        <w:spacing w:before="40"/>
        <w:outlineLvl w:val="1"/>
        <w:rPr>
          <w:rFonts w:asciiTheme="minorHAnsi" w:eastAsiaTheme="majorEastAsia" w:hAnsiTheme="minorHAnsi" w:cstheme="minorHAnsi"/>
          <w:sz w:val="18"/>
          <w:szCs w:val="18"/>
        </w:rPr>
      </w:pPr>
      <w:r w:rsidRPr="00DB0C40">
        <w:rPr>
          <w:rFonts w:asciiTheme="minorHAnsi" w:eastAsiaTheme="majorEastAsia" w:hAnsiTheme="minorHAnsi" w:cstheme="minorHAnsi"/>
          <w:sz w:val="18"/>
          <w:szCs w:val="18"/>
        </w:rPr>
        <w:t xml:space="preserve">Sources of the data: </w:t>
      </w:r>
    </w:p>
    <w:p w14:paraId="05CF8517" w14:textId="77777777" w:rsidR="002557B7" w:rsidRPr="00DB0C40" w:rsidRDefault="002557B7">
      <w:pPr>
        <w:keepNext/>
        <w:keepLines/>
        <w:numPr>
          <w:ilvl w:val="0"/>
          <w:numId w:val="30"/>
        </w:numPr>
        <w:spacing w:before="40" w:after="160" w:line="259" w:lineRule="auto"/>
        <w:contextualSpacing/>
        <w:outlineLvl w:val="1"/>
        <w:rPr>
          <w:rFonts w:asciiTheme="minorHAnsi" w:eastAsiaTheme="majorEastAsia" w:hAnsiTheme="minorHAnsi" w:cstheme="minorHAnsi"/>
          <w:sz w:val="18"/>
          <w:szCs w:val="18"/>
        </w:rPr>
      </w:pPr>
      <w:r w:rsidRPr="00DB0C40">
        <w:rPr>
          <w:rFonts w:asciiTheme="minorHAnsi" w:eastAsiaTheme="majorEastAsia" w:hAnsiTheme="minorHAnsi" w:cstheme="minorHAnsi"/>
          <w:sz w:val="18"/>
          <w:szCs w:val="18"/>
        </w:rPr>
        <w:t>TUKSTAT, Women in Statistics (2017)</w:t>
      </w:r>
    </w:p>
    <w:p w14:paraId="05317689" w14:textId="5B461A78" w:rsidR="002557B7" w:rsidRPr="00DB0C40" w:rsidRDefault="00A45334">
      <w:pPr>
        <w:keepNext/>
        <w:keepLines/>
        <w:numPr>
          <w:ilvl w:val="0"/>
          <w:numId w:val="30"/>
        </w:numPr>
        <w:spacing w:before="40" w:after="160" w:line="259" w:lineRule="auto"/>
        <w:contextualSpacing/>
        <w:outlineLvl w:val="1"/>
        <w:rPr>
          <w:rFonts w:asciiTheme="minorHAnsi" w:eastAsiaTheme="majorEastAsia" w:hAnsiTheme="minorHAnsi" w:cstheme="minorHAnsi"/>
          <w:sz w:val="18"/>
          <w:szCs w:val="18"/>
        </w:rPr>
      </w:pPr>
      <w:r>
        <w:rPr>
          <w:rFonts w:asciiTheme="minorHAnsi" w:eastAsiaTheme="majorEastAsia" w:hAnsiTheme="minorHAnsi" w:cstheme="minorHAnsi"/>
          <w:sz w:val="18"/>
          <w:szCs w:val="18"/>
        </w:rPr>
        <w:t>TURKSTAT</w:t>
      </w:r>
      <w:r w:rsidR="002557B7" w:rsidRPr="00DB0C40">
        <w:rPr>
          <w:rFonts w:asciiTheme="minorHAnsi" w:eastAsiaTheme="majorEastAsia" w:hAnsiTheme="minorHAnsi" w:cstheme="minorHAnsi"/>
          <w:sz w:val="18"/>
          <w:szCs w:val="18"/>
        </w:rPr>
        <w:t>, Women in Statistics (2020) There is no information on this</w:t>
      </w:r>
    </w:p>
    <w:p w14:paraId="559D1B91" w14:textId="5ABAF887" w:rsidR="002557B7" w:rsidRPr="00DB0C40" w:rsidRDefault="00A45334">
      <w:pPr>
        <w:keepNext/>
        <w:keepLines/>
        <w:numPr>
          <w:ilvl w:val="0"/>
          <w:numId w:val="30"/>
        </w:numPr>
        <w:spacing w:before="40" w:after="160" w:line="259" w:lineRule="auto"/>
        <w:contextualSpacing/>
        <w:outlineLvl w:val="1"/>
        <w:rPr>
          <w:rFonts w:asciiTheme="minorHAnsi" w:eastAsiaTheme="majorEastAsia" w:hAnsiTheme="minorHAnsi" w:cstheme="minorHAnsi"/>
          <w:sz w:val="18"/>
          <w:szCs w:val="18"/>
        </w:rPr>
      </w:pPr>
      <w:r>
        <w:rPr>
          <w:rFonts w:asciiTheme="minorHAnsi" w:eastAsiaTheme="majorEastAsia" w:hAnsiTheme="minorHAnsi" w:cstheme="minorHAnsi"/>
          <w:sz w:val="18"/>
          <w:szCs w:val="18"/>
        </w:rPr>
        <w:t>TURKSTAT</w:t>
      </w:r>
      <w:r w:rsidR="002557B7" w:rsidRPr="00DB0C40">
        <w:rPr>
          <w:rFonts w:asciiTheme="minorHAnsi" w:eastAsiaTheme="majorEastAsia" w:hAnsiTheme="minorHAnsi" w:cstheme="minorHAnsi"/>
          <w:sz w:val="18"/>
          <w:szCs w:val="18"/>
        </w:rPr>
        <w:t>, Women in Statistics (2022)</w:t>
      </w:r>
    </w:p>
    <w:p w14:paraId="0737738E" w14:textId="77777777" w:rsidR="002557B7" w:rsidRPr="00DB0C40" w:rsidRDefault="002557B7" w:rsidP="002557B7">
      <w:pPr>
        <w:keepNext/>
        <w:keepLines/>
        <w:spacing w:before="40"/>
        <w:ind w:left="1080"/>
        <w:contextualSpacing/>
        <w:outlineLvl w:val="1"/>
        <w:rPr>
          <w:rFonts w:asciiTheme="minorHAnsi" w:eastAsiaTheme="majorEastAsia" w:hAnsiTheme="minorHAnsi" w:cstheme="minorHAnsi"/>
          <w:b/>
          <w:bCs/>
          <w:sz w:val="18"/>
          <w:szCs w:val="18"/>
        </w:rPr>
      </w:pPr>
    </w:p>
    <w:p w14:paraId="7558B4F2" w14:textId="0C6091A2" w:rsidR="002557B7" w:rsidRPr="00CD2A61" w:rsidRDefault="002557B7">
      <w:pPr>
        <w:keepNext/>
        <w:keepLines/>
        <w:numPr>
          <w:ilvl w:val="2"/>
          <w:numId w:val="46"/>
        </w:numPr>
        <w:spacing w:before="40" w:after="160" w:line="259" w:lineRule="auto"/>
        <w:contextualSpacing/>
        <w:outlineLvl w:val="1"/>
        <w:rPr>
          <w:rFonts w:asciiTheme="majorHAnsi" w:eastAsiaTheme="majorEastAsia" w:hAnsiTheme="majorHAnsi" w:cstheme="majorBidi"/>
          <w:color w:val="1F3763" w:themeColor="accent1" w:themeShade="7F"/>
        </w:rPr>
      </w:pPr>
      <w:bookmarkStart w:id="112" w:name="_Hlk107138703"/>
      <w:r w:rsidRPr="00CD2A61">
        <w:rPr>
          <w:rFonts w:asciiTheme="majorHAnsi" w:eastAsiaTheme="majorEastAsia" w:hAnsiTheme="majorHAnsi" w:cstheme="majorBidi"/>
          <w:color w:val="1F3763" w:themeColor="accent1" w:themeShade="7F"/>
        </w:rPr>
        <w:t>Gender Pay</w:t>
      </w:r>
      <w:r w:rsidR="00EF6EB8">
        <w:rPr>
          <w:rFonts w:asciiTheme="majorHAnsi" w:eastAsiaTheme="majorEastAsia" w:hAnsiTheme="majorHAnsi" w:cstheme="majorBidi"/>
          <w:color w:val="1F3763" w:themeColor="accent1" w:themeShade="7F"/>
        </w:rPr>
        <w:t xml:space="preserve"> </w:t>
      </w:r>
      <w:r w:rsidRPr="00CD2A61">
        <w:rPr>
          <w:rFonts w:asciiTheme="majorHAnsi" w:eastAsiaTheme="majorEastAsia" w:hAnsiTheme="majorHAnsi" w:cstheme="majorBidi"/>
          <w:color w:val="1F3763" w:themeColor="accent1" w:themeShade="7F"/>
          <w:sz w:val="16"/>
          <w:szCs w:val="16"/>
        </w:rPr>
        <w:footnoteReference w:id="37"/>
      </w:r>
      <w:r w:rsidRPr="00CD2A61">
        <w:rPr>
          <w:rFonts w:asciiTheme="majorHAnsi" w:eastAsiaTheme="majorEastAsia" w:hAnsiTheme="majorHAnsi" w:cstheme="majorBidi"/>
          <w:color w:val="1F3763" w:themeColor="accent1" w:themeShade="7F"/>
          <w:sz w:val="16"/>
          <w:szCs w:val="16"/>
        </w:rPr>
        <w:t xml:space="preserve"> </w:t>
      </w:r>
      <w:r w:rsidRPr="00CD2A61">
        <w:rPr>
          <w:rFonts w:asciiTheme="majorHAnsi" w:eastAsiaTheme="majorEastAsia" w:hAnsiTheme="majorHAnsi" w:cstheme="majorBidi"/>
          <w:color w:val="1F3763" w:themeColor="accent1" w:themeShade="7F"/>
        </w:rPr>
        <w:t>(2015 – 2018)</w:t>
      </w:r>
      <w:bookmarkEnd w:id="109"/>
    </w:p>
    <w:bookmarkEnd w:id="112"/>
    <w:p w14:paraId="6722A81D" w14:textId="77777777" w:rsidR="002557B7" w:rsidRPr="00DB0C40" w:rsidRDefault="002557B7" w:rsidP="002557B7">
      <w:pPr>
        <w:keepNext/>
        <w:keepLines/>
        <w:spacing w:before="40"/>
        <w:ind w:left="1080"/>
        <w:contextualSpacing/>
        <w:outlineLvl w:val="1"/>
        <w:rPr>
          <w:rFonts w:asciiTheme="minorHAnsi" w:eastAsiaTheme="majorEastAsia" w:hAnsiTheme="minorHAnsi" w:cstheme="minorHAnsi"/>
          <w:sz w:val="22"/>
          <w:szCs w:val="22"/>
        </w:rPr>
      </w:pPr>
    </w:p>
    <w:p w14:paraId="379858A5"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Gender Pay Gap in Türkiye,</w:t>
      </w:r>
      <w:r w:rsidRPr="00DB0C40">
        <w:rPr>
          <w:rFonts w:asciiTheme="minorHAnsi" w:eastAsiaTheme="minorHAnsi" w:hAnsiTheme="minorHAnsi" w:cstheme="minorHAnsi"/>
          <w:sz w:val="22"/>
          <w:szCs w:val="22"/>
          <w:vertAlign w:val="superscript"/>
        </w:rPr>
        <w:footnoteReference w:id="38"/>
      </w:r>
      <w:r w:rsidRPr="00DB0C40">
        <w:rPr>
          <w:rFonts w:asciiTheme="minorHAnsi" w:eastAsiaTheme="minorHAnsi" w:hAnsiTheme="minorHAnsi" w:cstheme="minorHAnsi"/>
          <w:sz w:val="22"/>
          <w:szCs w:val="22"/>
        </w:rPr>
        <w:t xml:space="preserve"> for the period 2015 – 2018 was 15.6%, but gender gap increases with the age: while the gender pay gap is low (3.8%) at the beginning of working life, it rises significantly (25.9%) in 40s, and remains high at later ages</w:t>
      </w:r>
      <w:r w:rsidRPr="00DB0C40">
        <w:rPr>
          <w:rFonts w:asciiTheme="minorHAnsi" w:eastAsiaTheme="minorHAnsi" w:hAnsiTheme="minorHAnsi" w:cstheme="minorHAnsi"/>
          <w:sz w:val="22"/>
          <w:szCs w:val="22"/>
          <w:vertAlign w:val="superscript"/>
        </w:rPr>
        <w:footnoteReference w:id="39"/>
      </w:r>
      <w:r w:rsidRPr="00DB0C40">
        <w:rPr>
          <w:rFonts w:asciiTheme="minorHAnsi" w:eastAsiaTheme="minorHAnsi" w:hAnsiTheme="minorHAnsi" w:cstheme="minorHAnsi"/>
          <w:sz w:val="22"/>
          <w:szCs w:val="22"/>
        </w:rPr>
        <w:t xml:space="preserve"> (the gap is 29.9% for people aged 60 or over). There was a decline in the gender wage gap from 2015 to 2018 across all age groups. The largest change is observed for the age groups 30-39 and 50-59 age brackets. The proportion of 40 or older women among all women in employment, increased considerably over the period 2015-2018 (Table 1).</w:t>
      </w:r>
    </w:p>
    <w:p w14:paraId="6A8D924C" w14:textId="6A4458F9" w:rsidR="002557B7" w:rsidRPr="00DB0C40" w:rsidRDefault="002557B7" w:rsidP="002557B7">
      <w:pPr>
        <w:spacing w:after="160" w:line="259" w:lineRule="auto"/>
        <w:jc w:val="center"/>
        <w:rPr>
          <w:rFonts w:asciiTheme="minorHAnsi" w:eastAsiaTheme="minorHAnsi" w:hAnsiTheme="minorHAnsi" w:cstheme="minorHAnsi"/>
          <w:sz w:val="22"/>
          <w:szCs w:val="22"/>
        </w:rPr>
      </w:pPr>
      <w:bookmarkStart w:id="113" w:name="_Hlk107138753"/>
      <w:r w:rsidRPr="00DB0C40">
        <w:rPr>
          <w:rFonts w:asciiTheme="minorHAnsi" w:eastAsiaTheme="minorHAnsi" w:hAnsiTheme="minorHAnsi" w:cstheme="minorHAnsi"/>
          <w:b/>
          <w:bCs/>
          <w:sz w:val="22"/>
          <w:szCs w:val="22"/>
        </w:rPr>
        <w:t xml:space="preserve">Table </w:t>
      </w:r>
      <w:r w:rsidR="00517B7E" w:rsidRPr="00DB0C40">
        <w:rPr>
          <w:rFonts w:asciiTheme="minorHAnsi" w:eastAsiaTheme="minorHAnsi" w:hAnsiTheme="minorHAnsi" w:cstheme="minorHAnsi"/>
          <w:b/>
          <w:bCs/>
          <w:sz w:val="22"/>
          <w:szCs w:val="22"/>
        </w:rPr>
        <w:t>6</w:t>
      </w:r>
      <w:r w:rsidRPr="00DB0C40">
        <w:rPr>
          <w:rFonts w:asciiTheme="minorHAnsi" w:eastAsiaTheme="minorHAnsi" w:hAnsiTheme="minorHAnsi" w:cstheme="minorHAnsi"/>
          <w:b/>
          <w:bCs/>
          <w:sz w:val="22"/>
          <w:szCs w:val="22"/>
        </w:rPr>
        <w:t>. Distribution of Employment by Gender and Age Group</w:t>
      </w:r>
      <w:r w:rsidR="00517B7E" w:rsidRPr="00DB0C40">
        <w:rPr>
          <w:rFonts w:asciiTheme="minorHAnsi" w:eastAsiaTheme="majorEastAsia" w:hAnsiTheme="minorHAnsi" w:cstheme="minorHAnsi"/>
          <w:b/>
          <w:bCs/>
          <w:sz w:val="22"/>
          <w:szCs w:val="22"/>
        </w:rPr>
        <w:t xml:space="preserve"> </w:t>
      </w:r>
      <w:r w:rsidR="00517B7E" w:rsidRPr="00DB0C40">
        <w:rPr>
          <w:rFonts w:asciiTheme="minorHAnsi" w:eastAsiaTheme="minorHAnsi" w:hAnsiTheme="minorHAnsi" w:cstheme="minorHAnsi"/>
          <w:b/>
          <w:bCs/>
          <w:sz w:val="22"/>
          <w:szCs w:val="22"/>
        </w:rPr>
        <w:t>in Türkiye</w:t>
      </w:r>
      <w:r w:rsidRPr="00DB0C40">
        <w:rPr>
          <w:rFonts w:asciiTheme="minorHAnsi" w:eastAsiaTheme="minorHAnsi" w:hAnsiTheme="minorHAnsi" w:cstheme="minorHAnsi"/>
          <w:b/>
          <w:bCs/>
          <w:sz w:val="22"/>
          <w:szCs w:val="22"/>
        </w:rPr>
        <w:t xml:space="preserve"> (%)</w:t>
      </w:r>
    </w:p>
    <w:bookmarkEnd w:id="113"/>
    <w:tbl>
      <w:tblPr>
        <w:tblStyle w:val="TableGrid11"/>
        <w:tblW w:w="0" w:type="auto"/>
        <w:jc w:val="center"/>
        <w:tblLook w:val="04A0" w:firstRow="1" w:lastRow="0" w:firstColumn="1" w:lastColumn="0" w:noHBand="0" w:noVBand="1"/>
      </w:tblPr>
      <w:tblGrid>
        <w:gridCol w:w="730"/>
        <w:gridCol w:w="607"/>
        <w:gridCol w:w="607"/>
        <w:gridCol w:w="607"/>
        <w:gridCol w:w="607"/>
      </w:tblGrid>
      <w:tr w:rsidR="002557B7" w:rsidRPr="00DB0C40" w14:paraId="6ECA1614" w14:textId="77777777" w:rsidTr="00EA37BB">
        <w:trPr>
          <w:jc w:val="center"/>
        </w:trPr>
        <w:tc>
          <w:tcPr>
            <w:tcW w:w="0" w:type="auto"/>
            <w:vMerge w:val="restart"/>
            <w:shd w:val="clear" w:color="auto" w:fill="D9E2F3" w:themeFill="accent1" w:themeFillTint="33"/>
          </w:tcPr>
          <w:p w14:paraId="54325E13" w14:textId="77777777" w:rsidR="002557B7" w:rsidRPr="00DB0C40" w:rsidRDefault="002557B7" w:rsidP="002557B7">
            <w:pPr>
              <w:jc w:val="both"/>
              <w:rPr>
                <w:rFonts w:cstheme="minorHAnsi"/>
                <w:lang w:val="en-GB"/>
              </w:rPr>
            </w:pPr>
          </w:p>
        </w:tc>
        <w:tc>
          <w:tcPr>
            <w:tcW w:w="0" w:type="auto"/>
            <w:gridSpan w:val="2"/>
            <w:shd w:val="clear" w:color="auto" w:fill="D9E2F3" w:themeFill="accent1" w:themeFillTint="33"/>
          </w:tcPr>
          <w:p w14:paraId="2B4FF165" w14:textId="77777777" w:rsidR="002557B7" w:rsidRPr="00DB0C40" w:rsidRDefault="002557B7" w:rsidP="002557B7">
            <w:pPr>
              <w:jc w:val="both"/>
              <w:rPr>
                <w:rFonts w:cstheme="minorHAnsi"/>
                <w:lang w:val="en-GB"/>
              </w:rPr>
            </w:pPr>
            <w:r w:rsidRPr="00DB0C40">
              <w:rPr>
                <w:rFonts w:cstheme="minorHAnsi"/>
                <w:lang w:val="en-GB"/>
              </w:rPr>
              <w:t>2015</w:t>
            </w:r>
          </w:p>
        </w:tc>
        <w:tc>
          <w:tcPr>
            <w:tcW w:w="0" w:type="auto"/>
            <w:gridSpan w:val="2"/>
            <w:shd w:val="clear" w:color="auto" w:fill="D9E2F3" w:themeFill="accent1" w:themeFillTint="33"/>
          </w:tcPr>
          <w:p w14:paraId="34EC7826" w14:textId="77777777" w:rsidR="002557B7" w:rsidRPr="00DB0C40" w:rsidRDefault="002557B7" w:rsidP="002557B7">
            <w:pPr>
              <w:jc w:val="both"/>
              <w:rPr>
                <w:rFonts w:cstheme="minorHAnsi"/>
                <w:lang w:val="en-GB"/>
              </w:rPr>
            </w:pPr>
            <w:r w:rsidRPr="00DB0C40">
              <w:rPr>
                <w:rFonts w:cstheme="minorHAnsi"/>
                <w:lang w:val="en-GB"/>
              </w:rPr>
              <w:t>2018</w:t>
            </w:r>
          </w:p>
        </w:tc>
      </w:tr>
      <w:tr w:rsidR="002557B7" w:rsidRPr="00DB0C40" w14:paraId="3C348EC6" w14:textId="77777777" w:rsidTr="00EA37BB">
        <w:trPr>
          <w:jc w:val="center"/>
        </w:trPr>
        <w:tc>
          <w:tcPr>
            <w:tcW w:w="0" w:type="auto"/>
            <w:vMerge/>
            <w:shd w:val="clear" w:color="auto" w:fill="D9E2F3" w:themeFill="accent1" w:themeFillTint="33"/>
          </w:tcPr>
          <w:p w14:paraId="59BDFA05" w14:textId="77777777" w:rsidR="002557B7" w:rsidRPr="00DB0C40" w:rsidRDefault="002557B7" w:rsidP="002557B7">
            <w:pPr>
              <w:jc w:val="both"/>
              <w:rPr>
                <w:rFonts w:cstheme="minorHAnsi"/>
                <w:lang w:val="en-GB"/>
              </w:rPr>
            </w:pPr>
          </w:p>
        </w:tc>
        <w:tc>
          <w:tcPr>
            <w:tcW w:w="0" w:type="auto"/>
            <w:shd w:val="clear" w:color="auto" w:fill="D9E2F3" w:themeFill="accent1" w:themeFillTint="33"/>
          </w:tcPr>
          <w:p w14:paraId="682D7C4A" w14:textId="77777777" w:rsidR="002557B7" w:rsidRPr="00DB0C40" w:rsidRDefault="002557B7" w:rsidP="002557B7">
            <w:pPr>
              <w:jc w:val="both"/>
              <w:rPr>
                <w:rFonts w:cstheme="minorHAnsi"/>
                <w:lang w:val="en-GB"/>
              </w:rPr>
            </w:pPr>
            <w:r w:rsidRPr="00DB0C40">
              <w:rPr>
                <w:rFonts w:cstheme="minorHAnsi"/>
                <w:lang w:val="en-GB"/>
              </w:rPr>
              <w:t>f</w:t>
            </w:r>
          </w:p>
        </w:tc>
        <w:tc>
          <w:tcPr>
            <w:tcW w:w="0" w:type="auto"/>
            <w:shd w:val="clear" w:color="auto" w:fill="D9E2F3" w:themeFill="accent1" w:themeFillTint="33"/>
          </w:tcPr>
          <w:p w14:paraId="340600FE" w14:textId="77777777" w:rsidR="002557B7" w:rsidRPr="00DB0C40" w:rsidRDefault="002557B7" w:rsidP="002557B7">
            <w:pPr>
              <w:jc w:val="both"/>
              <w:rPr>
                <w:rFonts w:cstheme="minorHAnsi"/>
                <w:lang w:val="en-GB"/>
              </w:rPr>
            </w:pPr>
            <w:r w:rsidRPr="00DB0C40">
              <w:rPr>
                <w:rFonts w:cstheme="minorHAnsi"/>
                <w:lang w:val="en-GB"/>
              </w:rPr>
              <w:t>m</w:t>
            </w:r>
          </w:p>
        </w:tc>
        <w:tc>
          <w:tcPr>
            <w:tcW w:w="0" w:type="auto"/>
            <w:shd w:val="clear" w:color="auto" w:fill="D9E2F3" w:themeFill="accent1" w:themeFillTint="33"/>
          </w:tcPr>
          <w:p w14:paraId="6560EF81" w14:textId="77777777" w:rsidR="002557B7" w:rsidRPr="00DB0C40" w:rsidRDefault="002557B7" w:rsidP="002557B7">
            <w:pPr>
              <w:jc w:val="both"/>
              <w:rPr>
                <w:rFonts w:cstheme="minorHAnsi"/>
                <w:lang w:val="en-GB"/>
              </w:rPr>
            </w:pPr>
            <w:r w:rsidRPr="00DB0C40">
              <w:rPr>
                <w:rFonts w:cstheme="minorHAnsi"/>
                <w:lang w:val="en-GB"/>
              </w:rPr>
              <w:t>f</w:t>
            </w:r>
          </w:p>
        </w:tc>
        <w:tc>
          <w:tcPr>
            <w:tcW w:w="0" w:type="auto"/>
            <w:shd w:val="clear" w:color="auto" w:fill="D9E2F3" w:themeFill="accent1" w:themeFillTint="33"/>
          </w:tcPr>
          <w:p w14:paraId="52D122E5" w14:textId="77777777" w:rsidR="002557B7" w:rsidRPr="00DB0C40" w:rsidRDefault="002557B7" w:rsidP="002557B7">
            <w:pPr>
              <w:jc w:val="both"/>
              <w:rPr>
                <w:rFonts w:cstheme="minorHAnsi"/>
                <w:lang w:val="en-GB"/>
              </w:rPr>
            </w:pPr>
            <w:r w:rsidRPr="00DB0C40">
              <w:rPr>
                <w:rFonts w:cstheme="minorHAnsi"/>
                <w:lang w:val="en-GB"/>
              </w:rPr>
              <w:t>m</w:t>
            </w:r>
          </w:p>
        </w:tc>
      </w:tr>
      <w:tr w:rsidR="002557B7" w:rsidRPr="00DB0C40" w14:paraId="36BC1A1B" w14:textId="77777777" w:rsidTr="007A7E2D">
        <w:trPr>
          <w:jc w:val="center"/>
        </w:trPr>
        <w:tc>
          <w:tcPr>
            <w:tcW w:w="0" w:type="auto"/>
            <w:shd w:val="clear" w:color="auto" w:fill="B4C6E7" w:themeFill="accent1" w:themeFillTint="66"/>
          </w:tcPr>
          <w:p w14:paraId="475604C4" w14:textId="77777777" w:rsidR="002557B7" w:rsidRPr="00DB0C40" w:rsidRDefault="002557B7" w:rsidP="002557B7">
            <w:pPr>
              <w:jc w:val="both"/>
              <w:rPr>
                <w:rFonts w:cstheme="minorHAnsi"/>
                <w:lang w:val="en-GB"/>
              </w:rPr>
            </w:pPr>
            <w:r w:rsidRPr="00DB0C40">
              <w:rPr>
                <w:rFonts w:cstheme="minorHAnsi"/>
                <w:lang w:val="en-GB"/>
              </w:rPr>
              <w:t>Total</w:t>
            </w:r>
          </w:p>
        </w:tc>
        <w:tc>
          <w:tcPr>
            <w:tcW w:w="0" w:type="auto"/>
            <w:shd w:val="clear" w:color="auto" w:fill="FBE4D5" w:themeFill="accent2" w:themeFillTint="33"/>
          </w:tcPr>
          <w:p w14:paraId="4A01ADF1" w14:textId="77777777" w:rsidR="002557B7" w:rsidRPr="00DB0C40" w:rsidRDefault="002557B7" w:rsidP="002557B7">
            <w:pPr>
              <w:jc w:val="both"/>
              <w:rPr>
                <w:rFonts w:cstheme="minorHAnsi"/>
                <w:lang w:val="en-GB"/>
              </w:rPr>
            </w:pPr>
            <w:r w:rsidRPr="00DB0C40">
              <w:rPr>
                <w:rFonts w:cstheme="minorHAnsi"/>
                <w:lang w:val="en-GB"/>
              </w:rPr>
              <w:t>100</w:t>
            </w:r>
          </w:p>
        </w:tc>
        <w:tc>
          <w:tcPr>
            <w:tcW w:w="0" w:type="auto"/>
            <w:shd w:val="clear" w:color="auto" w:fill="FBE4D5" w:themeFill="accent2" w:themeFillTint="33"/>
          </w:tcPr>
          <w:p w14:paraId="3D7ACF1E" w14:textId="77777777" w:rsidR="002557B7" w:rsidRPr="00DB0C40" w:rsidRDefault="002557B7" w:rsidP="002557B7">
            <w:pPr>
              <w:jc w:val="both"/>
              <w:rPr>
                <w:rFonts w:cstheme="minorHAnsi"/>
                <w:lang w:val="en-GB"/>
              </w:rPr>
            </w:pPr>
            <w:r w:rsidRPr="00DB0C40">
              <w:rPr>
                <w:rFonts w:cstheme="minorHAnsi"/>
                <w:lang w:val="en-GB"/>
              </w:rPr>
              <w:t>100</w:t>
            </w:r>
          </w:p>
        </w:tc>
        <w:tc>
          <w:tcPr>
            <w:tcW w:w="0" w:type="auto"/>
            <w:shd w:val="clear" w:color="auto" w:fill="FBE4D5" w:themeFill="accent2" w:themeFillTint="33"/>
          </w:tcPr>
          <w:p w14:paraId="2B688033" w14:textId="77777777" w:rsidR="002557B7" w:rsidRPr="00DB0C40" w:rsidRDefault="002557B7" w:rsidP="002557B7">
            <w:pPr>
              <w:jc w:val="both"/>
              <w:rPr>
                <w:rFonts w:cstheme="minorHAnsi"/>
                <w:lang w:val="en-GB"/>
              </w:rPr>
            </w:pPr>
            <w:r w:rsidRPr="00DB0C40">
              <w:rPr>
                <w:rFonts w:cstheme="minorHAnsi"/>
                <w:lang w:val="en-GB"/>
              </w:rPr>
              <w:t>100</w:t>
            </w:r>
          </w:p>
        </w:tc>
        <w:tc>
          <w:tcPr>
            <w:tcW w:w="0" w:type="auto"/>
            <w:shd w:val="clear" w:color="auto" w:fill="FBE4D5" w:themeFill="accent2" w:themeFillTint="33"/>
          </w:tcPr>
          <w:p w14:paraId="630AF73F" w14:textId="77777777" w:rsidR="002557B7" w:rsidRPr="00DB0C40" w:rsidRDefault="002557B7" w:rsidP="002557B7">
            <w:pPr>
              <w:jc w:val="both"/>
              <w:rPr>
                <w:rFonts w:cstheme="minorHAnsi"/>
                <w:lang w:val="en-GB"/>
              </w:rPr>
            </w:pPr>
            <w:r w:rsidRPr="00DB0C40">
              <w:rPr>
                <w:rFonts w:cstheme="minorHAnsi"/>
                <w:lang w:val="en-GB"/>
              </w:rPr>
              <w:t>100</w:t>
            </w:r>
          </w:p>
        </w:tc>
      </w:tr>
      <w:tr w:rsidR="002557B7" w:rsidRPr="00DB0C40" w14:paraId="4084E16C" w14:textId="77777777" w:rsidTr="007A7E2D">
        <w:trPr>
          <w:jc w:val="center"/>
        </w:trPr>
        <w:tc>
          <w:tcPr>
            <w:tcW w:w="0" w:type="auto"/>
            <w:shd w:val="clear" w:color="auto" w:fill="B4C6E7" w:themeFill="accent1" w:themeFillTint="66"/>
          </w:tcPr>
          <w:p w14:paraId="69425F10" w14:textId="77777777" w:rsidR="002557B7" w:rsidRPr="00DB0C40" w:rsidRDefault="002557B7" w:rsidP="002557B7">
            <w:pPr>
              <w:jc w:val="both"/>
              <w:rPr>
                <w:rFonts w:cstheme="minorHAnsi"/>
                <w:lang w:val="en-GB"/>
              </w:rPr>
            </w:pPr>
            <w:r w:rsidRPr="00DB0C40">
              <w:rPr>
                <w:rFonts w:cstheme="minorHAnsi"/>
                <w:lang w:val="en-GB"/>
              </w:rPr>
              <w:t>&gt;20</w:t>
            </w:r>
          </w:p>
        </w:tc>
        <w:tc>
          <w:tcPr>
            <w:tcW w:w="0" w:type="auto"/>
            <w:shd w:val="clear" w:color="auto" w:fill="FBE4D5" w:themeFill="accent2" w:themeFillTint="33"/>
          </w:tcPr>
          <w:p w14:paraId="3245E02D" w14:textId="77777777" w:rsidR="002557B7" w:rsidRPr="00DB0C40" w:rsidRDefault="002557B7" w:rsidP="002557B7">
            <w:pPr>
              <w:jc w:val="both"/>
              <w:rPr>
                <w:rFonts w:cstheme="minorHAnsi"/>
                <w:lang w:val="en-GB"/>
              </w:rPr>
            </w:pPr>
            <w:r w:rsidRPr="00DB0C40">
              <w:rPr>
                <w:rFonts w:cstheme="minorHAnsi"/>
                <w:lang w:val="en-GB"/>
              </w:rPr>
              <w:t>4.7</w:t>
            </w:r>
          </w:p>
        </w:tc>
        <w:tc>
          <w:tcPr>
            <w:tcW w:w="0" w:type="auto"/>
            <w:shd w:val="clear" w:color="auto" w:fill="FBE4D5" w:themeFill="accent2" w:themeFillTint="33"/>
          </w:tcPr>
          <w:p w14:paraId="3DB5DF63" w14:textId="77777777" w:rsidR="002557B7" w:rsidRPr="00DB0C40" w:rsidRDefault="002557B7" w:rsidP="002557B7">
            <w:pPr>
              <w:jc w:val="both"/>
              <w:rPr>
                <w:rFonts w:cstheme="minorHAnsi"/>
                <w:lang w:val="en-GB"/>
              </w:rPr>
            </w:pPr>
            <w:r w:rsidRPr="00DB0C40">
              <w:rPr>
                <w:rFonts w:cstheme="minorHAnsi"/>
                <w:lang w:val="en-GB"/>
              </w:rPr>
              <w:t>5.3</w:t>
            </w:r>
          </w:p>
        </w:tc>
        <w:tc>
          <w:tcPr>
            <w:tcW w:w="0" w:type="auto"/>
            <w:shd w:val="clear" w:color="auto" w:fill="FBE4D5" w:themeFill="accent2" w:themeFillTint="33"/>
          </w:tcPr>
          <w:p w14:paraId="0547A5EC" w14:textId="77777777" w:rsidR="002557B7" w:rsidRPr="00DB0C40" w:rsidRDefault="002557B7" w:rsidP="002557B7">
            <w:pPr>
              <w:jc w:val="both"/>
              <w:rPr>
                <w:rFonts w:cstheme="minorHAnsi"/>
                <w:lang w:val="en-GB"/>
              </w:rPr>
            </w:pPr>
            <w:r w:rsidRPr="00DB0C40">
              <w:rPr>
                <w:rFonts w:cstheme="minorHAnsi"/>
                <w:lang w:val="en-GB"/>
              </w:rPr>
              <w:t>3.5</w:t>
            </w:r>
          </w:p>
        </w:tc>
        <w:tc>
          <w:tcPr>
            <w:tcW w:w="0" w:type="auto"/>
            <w:shd w:val="clear" w:color="auto" w:fill="FBE4D5" w:themeFill="accent2" w:themeFillTint="33"/>
          </w:tcPr>
          <w:p w14:paraId="28B4F0C1" w14:textId="77777777" w:rsidR="002557B7" w:rsidRPr="00DB0C40" w:rsidRDefault="002557B7" w:rsidP="002557B7">
            <w:pPr>
              <w:jc w:val="both"/>
              <w:rPr>
                <w:rFonts w:cstheme="minorHAnsi"/>
                <w:lang w:val="en-GB"/>
              </w:rPr>
            </w:pPr>
            <w:r w:rsidRPr="00DB0C40">
              <w:rPr>
                <w:rFonts w:cstheme="minorHAnsi"/>
                <w:lang w:val="en-GB"/>
              </w:rPr>
              <w:t>4.1</w:t>
            </w:r>
          </w:p>
        </w:tc>
      </w:tr>
      <w:tr w:rsidR="002557B7" w:rsidRPr="00DB0C40" w14:paraId="7C33A2C0" w14:textId="77777777" w:rsidTr="007A7E2D">
        <w:trPr>
          <w:jc w:val="center"/>
        </w:trPr>
        <w:tc>
          <w:tcPr>
            <w:tcW w:w="0" w:type="auto"/>
            <w:shd w:val="clear" w:color="auto" w:fill="B4C6E7" w:themeFill="accent1" w:themeFillTint="66"/>
          </w:tcPr>
          <w:p w14:paraId="44C8C6BF" w14:textId="77777777" w:rsidR="002557B7" w:rsidRPr="00DB0C40" w:rsidRDefault="002557B7" w:rsidP="002557B7">
            <w:pPr>
              <w:jc w:val="both"/>
              <w:rPr>
                <w:rFonts w:cstheme="minorHAnsi"/>
                <w:lang w:val="en-GB"/>
              </w:rPr>
            </w:pPr>
            <w:r w:rsidRPr="00DB0C40">
              <w:rPr>
                <w:rFonts w:cstheme="minorHAnsi"/>
                <w:lang w:val="en-GB"/>
              </w:rPr>
              <w:t>20-29</w:t>
            </w:r>
          </w:p>
        </w:tc>
        <w:tc>
          <w:tcPr>
            <w:tcW w:w="0" w:type="auto"/>
            <w:shd w:val="clear" w:color="auto" w:fill="FBE4D5" w:themeFill="accent2" w:themeFillTint="33"/>
          </w:tcPr>
          <w:p w14:paraId="657D7769" w14:textId="77777777" w:rsidR="002557B7" w:rsidRPr="00DB0C40" w:rsidRDefault="002557B7" w:rsidP="002557B7">
            <w:pPr>
              <w:jc w:val="both"/>
              <w:rPr>
                <w:rFonts w:cstheme="minorHAnsi"/>
                <w:lang w:val="en-GB"/>
              </w:rPr>
            </w:pPr>
            <w:r w:rsidRPr="00DB0C40">
              <w:rPr>
                <w:rFonts w:cstheme="minorHAnsi"/>
                <w:lang w:val="en-GB"/>
              </w:rPr>
              <w:t>32.1</w:t>
            </w:r>
          </w:p>
        </w:tc>
        <w:tc>
          <w:tcPr>
            <w:tcW w:w="0" w:type="auto"/>
            <w:shd w:val="clear" w:color="auto" w:fill="FBE4D5" w:themeFill="accent2" w:themeFillTint="33"/>
          </w:tcPr>
          <w:p w14:paraId="195AD1CF" w14:textId="77777777" w:rsidR="002557B7" w:rsidRPr="00DB0C40" w:rsidRDefault="002557B7" w:rsidP="002557B7">
            <w:pPr>
              <w:jc w:val="both"/>
              <w:rPr>
                <w:rFonts w:cstheme="minorHAnsi"/>
                <w:lang w:val="en-GB"/>
              </w:rPr>
            </w:pPr>
            <w:r w:rsidRPr="00DB0C40">
              <w:rPr>
                <w:rFonts w:cstheme="minorHAnsi"/>
                <w:lang w:val="en-GB"/>
              </w:rPr>
              <w:t>26.4</w:t>
            </w:r>
          </w:p>
        </w:tc>
        <w:tc>
          <w:tcPr>
            <w:tcW w:w="0" w:type="auto"/>
            <w:shd w:val="clear" w:color="auto" w:fill="FBE4D5" w:themeFill="accent2" w:themeFillTint="33"/>
          </w:tcPr>
          <w:p w14:paraId="4C2FC3CC" w14:textId="77777777" w:rsidR="002557B7" w:rsidRPr="00DB0C40" w:rsidRDefault="002557B7" w:rsidP="002557B7">
            <w:pPr>
              <w:jc w:val="both"/>
              <w:rPr>
                <w:rFonts w:cstheme="minorHAnsi"/>
                <w:lang w:val="en-GB"/>
              </w:rPr>
            </w:pPr>
            <w:r w:rsidRPr="00DB0C40">
              <w:rPr>
                <w:rFonts w:cstheme="minorHAnsi"/>
                <w:lang w:val="en-GB"/>
              </w:rPr>
              <w:t>29.7</w:t>
            </w:r>
          </w:p>
        </w:tc>
        <w:tc>
          <w:tcPr>
            <w:tcW w:w="0" w:type="auto"/>
            <w:shd w:val="clear" w:color="auto" w:fill="FBE4D5" w:themeFill="accent2" w:themeFillTint="33"/>
          </w:tcPr>
          <w:p w14:paraId="5F773B87" w14:textId="77777777" w:rsidR="002557B7" w:rsidRPr="00DB0C40" w:rsidRDefault="002557B7" w:rsidP="002557B7">
            <w:pPr>
              <w:jc w:val="both"/>
              <w:rPr>
                <w:rFonts w:cstheme="minorHAnsi"/>
                <w:lang w:val="en-GB"/>
              </w:rPr>
            </w:pPr>
            <w:r w:rsidRPr="00DB0C40">
              <w:rPr>
                <w:rFonts w:cstheme="minorHAnsi"/>
                <w:lang w:val="en-GB"/>
              </w:rPr>
              <w:t>25.2</w:t>
            </w:r>
          </w:p>
        </w:tc>
      </w:tr>
      <w:tr w:rsidR="002557B7" w:rsidRPr="00DB0C40" w14:paraId="671377B0" w14:textId="77777777" w:rsidTr="007A7E2D">
        <w:trPr>
          <w:jc w:val="center"/>
        </w:trPr>
        <w:tc>
          <w:tcPr>
            <w:tcW w:w="0" w:type="auto"/>
            <w:shd w:val="clear" w:color="auto" w:fill="B4C6E7" w:themeFill="accent1" w:themeFillTint="66"/>
          </w:tcPr>
          <w:p w14:paraId="63F7917D" w14:textId="77777777" w:rsidR="002557B7" w:rsidRPr="00DB0C40" w:rsidRDefault="002557B7" w:rsidP="002557B7">
            <w:pPr>
              <w:jc w:val="both"/>
              <w:rPr>
                <w:rFonts w:cstheme="minorHAnsi"/>
                <w:lang w:val="en-GB"/>
              </w:rPr>
            </w:pPr>
            <w:r w:rsidRPr="00DB0C40">
              <w:rPr>
                <w:rFonts w:cstheme="minorHAnsi"/>
                <w:lang w:val="en-GB"/>
              </w:rPr>
              <w:t>30-39</w:t>
            </w:r>
          </w:p>
        </w:tc>
        <w:tc>
          <w:tcPr>
            <w:tcW w:w="0" w:type="auto"/>
            <w:shd w:val="clear" w:color="auto" w:fill="FBE4D5" w:themeFill="accent2" w:themeFillTint="33"/>
          </w:tcPr>
          <w:p w14:paraId="2B955E6C" w14:textId="77777777" w:rsidR="002557B7" w:rsidRPr="00DB0C40" w:rsidRDefault="002557B7" w:rsidP="002557B7">
            <w:pPr>
              <w:jc w:val="both"/>
              <w:rPr>
                <w:rFonts w:cstheme="minorHAnsi"/>
                <w:lang w:val="en-GB"/>
              </w:rPr>
            </w:pPr>
            <w:r w:rsidRPr="00DB0C40">
              <w:rPr>
                <w:rFonts w:cstheme="minorHAnsi"/>
                <w:lang w:val="en-GB"/>
              </w:rPr>
              <w:t>34.6</w:t>
            </w:r>
          </w:p>
        </w:tc>
        <w:tc>
          <w:tcPr>
            <w:tcW w:w="0" w:type="auto"/>
            <w:shd w:val="clear" w:color="auto" w:fill="FBE4D5" w:themeFill="accent2" w:themeFillTint="33"/>
          </w:tcPr>
          <w:p w14:paraId="1C54324C" w14:textId="77777777" w:rsidR="002557B7" w:rsidRPr="00DB0C40" w:rsidRDefault="002557B7" w:rsidP="002557B7">
            <w:pPr>
              <w:jc w:val="both"/>
              <w:rPr>
                <w:rFonts w:cstheme="minorHAnsi"/>
                <w:lang w:val="en-GB"/>
              </w:rPr>
            </w:pPr>
            <w:r w:rsidRPr="00DB0C40">
              <w:rPr>
                <w:rFonts w:cstheme="minorHAnsi"/>
                <w:lang w:val="en-GB"/>
              </w:rPr>
              <w:t>33.2</w:t>
            </w:r>
          </w:p>
        </w:tc>
        <w:tc>
          <w:tcPr>
            <w:tcW w:w="0" w:type="auto"/>
            <w:shd w:val="clear" w:color="auto" w:fill="FBE4D5" w:themeFill="accent2" w:themeFillTint="33"/>
          </w:tcPr>
          <w:p w14:paraId="651A5803" w14:textId="77777777" w:rsidR="002557B7" w:rsidRPr="00DB0C40" w:rsidRDefault="002557B7" w:rsidP="002557B7">
            <w:pPr>
              <w:jc w:val="both"/>
              <w:rPr>
                <w:rFonts w:cstheme="minorHAnsi"/>
                <w:lang w:val="en-GB"/>
              </w:rPr>
            </w:pPr>
            <w:r w:rsidRPr="00DB0C40">
              <w:rPr>
                <w:rFonts w:cstheme="minorHAnsi"/>
                <w:lang w:val="en-GB"/>
              </w:rPr>
              <w:t>32.1</w:t>
            </w:r>
          </w:p>
        </w:tc>
        <w:tc>
          <w:tcPr>
            <w:tcW w:w="0" w:type="auto"/>
            <w:shd w:val="clear" w:color="auto" w:fill="FBE4D5" w:themeFill="accent2" w:themeFillTint="33"/>
          </w:tcPr>
          <w:p w14:paraId="3EAF5317" w14:textId="77777777" w:rsidR="002557B7" w:rsidRPr="00DB0C40" w:rsidRDefault="002557B7" w:rsidP="002557B7">
            <w:pPr>
              <w:jc w:val="both"/>
              <w:rPr>
                <w:rFonts w:cstheme="minorHAnsi"/>
                <w:lang w:val="en-GB"/>
              </w:rPr>
            </w:pPr>
            <w:r w:rsidRPr="00DB0C40">
              <w:rPr>
                <w:rFonts w:cstheme="minorHAnsi"/>
                <w:lang w:val="en-GB"/>
              </w:rPr>
              <w:t>32.1</w:t>
            </w:r>
          </w:p>
        </w:tc>
      </w:tr>
      <w:tr w:rsidR="002557B7" w:rsidRPr="00DB0C40" w14:paraId="1775419A" w14:textId="77777777" w:rsidTr="007A7E2D">
        <w:trPr>
          <w:jc w:val="center"/>
        </w:trPr>
        <w:tc>
          <w:tcPr>
            <w:tcW w:w="0" w:type="auto"/>
            <w:shd w:val="clear" w:color="auto" w:fill="B4C6E7" w:themeFill="accent1" w:themeFillTint="66"/>
          </w:tcPr>
          <w:p w14:paraId="70E38F13" w14:textId="77777777" w:rsidR="002557B7" w:rsidRPr="00DB0C40" w:rsidRDefault="002557B7" w:rsidP="002557B7">
            <w:pPr>
              <w:jc w:val="both"/>
              <w:rPr>
                <w:rFonts w:cstheme="minorHAnsi"/>
                <w:lang w:val="en-GB"/>
              </w:rPr>
            </w:pPr>
            <w:r w:rsidRPr="00DB0C40">
              <w:rPr>
                <w:rFonts w:cstheme="minorHAnsi"/>
                <w:lang w:val="en-GB"/>
              </w:rPr>
              <w:t>40-49</w:t>
            </w:r>
          </w:p>
        </w:tc>
        <w:tc>
          <w:tcPr>
            <w:tcW w:w="0" w:type="auto"/>
            <w:shd w:val="clear" w:color="auto" w:fill="FBE4D5" w:themeFill="accent2" w:themeFillTint="33"/>
          </w:tcPr>
          <w:p w14:paraId="64F4BA92" w14:textId="77777777" w:rsidR="002557B7" w:rsidRPr="00DB0C40" w:rsidRDefault="002557B7" w:rsidP="002557B7">
            <w:pPr>
              <w:jc w:val="both"/>
              <w:rPr>
                <w:rFonts w:cstheme="minorHAnsi"/>
                <w:lang w:val="en-GB"/>
              </w:rPr>
            </w:pPr>
            <w:r w:rsidRPr="00DB0C40">
              <w:rPr>
                <w:rFonts w:cstheme="minorHAnsi"/>
                <w:lang w:val="en-GB"/>
              </w:rPr>
              <w:t>20.4</w:t>
            </w:r>
          </w:p>
        </w:tc>
        <w:tc>
          <w:tcPr>
            <w:tcW w:w="0" w:type="auto"/>
            <w:shd w:val="clear" w:color="auto" w:fill="FBE4D5" w:themeFill="accent2" w:themeFillTint="33"/>
          </w:tcPr>
          <w:p w14:paraId="1BA657D2" w14:textId="77777777" w:rsidR="002557B7" w:rsidRPr="00DB0C40" w:rsidRDefault="002557B7" w:rsidP="002557B7">
            <w:pPr>
              <w:jc w:val="both"/>
              <w:rPr>
                <w:rFonts w:cstheme="minorHAnsi"/>
                <w:lang w:val="en-GB"/>
              </w:rPr>
            </w:pPr>
            <w:r w:rsidRPr="00DB0C40">
              <w:rPr>
                <w:rFonts w:cstheme="minorHAnsi"/>
                <w:lang w:val="en-GB"/>
              </w:rPr>
              <w:t>9.8</w:t>
            </w:r>
          </w:p>
        </w:tc>
        <w:tc>
          <w:tcPr>
            <w:tcW w:w="0" w:type="auto"/>
            <w:shd w:val="clear" w:color="auto" w:fill="FBE4D5" w:themeFill="accent2" w:themeFillTint="33"/>
          </w:tcPr>
          <w:p w14:paraId="5783D287" w14:textId="77777777" w:rsidR="002557B7" w:rsidRPr="00DB0C40" w:rsidRDefault="002557B7" w:rsidP="002557B7">
            <w:pPr>
              <w:jc w:val="both"/>
              <w:rPr>
                <w:rFonts w:cstheme="minorHAnsi"/>
                <w:lang w:val="en-GB"/>
              </w:rPr>
            </w:pPr>
            <w:r w:rsidRPr="00DB0C40">
              <w:rPr>
                <w:rFonts w:cstheme="minorHAnsi"/>
                <w:lang w:val="en-GB"/>
              </w:rPr>
              <w:t>24.6</w:t>
            </w:r>
          </w:p>
        </w:tc>
        <w:tc>
          <w:tcPr>
            <w:tcW w:w="0" w:type="auto"/>
            <w:shd w:val="clear" w:color="auto" w:fill="FBE4D5" w:themeFill="accent2" w:themeFillTint="33"/>
          </w:tcPr>
          <w:p w14:paraId="77306A91" w14:textId="77777777" w:rsidR="002557B7" w:rsidRPr="00DB0C40" w:rsidRDefault="002557B7" w:rsidP="002557B7">
            <w:pPr>
              <w:jc w:val="both"/>
              <w:rPr>
                <w:rFonts w:cstheme="minorHAnsi"/>
                <w:lang w:val="en-GB"/>
              </w:rPr>
            </w:pPr>
            <w:r w:rsidRPr="00DB0C40">
              <w:rPr>
                <w:rFonts w:cstheme="minorHAnsi"/>
                <w:lang w:val="en-GB"/>
              </w:rPr>
              <w:t>24.9</w:t>
            </w:r>
          </w:p>
        </w:tc>
      </w:tr>
      <w:tr w:rsidR="002557B7" w:rsidRPr="00DB0C40" w14:paraId="7F8999C2" w14:textId="77777777" w:rsidTr="007A7E2D">
        <w:trPr>
          <w:jc w:val="center"/>
        </w:trPr>
        <w:tc>
          <w:tcPr>
            <w:tcW w:w="0" w:type="auto"/>
            <w:shd w:val="clear" w:color="auto" w:fill="B4C6E7" w:themeFill="accent1" w:themeFillTint="66"/>
          </w:tcPr>
          <w:p w14:paraId="08626D6B" w14:textId="77777777" w:rsidR="002557B7" w:rsidRPr="00DB0C40" w:rsidRDefault="002557B7" w:rsidP="002557B7">
            <w:pPr>
              <w:jc w:val="both"/>
              <w:rPr>
                <w:rFonts w:cstheme="minorHAnsi"/>
                <w:lang w:val="en-GB"/>
              </w:rPr>
            </w:pPr>
            <w:r w:rsidRPr="00DB0C40">
              <w:rPr>
                <w:rFonts w:cstheme="minorHAnsi"/>
                <w:lang w:val="en-GB"/>
              </w:rPr>
              <w:t>50-59</w:t>
            </w:r>
          </w:p>
        </w:tc>
        <w:tc>
          <w:tcPr>
            <w:tcW w:w="0" w:type="auto"/>
            <w:shd w:val="clear" w:color="auto" w:fill="FBE4D5" w:themeFill="accent2" w:themeFillTint="33"/>
          </w:tcPr>
          <w:p w14:paraId="430C4563" w14:textId="77777777" w:rsidR="002557B7" w:rsidRPr="00DB0C40" w:rsidRDefault="002557B7" w:rsidP="002557B7">
            <w:pPr>
              <w:jc w:val="both"/>
              <w:rPr>
                <w:rFonts w:cstheme="minorHAnsi"/>
                <w:lang w:val="en-GB"/>
              </w:rPr>
            </w:pPr>
            <w:r w:rsidRPr="00DB0C40">
              <w:rPr>
                <w:rFonts w:cstheme="minorHAnsi"/>
                <w:lang w:val="en-GB"/>
              </w:rPr>
              <w:t>6.6</w:t>
            </w:r>
          </w:p>
        </w:tc>
        <w:tc>
          <w:tcPr>
            <w:tcW w:w="0" w:type="auto"/>
            <w:shd w:val="clear" w:color="auto" w:fill="FBE4D5" w:themeFill="accent2" w:themeFillTint="33"/>
          </w:tcPr>
          <w:p w14:paraId="48CEC48D" w14:textId="77777777" w:rsidR="002557B7" w:rsidRPr="00DB0C40" w:rsidRDefault="002557B7" w:rsidP="002557B7">
            <w:pPr>
              <w:jc w:val="both"/>
              <w:rPr>
                <w:rFonts w:cstheme="minorHAnsi"/>
                <w:lang w:val="en-GB"/>
              </w:rPr>
            </w:pPr>
            <w:r w:rsidRPr="00DB0C40">
              <w:rPr>
                <w:rFonts w:cstheme="minorHAnsi"/>
                <w:lang w:val="en-GB"/>
              </w:rPr>
              <w:t>1.8</w:t>
            </w:r>
          </w:p>
        </w:tc>
        <w:tc>
          <w:tcPr>
            <w:tcW w:w="0" w:type="auto"/>
            <w:shd w:val="clear" w:color="auto" w:fill="FBE4D5" w:themeFill="accent2" w:themeFillTint="33"/>
          </w:tcPr>
          <w:p w14:paraId="3F572A0B" w14:textId="77777777" w:rsidR="002557B7" w:rsidRPr="00DB0C40" w:rsidRDefault="002557B7" w:rsidP="002557B7">
            <w:pPr>
              <w:jc w:val="both"/>
              <w:rPr>
                <w:rFonts w:cstheme="minorHAnsi"/>
                <w:lang w:val="en-GB"/>
              </w:rPr>
            </w:pPr>
            <w:r w:rsidRPr="00DB0C40">
              <w:rPr>
                <w:rFonts w:cstheme="minorHAnsi"/>
                <w:lang w:val="en-GB"/>
              </w:rPr>
              <w:t>7.9</w:t>
            </w:r>
          </w:p>
        </w:tc>
        <w:tc>
          <w:tcPr>
            <w:tcW w:w="0" w:type="auto"/>
            <w:shd w:val="clear" w:color="auto" w:fill="FBE4D5" w:themeFill="accent2" w:themeFillTint="33"/>
          </w:tcPr>
          <w:p w14:paraId="0DF4B327" w14:textId="77777777" w:rsidR="002557B7" w:rsidRPr="00DB0C40" w:rsidRDefault="002557B7" w:rsidP="002557B7">
            <w:pPr>
              <w:jc w:val="both"/>
              <w:rPr>
                <w:rFonts w:cstheme="minorHAnsi"/>
                <w:lang w:val="en-GB"/>
              </w:rPr>
            </w:pPr>
            <w:r w:rsidRPr="00DB0C40">
              <w:rPr>
                <w:rFonts w:cstheme="minorHAnsi"/>
                <w:lang w:val="en-GB"/>
              </w:rPr>
              <w:t>11.4</w:t>
            </w:r>
          </w:p>
        </w:tc>
      </w:tr>
      <w:tr w:rsidR="002557B7" w:rsidRPr="00DB0C40" w14:paraId="46759067" w14:textId="77777777" w:rsidTr="007A7E2D">
        <w:trPr>
          <w:jc w:val="center"/>
        </w:trPr>
        <w:tc>
          <w:tcPr>
            <w:tcW w:w="0" w:type="auto"/>
            <w:shd w:val="clear" w:color="auto" w:fill="B4C6E7" w:themeFill="accent1" w:themeFillTint="66"/>
          </w:tcPr>
          <w:p w14:paraId="5CDCA953" w14:textId="77777777" w:rsidR="002557B7" w:rsidRPr="00DB0C40" w:rsidRDefault="002557B7" w:rsidP="002557B7">
            <w:pPr>
              <w:jc w:val="both"/>
              <w:rPr>
                <w:rFonts w:cstheme="minorHAnsi"/>
                <w:lang w:val="en-GB"/>
              </w:rPr>
            </w:pPr>
            <w:r w:rsidRPr="00DB0C40">
              <w:rPr>
                <w:rFonts w:cstheme="minorHAnsi"/>
                <w:lang w:val="en-GB"/>
              </w:rPr>
              <w:t>&gt;60</w:t>
            </w:r>
          </w:p>
        </w:tc>
        <w:tc>
          <w:tcPr>
            <w:tcW w:w="0" w:type="auto"/>
            <w:shd w:val="clear" w:color="auto" w:fill="FBE4D5" w:themeFill="accent2" w:themeFillTint="33"/>
          </w:tcPr>
          <w:p w14:paraId="1858CD1E" w14:textId="77777777" w:rsidR="002557B7" w:rsidRPr="00DB0C40" w:rsidRDefault="002557B7" w:rsidP="002557B7">
            <w:pPr>
              <w:jc w:val="both"/>
              <w:rPr>
                <w:rFonts w:cstheme="minorHAnsi"/>
                <w:lang w:val="en-GB"/>
              </w:rPr>
            </w:pPr>
            <w:r w:rsidRPr="00DB0C40">
              <w:rPr>
                <w:rFonts w:cstheme="minorHAnsi"/>
                <w:lang w:val="en-GB"/>
              </w:rPr>
              <w:t>1.7</w:t>
            </w:r>
          </w:p>
        </w:tc>
        <w:tc>
          <w:tcPr>
            <w:tcW w:w="0" w:type="auto"/>
            <w:shd w:val="clear" w:color="auto" w:fill="FBE4D5" w:themeFill="accent2" w:themeFillTint="33"/>
          </w:tcPr>
          <w:p w14:paraId="21C1A3F5" w14:textId="77777777" w:rsidR="002557B7" w:rsidRPr="00DB0C40" w:rsidRDefault="002557B7" w:rsidP="002557B7">
            <w:pPr>
              <w:jc w:val="both"/>
              <w:rPr>
                <w:rFonts w:cstheme="minorHAnsi"/>
                <w:lang w:val="en-GB"/>
              </w:rPr>
            </w:pPr>
            <w:r w:rsidRPr="00DB0C40">
              <w:rPr>
                <w:rFonts w:cstheme="minorHAnsi"/>
                <w:lang w:val="en-GB"/>
              </w:rPr>
              <w:t>1.8</w:t>
            </w:r>
          </w:p>
        </w:tc>
        <w:tc>
          <w:tcPr>
            <w:tcW w:w="0" w:type="auto"/>
            <w:shd w:val="clear" w:color="auto" w:fill="FBE4D5" w:themeFill="accent2" w:themeFillTint="33"/>
          </w:tcPr>
          <w:p w14:paraId="1CBBC05A" w14:textId="77777777" w:rsidR="002557B7" w:rsidRPr="00DB0C40" w:rsidRDefault="002557B7" w:rsidP="002557B7">
            <w:pPr>
              <w:jc w:val="both"/>
              <w:rPr>
                <w:rFonts w:cstheme="minorHAnsi"/>
                <w:lang w:val="en-GB"/>
              </w:rPr>
            </w:pPr>
            <w:r w:rsidRPr="00DB0C40">
              <w:rPr>
                <w:rFonts w:cstheme="minorHAnsi"/>
                <w:lang w:val="en-GB"/>
              </w:rPr>
              <w:t>2.1</w:t>
            </w:r>
          </w:p>
        </w:tc>
        <w:tc>
          <w:tcPr>
            <w:tcW w:w="0" w:type="auto"/>
            <w:shd w:val="clear" w:color="auto" w:fill="FBE4D5" w:themeFill="accent2" w:themeFillTint="33"/>
          </w:tcPr>
          <w:p w14:paraId="69CF0812" w14:textId="77777777" w:rsidR="002557B7" w:rsidRPr="00DB0C40" w:rsidRDefault="002557B7" w:rsidP="002557B7">
            <w:pPr>
              <w:jc w:val="both"/>
              <w:rPr>
                <w:rFonts w:cstheme="minorHAnsi"/>
                <w:lang w:val="en-GB"/>
              </w:rPr>
            </w:pPr>
            <w:r w:rsidRPr="00DB0C40">
              <w:rPr>
                <w:rFonts w:cstheme="minorHAnsi"/>
                <w:lang w:val="en-GB"/>
              </w:rPr>
              <w:t>2.4</w:t>
            </w:r>
          </w:p>
        </w:tc>
      </w:tr>
    </w:tbl>
    <w:p w14:paraId="27318E8B"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p>
    <w:p w14:paraId="33363D25" w14:textId="2D9A9E09" w:rsidR="002557B7" w:rsidRPr="00DB0C40" w:rsidRDefault="002557B7" w:rsidP="002557B7">
      <w:pPr>
        <w:spacing w:after="160" w:line="259" w:lineRule="auto"/>
        <w:jc w:val="center"/>
        <w:rPr>
          <w:rFonts w:asciiTheme="minorHAnsi" w:eastAsiaTheme="minorHAnsi" w:hAnsiTheme="minorHAnsi" w:cstheme="minorHAnsi"/>
          <w:sz w:val="18"/>
          <w:szCs w:val="18"/>
        </w:rPr>
      </w:pPr>
      <w:r w:rsidRPr="00DB0C40">
        <w:rPr>
          <w:rFonts w:asciiTheme="minorHAnsi" w:eastAsiaTheme="minorHAnsi" w:hAnsiTheme="minorHAnsi" w:cstheme="minorHAnsi"/>
          <w:sz w:val="18"/>
          <w:szCs w:val="18"/>
        </w:rPr>
        <w:t xml:space="preserve">Source: ILO, 2020 - </w:t>
      </w:r>
      <w:proofErr w:type="spellStart"/>
      <w:r w:rsidR="00A45334">
        <w:rPr>
          <w:rFonts w:asciiTheme="minorHAnsi" w:eastAsiaTheme="minorHAnsi" w:hAnsiTheme="minorHAnsi" w:cstheme="minorHAnsi"/>
          <w:sz w:val="18"/>
          <w:szCs w:val="18"/>
        </w:rPr>
        <w:t>T</w:t>
      </w:r>
      <w:r w:rsidR="00C2410D">
        <w:rPr>
          <w:rFonts w:asciiTheme="minorHAnsi" w:eastAsiaTheme="minorHAnsi" w:hAnsiTheme="minorHAnsi" w:cstheme="minorHAnsi"/>
          <w:sz w:val="18"/>
          <w:szCs w:val="18"/>
        </w:rPr>
        <w:t>urkStat</w:t>
      </w:r>
      <w:proofErr w:type="spellEnd"/>
      <w:r w:rsidRPr="00DB0C40">
        <w:rPr>
          <w:rFonts w:asciiTheme="minorHAnsi" w:eastAsiaTheme="minorHAnsi" w:hAnsiTheme="minorHAnsi" w:cstheme="minorHAnsi"/>
          <w:sz w:val="18"/>
          <w:szCs w:val="18"/>
        </w:rPr>
        <w:t>, Income and Living Conditions Survey (2015-2018).</w:t>
      </w:r>
    </w:p>
    <w:p w14:paraId="42D47554"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lastRenderedPageBreak/>
        <w:t>In 2018 the gender pay gap in Türkiye was 12.9% (the world average was 21.4%), but motherhood increased the gender pay gap</w:t>
      </w:r>
      <w:r w:rsidRPr="00DB0C40">
        <w:rPr>
          <w:rFonts w:asciiTheme="minorHAnsi" w:eastAsiaTheme="minorHAnsi" w:hAnsiTheme="minorHAnsi" w:cstheme="minorHAnsi"/>
          <w:sz w:val="22"/>
          <w:szCs w:val="22"/>
          <w:vertAlign w:val="superscript"/>
        </w:rPr>
        <w:footnoteReference w:id="40"/>
      </w:r>
      <w:r w:rsidRPr="00DB0C40">
        <w:rPr>
          <w:rFonts w:asciiTheme="minorHAnsi" w:eastAsiaTheme="minorHAnsi" w:hAnsiTheme="minorHAnsi" w:cstheme="minorHAnsi"/>
          <w:sz w:val="22"/>
          <w:szCs w:val="22"/>
        </w:rPr>
        <w:t xml:space="preserve"> to 29.6%. </w:t>
      </w:r>
      <w:r w:rsidRPr="00DB0C40">
        <w:rPr>
          <w:rFonts w:asciiTheme="minorHAnsi" w:eastAsiaTheme="minorHAnsi" w:hAnsiTheme="minorHAnsi" w:cstheme="minorHAnsi"/>
          <w:sz w:val="22"/>
          <w:szCs w:val="22"/>
          <w:vertAlign w:val="superscript"/>
        </w:rPr>
        <w:footnoteReference w:id="41"/>
      </w:r>
    </w:p>
    <w:p w14:paraId="6BA5FCE4"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According to ILO, the main findings on the Gender Pay Gap in Türkiye, based on factor-weighted methods, are: </w:t>
      </w:r>
    </w:p>
    <w:p w14:paraId="59E3ADD0" w14:textId="77777777" w:rsidR="002557B7" w:rsidRPr="00DB0C40" w:rsidRDefault="002557B7">
      <w:pPr>
        <w:numPr>
          <w:ilvl w:val="0"/>
          <w:numId w:val="29"/>
        </w:numPr>
        <w:spacing w:after="160" w:line="259" w:lineRule="auto"/>
        <w:contextualSpacing/>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Women in paid employment are better educated than men; </w:t>
      </w:r>
    </w:p>
    <w:p w14:paraId="0E8FEF7D" w14:textId="77777777" w:rsidR="002557B7" w:rsidRPr="00DB0C40" w:rsidRDefault="002557B7">
      <w:pPr>
        <w:numPr>
          <w:ilvl w:val="0"/>
          <w:numId w:val="29"/>
        </w:numPr>
        <w:spacing w:after="160" w:line="259" w:lineRule="auto"/>
        <w:contextualSpacing/>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Public sector employment rate of women is higher than for men; </w:t>
      </w:r>
    </w:p>
    <w:p w14:paraId="42E3499B" w14:textId="77777777" w:rsidR="002557B7" w:rsidRPr="00DB0C40" w:rsidRDefault="002557B7">
      <w:pPr>
        <w:numPr>
          <w:ilvl w:val="0"/>
          <w:numId w:val="29"/>
        </w:numPr>
        <w:spacing w:after="160" w:line="259" w:lineRule="auto"/>
        <w:contextualSpacing/>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When the density of these two groups is decreased, the pay gap is higher.</w:t>
      </w:r>
    </w:p>
    <w:p w14:paraId="248B85D1"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p>
    <w:p w14:paraId="179979D8" w14:textId="77777777" w:rsidR="002557B7" w:rsidRPr="00CD2A61" w:rsidRDefault="002557B7">
      <w:pPr>
        <w:numPr>
          <w:ilvl w:val="2"/>
          <w:numId w:val="46"/>
        </w:numPr>
        <w:spacing w:after="160" w:line="259" w:lineRule="auto"/>
        <w:contextualSpacing/>
        <w:jc w:val="both"/>
        <w:rPr>
          <w:rFonts w:asciiTheme="majorHAnsi" w:eastAsiaTheme="majorEastAsia" w:hAnsiTheme="majorHAnsi" w:cstheme="majorBidi"/>
          <w:color w:val="1F3763" w:themeColor="accent1" w:themeShade="7F"/>
        </w:rPr>
      </w:pPr>
      <w:bookmarkStart w:id="114" w:name="_Hlk107138781"/>
      <w:r w:rsidRPr="00CD2A61">
        <w:rPr>
          <w:rFonts w:asciiTheme="majorHAnsi" w:eastAsiaTheme="majorEastAsia" w:hAnsiTheme="majorHAnsi" w:cstheme="majorBidi"/>
          <w:color w:val="1F3763" w:themeColor="accent1" w:themeShade="7F"/>
        </w:rPr>
        <w:t xml:space="preserve">Educational Attainment and The Gender Wage Gap </w:t>
      </w:r>
    </w:p>
    <w:bookmarkEnd w:id="114"/>
    <w:p w14:paraId="6B6FA640" w14:textId="77777777" w:rsidR="00AE67F2" w:rsidRDefault="00AE67F2" w:rsidP="002557B7">
      <w:pPr>
        <w:spacing w:after="160" w:line="259" w:lineRule="auto"/>
        <w:jc w:val="both"/>
        <w:rPr>
          <w:rFonts w:asciiTheme="minorHAnsi" w:eastAsiaTheme="minorHAnsi" w:hAnsiTheme="minorHAnsi" w:cstheme="minorHAnsi"/>
          <w:sz w:val="22"/>
          <w:szCs w:val="22"/>
        </w:rPr>
      </w:pPr>
    </w:p>
    <w:p w14:paraId="75E421EA" w14:textId="3EA56DBC"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Looking at the gender wage gap by education, the highest gender wage gap is recorded for the employees with elementary level or less years of education whereas the lowest is observed among their counterparts with a tertiary degree and higher. From 2015 to 2018, the gender wage gap among high school and primary/ middle school graduates decreases whereas it expands by nearly 2.5 percentage points at both ends i.e., the lowest and highest educational attainment.</w:t>
      </w:r>
    </w:p>
    <w:p w14:paraId="4BF61507"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Sectors and The Gender wage gap on the one hand, calculations by economic activity showcase gender wage gaps far lower than the overall one (14.6%) in male dominated sectors such as the construction sector. On the other hand, in female dominated sectors, such as education (with women’s employment share at 57%), or healthcare and social services (women’s share is 70%), the gender wage gap is higher than the average.</w:t>
      </w:r>
    </w:p>
    <w:p w14:paraId="3A9193AC"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Even when the legislation complies with ILO and EU standards, and in particular some Conventions as 100 and 111, but the gap between the de jure and the de facto situation of women is persistent. The promotion of other international labour standards, such as those concerning maternity protection, workers with family responsibilities, safety and health, part-time workers and homeworkers, and the organisation of rural workers has been used by women, both inside and outside the labour market, are still needed to gain visibility and produce changes.</w:t>
      </w:r>
    </w:p>
    <w:p w14:paraId="7DDAF70F" w14:textId="77777777" w:rsidR="002557B7" w:rsidRPr="00CD2A61" w:rsidRDefault="002557B7">
      <w:pPr>
        <w:numPr>
          <w:ilvl w:val="2"/>
          <w:numId w:val="46"/>
        </w:numPr>
        <w:spacing w:after="160" w:line="259" w:lineRule="auto"/>
        <w:contextualSpacing/>
        <w:jc w:val="both"/>
        <w:rPr>
          <w:rFonts w:asciiTheme="majorHAnsi" w:eastAsiaTheme="majorEastAsia" w:hAnsiTheme="majorHAnsi" w:cstheme="majorBidi"/>
          <w:color w:val="1F3763" w:themeColor="accent1" w:themeShade="7F"/>
        </w:rPr>
      </w:pPr>
      <w:bookmarkStart w:id="115" w:name="_Toc92359096"/>
      <w:bookmarkStart w:id="116" w:name="_Hlk107138796"/>
      <w:r w:rsidRPr="00CD2A61">
        <w:rPr>
          <w:rFonts w:asciiTheme="majorHAnsi" w:eastAsiaTheme="majorEastAsia" w:hAnsiTheme="majorHAnsi" w:cstheme="majorBidi"/>
          <w:color w:val="1F3763" w:themeColor="accent1" w:themeShade="7F"/>
        </w:rPr>
        <w:t xml:space="preserve">Perspectives </w:t>
      </w:r>
      <w:bookmarkStart w:id="117" w:name="_Hlk106961506"/>
      <w:r w:rsidRPr="00CD2A61">
        <w:rPr>
          <w:rFonts w:asciiTheme="majorHAnsi" w:eastAsiaTheme="majorEastAsia" w:hAnsiTheme="majorHAnsi" w:cstheme="majorBidi"/>
          <w:color w:val="1F3763" w:themeColor="accent1" w:themeShade="7F"/>
        </w:rPr>
        <w:t>on working life</w:t>
      </w:r>
      <w:bookmarkEnd w:id="115"/>
      <w:bookmarkEnd w:id="117"/>
    </w:p>
    <w:bookmarkEnd w:id="116"/>
    <w:p w14:paraId="544508E3" w14:textId="77777777" w:rsidR="002557B7" w:rsidRPr="00DB0C40" w:rsidRDefault="002557B7" w:rsidP="002557B7">
      <w:pPr>
        <w:shd w:val="clear" w:color="auto" w:fill="FFFFFF"/>
        <w:jc w:val="both"/>
        <w:rPr>
          <w:rFonts w:asciiTheme="minorHAnsi" w:eastAsia="Times New Roman" w:hAnsiTheme="minorHAnsi" w:cstheme="minorHAnsi"/>
          <w:sz w:val="22"/>
          <w:szCs w:val="22"/>
        </w:rPr>
      </w:pPr>
    </w:p>
    <w:p w14:paraId="7772D1D7" w14:textId="77777777" w:rsidR="002557B7" w:rsidRPr="00DB0C40" w:rsidRDefault="002557B7" w:rsidP="002557B7">
      <w:pPr>
        <w:shd w:val="clear" w:color="auto" w:fill="FFFFFF"/>
        <w:spacing w:line="276" w:lineRule="auto"/>
        <w:jc w:val="both"/>
        <w:rPr>
          <w:rFonts w:asciiTheme="minorHAnsi" w:eastAsia="Times New Roman" w:hAnsiTheme="minorHAnsi" w:cstheme="minorHAnsi"/>
          <w:sz w:val="22"/>
          <w:szCs w:val="22"/>
        </w:rPr>
      </w:pPr>
      <w:r w:rsidRPr="00DB0C40">
        <w:rPr>
          <w:rFonts w:asciiTheme="minorHAnsi" w:eastAsia="Times New Roman" w:hAnsiTheme="minorHAnsi" w:cstheme="minorHAnsi"/>
          <w:sz w:val="22"/>
          <w:szCs w:val="22"/>
        </w:rPr>
        <w:t>The duration of working life is defined as the number of years that a person is expected to be active in the labour market throughout his/her life. According to the results of the household labour force survey; while the duration of working life of the ones aged 15 and over was 16.7 years for females and 37.7 years for males in 2013, it was 19.1 years for females and 39.0 years for males in 2019.</w:t>
      </w:r>
      <w:r w:rsidRPr="00DB0C40">
        <w:rPr>
          <w:rFonts w:asciiTheme="minorHAnsi" w:eastAsia="Times New Roman" w:hAnsiTheme="minorHAnsi" w:cstheme="minorHAnsi"/>
          <w:sz w:val="22"/>
          <w:szCs w:val="22"/>
          <w:vertAlign w:val="superscript"/>
        </w:rPr>
        <w:footnoteReference w:id="42"/>
      </w:r>
    </w:p>
    <w:p w14:paraId="0AE91C18" w14:textId="47D878B0" w:rsidR="00517B7E" w:rsidRPr="00DB0C40" w:rsidRDefault="002557B7" w:rsidP="002557B7">
      <w:pPr>
        <w:rPr>
          <w:rFonts w:asciiTheme="minorHAnsi" w:eastAsia="Times New Roman" w:hAnsiTheme="minorHAnsi" w:cstheme="minorHAnsi"/>
          <w:sz w:val="22"/>
          <w:szCs w:val="22"/>
          <w:shd w:val="clear" w:color="auto" w:fill="FFFFFF"/>
        </w:rPr>
      </w:pPr>
      <w:r w:rsidRPr="00DB0C40">
        <w:rPr>
          <w:rFonts w:asciiTheme="minorHAnsi" w:eastAsia="Times New Roman" w:hAnsiTheme="minorHAnsi" w:cstheme="minorHAnsi"/>
          <w:sz w:val="22"/>
          <w:szCs w:val="22"/>
          <w:shd w:val="clear" w:color="auto" w:fill="FFFFFF"/>
        </w:rPr>
        <w:t> </w:t>
      </w:r>
    </w:p>
    <w:p w14:paraId="569AD346" w14:textId="77777777" w:rsidR="00517B7E" w:rsidRPr="00DB0C40" w:rsidRDefault="00517B7E">
      <w:pPr>
        <w:rPr>
          <w:rFonts w:asciiTheme="minorHAnsi" w:eastAsia="Times New Roman" w:hAnsiTheme="minorHAnsi" w:cstheme="minorHAnsi"/>
          <w:sz w:val="22"/>
          <w:szCs w:val="22"/>
          <w:shd w:val="clear" w:color="auto" w:fill="FFFFFF"/>
        </w:rPr>
      </w:pPr>
      <w:r w:rsidRPr="00DB0C40">
        <w:rPr>
          <w:rFonts w:asciiTheme="minorHAnsi" w:eastAsia="Times New Roman" w:hAnsiTheme="minorHAnsi" w:cstheme="minorHAnsi"/>
          <w:sz w:val="22"/>
          <w:szCs w:val="22"/>
          <w:shd w:val="clear" w:color="auto" w:fill="FFFFFF"/>
        </w:rPr>
        <w:br w:type="page"/>
      </w:r>
    </w:p>
    <w:p w14:paraId="56DBC319" w14:textId="77777777" w:rsidR="002557B7" w:rsidRPr="00DB0C40" w:rsidRDefault="002557B7" w:rsidP="002557B7">
      <w:pPr>
        <w:rPr>
          <w:rFonts w:asciiTheme="minorHAnsi" w:eastAsia="Times New Roman" w:hAnsiTheme="minorHAnsi" w:cstheme="minorHAnsi"/>
          <w:sz w:val="22"/>
          <w:szCs w:val="22"/>
        </w:rPr>
      </w:pPr>
    </w:p>
    <w:p w14:paraId="2BE78948" w14:textId="5CF57A91" w:rsidR="002557B7" w:rsidRPr="00DB0C40" w:rsidRDefault="002557B7" w:rsidP="002557B7">
      <w:pPr>
        <w:shd w:val="clear" w:color="auto" w:fill="FFFFFF"/>
        <w:ind w:left="720"/>
        <w:contextualSpacing/>
        <w:jc w:val="center"/>
        <w:rPr>
          <w:rFonts w:asciiTheme="minorHAnsi" w:eastAsia="Times New Roman" w:hAnsiTheme="minorHAnsi" w:cstheme="minorHAnsi"/>
          <w:b/>
          <w:bCs/>
          <w:sz w:val="22"/>
          <w:szCs w:val="22"/>
        </w:rPr>
      </w:pPr>
      <w:bookmarkStart w:id="118" w:name="_Hlk107138850"/>
      <w:r w:rsidRPr="00DB0C40">
        <w:rPr>
          <w:rFonts w:asciiTheme="minorHAnsi" w:eastAsia="Times New Roman" w:hAnsiTheme="minorHAnsi" w:cstheme="minorHAnsi"/>
          <w:b/>
          <w:bCs/>
          <w:sz w:val="22"/>
          <w:szCs w:val="22"/>
        </w:rPr>
        <w:t>Figure</w:t>
      </w:r>
      <w:r w:rsidR="00517B7E" w:rsidRPr="00DB0C40">
        <w:rPr>
          <w:rFonts w:asciiTheme="minorHAnsi" w:eastAsia="Times New Roman" w:hAnsiTheme="minorHAnsi" w:cstheme="minorHAnsi"/>
          <w:b/>
          <w:bCs/>
          <w:sz w:val="22"/>
          <w:szCs w:val="22"/>
        </w:rPr>
        <w:t xml:space="preserve"> 17. </w:t>
      </w:r>
      <w:r w:rsidRPr="00DB0C40">
        <w:rPr>
          <w:rFonts w:asciiTheme="minorHAnsi" w:eastAsia="Times New Roman" w:hAnsiTheme="minorHAnsi" w:cstheme="minorHAnsi"/>
          <w:b/>
          <w:bCs/>
          <w:sz w:val="22"/>
          <w:szCs w:val="22"/>
        </w:rPr>
        <w:t>Duration of working life</w:t>
      </w:r>
      <w:r w:rsidR="00517B7E" w:rsidRPr="00DB0C40">
        <w:rPr>
          <w:rFonts w:asciiTheme="minorHAnsi" w:eastAsiaTheme="minorHAnsi" w:hAnsiTheme="minorHAnsi" w:cstheme="minorBidi"/>
          <w:b/>
          <w:bCs/>
          <w:sz w:val="22"/>
          <w:szCs w:val="22"/>
        </w:rPr>
        <w:t xml:space="preserve"> </w:t>
      </w:r>
      <w:r w:rsidR="00517B7E" w:rsidRPr="00DB0C40">
        <w:rPr>
          <w:rFonts w:asciiTheme="minorHAnsi" w:eastAsia="Times New Roman" w:hAnsiTheme="minorHAnsi" w:cstheme="minorHAnsi"/>
          <w:b/>
          <w:bCs/>
          <w:sz w:val="22"/>
          <w:szCs w:val="22"/>
        </w:rPr>
        <w:t>in Türkiye</w:t>
      </w:r>
      <w:r w:rsidRPr="00DB0C40">
        <w:rPr>
          <w:rFonts w:asciiTheme="minorHAnsi" w:eastAsia="Times New Roman" w:hAnsiTheme="minorHAnsi" w:cstheme="minorHAnsi"/>
          <w:b/>
          <w:bCs/>
          <w:sz w:val="22"/>
          <w:szCs w:val="22"/>
        </w:rPr>
        <w:t>, 2013-2019</w:t>
      </w:r>
    </w:p>
    <w:bookmarkEnd w:id="118"/>
    <w:p w14:paraId="6C8A4A59" w14:textId="77777777" w:rsidR="002557B7" w:rsidRPr="00DB0C40" w:rsidRDefault="002557B7" w:rsidP="002557B7">
      <w:pPr>
        <w:shd w:val="clear" w:color="auto" w:fill="FFFFFF"/>
        <w:ind w:left="720"/>
        <w:contextualSpacing/>
        <w:jc w:val="center"/>
        <w:rPr>
          <w:rFonts w:asciiTheme="minorHAnsi" w:eastAsia="Times New Roman" w:hAnsiTheme="minorHAnsi" w:cstheme="minorHAnsi"/>
          <w:sz w:val="22"/>
          <w:szCs w:val="22"/>
        </w:rPr>
      </w:pPr>
      <w:r w:rsidRPr="00DB0C40">
        <w:rPr>
          <w:rFonts w:asciiTheme="minorHAnsi" w:eastAsia="Times New Roman" w:hAnsiTheme="minorHAnsi" w:cstheme="minorHAnsi"/>
          <w:sz w:val="22"/>
          <w:szCs w:val="22"/>
        </w:rPr>
        <w:br/>
      </w:r>
      <w:r w:rsidRPr="00DB0C40">
        <w:rPr>
          <w:rFonts w:asciiTheme="minorHAnsi" w:eastAsiaTheme="minorHAnsi" w:hAnsiTheme="minorHAnsi" w:cstheme="minorBidi"/>
          <w:noProof/>
          <w:sz w:val="22"/>
          <w:szCs w:val="22"/>
        </w:rPr>
        <w:drawing>
          <wp:inline distT="0" distB="0" distL="0" distR="0" wp14:anchorId="308404B0" wp14:editId="53B49FB0">
            <wp:extent cx="4775200" cy="2591689"/>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791928" cy="2600768"/>
                    </a:xfrm>
                    <a:prstGeom prst="rect">
                      <a:avLst/>
                    </a:prstGeom>
                    <a:noFill/>
                    <a:ln>
                      <a:noFill/>
                    </a:ln>
                  </pic:spPr>
                </pic:pic>
              </a:graphicData>
            </a:graphic>
          </wp:inline>
        </w:drawing>
      </w:r>
      <w:r w:rsidRPr="00DB0C40">
        <w:rPr>
          <w:rFonts w:asciiTheme="minorHAnsi" w:eastAsia="Times New Roman" w:hAnsiTheme="minorHAnsi" w:cstheme="minorHAnsi"/>
          <w:sz w:val="22"/>
          <w:szCs w:val="22"/>
        </w:rPr>
        <w:br/>
      </w:r>
    </w:p>
    <w:p w14:paraId="10532535"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A particular attention is needed on working life, because job quality may have important implications for other outcomes, including health risks incurred in the workplace, mental well-being and work–life balance. To assess the relationship between working conditions and these other outcomes, a regression analysis was performed on the EWCS data in 2019</w:t>
      </w:r>
      <w:r w:rsidRPr="00DB0C40">
        <w:rPr>
          <w:rFonts w:asciiTheme="minorHAnsi" w:eastAsiaTheme="minorHAnsi" w:hAnsiTheme="minorHAnsi" w:cstheme="minorHAnsi"/>
          <w:position w:val="6"/>
          <w:sz w:val="22"/>
          <w:szCs w:val="22"/>
        </w:rPr>
        <w:footnoteReference w:id="43"/>
      </w:r>
      <w:r w:rsidRPr="00DB0C40">
        <w:rPr>
          <w:rFonts w:asciiTheme="minorHAnsi" w:eastAsiaTheme="minorHAnsi" w:hAnsiTheme="minorHAnsi" w:cstheme="minorHAnsi"/>
          <w:sz w:val="22"/>
          <w:szCs w:val="22"/>
        </w:rPr>
        <w:t>, using outcomes as dependent variables, and working conditions as predictors. Even when this subject not considered the changes during the selected period, it shows important conclusions for the impact assessment of the laws in Türkiye.</w:t>
      </w:r>
    </w:p>
    <w:p w14:paraId="60C712E1"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b/>
          <w:bCs/>
          <w:sz w:val="22"/>
          <w:szCs w:val="22"/>
        </w:rPr>
        <w:t>Health at work</w:t>
      </w:r>
      <w:r w:rsidRPr="00DB0C40">
        <w:rPr>
          <w:rFonts w:asciiTheme="minorHAnsi" w:eastAsiaTheme="minorHAnsi" w:hAnsiTheme="minorHAnsi" w:cstheme="minorHAnsi"/>
          <w:sz w:val="22"/>
          <w:szCs w:val="22"/>
        </w:rPr>
        <w:t xml:space="preserve">: The analysis of perceived health and safety risk due to work suggests that, if standard individual characteristics are controlled for (age, marital status, education, sector and occupation), women believe they have fewer health and safety risks at work compared to men. However, when job quality predictors are included in the model, there are no differences in perceived health and safety risk at work among men and women. Instead, and as expected, job quality is closely related to perceptions of health and safety risks in the workplace. With respect to sector, workers in transport are the most likely to perceive high levels of risk, followed by those in public administration and construction. Poor physical environment, night work and exposure to adverse social behaviour are the working conditions that are most likely to increase a worker’s propensity to feel that their health is at risk. </w:t>
      </w:r>
    </w:p>
    <w:p w14:paraId="502C3D85"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b/>
          <w:bCs/>
          <w:sz w:val="22"/>
          <w:szCs w:val="22"/>
        </w:rPr>
        <w:t>Mental health status</w:t>
      </w:r>
      <w:r w:rsidRPr="00DB0C40">
        <w:rPr>
          <w:rFonts w:asciiTheme="minorHAnsi" w:eastAsiaTheme="minorHAnsi" w:hAnsiTheme="minorHAnsi" w:cstheme="minorHAnsi"/>
          <w:sz w:val="22"/>
          <w:szCs w:val="22"/>
        </w:rPr>
        <w:t xml:space="preserve">: In terms of sector, workers in industry report the poorest level of well-being. No gender differences are found with respect to reported well-being. Good management quality and job security are the aspects of working conditions that are most closely associated with positive well-being. </w:t>
      </w:r>
    </w:p>
    <w:p w14:paraId="4C40F3DA"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b/>
          <w:bCs/>
          <w:sz w:val="22"/>
          <w:szCs w:val="22"/>
        </w:rPr>
        <w:t>Work–life balance</w:t>
      </w:r>
      <w:r w:rsidRPr="00DB0C40">
        <w:rPr>
          <w:rFonts w:asciiTheme="minorHAnsi" w:eastAsiaTheme="minorHAnsi" w:hAnsiTheme="minorHAnsi" w:cstheme="minorHAnsi"/>
          <w:sz w:val="22"/>
          <w:szCs w:val="22"/>
        </w:rPr>
        <w:t xml:space="preserve"> Lastly, analysing the relationship between various working conditions and self-reported work–life balance confirms that those who work normal hours (between 35 and 40 hours per week) and those who are easily able to take an hour off from work are more likely to report a good fit between their </w:t>
      </w:r>
      <w:r w:rsidRPr="00DB0C40">
        <w:rPr>
          <w:rFonts w:asciiTheme="minorHAnsi" w:eastAsiaTheme="minorHAnsi" w:hAnsiTheme="minorHAnsi" w:cstheme="minorHAnsi"/>
          <w:sz w:val="22"/>
          <w:szCs w:val="22"/>
        </w:rPr>
        <w:lastRenderedPageBreak/>
        <w:t>work and non-work commitments. Further complementary survey questions enable a closer understanding of what may be behind the disparities in work–life balance.</w:t>
      </w:r>
    </w:p>
    <w:p w14:paraId="72D7D88B"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While the reasons workers attribute to their work–family conflicts vary, one of the most commonly stated factors is that they are too tired to complete housework after they return from work. Almost 40% of women but only 33% of men report this reason, a finding that reflects the gendered distribution of housework. </w:t>
      </w:r>
    </w:p>
    <w:p w14:paraId="5D9B5158"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breakdown of paid and unpaid working hours sheds additional light on the length of the Turkish working week. Notably, it further confirms an unequal distribution of household tasks, putting married women with children at a particular disadvantage. However, there does not seem to be any difference between workers with different family responsibilities in terms of the time they spend commuting. Working time preferences also indicate that 50% of workers would like to work fewer hours than they currently do, 45% would like to keep their current working hours and only 5% would like to increase their hours.</w:t>
      </w:r>
    </w:p>
    <w:p w14:paraId="2A8C78C2" w14:textId="77777777"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The Turkish data indicate a strong link between workers’ health, well-being, and work–life balance. Safer physical workplaces, positive work environments, standard and predictable working hours and job security all make Turkish workers more likely to report positive overall health and well-being. These findings suggest that improving compliance with existing laws governing occupational safety and health at work, working time and other related issues may prove an effective strategy.</w:t>
      </w:r>
    </w:p>
    <w:p w14:paraId="6A017182" w14:textId="77777777" w:rsidR="002557B7" w:rsidRPr="00CD2A61" w:rsidRDefault="002557B7">
      <w:pPr>
        <w:numPr>
          <w:ilvl w:val="2"/>
          <w:numId w:val="46"/>
        </w:numPr>
        <w:spacing w:after="160" w:line="259" w:lineRule="auto"/>
        <w:contextualSpacing/>
        <w:jc w:val="both"/>
        <w:rPr>
          <w:rFonts w:asciiTheme="majorHAnsi" w:eastAsiaTheme="majorEastAsia" w:hAnsiTheme="majorHAnsi" w:cstheme="majorBidi"/>
          <w:color w:val="1F3763" w:themeColor="accent1" w:themeShade="7F"/>
        </w:rPr>
      </w:pPr>
      <w:bookmarkStart w:id="119" w:name="_Toc92359097"/>
      <w:bookmarkStart w:id="120" w:name="_Hlk107138871"/>
      <w:r w:rsidRPr="00CD2A61">
        <w:rPr>
          <w:rFonts w:asciiTheme="majorHAnsi" w:eastAsiaTheme="majorEastAsia" w:hAnsiTheme="majorHAnsi" w:cstheme="majorBidi"/>
          <w:color w:val="1F3763" w:themeColor="accent1" w:themeShade="7F"/>
        </w:rPr>
        <w:t xml:space="preserve"> </w:t>
      </w:r>
      <w:bookmarkStart w:id="121" w:name="_Hlk106961714"/>
      <w:r w:rsidRPr="00CD2A61">
        <w:rPr>
          <w:rFonts w:asciiTheme="majorHAnsi" w:eastAsiaTheme="majorEastAsia" w:hAnsiTheme="majorHAnsi" w:cstheme="majorBidi"/>
          <w:color w:val="1F3763" w:themeColor="accent1" w:themeShade="7F"/>
        </w:rPr>
        <w:t>Self-Employed Women Workers</w:t>
      </w:r>
      <w:bookmarkEnd w:id="119"/>
      <w:r w:rsidRPr="00CD2A61">
        <w:rPr>
          <w:rFonts w:asciiTheme="majorHAnsi" w:eastAsiaTheme="majorEastAsia" w:hAnsiTheme="majorHAnsi" w:cstheme="majorBidi"/>
          <w:color w:val="1F3763" w:themeColor="accent1" w:themeShade="7F"/>
        </w:rPr>
        <w:t xml:space="preserve"> </w:t>
      </w:r>
      <w:bookmarkEnd w:id="121"/>
    </w:p>
    <w:bookmarkEnd w:id="120"/>
    <w:p w14:paraId="57828781" w14:textId="77777777" w:rsidR="00AE67F2" w:rsidRDefault="00AE67F2" w:rsidP="002557B7">
      <w:pPr>
        <w:spacing w:after="160" w:line="259" w:lineRule="auto"/>
        <w:jc w:val="both"/>
        <w:rPr>
          <w:rFonts w:asciiTheme="minorHAnsi" w:eastAsiaTheme="minorHAnsi" w:hAnsiTheme="minorHAnsi" w:cstheme="minorHAnsi"/>
          <w:sz w:val="22"/>
          <w:szCs w:val="22"/>
        </w:rPr>
      </w:pPr>
    </w:p>
    <w:p w14:paraId="546C698F" w14:textId="7CDC239A"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 xml:space="preserve">According to the </w:t>
      </w:r>
      <w:proofErr w:type="spellStart"/>
      <w:r w:rsidR="00A45334">
        <w:rPr>
          <w:rFonts w:asciiTheme="minorHAnsi" w:eastAsiaTheme="minorHAnsi" w:hAnsiTheme="minorHAnsi" w:cstheme="minorHAnsi"/>
          <w:sz w:val="22"/>
          <w:szCs w:val="22"/>
        </w:rPr>
        <w:t>TurkStat</w:t>
      </w:r>
      <w:proofErr w:type="spellEnd"/>
      <w:r w:rsidRPr="00DB0C40">
        <w:rPr>
          <w:rFonts w:asciiTheme="minorHAnsi" w:eastAsiaTheme="minorHAnsi" w:hAnsiTheme="minorHAnsi" w:cstheme="minorHAnsi"/>
          <w:sz w:val="22"/>
          <w:szCs w:val="22"/>
        </w:rPr>
        <w:t xml:space="preserve"> statistics from 2019, only 8.7 % of employers in Türkiye are female. </w:t>
      </w:r>
      <w:r w:rsidRPr="00AE67F2">
        <w:rPr>
          <w:rFonts w:asciiTheme="minorHAnsi" w:eastAsiaTheme="minorHAnsi" w:hAnsiTheme="minorHAnsi" w:cstheme="minorHAnsi"/>
          <w:position w:val="6"/>
          <w:sz w:val="16"/>
          <w:szCs w:val="16"/>
        </w:rPr>
        <w:footnoteReference w:id="44"/>
      </w:r>
      <w:r w:rsidRPr="00AE67F2">
        <w:rPr>
          <w:rFonts w:asciiTheme="minorHAnsi" w:eastAsiaTheme="minorHAnsi" w:hAnsiTheme="minorHAnsi" w:cstheme="minorHAnsi"/>
          <w:sz w:val="16"/>
          <w:szCs w:val="16"/>
        </w:rPr>
        <w:t xml:space="preserve"> </w:t>
      </w:r>
    </w:p>
    <w:p w14:paraId="5E1A6AEA" w14:textId="7F73B14C" w:rsidR="002557B7" w:rsidRPr="00DB0C40" w:rsidRDefault="002557B7" w:rsidP="002557B7">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Even when a perspective of the changes on women in the last years wasn´t find, a</w:t>
      </w:r>
      <w:r w:rsidR="00A216BF">
        <w:rPr>
          <w:rFonts w:asciiTheme="minorHAnsi" w:eastAsiaTheme="minorHAnsi" w:hAnsiTheme="minorHAnsi" w:cstheme="minorHAnsi"/>
          <w:sz w:val="22"/>
          <w:szCs w:val="22"/>
        </w:rPr>
        <w:t>n</w:t>
      </w:r>
      <w:r w:rsidRPr="00DB0C40">
        <w:rPr>
          <w:rFonts w:asciiTheme="minorHAnsi" w:eastAsiaTheme="minorHAnsi" w:hAnsiTheme="minorHAnsi" w:cstheme="minorHAnsi"/>
          <w:sz w:val="22"/>
          <w:szCs w:val="22"/>
        </w:rPr>
        <w:t xml:space="preserve"> OECD Study of 2016 shows that gender discrimination still experienced by women in the private as well as the public sphere significantly limits their visible participation in economic life outside their homes. A sample survey of nearly 5 000 micro and small enterprises (MSEs) found that 6 % of them led by women, which shows that women's businesses tend to be very small. Nearly half are in trade and one-third are in industry. Many of the one-person women's enterprises are in home-based manufacturing. Women entrepreneurs tend to be younger and have more education than men entrepreneurs, and about half of the women entrepreneurs were employed as wage earners before starting their own businesses. Virtually none of them made use of credit for starting their businesses and very few had access to business support services of any kind. </w:t>
      </w:r>
      <w:r w:rsidRPr="00DB0C40">
        <w:rPr>
          <w:rFonts w:asciiTheme="minorHAnsi" w:eastAsiaTheme="minorHAnsi" w:hAnsiTheme="minorHAnsi" w:cstheme="minorHAnsi"/>
          <w:position w:val="6"/>
          <w:sz w:val="12"/>
          <w:szCs w:val="12"/>
        </w:rPr>
        <w:footnoteReference w:id="45"/>
      </w:r>
    </w:p>
    <w:p w14:paraId="3684764A" w14:textId="3AF6FAFC" w:rsidR="002557B7" w:rsidRPr="00CD2A61" w:rsidRDefault="002557B7">
      <w:pPr>
        <w:numPr>
          <w:ilvl w:val="2"/>
          <w:numId w:val="46"/>
        </w:numPr>
        <w:spacing w:after="160" w:line="259" w:lineRule="auto"/>
        <w:contextualSpacing/>
        <w:jc w:val="both"/>
        <w:rPr>
          <w:rFonts w:asciiTheme="majorHAnsi" w:eastAsiaTheme="majorEastAsia" w:hAnsiTheme="majorHAnsi" w:cstheme="majorBidi"/>
          <w:color w:val="1F3763" w:themeColor="accent1" w:themeShade="7F"/>
        </w:rPr>
      </w:pPr>
      <w:bookmarkStart w:id="122" w:name="_Hlk107138889"/>
      <w:r w:rsidRPr="00CD2A61">
        <w:rPr>
          <w:rFonts w:asciiTheme="majorHAnsi" w:eastAsiaTheme="majorEastAsia" w:hAnsiTheme="majorHAnsi" w:cstheme="majorBidi"/>
          <w:color w:val="1F3763" w:themeColor="accent1" w:themeShade="7F"/>
        </w:rPr>
        <w:t>Some Social indicators</w:t>
      </w:r>
    </w:p>
    <w:bookmarkEnd w:id="122"/>
    <w:p w14:paraId="0963399A" w14:textId="77777777" w:rsidR="00AE67F2" w:rsidRDefault="00AE67F2" w:rsidP="002557B7">
      <w:pPr>
        <w:shd w:val="clear" w:color="auto" w:fill="FFFFFF"/>
        <w:jc w:val="both"/>
        <w:rPr>
          <w:rFonts w:asciiTheme="minorHAnsi" w:eastAsia="Times New Roman" w:hAnsiTheme="minorHAnsi" w:cstheme="minorHAnsi"/>
          <w:sz w:val="22"/>
          <w:szCs w:val="22"/>
        </w:rPr>
      </w:pPr>
    </w:p>
    <w:p w14:paraId="21B9567A" w14:textId="45953D73" w:rsidR="002557B7" w:rsidRPr="00DB0C40" w:rsidRDefault="002557B7" w:rsidP="002557B7">
      <w:pPr>
        <w:shd w:val="clear" w:color="auto" w:fill="FFFFFF"/>
        <w:jc w:val="both"/>
        <w:rPr>
          <w:rFonts w:asciiTheme="minorHAnsi" w:eastAsia="Times New Roman" w:hAnsiTheme="minorHAnsi" w:cstheme="minorHAnsi"/>
          <w:sz w:val="22"/>
          <w:szCs w:val="22"/>
        </w:rPr>
      </w:pPr>
      <w:r w:rsidRPr="00DB0C40">
        <w:rPr>
          <w:rFonts w:asciiTheme="minorHAnsi" w:eastAsia="Times New Roman" w:hAnsiTheme="minorHAnsi" w:cstheme="minorHAnsi"/>
          <w:sz w:val="22"/>
          <w:szCs w:val="22"/>
        </w:rPr>
        <w:t xml:space="preserve">Only two social indicators are included, closely related to the Labour Market, that shows the important change that Türkiye has made in the education (particularly higher education) for women, going from 7.6% in 2008 to 19.9% in 2020. </w:t>
      </w:r>
    </w:p>
    <w:p w14:paraId="00B58EDA" w14:textId="77777777" w:rsidR="00517B7E" w:rsidRPr="00DB0C40" w:rsidRDefault="00517B7E" w:rsidP="002557B7">
      <w:pPr>
        <w:shd w:val="clear" w:color="auto" w:fill="FFFFFF"/>
        <w:jc w:val="both"/>
        <w:rPr>
          <w:rFonts w:asciiTheme="minorHAnsi" w:eastAsia="Times New Roman" w:hAnsiTheme="minorHAnsi" w:cstheme="minorHAnsi"/>
          <w:sz w:val="22"/>
          <w:szCs w:val="22"/>
        </w:rPr>
      </w:pPr>
    </w:p>
    <w:p w14:paraId="5E375D63" w14:textId="77777777" w:rsidR="002557B7" w:rsidRPr="00DB0C40" w:rsidRDefault="002557B7" w:rsidP="002557B7">
      <w:pPr>
        <w:shd w:val="clear" w:color="auto" w:fill="FFFFFF"/>
        <w:ind w:left="360"/>
        <w:jc w:val="both"/>
        <w:rPr>
          <w:rFonts w:asciiTheme="minorHAnsi" w:eastAsia="Times New Roman" w:hAnsiTheme="minorHAnsi" w:cstheme="minorHAnsi"/>
          <w:b/>
          <w:bCs/>
          <w:sz w:val="22"/>
          <w:szCs w:val="22"/>
        </w:rPr>
      </w:pPr>
    </w:p>
    <w:p w14:paraId="0D067B5B" w14:textId="7ED7B92D" w:rsidR="002557B7" w:rsidRPr="00DB0C40" w:rsidRDefault="002557B7" w:rsidP="00AF68FB">
      <w:pPr>
        <w:shd w:val="clear" w:color="auto" w:fill="FFFFFF"/>
        <w:ind w:left="360"/>
        <w:jc w:val="center"/>
        <w:rPr>
          <w:rFonts w:asciiTheme="minorHAnsi" w:eastAsia="Times New Roman" w:hAnsiTheme="minorHAnsi" w:cstheme="minorHAnsi"/>
          <w:b/>
          <w:bCs/>
          <w:sz w:val="22"/>
          <w:szCs w:val="22"/>
        </w:rPr>
      </w:pPr>
      <w:bookmarkStart w:id="123" w:name="_Hlk107139023"/>
      <w:r w:rsidRPr="00DB0C40">
        <w:rPr>
          <w:rFonts w:asciiTheme="minorHAnsi" w:eastAsia="Times New Roman" w:hAnsiTheme="minorHAnsi" w:cstheme="minorHAnsi"/>
          <w:b/>
          <w:bCs/>
          <w:sz w:val="22"/>
          <w:szCs w:val="22"/>
        </w:rPr>
        <w:t xml:space="preserve">Table </w:t>
      </w:r>
      <w:r w:rsidR="00517B7E" w:rsidRPr="00DB0C40">
        <w:rPr>
          <w:rFonts w:asciiTheme="minorHAnsi" w:eastAsia="Times New Roman" w:hAnsiTheme="minorHAnsi" w:cstheme="minorHAnsi"/>
          <w:b/>
          <w:bCs/>
          <w:sz w:val="22"/>
          <w:szCs w:val="22"/>
        </w:rPr>
        <w:t>7-</w:t>
      </w:r>
      <w:r w:rsidRPr="00DB0C40">
        <w:rPr>
          <w:rFonts w:asciiTheme="minorHAnsi" w:eastAsia="Times New Roman" w:hAnsiTheme="minorHAnsi" w:cstheme="minorHAnsi"/>
          <w:b/>
          <w:bCs/>
          <w:sz w:val="22"/>
          <w:szCs w:val="22"/>
        </w:rPr>
        <w:t xml:space="preserve"> Social Indicators</w:t>
      </w:r>
      <w:r w:rsidR="00AF68FB" w:rsidRPr="00DB0C40">
        <w:rPr>
          <w:rFonts w:asciiTheme="minorHAnsi" w:eastAsiaTheme="minorHAnsi" w:hAnsiTheme="minorHAnsi" w:cstheme="minorBidi"/>
          <w:b/>
          <w:bCs/>
          <w:sz w:val="22"/>
          <w:szCs w:val="22"/>
        </w:rPr>
        <w:t xml:space="preserve"> </w:t>
      </w:r>
      <w:r w:rsidR="00AF68FB" w:rsidRPr="00DB0C40">
        <w:rPr>
          <w:rFonts w:asciiTheme="minorHAnsi" w:eastAsia="Times New Roman" w:hAnsiTheme="minorHAnsi" w:cstheme="minorHAnsi"/>
          <w:b/>
          <w:bCs/>
          <w:sz w:val="22"/>
          <w:szCs w:val="22"/>
        </w:rPr>
        <w:t>in Türkiye (2008 – 2020)</w:t>
      </w:r>
    </w:p>
    <w:bookmarkEnd w:id="123"/>
    <w:p w14:paraId="4CB7041C" w14:textId="77777777" w:rsidR="002557B7" w:rsidRPr="00DB0C40" w:rsidRDefault="002557B7" w:rsidP="002557B7">
      <w:pPr>
        <w:shd w:val="clear" w:color="auto" w:fill="FFFFFF"/>
        <w:jc w:val="both"/>
        <w:rPr>
          <w:rFonts w:asciiTheme="minorHAnsi" w:eastAsia="Times New Roman" w:hAnsiTheme="minorHAnsi" w:cstheme="minorHAnsi"/>
          <w:b/>
          <w:bCs/>
          <w:sz w:val="22"/>
          <w:szCs w:val="22"/>
        </w:rPr>
      </w:pPr>
    </w:p>
    <w:tbl>
      <w:tblPr>
        <w:tblStyle w:val="TableGrid3"/>
        <w:tblW w:w="0" w:type="auto"/>
        <w:tblLook w:val="04A0" w:firstRow="1" w:lastRow="0" w:firstColumn="1" w:lastColumn="0" w:noHBand="0" w:noVBand="1"/>
      </w:tblPr>
      <w:tblGrid>
        <w:gridCol w:w="7195"/>
        <w:gridCol w:w="764"/>
        <w:gridCol w:w="764"/>
        <w:gridCol w:w="764"/>
      </w:tblGrid>
      <w:tr w:rsidR="002557B7" w:rsidRPr="00DB0C40" w14:paraId="7763B99C" w14:textId="77777777" w:rsidTr="00EA37BB">
        <w:tc>
          <w:tcPr>
            <w:tcW w:w="0" w:type="auto"/>
            <w:shd w:val="clear" w:color="auto" w:fill="D9E2F3" w:themeFill="accent1" w:themeFillTint="33"/>
          </w:tcPr>
          <w:p w14:paraId="24258CE7" w14:textId="77777777" w:rsidR="002557B7" w:rsidRPr="00DB0C40" w:rsidRDefault="002557B7" w:rsidP="002557B7">
            <w:pPr>
              <w:jc w:val="both"/>
              <w:rPr>
                <w:rFonts w:eastAsia="Times New Roman" w:cstheme="minorHAnsi"/>
                <w:b/>
                <w:bCs/>
                <w:lang w:val="en-GB"/>
              </w:rPr>
            </w:pPr>
          </w:p>
        </w:tc>
        <w:tc>
          <w:tcPr>
            <w:tcW w:w="0" w:type="auto"/>
            <w:shd w:val="clear" w:color="auto" w:fill="D9E2F3" w:themeFill="accent1" w:themeFillTint="33"/>
          </w:tcPr>
          <w:p w14:paraId="4F9B2E84" w14:textId="77777777" w:rsidR="002557B7" w:rsidRPr="00DB0C40" w:rsidRDefault="002557B7" w:rsidP="002557B7">
            <w:pPr>
              <w:jc w:val="both"/>
              <w:rPr>
                <w:rFonts w:eastAsia="Times New Roman" w:cstheme="minorHAnsi"/>
                <w:b/>
                <w:bCs/>
                <w:lang w:val="en-GB"/>
              </w:rPr>
            </w:pPr>
            <w:r w:rsidRPr="00DB0C40">
              <w:rPr>
                <w:rFonts w:eastAsia="Times New Roman" w:cstheme="minorHAnsi"/>
                <w:b/>
                <w:bCs/>
                <w:lang w:val="en-GB"/>
              </w:rPr>
              <w:t>2008</w:t>
            </w:r>
          </w:p>
        </w:tc>
        <w:tc>
          <w:tcPr>
            <w:tcW w:w="0" w:type="auto"/>
            <w:shd w:val="clear" w:color="auto" w:fill="D9E2F3" w:themeFill="accent1" w:themeFillTint="33"/>
          </w:tcPr>
          <w:p w14:paraId="0F546B6D" w14:textId="77777777" w:rsidR="002557B7" w:rsidRPr="00DB0C40" w:rsidRDefault="002557B7" w:rsidP="002557B7">
            <w:pPr>
              <w:jc w:val="both"/>
              <w:rPr>
                <w:rFonts w:eastAsia="Times New Roman" w:cstheme="minorHAnsi"/>
                <w:b/>
                <w:bCs/>
                <w:lang w:val="en-GB"/>
              </w:rPr>
            </w:pPr>
            <w:r w:rsidRPr="00DB0C40">
              <w:rPr>
                <w:rFonts w:eastAsia="Times New Roman" w:cstheme="minorHAnsi"/>
                <w:b/>
                <w:bCs/>
                <w:lang w:val="en-GB"/>
              </w:rPr>
              <w:t>2019</w:t>
            </w:r>
          </w:p>
        </w:tc>
        <w:tc>
          <w:tcPr>
            <w:tcW w:w="0" w:type="auto"/>
            <w:shd w:val="clear" w:color="auto" w:fill="D9E2F3" w:themeFill="accent1" w:themeFillTint="33"/>
          </w:tcPr>
          <w:p w14:paraId="34A9F689" w14:textId="77777777" w:rsidR="002557B7" w:rsidRPr="00DB0C40" w:rsidRDefault="002557B7" w:rsidP="002557B7">
            <w:pPr>
              <w:jc w:val="both"/>
              <w:rPr>
                <w:rFonts w:eastAsia="Times New Roman" w:cstheme="minorHAnsi"/>
                <w:b/>
                <w:bCs/>
                <w:lang w:val="en-GB"/>
              </w:rPr>
            </w:pPr>
            <w:r w:rsidRPr="00DB0C40">
              <w:rPr>
                <w:rFonts w:eastAsia="Times New Roman" w:cstheme="minorHAnsi"/>
                <w:b/>
                <w:bCs/>
                <w:lang w:val="en-GB"/>
              </w:rPr>
              <w:t>2020</w:t>
            </w:r>
          </w:p>
        </w:tc>
      </w:tr>
      <w:tr w:rsidR="002557B7" w:rsidRPr="00DB0C40" w14:paraId="6416A051" w14:textId="77777777" w:rsidTr="00EA37BB">
        <w:tc>
          <w:tcPr>
            <w:tcW w:w="0" w:type="auto"/>
            <w:shd w:val="clear" w:color="auto" w:fill="FBE4D5" w:themeFill="accent2" w:themeFillTint="33"/>
          </w:tcPr>
          <w:p w14:paraId="47D49FB1" w14:textId="77777777" w:rsidR="002557B7" w:rsidRPr="00DB0C40" w:rsidRDefault="002557B7" w:rsidP="002557B7">
            <w:pPr>
              <w:jc w:val="both"/>
              <w:rPr>
                <w:rFonts w:eastAsia="Times New Roman" w:cstheme="minorHAnsi"/>
                <w:lang w:val="en-GB"/>
              </w:rPr>
            </w:pPr>
            <w:r w:rsidRPr="00DB0C40">
              <w:rPr>
                <w:rFonts w:eastAsia="Times New Roman" w:cstheme="minorHAnsi"/>
                <w:lang w:val="en-GB"/>
              </w:rPr>
              <w:t>Proportion of females completing at least one educational level</w:t>
            </w:r>
          </w:p>
        </w:tc>
        <w:tc>
          <w:tcPr>
            <w:tcW w:w="0" w:type="auto"/>
            <w:shd w:val="clear" w:color="auto" w:fill="FBE4D5" w:themeFill="accent2" w:themeFillTint="33"/>
          </w:tcPr>
          <w:p w14:paraId="42FF1341" w14:textId="77777777" w:rsidR="002557B7" w:rsidRPr="00DB0C40" w:rsidRDefault="002557B7" w:rsidP="002557B7">
            <w:pPr>
              <w:jc w:val="both"/>
              <w:rPr>
                <w:rFonts w:eastAsia="Times New Roman" w:cstheme="minorHAnsi"/>
                <w:lang w:val="en-GB"/>
              </w:rPr>
            </w:pPr>
            <w:r w:rsidRPr="00DB0C40">
              <w:rPr>
                <w:rFonts w:eastAsia="Times New Roman" w:cstheme="minorHAnsi"/>
                <w:lang w:val="en-GB"/>
              </w:rPr>
              <w:t>72.6%</w:t>
            </w:r>
          </w:p>
        </w:tc>
        <w:tc>
          <w:tcPr>
            <w:tcW w:w="0" w:type="auto"/>
            <w:shd w:val="clear" w:color="auto" w:fill="FBE4D5" w:themeFill="accent2" w:themeFillTint="33"/>
          </w:tcPr>
          <w:p w14:paraId="4E92892B" w14:textId="77777777" w:rsidR="002557B7" w:rsidRPr="00DB0C40" w:rsidRDefault="002557B7" w:rsidP="002557B7">
            <w:pPr>
              <w:jc w:val="both"/>
              <w:rPr>
                <w:rFonts w:eastAsia="Times New Roman" w:cstheme="minorHAnsi"/>
                <w:lang w:val="en-GB"/>
              </w:rPr>
            </w:pPr>
            <w:r w:rsidRPr="00DB0C40">
              <w:rPr>
                <w:rFonts w:eastAsia="Times New Roman" w:cstheme="minorHAnsi"/>
                <w:lang w:val="en-GB"/>
              </w:rPr>
              <w:t>85.7%</w:t>
            </w:r>
          </w:p>
        </w:tc>
        <w:tc>
          <w:tcPr>
            <w:tcW w:w="0" w:type="auto"/>
            <w:shd w:val="clear" w:color="auto" w:fill="FBE4D5" w:themeFill="accent2" w:themeFillTint="33"/>
          </w:tcPr>
          <w:p w14:paraId="66A50751" w14:textId="77777777" w:rsidR="002557B7" w:rsidRPr="00DB0C40" w:rsidRDefault="002557B7" w:rsidP="002557B7">
            <w:pPr>
              <w:jc w:val="both"/>
              <w:rPr>
                <w:rFonts w:eastAsia="Times New Roman" w:cstheme="minorHAnsi"/>
                <w:lang w:val="en-GB"/>
              </w:rPr>
            </w:pPr>
            <w:r w:rsidRPr="00DB0C40">
              <w:rPr>
                <w:rFonts w:eastAsia="Times New Roman" w:cstheme="minorHAnsi"/>
                <w:lang w:val="en-GB"/>
              </w:rPr>
              <w:t>87.7%</w:t>
            </w:r>
          </w:p>
        </w:tc>
      </w:tr>
      <w:tr w:rsidR="002557B7" w:rsidRPr="00DB0C40" w14:paraId="3CBBF0ED" w14:textId="77777777" w:rsidTr="00EA37BB">
        <w:tc>
          <w:tcPr>
            <w:tcW w:w="0" w:type="auto"/>
            <w:shd w:val="clear" w:color="auto" w:fill="FBE4D5" w:themeFill="accent2" w:themeFillTint="33"/>
          </w:tcPr>
          <w:p w14:paraId="531120DC" w14:textId="77777777" w:rsidR="002557B7" w:rsidRPr="00DB0C40" w:rsidRDefault="002557B7" w:rsidP="002557B7">
            <w:pPr>
              <w:jc w:val="both"/>
              <w:rPr>
                <w:rFonts w:eastAsia="Times New Roman" w:cstheme="minorHAnsi"/>
                <w:lang w:val="en-GB"/>
              </w:rPr>
            </w:pPr>
            <w:r w:rsidRPr="00DB0C40">
              <w:rPr>
                <w:rFonts w:eastAsia="Times New Roman" w:cstheme="minorHAnsi"/>
                <w:lang w:val="en-GB"/>
              </w:rPr>
              <w:t>Proportion of females aged 25 and over and who were at least university graduates</w:t>
            </w:r>
          </w:p>
        </w:tc>
        <w:tc>
          <w:tcPr>
            <w:tcW w:w="0" w:type="auto"/>
            <w:shd w:val="clear" w:color="auto" w:fill="FBE4D5" w:themeFill="accent2" w:themeFillTint="33"/>
          </w:tcPr>
          <w:p w14:paraId="5326852B" w14:textId="77777777" w:rsidR="002557B7" w:rsidRPr="00DB0C40" w:rsidRDefault="002557B7" w:rsidP="002557B7">
            <w:pPr>
              <w:jc w:val="both"/>
              <w:rPr>
                <w:rFonts w:eastAsia="Times New Roman" w:cstheme="minorHAnsi"/>
                <w:lang w:val="en-GB"/>
              </w:rPr>
            </w:pPr>
            <w:r w:rsidRPr="00DB0C40">
              <w:rPr>
                <w:rFonts w:eastAsia="Times New Roman" w:cstheme="minorHAnsi"/>
                <w:lang w:val="en-GB"/>
              </w:rPr>
              <w:t>7.6%</w:t>
            </w:r>
          </w:p>
        </w:tc>
        <w:tc>
          <w:tcPr>
            <w:tcW w:w="0" w:type="auto"/>
            <w:shd w:val="clear" w:color="auto" w:fill="FBE4D5" w:themeFill="accent2" w:themeFillTint="33"/>
          </w:tcPr>
          <w:p w14:paraId="07CF9605" w14:textId="77777777" w:rsidR="002557B7" w:rsidRPr="00DB0C40" w:rsidRDefault="002557B7" w:rsidP="002557B7">
            <w:pPr>
              <w:jc w:val="both"/>
              <w:rPr>
                <w:rFonts w:eastAsia="Times New Roman" w:cstheme="minorHAnsi"/>
                <w:lang w:val="en-GB"/>
              </w:rPr>
            </w:pPr>
            <w:r w:rsidRPr="00DB0C40">
              <w:rPr>
                <w:rFonts w:eastAsia="Times New Roman" w:cstheme="minorHAnsi"/>
                <w:lang w:val="en-GB"/>
              </w:rPr>
              <w:t>18.5%</w:t>
            </w:r>
          </w:p>
        </w:tc>
        <w:tc>
          <w:tcPr>
            <w:tcW w:w="0" w:type="auto"/>
            <w:shd w:val="clear" w:color="auto" w:fill="FBE4D5" w:themeFill="accent2" w:themeFillTint="33"/>
          </w:tcPr>
          <w:p w14:paraId="41BAF7A9" w14:textId="77777777" w:rsidR="002557B7" w:rsidRPr="00DB0C40" w:rsidRDefault="002557B7" w:rsidP="002557B7">
            <w:pPr>
              <w:jc w:val="both"/>
              <w:rPr>
                <w:rFonts w:eastAsia="Times New Roman" w:cstheme="minorHAnsi"/>
                <w:lang w:val="en-GB"/>
              </w:rPr>
            </w:pPr>
            <w:r w:rsidRPr="00DB0C40">
              <w:rPr>
                <w:rFonts w:eastAsia="Times New Roman" w:cstheme="minorHAnsi"/>
                <w:lang w:val="en-GB"/>
              </w:rPr>
              <w:t>19.9%</w:t>
            </w:r>
          </w:p>
        </w:tc>
      </w:tr>
    </w:tbl>
    <w:p w14:paraId="11168878" w14:textId="77777777" w:rsidR="002557B7" w:rsidRPr="00DB0C40" w:rsidRDefault="002557B7" w:rsidP="002557B7">
      <w:pPr>
        <w:shd w:val="clear" w:color="auto" w:fill="FFFFFF"/>
        <w:jc w:val="both"/>
        <w:rPr>
          <w:rFonts w:asciiTheme="minorHAnsi" w:eastAsia="Times New Roman" w:hAnsiTheme="minorHAnsi" w:cstheme="minorHAnsi"/>
          <w:b/>
          <w:bCs/>
          <w:sz w:val="22"/>
          <w:szCs w:val="22"/>
        </w:rPr>
      </w:pPr>
    </w:p>
    <w:p w14:paraId="287E2B4D" w14:textId="48425455" w:rsidR="002557B7" w:rsidRPr="00DB0C40" w:rsidRDefault="002557B7" w:rsidP="002557B7">
      <w:pPr>
        <w:shd w:val="clear" w:color="auto" w:fill="FFFFFF"/>
        <w:jc w:val="center"/>
        <w:rPr>
          <w:rFonts w:asciiTheme="minorHAnsi" w:eastAsia="Times New Roman" w:hAnsiTheme="minorHAnsi" w:cstheme="minorHAnsi"/>
          <w:sz w:val="18"/>
          <w:szCs w:val="18"/>
        </w:rPr>
      </w:pPr>
      <w:r w:rsidRPr="00DB0C40">
        <w:rPr>
          <w:rFonts w:asciiTheme="minorHAnsi" w:eastAsia="Times New Roman" w:hAnsiTheme="minorHAnsi" w:cstheme="minorHAnsi"/>
          <w:sz w:val="18"/>
          <w:szCs w:val="18"/>
        </w:rPr>
        <w:t xml:space="preserve">Source: </w:t>
      </w:r>
      <w:proofErr w:type="spellStart"/>
      <w:r w:rsidRPr="00DB0C40">
        <w:rPr>
          <w:rFonts w:asciiTheme="minorHAnsi" w:eastAsia="Times New Roman" w:hAnsiTheme="minorHAnsi" w:cstheme="minorHAnsi"/>
          <w:sz w:val="18"/>
          <w:szCs w:val="18"/>
        </w:rPr>
        <w:t>T</w:t>
      </w:r>
      <w:r w:rsidR="00C2410D">
        <w:rPr>
          <w:rFonts w:asciiTheme="minorHAnsi" w:eastAsia="Times New Roman" w:hAnsiTheme="minorHAnsi" w:cstheme="minorHAnsi"/>
          <w:sz w:val="18"/>
          <w:szCs w:val="18"/>
        </w:rPr>
        <w:t>urkStat</w:t>
      </w:r>
      <w:proofErr w:type="spellEnd"/>
      <w:r w:rsidRPr="00DB0C40">
        <w:rPr>
          <w:rFonts w:asciiTheme="minorHAnsi" w:eastAsia="Times New Roman" w:hAnsiTheme="minorHAnsi" w:cstheme="minorHAnsi"/>
          <w:sz w:val="18"/>
          <w:szCs w:val="18"/>
        </w:rPr>
        <w:t>, Women in Statistics</w:t>
      </w:r>
      <w:r w:rsidR="00C2410D">
        <w:rPr>
          <w:rFonts w:asciiTheme="minorHAnsi" w:eastAsia="Times New Roman" w:hAnsiTheme="minorHAnsi" w:cstheme="minorHAnsi"/>
          <w:sz w:val="18"/>
          <w:szCs w:val="18"/>
        </w:rPr>
        <w:t xml:space="preserve"> (2019) (2021)</w:t>
      </w:r>
    </w:p>
    <w:p w14:paraId="0B4FFC4C" w14:textId="77777777" w:rsidR="002557B7" w:rsidRPr="00DB0C40" w:rsidRDefault="002557B7" w:rsidP="002557B7">
      <w:pPr>
        <w:shd w:val="clear" w:color="auto" w:fill="FFFFFF"/>
        <w:jc w:val="both"/>
        <w:rPr>
          <w:rFonts w:asciiTheme="minorHAnsi" w:eastAsia="Times New Roman" w:hAnsiTheme="minorHAnsi" w:cstheme="minorHAnsi"/>
          <w:sz w:val="22"/>
          <w:szCs w:val="22"/>
        </w:rPr>
      </w:pPr>
      <w:r w:rsidRPr="00DB0C40">
        <w:rPr>
          <w:rFonts w:asciiTheme="minorHAnsi" w:eastAsia="Times New Roman" w:hAnsiTheme="minorHAnsi" w:cstheme="minorHAnsi"/>
          <w:sz w:val="22"/>
          <w:szCs w:val="22"/>
        </w:rPr>
        <w:t> </w:t>
      </w:r>
    </w:p>
    <w:p w14:paraId="168EA27D" w14:textId="77777777" w:rsidR="002557B7" w:rsidRPr="00DB0C40" w:rsidRDefault="002557B7" w:rsidP="002557B7">
      <w:pPr>
        <w:spacing w:after="160" w:line="259" w:lineRule="auto"/>
        <w:rPr>
          <w:rFonts w:asciiTheme="minorHAnsi" w:eastAsiaTheme="minorHAnsi" w:hAnsiTheme="minorHAnsi" w:cstheme="minorHAnsi"/>
          <w:sz w:val="22"/>
          <w:szCs w:val="22"/>
        </w:rPr>
      </w:pPr>
    </w:p>
    <w:p w14:paraId="65994228" w14:textId="4AFA4D48" w:rsidR="004D78BE" w:rsidRPr="00CD2A61" w:rsidRDefault="002557B7">
      <w:pPr>
        <w:numPr>
          <w:ilvl w:val="2"/>
          <w:numId w:val="46"/>
        </w:numPr>
        <w:spacing w:after="160" w:line="259" w:lineRule="auto"/>
        <w:contextualSpacing/>
        <w:jc w:val="both"/>
        <w:rPr>
          <w:rFonts w:asciiTheme="majorHAnsi" w:eastAsiaTheme="majorEastAsia" w:hAnsiTheme="majorHAnsi" w:cstheme="majorBidi"/>
          <w:color w:val="1F3763" w:themeColor="accent1" w:themeShade="7F"/>
        </w:rPr>
      </w:pPr>
      <w:bookmarkStart w:id="124" w:name="_Hlk107139051"/>
      <w:bookmarkStart w:id="125" w:name="_Hlk106961874"/>
      <w:r w:rsidRPr="00CD2A61">
        <w:rPr>
          <w:rFonts w:asciiTheme="majorHAnsi" w:eastAsiaTheme="majorEastAsia" w:hAnsiTheme="majorHAnsi" w:cstheme="majorBidi"/>
          <w:color w:val="1F3763" w:themeColor="accent1" w:themeShade="7F"/>
        </w:rPr>
        <w:t>Information from ISKUR and Social Security Institution</w:t>
      </w:r>
    </w:p>
    <w:p w14:paraId="5F5DF507" w14:textId="77777777" w:rsidR="00A216BF" w:rsidRDefault="00A216BF" w:rsidP="007A7E2D">
      <w:pPr>
        <w:spacing w:after="160" w:line="259" w:lineRule="auto"/>
        <w:jc w:val="both"/>
        <w:rPr>
          <w:rFonts w:asciiTheme="minorHAnsi" w:eastAsiaTheme="minorHAnsi" w:hAnsiTheme="minorHAnsi" w:cstheme="minorHAnsi"/>
          <w:sz w:val="22"/>
          <w:szCs w:val="22"/>
        </w:rPr>
      </w:pPr>
    </w:p>
    <w:p w14:paraId="362EC86C" w14:textId="61DFBCE1" w:rsidR="004D78BE" w:rsidRPr="00DB0C40" w:rsidRDefault="004D78BE" w:rsidP="007A7E2D">
      <w:pPr>
        <w:spacing w:after="160" w:line="259" w:lineRule="auto"/>
        <w:jc w:val="both"/>
        <w:rPr>
          <w:rFonts w:asciiTheme="minorHAnsi" w:eastAsiaTheme="minorHAnsi" w:hAnsiTheme="minorHAnsi" w:cstheme="minorHAnsi"/>
          <w:sz w:val="22"/>
          <w:szCs w:val="22"/>
        </w:rPr>
      </w:pPr>
      <w:r w:rsidRPr="00DB0C40">
        <w:rPr>
          <w:rFonts w:asciiTheme="minorHAnsi" w:eastAsiaTheme="minorHAnsi" w:hAnsiTheme="minorHAnsi" w:cstheme="minorHAnsi"/>
          <w:sz w:val="22"/>
          <w:szCs w:val="22"/>
        </w:rPr>
        <w:t>ISKUR have</w:t>
      </w:r>
      <w:r w:rsidR="007A7E2D">
        <w:rPr>
          <w:rFonts w:asciiTheme="minorHAnsi" w:eastAsiaTheme="minorHAnsi" w:hAnsiTheme="minorHAnsi" w:cstheme="minorHAnsi"/>
          <w:sz w:val="22"/>
          <w:szCs w:val="22"/>
        </w:rPr>
        <w:t xml:space="preserve"> made an important contribution with their </w:t>
      </w:r>
      <w:r w:rsidRPr="00DB0C40">
        <w:rPr>
          <w:rFonts w:asciiTheme="minorHAnsi" w:eastAsiaTheme="minorHAnsi" w:hAnsiTheme="minorHAnsi" w:cstheme="minorHAnsi"/>
          <w:sz w:val="22"/>
          <w:szCs w:val="22"/>
        </w:rPr>
        <w:t>Study on the current situation of the use of Maternal Leave Rights, under the Articles 13 and 74 of the Labo</w:t>
      </w:r>
      <w:r w:rsidR="00AE67F2">
        <w:rPr>
          <w:rFonts w:asciiTheme="minorHAnsi" w:eastAsiaTheme="minorHAnsi" w:hAnsiTheme="minorHAnsi" w:cstheme="minorHAnsi"/>
          <w:sz w:val="22"/>
          <w:szCs w:val="22"/>
        </w:rPr>
        <w:t>u</w:t>
      </w:r>
      <w:r w:rsidRPr="00DB0C40">
        <w:rPr>
          <w:rFonts w:asciiTheme="minorHAnsi" w:eastAsiaTheme="minorHAnsi" w:hAnsiTheme="minorHAnsi" w:cstheme="minorHAnsi"/>
          <w:sz w:val="22"/>
          <w:szCs w:val="22"/>
        </w:rPr>
        <w:t>r Law No. 4857</w:t>
      </w:r>
    </w:p>
    <w:tbl>
      <w:tblPr>
        <w:tblStyle w:val="TableGrid"/>
        <w:tblW w:w="0" w:type="auto"/>
        <w:tblLook w:val="04A0" w:firstRow="1" w:lastRow="0" w:firstColumn="1" w:lastColumn="0" w:noHBand="0" w:noVBand="1"/>
      </w:tblPr>
      <w:tblGrid>
        <w:gridCol w:w="4620"/>
        <w:gridCol w:w="4867"/>
      </w:tblGrid>
      <w:tr w:rsidR="004D78BE" w:rsidRPr="00DB0C40" w14:paraId="04A1F343" w14:textId="77777777" w:rsidTr="008024A4">
        <w:tc>
          <w:tcPr>
            <w:tcW w:w="0" w:type="auto"/>
            <w:shd w:val="clear" w:color="auto" w:fill="D9E2F3" w:themeFill="accent1" w:themeFillTint="33"/>
          </w:tcPr>
          <w:p w14:paraId="3232D1A9" w14:textId="5DD0A5B4" w:rsidR="004D78BE" w:rsidRPr="00BF6983" w:rsidRDefault="00AE67F2" w:rsidP="0072176B">
            <w:pPr>
              <w:spacing w:after="160" w:line="259" w:lineRule="auto"/>
              <w:jc w:val="center"/>
              <w:rPr>
                <w:rFonts w:asciiTheme="minorHAnsi" w:eastAsiaTheme="minorHAnsi" w:hAnsiTheme="minorHAnsi" w:cstheme="minorHAnsi"/>
                <w:b/>
                <w:bCs/>
                <w:sz w:val="20"/>
                <w:szCs w:val="20"/>
              </w:rPr>
            </w:pPr>
            <w:r w:rsidRPr="00BF6983">
              <w:rPr>
                <w:rFonts w:asciiTheme="minorHAnsi" w:eastAsiaTheme="minorHAnsi" w:hAnsiTheme="minorHAnsi" w:cstheme="minorHAnsi"/>
                <w:b/>
                <w:bCs/>
                <w:sz w:val="20"/>
                <w:szCs w:val="20"/>
              </w:rPr>
              <w:t>LABOUR</w:t>
            </w:r>
            <w:r w:rsidR="004D78BE" w:rsidRPr="00BF6983">
              <w:rPr>
                <w:rFonts w:asciiTheme="minorHAnsi" w:eastAsiaTheme="minorHAnsi" w:hAnsiTheme="minorHAnsi" w:cstheme="minorHAnsi"/>
                <w:b/>
                <w:bCs/>
                <w:sz w:val="20"/>
                <w:szCs w:val="20"/>
              </w:rPr>
              <w:t xml:space="preserve"> LAW NO 4877</w:t>
            </w:r>
          </w:p>
          <w:p w14:paraId="7EEB91F1" w14:textId="77777777" w:rsidR="004D78BE" w:rsidRPr="00BF6983" w:rsidRDefault="004D78BE" w:rsidP="004D78BE">
            <w:pPr>
              <w:spacing w:after="160" w:line="259" w:lineRule="auto"/>
              <w:rPr>
                <w:rFonts w:asciiTheme="minorHAnsi" w:eastAsiaTheme="minorHAnsi" w:hAnsiTheme="minorHAnsi" w:cstheme="minorHAnsi"/>
                <w:sz w:val="20"/>
                <w:szCs w:val="20"/>
              </w:rPr>
            </w:pPr>
          </w:p>
        </w:tc>
        <w:tc>
          <w:tcPr>
            <w:tcW w:w="0" w:type="auto"/>
            <w:shd w:val="clear" w:color="auto" w:fill="D9E2F3" w:themeFill="accent1" w:themeFillTint="33"/>
          </w:tcPr>
          <w:p w14:paraId="4EE11BF5" w14:textId="77777777" w:rsidR="004D78BE" w:rsidRPr="00BF6983" w:rsidRDefault="004D78BE" w:rsidP="0072176B">
            <w:pPr>
              <w:spacing w:after="160" w:line="259" w:lineRule="auto"/>
              <w:jc w:val="center"/>
              <w:rPr>
                <w:rFonts w:asciiTheme="minorHAnsi" w:eastAsiaTheme="minorHAnsi" w:hAnsiTheme="minorHAnsi" w:cstheme="minorHAnsi"/>
                <w:b/>
                <w:bCs/>
                <w:sz w:val="20"/>
                <w:szCs w:val="20"/>
              </w:rPr>
            </w:pPr>
            <w:r w:rsidRPr="00BF6983">
              <w:rPr>
                <w:rFonts w:asciiTheme="minorHAnsi" w:eastAsiaTheme="minorHAnsi" w:hAnsiTheme="minorHAnsi" w:cstheme="minorHAnsi"/>
                <w:b/>
                <w:bCs/>
                <w:sz w:val="20"/>
                <w:szCs w:val="20"/>
              </w:rPr>
              <w:t>İŞKUR</w:t>
            </w:r>
          </w:p>
          <w:p w14:paraId="2CFA63BE" w14:textId="77777777" w:rsidR="004D78BE" w:rsidRPr="00BF6983" w:rsidRDefault="004D78BE" w:rsidP="0072176B">
            <w:pPr>
              <w:spacing w:after="160" w:line="259" w:lineRule="auto"/>
              <w:jc w:val="center"/>
              <w:rPr>
                <w:rFonts w:asciiTheme="minorHAnsi" w:eastAsiaTheme="minorHAnsi" w:hAnsiTheme="minorHAnsi" w:cstheme="minorHAnsi"/>
                <w:b/>
                <w:bCs/>
                <w:sz w:val="20"/>
                <w:szCs w:val="20"/>
              </w:rPr>
            </w:pPr>
            <w:r w:rsidRPr="00BF6983">
              <w:rPr>
                <w:rFonts w:asciiTheme="minorHAnsi" w:eastAsiaTheme="minorHAnsi" w:hAnsiTheme="minorHAnsi" w:cstheme="minorHAnsi"/>
                <w:b/>
                <w:bCs/>
                <w:sz w:val="20"/>
                <w:szCs w:val="20"/>
              </w:rPr>
              <w:t>CURRENT STATUS DESCRIPTION</w:t>
            </w:r>
          </w:p>
          <w:p w14:paraId="2E4ABF84" w14:textId="7FFBBA10" w:rsidR="004D78BE" w:rsidRPr="00BF6983" w:rsidRDefault="004D78BE" w:rsidP="0072176B">
            <w:pPr>
              <w:spacing w:after="160" w:line="259" w:lineRule="auto"/>
              <w:jc w:val="center"/>
              <w:rPr>
                <w:rFonts w:asciiTheme="minorHAnsi" w:eastAsiaTheme="minorHAnsi" w:hAnsiTheme="minorHAnsi" w:cstheme="minorHAnsi"/>
                <w:sz w:val="20"/>
                <w:szCs w:val="20"/>
              </w:rPr>
            </w:pPr>
            <w:r w:rsidRPr="00BF6983">
              <w:rPr>
                <w:rFonts w:asciiTheme="minorHAnsi" w:eastAsiaTheme="minorHAnsi" w:hAnsiTheme="minorHAnsi" w:cstheme="minorHAnsi"/>
                <w:b/>
                <w:bCs/>
                <w:sz w:val="20"/>
                <w:szCs w:val="20"/>
              </w:rPr>
              <w:t>(2015-2022 Period)</w:t>
            </w:r>
          </w:p>
        </w:tc>
      </w:tr>
      <w:tr w:rsidR="004D78BE" w:rsidRPr="00DB0C40" w14:paraId="74A59C1D" w14:textId="77777777" w:rsidTr="008024A4">
        <w:tc>
          <w:tcPr>
            <w:tcW w:w="0" w:type="auto"/>
            <w:shd w:val="clear" w:color="auto" w:fill="FBE4D5" w:themeFill="accent2" w:themeFillTint="33"/>
          </w:tcPr>
          <w:p w14:paraId="66DF4CAE" w14:textId="77777777" w:rsidR="004D78BE" w:rsidRPr="00BF6983" w:rsidRDefault="004D78BE"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Article 13 of the Law, one of the parents benefiting from the right to work part-time until the beginning of the month following the start of the compulsory primary education age following the expiry of the permits stipulated in the Article 74 of the Law (number of women and men benefiting)</w:t>
            </w:r>
          </w:p>
          <w:p w14:paraId="53FE0FAE" w14:textId="47A6D8FD" w:rsidR="00D93C96" w:rsidRPr="00BF6983" w:rsidRDefault="00D93C96" w:rsidP="00D93C96">
            <w:pPr>
              <w:spacing w:after="160" w:line="259" w:lineRule="auto"/>
              <w:jc w:val="both"/>
              <w:rPr>
                <w:rFonts w:asciiTheme="minorHAnsi" w:eastAsiaTheme="minorHAnsi" w:hAnsiTheme="minorHAnsi" w:cstheme="minorHAnsi"/>
                <w:sz w:val="20"/>
                <w:szCs w:val="20"/>
              </w:rPr>
            </w:pPr>
          </w:p>
        </w:tc>
        <w:tc>
          <w:tcPr>
            <w:tcW w:w="0" w:type="auto"/>
            <w:shd w:val="clear" w:color="auto" w:fill="FBE4D5" w:themeFill="accent2" w:themeFillTint="33"/>
          </w:tcPr>
          <w:p w14:paraId="54AC64D8" w14:textId="77777777" w:rsidR="004D78BE" w:rsidRPr="00BF6983" w:rsidRDefault="004D78BE" w:rsidP="008024A4">
            <w:pPr>
              <w:spacing w:after="160" w:line="259" w:lineRule="auto"/>
              <w:jc w:val="both"/>
              <w:rPr>
                <w:rFonts w:asciiTheme="minorHAnsi" w:eastAsiaTheme="minorHAnsi" w:hAnsiTheme="minorHAnsi" w:cstheme="minorHAnsi"/>
                <w:sz w:val="20"/>
                <w:szCs w:val="20"/>
              </w:rPr>
            </w:pPr>
          </w:p>
        </w:tc>
      </w:tr>
      <w:tr w:rsidR="004D78BE" w:rsidRPr="00DB0C40" w14:paraId="040CABCD" w14:textId="77777777" w:rsidTr="008024A4">
        <w:tc>
          <w:tcPr>
            <w:tcW w:w="0" w:type="auto"/>
            <w:shd w:val="clear" w:color="auto" w:fill="FBE4D5" w:themeFill="accent2" w:themeFillTint="33"/>
          </w:tcPr>
          <w:p w14:paraId="10630916" w14:textId="3096FE46" w:rsidR="004D78BE" w:rsidRPr="00BF6983" w:rsidRDefault="004D78BE"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Article 74 of the Law, in case the mother dies at birth or after birth, allowing the father to use the periods that the mother cannot use after the birth (number of beneficiaries)</w:t>
            </w:r>
          </w:p>
        </w:tc>
        <w:tc>
          <w:tcPr>
            <w:tcW w:w="0" w:type="auto"/>
            <w:shd w:val="clear" w:color="auto" w:fill="FBE4D5" w:themeFill="accent2" w:themeFillTint="33"/>
          </w:tcPr>
          <w:p w14:paraId="426050E8" w14:textId="77777777" w:rsidR="004D78BE" w:rsidRPr="00BF6983" w:rsidRDefault="004D78BE" w:rsidP="008024A4">
            <w:pPr>
              <w:spacing w:after="160" w:line="259" w:lineRule="auto"/>
              <w:jc w:val="both"/>
              <w:rPr>
                <w:rFonts w:asciiTheme="minorHAnsi" w:eastAsiaTheme="minorHAnsi" w:hAnsiTheme="minorHAnsi" w:cstheme="minorHAnsi"/>
                <w:sz w:val="20"/>
                <w:szCs w:val="20"/>
              </w:rPr>
            </w:pPr>
          </w:p>
        </w:tc>
      </w:tr>
      <w:tr w:rsidR="004D78BE" w:rsidRPr="00DB0C40" w14:paraId="63C42411" w14:textId="77777777" w:rsidTr="008024A4">
        <w:tc>
          <w:tcPr>
            <w:tcW w:w="0" w:type="auto"/>
            <w:shd w:val="clear" w:color="auto" w:fill="FBE4D5" w:themeFill="accent2" w:themeFillTint="33"/>
          </w:tcPr>
          <w:p w14:paraId="752790F1" w14:textId="2BA57F00" w:rsidR="004D78BE" w:rsidRPr="00BF6983" w:rsidRDefault="004D78BE" w:rsidP="00D93C96">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Article 74 of the Law, one of the spouses or adopters of a child who has not completed the age of three is given maternity leave for eight weeks from the date the child is actually delivered to the family (number of beneficiary women and men)</w:t>
            </w:r>
            <w:r w:rsidR="00D93C96" w:rsidRPr="00BF6983">
              <w:rPr>
                <w:rFonts w:asciiTheme="minorHAnsi" w:eastAsiaTheme="minorHAnsi" w:hAnsiTheme="minorHAnsi" w:cstheme="minorHAnsi"/>
                <w:sz w:val="20"/>
                <w:szCs w:val="20"/>
              </w:rPr>
              <w:t xml:space="preserve"> </w:t>
            </w:r>
          </w:p>
        </w:tc>
        <w:tc>
          <w:tcPr>
            <w:tcW w:w="0" w:type="auto"/>
            <w:shd w:val="clear" w:color="auto" w:fill="FBE4D5" w:themeFill="accent2" w:themeFillTint="33"/>
          </w:tcPr>
          <w:p w14:paraId="09F0539B" w14:textId="77777777" w:rsidR="004D78BE" w:rsidRPr="00BF6983" w:rsidRDefault="004D78BE" w:rsidP="008024A4">
            <w:pPr>
              <w:spacing w:after="160" w:line="259" w:lineRule="auto"/>
              <w:jc w:val="both"/>
              <w:rPr>
                <w:rFonts w:asciiTheme="minorHAnsi" w:eastAsiaTheme="minorHAnsi" w:hAnsiTheme="minorHAnsi" w:cstheme="minorHAnsi"/>
                <w:sz w:val="20"/>
                <w:szCs w:val="20"/>
              </w:rPr>
            </w:pPr>
          </w:p>
        </w:tc>
      </w:tr>
      <w:tr w:rsidR="004D78BE" w:rsidRPr="00DB0C40" w14:paraId="27B994F8" w14:textId="77777777" w:rsidTr="008024A4">
        <w:tc>
          <w:tcPr>
            <w:tcW w:w="0" w:type="auto"/>
            <w:shd w:val="clear" w:color="auto" w:fill="FBE4D5" w:themeFill="accent2" w:themeFillTint="33"/>
          </w:tcPr>
          <w:p w14:paraId="4D023084" w14:textId="65F576A0" w:rsidR="004D78BE" w:rsidRPr="00BF6983" w:rsidRDefault="00F03CE5"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Article 74 of the La</w:t>
            </w:r>
            <w:r w:rsidR="00D93026">
              <w:rPr>
                <w:rFonts w:asciiTheme="minorHAnsi" w:eastAsiaTheme="minorHAnsi" w:hAnsiTheme="minorHAnsi" w:cstheme="minorHAnsi"/>
                <w:sz w:val="20"/>
                <w:szCs w:val="20"/>
              </w:rPr>
              <w:t>bour Law</w:t>
            </w:r>
            <w:r w:rsidRPr="00BF6983">
              <w:rPr>
                <w:rFonts w:asciiTheme="minorHAnsi" w:eastAsiaTheme="minorHAnsi" w:hAnsiTheme="minorHAnsi" w:cstheme="minorHAnsi"/>
                <w:sz w:val="20"/>
                <w:szCs w:val="20"/>
              </w:rPr>
              <w:t>, sixty days for the first birth, one hundred and twenty days for the second birth, for the purpose of caring for and raising her child after the end of the postpartum maternity leave and on condition that the child is alive, upon their request.</w:t>
            </w:r>
          </w:p>
          <w:p w14:paraId="76A89A4E" w14:textId="0854DD3A" w:rsidR="00B9007C" w:rsidRPr="00BF6983" w:rsidRDefault="00B9007C"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lastRenderedPageBreak/>
              <w:t>One hundred and eighty days, half of the weekly working time (number of women benefiting depending on the number of children)</w:t>
            </w:r>
          </w:p>
        </w:tc>
        <w:tc>
          <w:tcPr>
            <w:tcW w:w="0" w:type="auto"/>
            <w:shd w:val="clear" w:color="auto" w:fill="FBE4D5" w:themeFill="accent2" w:themeFillTint="33"/>
          </w:tcPr>
          <w:p w14:paraId="1BEABCE6" w14:textId="07BE9DCB" w:rsidR="00F03CE5" w:rsidRPr="00BF6983" w:rsidRDefault="00B9007C"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lastRenderedPageBreak/>
              <w:t>T</w:t>
            </w:r>
            <w:r w:rsidR="00F03CE5" w:rsidRPr="00BF6983">
              <w:rPr>
                <w:rFonts w:asciiTheme="minorHAnsi" w:eastAsiaTheme="minorHAnsi" w:hAnsiTheme="minorHAnsi" w:cstheme="minorHAnsi"/>
                <w:sz w:val="20"/>
                <w:szCs w:val="20"/>
              </w:rPr>
              <w:t>he number of women who benefit from the unpaid leave periods given to the female worker, upon their request, for the care and upbringing of their child after the end of the postpartum maternity leave, and on the condition that the child is alive, is requested.</w:t>
            </w:r>
          </w:p>
          <w:p w14:paraId="175D8C3D" w14:textId="77777777" w:rsidR="00F03CE5" w:rsidRPr="00BF6983" w:rsidRDefault="00F03CE5" w:rsidP="008024A4">
            <w:pPr>
              <w:spacing w:after="160" w:line="259" w:lineRule="auto"/>
              <w:jc w:val="both"/>
              <w:rPr>
                <w:rFonts w:asciiTheme="minorHAnsi" w:eastAsiaTheme="minorHAnsi" w:hAnsiTheme="minorHAnsi" w:cstheme="minorHAnsi"/>
                <w:sz w:val="20"/>
                <w:szCs w:val="20"/>
              </w:rPr>
            </w:pPr>
          </w:p>
          <w:p w14:paraId="7AD9BAFA" w14:textId="2A0B0A9F" w:rsidR="00F03CE5" w:rsidRPr="00BF6983" w:rsidRDefault="00B9007C"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lastRenderedPageBreak/>
              <w:t>S</w:t>
            </w:r>
            <w:r w:rsidR="00F03CE5" w:rsidRPr="00BF6983">
              <w:rPr>
                <w:rFonts w:asciiTheme="minorHAnsi" w:eastAsiaTheme="minorHAnsi" w:hAnsiTheme="minorHAnsi" w:cstheme="minorHAnsi"/>
                <w:sz w:val="20"/>
                <w:szCs w:val="20"/>
              </w:rPr>
              <w:t xml:space="preserve">cope of Additional Article 5 of the Unemployment Insurance Law No. 4447, </w:t>
            </w:r>
            <w:r w:rsidRPr="00BF6983">
              <w:rPr>
                <w:rFonts w:asciiTheme="minorHAnsi" w:eastAsiaTheme="minorHAnsi" w:hAnsiTheme="minorHAnsi" w:cstheme="minorHAnsi"/>
                <w:sz w:val="20"/>
                <w:szCs w:val="20"/>
              </w:rPr>
              <w:t>ISKUR</w:t>
            </w:r>
            <w:r w:rsidR="00F03CE5" w:rsidRPr="00BF6983">
              <w:rPr>
                <w:rFonts w:asciiTheme="minorHAnsi" w:eastAsiaTheme="minorHAnsi" w:hAnsiTheme="minorHAnsi" w:cstheme="minorHAnsi"/>
                <w:sz w:val="20"/>
                <w:szCs w:val="20"/>
              </w:rPr>
              <w:t xml:space="preserve"> pays half-time work allowance after birth and adoption to the insurance holders who apply to our Institution and meet the premium payment conditions, during the said leave periods. Therefore, our Institution does not have the information of all persons who are granted unpaid leave within the scope of the second paragraph of Article 74 of the Law No. 4857.</w:t>
            </w:r>
          </w:p>
          <w:p w14:paraId="0DE6F937" w14:textId="77777777" w:rsidR="00F03CE5" w:rsidRPr="00BF6983" w:rsidRDefault="00F03CE5" w:rsidP="008024A4">
            <w:pPr>
              <w:spacing w:after="160" w:line="259" w:lineRule="auto"/>
              <w:jc w:val="both"/>
              <w:rPr>
                <w:rFonts w:asciiTheme="minorHAnsi" w:eastAsiaTheme="minorHAnsi" w:hAnsiTheme="minorHAnsi" w:cstheme="minorHAnsi"/>
                <w:sz w:val="20"/>
                <w:szCs w:val="20"/>
              </w:rPr>
            </w:pPr>
          </w:p>
          <w:p w14:paraId="70F37823" w14:textId="77777777" w:rsidR="00F03CE5" w:rsidRPr="00BF6983" w:rsidRDefault="00F03CE5"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However, from February 2016, when the implementation started, until the end of May 2022, from a total of 36,713 people who were entitled to half-time work allowance from our Institution and were given unpaid leave, equal to half of the weekly working time, within the scope of 74/2;</w:t>
            </w:r>
          </w:p>
          <w:p w14:paraId="4754C9A8" w14:textId="587D3FA9" w:rsidR="00F03CE5" w:rsidRPr="00BF6983" w:rsidRDefault="00F03CE5">
            <w:pPr>
              <w:numPr>
                <w:ilvl w:val="0"/>
                <w:numId w:val="47"/>
              </w:num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16</w:t>
            </w:r>
            <w:r w:rsidR="00B9007C" w:rsidRPr="00BF6983">
              <w:rPr>
                <w:rFonts w:asciiTheme="minorHAnsi" w:eastAsiaTheme="minorHAnsi" w:hAnsiTheme="minorHAnsi" w:cstheme="minorHAnsi"/>
                <w:sz w:val="20"/>
                <w:szCs w:val="20"/>
              </w:rPr>
              <w:t>,</w:t>
            </w:r>
            <w:r w:rsidRPr="00BF6983">
              <w:rPr>
                <w:rFonts w:asciiTheme="minorHAnsi" w:eastAsiaTheme="minorHAnsi" w:hAnsiTheme="minorHAnsi" w:cstheme="minorHAnsi"/>
                <w:sz w:val="20"/>
                <w:szCs w:val="20"/>
              </w:rPr>
              <w:t>375 people first born,</w:t>
            </w:r>
          </w:p>
          <w:p w14:paraId="1AC8FE16" w14:textId="430BCB5A" w:rsidR="00F03CE5" w:rsidRPr="00BF6983" w:rsidRDefault="00F03CE5">
            <w:pPr>
              <w:numPr>
                <w:ilvl w:val="0"/>
                <w:numId w:val="47"/>
              </w:num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15</w:t>
            </w:r>
            <w:r w:rsidR="00B9007C" w:rsidRPr="00BF6983">
              <w:rPr>
                <w:rFonts w:asciiTheme="minorHAnsi" w:eastAsiaTheme="minorHAnsi" w:hAnsiTheme="minorHAnsi" w:cstheme="minorHAnsi"/>
                <w:sz w:val="20"/>
                <w:szCs w:val="20"/>
              </w:rPr>
              <w:t>,</w:t>
            </w:r>
            <w:r w:rsidRPr="00BF6983">
              <w:rPr>
                <w:rFonts w:asciiTheme="minorHAnsi" w:eastAsiaTheme="minorHAnsi" w:hAnsiTheme="minorHAnsi" w:cstheme="minorHAnsi"/>
                <w:sz w:val="20"/>
                <w:szCs w:val="20"/>
              </w:rPr>
              <w:t>464 people second birth,</w:t>
            </w:r>
          </w:p>
          <w:p w14:paraId="2BC8537B" w14:textId="47C9CB79" w:rsidR="00F03CE5" w:rsidRPr="00BF6983" w:rsidRDefault="00F03CE5">
            <w:pPr>
              <w:numPr>
                <w:ilvl w:val="0"/>
                <w:numId w:val="47"/>
              </w:num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4</w:t>
            </w:r>
            <w:r w:rsidR="00B9007C" w:rsidRPr="00BF6983">
              <w:rPr>
                <w:rFonts w:asciiTheme="minorHAnsi" w:eastAsiaTheme="minorHAnsi" w:hAnsiTheme="minorHAnsi" w:cstheme="minorHAnsi"/>
                <w:sz w:val="20"/>
                <w:szCs w:val="20"/>
              </w:rPr>
              <w:t>,</w:t>
            </w:r>
            <w:r w:rsidRPr="00BF6983">
              <w:rPr>
                <w:rFonts w:asciiTheme="minorHAnsi" w:eastAsiaTheme="minorHAnsi" w:hAnsiTheme="minorHAnsi" w:cstheme="minorHAnsi"/>
                <w:sz w:val="20"/>
                <w:szCs w:val="20"/>
              </w:rPr>
              <w:t>874 people have three or more births,</w:t>
            </w:r>
          </w:p>
          <w:p w14:paraId="3F376615" w14:textId="77777777" w:rsidR="00F03CE5" w:rsidRPr="00BF6983" w:rsidRDefault="00F03CE5"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 xml:space="preserve">benefited from the grant. All of the eligible persons are female employees.  </w:t>
            </w:r>
          </w:p>
          <w:p w14:paraId="3D34A563" w14:textId="77777777" w:rsidR="004D78BE" w:rsidRPr="00BF6983" w:rsidRDefault="004D78BE" w:rsidP="008024A4">
            <w:pPr>
              <w:spacing w:after="160" w:line="259" w:lineRule="auto"/>
              <w:jc w:val="both"/>
              <w:rPr>
                <w:rFonts w:asciiTheme="minorHAnsi" w:eastAsiaTheme="minorHAnsi" w:hAnsiTheme="minorHAnsi" w:cstheme="minorHAnsi"/>
                <w:sz w:val="20"/>
                <w:szCs w:val="20"/>
              </w:rPr>
            </w:pPr>
          </w:p>
        </w:tc>
      </w:tr>
      <w:tr w:rsidR="004D78BE" w:rsidRPr="00DB0C40" w14:paraId="1F44FC55" w14:textId="77777777" w:rsidTr="008024A4">
        <w:tc>
          <w:tcPr>
            <w:tcW w:w="0" w:type="auto"/>
            <w:shd w:val="clear" w:color="auto" w:fill="FBE4D5" w:themeFill="accent2" w:themeFillTint="33"/>
          </w:tcPr>
          <w:p w14:paraId="30E89D84" w14:textId="77777777" w:rsidR="004D78BE" w:rsidRPr="00BF6983" w:rsidRDefault="00F03CE5"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lastRenderedPageBreak/>
              <w:t>Article 74 of the Law , after the end of the postpartum maternity leave, women or men who adopt a child for the purpose of caring for and raising their child and on condition that the child is alive, are given weekly for sixty days for the first birth, one hundred and twenty days for the second birth, and one hundred and eighty days for the following births, upon their request. unpaid leave for half of the working time (number of men and women benefiting)</w:t>
            </w:r>
          </w:p>
          <w:p w14:paraId="780E8C93" w14:textId="5FA8F84E" w:rsidR="00D93C96" w:rsidRPr="00BF6983" w:rsidRDefault="00D93C96" w:rsidP="008024A4">
            <w:pPr>
              <w:spacing w:after="160" w:line="259" w:lineRule="auto"/>
              <w:jc w:val="both"/>
              <w:rPr>
                <w:rFonts w:asciiTheme="minorHAnsi" w:eastAsiaTheme="minorHAnsi" w:hAnsiTheme="minorHAnsi" w:cstheme="minorHAnsi"/>
                <w:sz w:val="20"/>
                <w:szCs w:val="20"/>
              </w:rPr>
            </w:pPr>
          </w:p>
        </w:tc>
        <w:tc>
          <w:tcPr>
            <w:tcW w:w="0" w:type="auto"/>
            <w:shd w:val="clear" w:color="auto" w:fill="FBE4D5" w:themeFill="accent2" w:themeFillTint="33"/>
          </w:tcPr>
          <w:p w14:paraId="69D5512D" w14:textId="7B7747D1" w:rsidR="00B9007C" w:rsidRPr="00BF6983" w:rsidRDefault="00B9007C"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The number of women who benefit from the unpaid leave periods given to the female worker, upon their request, for the care and upbringing of their child after the end of the postpartum maternity leave, and on the condition that the child is alive, is requested.</w:t>
            </w:r>
          </w:p>
          <w:p w14:paraId="37982B40" w14:textId="77777777" w:rsidR="00B9007C" w:rsidRPr="00BF6983" w:rsidRDefault="00B9007C" w:rsidP="008024A4">
            <w:pPr>
              <w:spacing w:after="160" w:line="259" w:lineRule="auto"/>
              <w:jc w:val="both"/>
              <w:rPr>
                <w:rFonts w:asciiTheme="minorHAnsi" w:eastAsiaTheme="minorHAnsi" w:hAnsiTheme="minorHAnsi" w:cstheme="minorHAnsi"/>
                <w:sz w:val="20"/>
                <w:szCs w:val="20"/>
              </w:rPr>
            </w:pPr>
          </w:p>
          <w:p w14:paraId="63C01269" w14:textId="572AD5EE" w:rsidR="00B9007C" w:rsidRPr="00BF6983" w:rsidRDefault="00B9007C"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 xml:space="preserve">Within the scope of Additional Article 5 of the Unemployment Insurance Law No. 4447, </w:t>
            </w:r>
            <w:r w:rsidR="008024A4" w:rsidRPr="00BF6983">
              <w:rPr>
                <w:rFonts w:asciiTheme="minorHAnsi" w:eastAsiaTheme="minorHAnsi" w:hAnsiTheme="minorHAnsi" w:cstheme="minorHAnsi"/>
                <w:sz w:val="20"/>
                <w:szCs w:val="20"/>
              </w:rPr>
              <w:t>ISKUR</w:t>
            </w:r>
            <w:r w:rsidRPr="00BF6983">
              <w:rPr>
                <w:rFonts w:asciiTheme="minorHAnsi" w:eastAsiaTheme="minorHAnsi" w:hAnsiTheme="minorHAnsi" w:cstheme="minorHAnsi"/>
                <w:sz w:val="20"/>
                <w:szCs w:val="20"/>
              </w:rPr>
              <w:t xml:space="preserve"> pays half-time work allowance after birth and adoption to the insurance holders who apply to </w:t>
            </w:r>
            <w:r w:rsidR="008024A4" w:rsidRPr="00BF6983">
              <w:rPr>
                <w:rFonts w:asciiTheme="minorHAnsi" w:eastAsiaTheme="minorHAnsi" w:hAnsiTheme="minorHAnsi" w:cstheme="minorHAnsi"/>
                <w:sz w:val="20"/>
                <w:szCs w:val="20"/>
              </w:rPr>
              <w:t xml:space="preserve">ISKUR </w:t>
            </w:r>
            <w:r w:rsidRPr="00BF6983">
              <w:rPr>
                <w:rFonts w:asciiTheme="minorHAnsi" w:eastAsiaTheme="minorHAnsi" w:hAnsiTheme="minorHAnsi" w:cstheme="minorHAnsi"/>
                <w:sz w:val="20"/>
                <w:szCs w:val="20"/>
              </w:rPr>
              <w:t>and meet the premium payment conditions, during the said leave periods. Therefore, since the information of all persons granted unpaid leave within the scope of the second paragraph of Article 74 of the Law No. 4857 is not available in</w:t>
            </w:r>
            <w:r w:rsidR="008024A4" w:rsidRPr="00BF6983">
              <w:rPr>
                <w:rFonts w:asciiTheme="minorHAnsi" w:eastAsiaTheme="minorHAnsi" w:hAnsiTheme="minorHAnsi" w:cstheme="minorHAnsi"/>
                <w:sz w:val="20"/>
                <w:szCs w:val="20"/>
              </w:rPr>
              <w:t xml:space="preserve"> ISKUR</w:t>
            </w:r>
            <w:r w:rsidRPr="00BF6983">
              <w:rPr>
                <w:rFonts w:asciiTheme="minorHAnsi" w:eastAsiaTheme="minorHAnsi" w:hAnsiTheme="minorHAnsi" w:cstheme="minorHAnsi"/>
                <w:sz w:val="20"/>
                <w:szCs w:val="20"/>
              </w:rPr>
              <w:t>, the information of the persons entitled to half-time work allowance within the scope of additional article 5 of the Law No. 4447</w:t>
            </w:r>
            <w:r w:rsidR="008024A4" w:rsidRPr="00BF6983">
              <w:rPr>
                <w:rFonts w:asciiTheme="minorHAnsi" w:eastAsiaTheme="minorHAnsi" w:hAnsiTheme="minorHAnsi" w:cstheme="minorHAnsi"/>
                <w:sz w:val="20"/>
                <w:szCs w:val="20"/>
              </w:rPr>
              <w:t xml:space="preserve"> is the following:</w:t>
            </w:r>
            <w:r w:rsidRPr="00BF6983">
              <w:rPr>
                <w:rFonts w:asciiTheme="minorHAnsi" w:eastAsiaTheme="minorHAnsi" w:hAnsiTheme="minorHAnsi" w:cstheme="minorHAnsi"/>
                <w:sz w:val="20"/>
                <w:szCs w:val="20"/>
              </w:rPr>
              <w:t xml:space="preserve"> </w:t>
            </w:r>
          </w:p>
          <w:p w14:paraId="5A8F3004" w14:textId="77777777" w:rsidR="00B9007C" w:rsidRPr="00BF6983" w:rsidRDefault="00B9007C" w:rsidP="008024A4">
            <w:pPr>
              <w:spacing w:after="160" w:line="259" w:lineRule="auto"/>
              <w:jc w:val="both"/>
              <w:rPr>
                <w:rFonts w:asciiTheme="minorHAnsi" w:eastAsiaTheme="minorHAnsi" w:hAnsiTheme="minorHAnsi" w:cstheme="minorHAnsi"/>
                <w:sz w:val="20"/>
                <w:szCs w:val="20"/>
              </w:rPr>
            </w:pPr>
          </w:p>
          <w:p w14:paraId="6133E780" w14:textId="538F8076" w:rsidR="004D78BE" w:rsidRPr="00BF6983" w:rsidRDefault="00B9007C"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lastRenderedPageBreak/>
              <w:t>From February 2016, when the implementation started, until the end of May 2022, all of the people who were granted unpaid leave equal to half of the weekly working time within the scope of 74/2 and who were entitled to receive half-time work allowance from our Institution were female employees.</w:t>
            </w:r>
          </w:p>
        </w:tc>
      </w:tr>
      <w:tr w:rsidR="004D78BE" w:rsidRPr="00DB0C40" w14:paraId="011C8CA3" w14:textId="77777777" w:rsidTr="008024A4">
        <w:tc>
          <w:tcPr>
            <w:tcW w:w="0" w:type="auto"/>
            <w:shd w:val="clear" w:color="auto" w:fill="FBE4D5" w:themeFill="accent2" w:themeFillTint="33"/>
          </w:tcPr>
          <w:p w14:paraId="349112C2" w14:textId="137A03F4" w:rsidR="004D78BE" w:rsidRPr="00BF6983" w:rsidRDefault="00F03CE5"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lastRenderedPageBreak/>
              <w:t>Adding thirty days to the periods specified in case of multiple births within the scope of paragraph 2 of Article 74 of the Law (number of beneficiary women)</w:t>
            </w:r>
          </w:p>
        </w:tc>
        <w:tc>
          <w:tcPr>
            <w:tcW w:w="0" w:type="auto"/>
            <w:shd w:val="clear" w:color="auto" w:fill="FBE4D5" w:themeFill="accent2" w:themeFillTint="33"/>
          </w:tcPr>
          <w:p w14:paraId="18116424" w14:textId="250E9DE5" w:rsidR="00B9007C" w:rsidRPr="00BF6983" w:rsidRDefault="00B9007C"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The number of women who benefit from the unpaid leave periods given to the female worker, upon their reques</w:t>
            </w:r>
            <w:r w:rsidR="00372C2F">
              <w:rPr>
                <w:rFonts w:asciiTheme="minorHAnsi" w:eastAsiaTheme="minorHAnsi" w:hAnsiTheme="minorHAnsi" w:cstheme="minorHAnsi"/>
                <w:sz w:val="20"/>
                <w:szCs w:val="20"/>
              </w:rPr>
              <w:t>t</w:t>
            </w:r>
            <w:r w:rsidRPr="00BF6983">
              <w:rPr>
                <w:rFonts w:asciiTheme="minorHAnsi" w:eastAsiaTheme="minorHAnsi" w:hAnsiTheme="minorHAnsi" w:cstheme="minorHAnsi"/>
                <w:sz w:val="20"/>
                <w:szCs w:val="20"/>
              </w:rPr>
              <w:t>, for the care and upbringing of their child after the end of the postpartum maternity leave, and on the condition that the child is alive, is requested.</w:t>
            </w:r>
          </w:p>
          <w:p w14:paraId="6E3B7DEF" w14:textId="77777777" w:rsidR="00B9007C" w:rsidRPr="00BF6983" w:rsidRDefault="00B9007C" w:rsidP="008024A4">
            <w:pPr>
              <w:spacing w:after="160" w:line="259" w:lineRule="auto"/>
              <w:jc w:val="both"/>
              <w:rPr>
                <w:rFonts w:asciiTheme="minorHAnsi" w:eastAsiaTheme="minorHAnsi" w:hAnsiTheme="minorHAnsi" w:cstheme="minorHAnsi"/>
                <w:sz w:val="20"/>
                <w:szCs w:val="20"/>
              </w:rPr>
            </w:pPr>
          </w:p>
          <w:p w14:paraId="7B5B3740" w14:textId="46630D5C" w:rsidR="00B9007C" w:rsidRPr="00BF6983" w:rsidRDefault="00B9007C"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 xml:space="preserve">Within the scope of Additional Article 5 of the Unemployment Insurance Law No. 4447, </w:t>
            </w:r>
            <w:r w:rsidR="0072176B" w:rsidRPr="00BF6983">
              <w:rPr>
                <w:rFonts w:asciiTheme="minorHAnsi" w:eastAsiaTheme="minorHAnsi" w:hAnsiTheme="minorHAnsi" w:cstheme="minorHAnsi"/>
                <w:sz w:val="20"/>
                <w:szCs w:val="20"/>
              </w:rPr>
              <w:t xml:space="preserve">ISKUR </w:t>
            </w:r>
            <w:r w:rsidRPr="00BF6983">
              <w:rPr>
                <w:rFonts w:asciiTheme="minorHAnsi" w:eastAsiaTheme="minorHAnsi" w:hAnsiTheme="minorHAnsi" w:cstheme="minorHAnsi"/>
                <w:sz w:val="20"/>
                <w:szCs w:val="20"/>
              </w:rPr>
              <w:t xml:space="preserve">pays half-time work allowance after birth and adoption to the insurance holders who apply to our Institution and meet the premium payment conditions, during the said leave periods. Therefore, since the information of all persons granted unpaid leave within the scope of the second paragraph of Article 74 of the Law No. 4857 is not available in our Institution, the information of the persons entitled to half-time work allowance within the scope of additional article 5 of the Law No. 4447 </w:t>
            </w:r>
            <w:r w:rsidR="0072176B" w:rsidRPr="00BF6983">
              <w:rPr>
                <w:rFonts w:asciiTheme="minorHAnsi" w:eastAsiaTheme="minorHAnsi" w:hAnsiTheme="minorHAnsi" w:cstheme="minorHAnsi"/>
                <w:sz w:val="20"/>
                <w:szCs w:val="20"/>
              </w:rPr>
              <w:t>is the following:</w:t>
            </w:r>
          </w:p>
          <w:p w14:paraId="75639526" w14:textId="77777777" w:rsidR="00B9007C" w:rsidRPr="00BF6983" w:rsidRDefault="00B9007C" w:rsidP="008024A4">
            <w:pPr>
              <w:spacing w:after="160" w:line="259" w:lineRule="auto"/>
              <w:jc w:val="both"/>
              <w:rPr>
                <w:rFonts w:asciiTheme="minorHAnsi" w:eastAsiaTheme="minorHAnsi" w:hAnsiTheme="minorHAnsi" w:cstheme="minorHAnsi"/>
                <w:sz w:val="20"/>
                <w:szCs w:val="20"/>
              </w:rPr>
            </w:pPr>
          </w:p>
          <w:p w14:paraId="085DB93C" w14:textId="77777777" w:rsidR="00B9007C" w:rsidRPr="00BF6983" w:rsidRDefault="00B9007C"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From February 2016, when the implementation started, until the end of May 2022, within the scope of 74/2, unpaid leave equal to half of the weekly working time;</w:t>
            </w:r>
          </w:p>
          <w:p w14:paraId="0E97F1F7" w14:textId="5869903C" w:rsidR="00B9007C" w:rsidRPr="00BF6983" w:rsidRDefault="00B9007C">
            <w:pPr>
              <w:numPr>
                <w:ilvl w:val="0"/>
                <w:numId w:val="47"/>
              </w:num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35</w:t>
            </w:r>
            <w:r w:rsidR="0072176B" w:rsidRPr="00BF6983">
              <w:rPr>
                <w:rFonts w:asciiTheme="minorHAnsi" w:eastAsiaTheme="minorHAnsi" w:hAnsiTheme="minorHAnsi" w:cstheme="minorHAnsi"/>
                <w:sz w:val="20"/>
                <w:szCs w:val="20"/>
              </w:rPr>
              <w:t>,</w:t>
            </w:r>
            <w:r w:rsidRPr="00BF6983">
              <w:rPr>
                <w:rFonts w:asciiTheme="minorHAnsi" w:eastAsiaTheme="minorHAnsi" w:hAnsiTheme="minorHAnsi" w:cstheme="minorHAnsi"/>
                <w:sz w:val="20"/>
                <w:szCs w:val="20"/>
              </w:rPr>
              <w:t>922 single births,</w:t>
            </w:r>
          </w:p>
          <w:p w14:paraId="762A48EC" w14:textId="77777777" w:rsidR="00B9007C" w:rsidRPr="00BF6983" w:rsidRDefault="00B9007C">
            <w:pPr>
              <w:numPr>
                <w:ilvl w:val="0"/>
                <w:numId w:val="47"/>
              </w:num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791 people have multiple births,</w:t>
            </w:r>
          </w:p>
          <w:p w14:paraId="4F3C8EC7" w14:textId="77777777" w:rsidR="00B9007C" w:rsidRPr="00BF6983" w:rsidRDefault="00B9007C">
            <w:pPr>
              <w:numPr>
                <w:ilvl w:val="0"/>
                <w:numId w:val="47"/>
              </w:num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235 adoptions,</w:t>
            </w:r>
          </w:p>
          <w:p w14:paraId="3C897A10" w14:textId="271404E3" w:rsidR="004D78BE" w:rsidRPr="00BF6983" w:rsidRDefault="00B9007C"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A total of 36</w:t>
            </w:r>
            <w:r w:rsidR="0072176B" w:rsidRPr="00BF6983">
              <w:rPr>
                <w:rFonts w:asciiTheme="minorHAnsi" w:eastAsiaTheme="minorHAnsi" w:hAnsiTheme="minorHAnsi" w:cstheme="minorHAnsi"/>
                <w:sz w:val="20"/>
                <w:szCs w:val="20"/>
              </w:rPr>
              <w:t>,</w:t>
            </w:r>
            <w:r w:rsidRPr="00BF6983">
              <w:rPr>
                <w:rFonts w:asciiTheme="minorHAnsi" w:eastAsiaTheme="minorHAnsi" w:hAnsiTheme="minorHAnsi" w:cstheme="minorHAnsi"/>
                <w:sz w:val="20"/>
                <w:szCs w:val="20"/>
              </w:rPr>
              <w:t>948 people were entitled to receive half-time work allowance. All of the eligible persons are female employees.</w:t>
            </w:r>
          </w:p>
        </w:tc>
      </w:tr>
      <w:tr w:rsidR="004D78BE" w:rsidRPr="00DB0C40" w14:paraId="313299BE" w14:textId="77777777" w:rsidTr="008024A4">
        <w:tc>
          <w:tcPr>
            <w:tcW w:w="0" w:type="auto"/>
            <w:shd w:val="clear" w:color="auto" w:fill="FBE4D5" w:themeFill="accent2" w:themeFillTint="33"/>
          </w:tcPr>
          <w:p w14:paraId="3F4BEE01" w14:textId="3AB7A408" w:rsidR="004D78BE" w:rsidRPr="00BF6983" w:rsidRDefault="00F03CE5"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Second paragraph of Article 74 of the Law, the implementation of the specified period as three hundred and sixty days in case the child is born with a disability (number of beneficiary women)</w:t>
            </w:r>
          </w:p>
        </w:tc>
        <w:tc>
          <w:tcPr>
            <w:tcW w:w="0" w:type="auto"/>
            <w:shd w:val="clear" w:color="auto" w:fill="FBE4D5" w:themeFill="accent2" w:themeFillTint="33"/>
          </w:tcPr>
          <w:p w14:paraId="77EF119D" w14:textId="00332D72" w:rsidR="0072176B" w:rsidRPr="00BF6983" w:rsidRDefault="008024A4"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T</w:t>
            </w:r>
            <w:r w:rsidR="0072176B" w:rsidRPr="00BF6983">
              <w:rPr>
                <w:rFonts w:asciiTheme="minorHAnsi" w:eastAsiaTheme="minorHAnsi" w:hAnsiTheme="minorHAnsi" w:cstheme="minorHAnsi"/>
                <w:sz w:val="20"/>
                <w:szCs w:val="20"/>
              </w:rPr>
              <w:t>he number of women who benefit from the unpaid leave periods given to the female worker, upon their request, for the care and upbringing of their child after the end of the postpartum maternity leave, and on the condition that the child is alive, is requested.</w:t>
            </w:r>
          </w:p>
          <w:p w14:paraId="2983BEA7" w14:textId="77777777" w:rsidR="0072176B" w:rsidRPr="00BF6983" w:rsidRDefault="0072176B" w:rsidP="008024A4">
            <w:pPr>
              <w:spacing w:after="160" w:line="259" w:lineRule="auto"/>
              <w:jc w:val="both"/>
              <w:rPr>
                <w:rFonts w:asciiTheme="minorHAnsi" w:eastAsiaTheme="minorHAnsi" w:hAnsiTheme="minorHAnsi" w:cstheme="minorHAnsi"/>
                <w:sz w:val="20"/>
                <w:szCs w:val="20"/>
              </w:rPr>
            </w:pPr>
          </w:p>
          <w:p w14:paraId="3E35E802" w14:textId="59CF411C" w:rsidR="0072176B" w:rsidRPr="00BF6983" w:rsidRDefault="0072176B"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 xml:space="preserve">Within the scope of Additional Article 5 of the Unemployment Insurance Law No. 4447, </w:t>
            </w:r>
            <w:r w:rsidR="008024A4" w:rsidRPr="00BF6983">
              <w:rPr>
                <w:rFonts w:asciiTheme="minorHAnsi" w:eastAsiaTheme="minorHAnsi" w:hAnsiTheme="minorHAnsi" w:cstheme="minorHAnsi"/>
                <w:sz w:val="20"/>
                <w:szCs w:val="20"/>
              </w:rPr>
              <w:t xml:space="preserve">ISKUR </w:t>
            </w:r>
            <w:r w:rsidRPr="00BF6983">
              <w:rPr>
                <w:rFonts w:asciiTheme="minorHAnsi" w:eastAsiaTheme="minorHAnsi" w:hAnsiTheme="minorHAnsi" w:cstheme="minorHAnsi"/>
                <w:sz w:val="20"/>
                <w:szCs w:val="20"/>
              </w:rPr>
              <w:t>pays half-</w:t>
            </w:r>
            <w:r w:rsidRPr="00BF6983">
              <w:rPr>
                <w:rFonts w:asciiTheme="minorHAnsi" w:eastAsiaTheme="minorHAnsi" w:hAnsiTheme="minorHAnsi" w:cstheme="minorHAnsi"/>
                <w:sz w:val="20"/>
                <w:szCs w:val="20"/>
              </w:rPr>
              <w:lastRenderedPageBreak/>
              <w:t xml:space="preserve">time work allowance after birth and adoption to the insurance holders who apply to </w:t>
            </w:r>
            <w:r w:rsidR="00B875D8" w:rsidRPr="00BF6983">
              <w:rPr>
                <w:rFonts w:asciiTheme="minorHAnsi" w:eastAsiaTheme="minorHAnsi" w:hAnsiTheme="minorHAnsi" w:cstheme="minorHAnsi"/>
                <w:sz w:val="20"/>
                <w:szCs w:val="20"/>
              </w:rPr>
              <w:t>ISKUR</w:t>
            </w:r>
            <w:r w:rsidRPr="00BF6983">
              <w:rPr>
                <w:rFonts w:asciiTheme="minorHAnsi" w:eastAsiaTheme="minorHAnsi" w:hAnsiTheme="minorHAnsi" w:cstheme="minorHAnsi"/>
                <w:sz w:val="20"/>
                <w:szCs w:val="20"/>
              </w:rPr>
              <w:t xml:space="preserve"> and meet the premium payment conditions, during the said leave periods. Therefore, since the information of all persons granted unpaid leave within the scope of the second paragraph of Article 74 of the Law No. 4857 is not available in our Institution, the information of the persons entitled to half-time work allowance within the scope of additional article 5 of the Law No. 4447</w:t>
            </w:r>
            <w:r w:rsidR="00B875D8" w:rsidRPr="00BF6983">
              <w:rPr>
                <w:rFonts w:asciiTheme="minorHAnsi" w:eastAsiaTheme="minorHAnsi" w:hAnsiTheme="minorHAnsi" w:cstheme="minorHAnsi"/>
                <w:sz w:val="20"/>
                <w:szCs w:val="20"/>
              </w:rPr>
              <w:t xml:space="preserve"> is the following:</w:t>
            </w:r>
          </w:p>
          <w:p w14:paraId="35125850" w14:textId="77777777" w:rsidR="0072176B" w:rsidRPr="00BF6983" w:rsidRDefault="0072176B" w:rsidP="008024A4">
            <w:pPr>
              <w:spacing w:after="160" w:line="259" w:lineRule="auto"/>
              <w:jc w:val="both"/>
              <w:rPr>
                <w:rFonts w:asciiTheme="minorHAnsi" w:eastAsiaTheme="minorHAnsi" w:hAnsiTheme="minorHAnsi" w:cstheme="minorHAnsi"/>
                <w:sz w:val="20"/>
                <w:szCs w:val="20"/>
              </w:rPr>
            </w:pPr>
          </w:p>
          <w:p w14:paraId="5EF67D52" w14:textId="01C83DE9" w:rsidR="004D78BE" w:rsidRPr="00BF6983" w:rsidRDefault="0072176B"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From February 2016, when the implementation started, until the end of May 2022, the number of people who were entitled to unpaid leave for half of the weekly working time within the scope of 74/2 and who were entitled to receive half-time work allowance from our Institution is 75 due to the fact that the child was born with a disability. All of the eligible persons are female employees.</w:t>
            </w:r>
            <w:r w:rsidRPr="00BF6983">
              <w:rPr>
                <w:rFonts w:asciiTheme="minorHAnsi" w:eastAsiaTheme="minorHAnsi" w:hAnsiTheme="minorHAnsi" w:cstheme="minorHAnsi"/>
                <w:b/>
                <w:bCs/>
                <w:sz w:val="20"/>
                <w:szCs w:val="20"/>
              </w:rPr>
              <w:t xml:space="preserve"> </w:t>
            </w:r>
          </w:p>
        </w:tc>
      </w:tr>
      <w:tr w:rsidR="00F03CE5" w:rsidRPr="00DB0C40" w14:paraId="7B40A095" w14:textId="77777777" w:rsidTr="008024A4">
        <w:tc>
          <w:tcPr>
            <w:tcW w:w="0" w:type="auto"/>
            <w:shd w:val="clear" w:color="auto" w:fill="FBE4D5" w:themeFill="accent2" w:themeFillTint="33"/>
          </w:tcPr>
          <w:p w14:paraId="212F354C" w14:textId="321C95F5" w:rsidR="00F03CE5" w:rsidRPr="00BF6983" w:rsidRDefault="00F03CE5"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lastRenderedPageBreak/>
              <w:t>Case of adopting a child who has not completed the age of three, within the scope of paragraph 6 of Article 74 of the Law, one of the spouses or the adopter is given unpaid leave (number of beneficiary women and men)</w:t>
            </w:r>
          </w:p>
        </w:tc>
        <w:tc>
          <w:tcPr>
            <w:tcW w:w="0" w:type="auto"/>
            <w:shd w:val="clear" w:color="auto" w:fill="FBE4D5" w:themeFill="accent2" w:themeFillTint="33"/>
          </w:tcPr>
          <w:p w14:paraId="324DAE84" w14:textId="1395183B" w:rsidR="0072176B" w:rsidRPr="00BF6983" w:rsidRDefault="00B875D8"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T</w:t>
            </w:r>
            <w:r w:rsidR="0072176B" w:rsidRPr="00BF6983">
              <w:rPr>
                <w:rFonts w:asciiTheme="minorHAnsi" w:eastAsiaTheme="minorHAnsi" w:hAnsiTheme="minorHAnsi" w:cstheme="minorHAnsi"/>
                <w:sz w:val="20"/>
                <w:szCs w:val="20"/>
              </w:rPr>
              <w:t>he number of women who benefit from the unpaid leave periods given to the female worker, upon their request, for the care and upbringing of their child after the end of the postpartum maternity leave, and on the condition that the child is alive, is requested.</w:t>
            </w:r>
          </w:p>
          <w:p w14:paraId="74ECE01E" w14:textId="36F94093" w:rsidR="0072176B" w:rsidRPr="00BF6983" w:rsidRDefault="00B875D8"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 xml:space="preserve">On the </w:t>
            </w:r>
            <w:r w:rsidR="0072176B" w:rsidRPr="00BF6983">
              <w:rPr>
                <w:rFonts w:asciiTheme="minorHAnsi" w:eastAsiaTheme="minorHAnsi" w:hAnsiTheme="minorHAnsi" w:cstheme="minorHAnsi"/>
                <w:sz w:val="20"/>
                <w:szCs w:val="20"/>
              </w:rPr>
              <w:t xml:space="preserve">scope of Additional Article 5 of the Unemployment Insurance Law No. 4447, </w:t>
            </w:r>
            <w:r w:rsidRPr="00BF6983">
              <w:rPr>
                <w:rFonts w:asciiTheme="minorHAnsi" w:eastAsiaTheme="minorHAnsi" w:hAnsiTheme="minorHAnsi" w:cstheme="minorHAnsi"/>
                <w:sz w:val="20"/>
                <w:szCs w:val="20"/>
              </w:rPr>
              <w:t>ISKUR</w:t>
            </w:r>
            <w:r w:rsidR="0072176B" w:rsidRPr="00BF6983">
              <w:rPr>
                <w:rFonts w:asciiTheme="minorHAnsi" w:eastAsiaTheme="minorHAnsi" w:hAnsiTheme="minorHAnsi" w:cstheme="minorHAnsi"/>
                <w:sz w:val="20"/>
                <w:szCs w:val="20"/>
              </w:rPr>
              <w:t xml:space="preserve"> pays half-time work allowance after birth and adoption to the insurance holders who apply to </w:t>
            </w:r>
            <w:r w:rsidRPr="00BF6983">
              <w:rPr>
                <w:rFonts w:asciiTheme="minorHAnsi" w:eastAsiaTheme="minorHAnsi" w:hAnsiTheme="minorHAnsi" w:cstheme="minorHAnsi"/>
                <w:sz w:val="20"/>
                <w:szCs w:val="20"/>
              </w:rPr>
              <w:t>ISKUR</w:t>
            </w:r>
            <w:r w:rsidR="0072176B" w:rsidRPr="00BF6983">
              <w:rPr>
                <w:rFonts w:asciiTheme="minorHAnsi" w:eastAsiaTheme="minorHAnsi" w:hAnsiTheme="minorHAnsi" w:cstheme="minorHAnsi"/>
                <w:sz w:val="20"/>
                <w:szCs w:val="20"/>
              </w:rPr>
              <w:t xml:space="preserve"> and meet the premium payment conditions, during the said leave periods. Therefore, since the information of all persons who are granted unpaid leave within the scope of the second paragraph of Article 74 of the Law No. 4857 is not available in</w:t>
            </w:r>
            <w:r w:rsidRPr="00BF6983">
              <w:rPr>
                <w:rFonts w:asciiTheme="minorHAnsi" w:eastAsiaTheme="minorHAnsi" w:hAnsiTheme="minorHAnsi" w:cstheme="minorHAnsi"/>
                <w:sz w:val="20"/>
                <w:szCs w:val="20"/>
              </w:rPr>
              <w:t xml:space="preserve"> ISKUR</w:t>
            </w:r>
            <w:r w:rsidR="0072176B" w:rsidRPr="00BF6983">
              <w:rPr>
                <w:rFonts w:asciiTheme="minorHAnsi" w:eastAsiaTheme="minorHAnsi" w:hAnsiTheme="minorHAnsi" w:cstheme="minorHAnsi"/>
                <w:sz w:val="20"/>
                <w:szCs w:val="20"/>
              </w:rPr>
              <w:t xml:space="preserve">, the information of the persons entitled to half-time work allowance within the scope of the additional article 5 of the Law No. 4447 </w:t>
            </w:r>
            <w:r w:rsidRPr="00BF6983">
              <w:rPr>
                <w:rFonts w:asciiTheme="minorHAnsi" w:eastAsiaTheme="minorHAnsi" w:hAnsiTheme="minorHAnsi" w:cstheme="minorHAnsi"/>
                <w:sz w:val="20"/>
                <w:szCs w:val="20"/>
              </w:rPr>
              <w:t xml:space="preserve">is the following: </w:t>
            </w:r>
          </w:p>
          <w:p w14:paraId="3E5EDDD4" w14:textId="77777777" w:rsidR="0072176B" w:rsidRPr="00BF6983" w:rsidRDefault="0072176B" w:rsidP="008024A4">
            <w:pPr>
              <w:spacing w:after="160" w:line="259" w:lineRule="auto"/>
              <w:jc w:val="both"/>
              <w:rPr>
                <w:rFonts w:asciiTheme="minorHAnsi" w:eastAsiaTheme="minorHAnsi" w:hAnsiTheme="minorHAnsi" w:cstheme="minorHAnsi"/>
                <w:sz w:val="20"/>
                <w:szCs w:val="20"/>
              </w:rPr>
            </w:pPr>
          </w:p>
          <w:p w14:paraId="2CB91BC3" w14:textId="19CC12D7" w:rsidR="00B875D8" w:rsidRPr="00BF6983" w:rsidRDefault="0072176B"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 xml:space="preserve">From February 2016, when the implementation started, until the end of May 2022, </w:t>
            </w:r>
            <w:r w:rsidR="00D1389E" w:rsidRPr="00BF6983">
              <w:rPr>
                <w:rFonts w:asciiTheme="minorHAnsi" w:eastAsiaTheme="minorHAnsi" w:hAnsiTheme="minorHAnsi" w:cstheme="minorHAnsi"/>
                <w:sz w:val="20"/>
                <w:szCs w:val="20"/>
              </w:rPr>
              <w:t xml:space="preserve">235 </w:t>
            </w:r>
            <w:r w:rsidR="00812863" w:rsidRPr="00BF6983">
              <w:rPr>
                <w:rFonts w:asciiTheme="minorHAnsi" w:eastAsiaTheme="minorHAnsi" w:hAnsiTheme="minorHAnsi" w:cstheme="minorHAnsi"/>
                <w:sz w:val="20"/>
                <w:szCs w:val="20"/>
              </w:rPr>
              <w:t xml:space="preserve">is </w:t>
            </w:r>
            <w:r w:rsidRPr="00BF6983">
              <w:rPr>
                <w:rFonts w:asciiTheme="minorHAnsi" w:eastAsiaTheme="minorHAnsi" w:hAnsiTheme="minorHAnsi" w:cstheme="minorHAnsi"/>
                <w:sz w:val="20"/>
                <w:szCs w:val="20"/>
              </w:rPr>
              <w:t>the number of people who are entitled to half-time work allowance from our Institution and who are entitled to half-time work leave within the scope of 74/2</w:t>
            </w:r>
          </w:p>
          <w:p w14:paraId="2B1C644D" w14:textId="55B8EABF" w:rsidR="00F03CE5" w:rsidRPr="00BF6983" w:rsidRDefault="0072176B"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All of the eligible persons are female employees.</w:t>
            </w:r>
            <w:r w:rsidRPr="00BF6983">
              <w:rPr>
                <w:rFonts w:asciiTheme="minorHAnsi" w:eastAsiaTheme="minorHAnsi" w:hAnsiTheme="minorHAnsi" w:cstheme="minorHAnsi"/>
                <w:b/>
                <w:bCs/>
                <w:sz w:val="20"/>
                <w:szCs w:val="20"/>
              </w:rPr>
              <w:t xml:space="preserve"> </w:t>
            </w:r>
          </w:p>
        </w:tc>
      </w:tr>
      <w:tr w:rsidR="00F03CE5" w:rsidRPr="00DB0C40" w14:paraId="101233E2" w14:textId="77777777" w:rsidTr="008024A4">
        <w:tc>
          <w:tcPr>
            <w:tcW w:w="0" w:type="auto"/>
            <w:shd w:val="clear" w:color="auto" w:fill="FBE4D5" w:themeFill="accent2" w:themeFillTint="33"/>
          </w:tcPr>
          <w:p w14:paraId="795D6052" w14:textId="6D8B4876" w:rsidR="00F03CE5" w:rsidRPr="00BF6983" w:rsidRDefault="00F03CE5"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 xml:space="preserve">The scope of Article 74 of the Law Up to six months unpaid leave, upon request, after the completion of the sixteen-week period or after the eighteen-week </w:t>
            </w:r>
            <w:r w:rsidRPr="00BF6983">
              <w:rPr>
                <w:rFonts w:asciiTheme="minorHAnsi" w:eastAsiaTheme="minorHAnsi" w:hAnsiTheme="minorHAnsi" w:cstheme="minorHAnsi"/>
                <w:sz w:val="20"/>
                <w:szCs w:val="20"/>
              </w:rPr>
              <w:lastRenderedPageBreak/>
              <w:t>period in case of multiple pregnancy (number of women benefiting)</w:t>
            </w:r>
          </w:p>
        </w:tc>
        <w:tc>
          <w:tcPr>
            <w:tcW w:w="0" w:type="auto"/>
            <w:shd w:val="clear" w:color="auto" w:fill="FBE4D5" w:themeFill="accent2" w:themeFillTint="33"/>
          </w:tcPr>
          <w:p w14:paraId="0E453516" w14:textId="77777777" w:rsidR="00F03CE5" w:rsidRPr="00BF6983" w:rsidRDefault="00F03CE5" w:rsidP="008024A4">
            <w:pPr>
              <w:spacing w:after="160" w:line="259" w:lineRule="auto"/>
              <w:jc w:val="both"/>
              <w:rPr>
                <w:rFonts w:asciiTheme="minorHAnsi" w:eastAsiaTheme="minorHAnsi" w:hAnsiTheme="minorHAnsi" w:cstheme="minorHAnsi"/>
                <w:sz w:val="20"/>
                <w:szCs w:val="20"/>
              </w:rPr>
            </w:pPr>
          </w:p>
        </w:tc>
      </w:tr>
      <w:tr w:rsidR="00F03CE5" w:rsidRPr="00DB0C40" w14:paraId="01B99BE2" w14:textId="77777777" w:rsidTr="008024A4">
        <w:tc>
          <w:tcPr>
            <w:tcW w:w="0" w:type="auto"/>
            <w:shd w:val="clear" w:color="auto" w:fill="FBE4D5" w:themeFill="accent2" w:themeFillTint="33"/>
          </w:tcPr>
          <w:p w14:paraId="255D22FF" w14:textId="2DF9235C" w:rsidR="00F03CE5" w:rsidRPr="00BF6983" w:rsidRDefault="00F03CE5" w:rsidP="008024A4">
            <w:pPr>
              <w:spacing w:after="160" w:line="259" w:lineRule="auto"/>
              <w:jc w:val="both"/>
              <w:rPr>
                <w:rFonts w:asciiTheme="minorHAnsi" w:eastAsiaTheme="minorHAnsi" w:hAnsiTheme="minorHAnsi" w:cstheme="minorHAnsi"/>
                <w:sz w:val="20"/>
                <w:szCs w:val="20"/>
              </w:rPr>
            </w:pPr>
            <w:r w:rsidRPr="00BF6983">
              <w:rPr>
                <w:rFonts w:asciiTheme="minorHAnsi" w:eastAsiaTheme="minorHAnsi" w:hAnsiTheme="minorHAnsi" w:cstheme="minorHAnsi"/>
                <w:sz w:val="20"/>
                <w:szCs w:val="20"/>
              </w:rPr>
              <w:t>Number of men and women receiving child benefits</w:t>
            </w:r>
          </w:p>
        </w:tc>
        <w:tc>
          <w:tcPr>
            <w:tcW w:w="0" w:type="auto"/>
            <w:shd w:val="clear" w:color="auto" w:fill="FBE4D5" w:themeFill="accent2" w:themeFillTint="33"/>
          </w:tcPr>
          <w:p w14:paraId="01144577" w14:textId="77777777" w:rsidR="00F03CE5" w:rsidRPr="00BF6983" w:rsidRDefault="00F03CE5" w:rsidP="008024A4">
            <w:pPr>
              <w:spacing w:after="160" w:line="259" w:lineRule="auto"/>
              <w:jc w:val="both"/>
              <w:rPr>
                <w:rFonts w:asciiTheme="minorHAnsi" w:eastAsiaTheme="minorHAnsi" w:hAnsiTheme="minorHAnsi" w:cstheme="minorHAnsi"/>
                <w:sz w:val="20"/>
                <w:szCs w:val="20"/>
              </w:rPr>
            </w:pPr>
          </w:p>
        </w:tc>
      </w:tr>
    </w:tbl>
    <w:p w14:paraId="24F6309C" w14:textId="4C7E2454" w:rsidR="004D78BE" w:rsidRPr="00C2410D" w:rsidRDefault="007A7E2D" w:rsidP="007A7E2D">
      <w:pPr>
        <w:spacing w:after="160" w:line="259" w:lineRule="auto"/>
        <w:jc w:val="center"/>
        <w:rPr>
          <w:rFonts w:asciiTheme="minorHAnsi" w:eastAsiaTheme="minorHAnsi" w:hAnsiTheme="minorHAnsi" w:cstheme="minorHAnsi"/>
          <w:sz w:val="18"/>
          <w:szCs w:val="18"/>
        </w:rPr>
      </w:pPr>
      <w:r w:rsidRPr="00C2410D">
        <w:rPr>
          <w:rFonts w:asciiTheme="minorHAnsi" w:eastAsiaTheme="minorHAnsi" w:hAnsiTheme="minorHAnsi" w:cstheme="minorHAnsi"/>
          <w:sz w:val="18"/>
          <w:szCs w:val="18"/>
        </w:rPr>
        <w:t>Source: ISKUR Report, June 2022</w:t>
      </w:r>
    </w:p>
    <w:bookmarkEnd w:id="124"/>
    <w:p w14:paraId="2D5AEE30" w14:textId="77777777" w:rsidR="004D78BE" w:rsidRPr="004D78BE" w:rsidRDefault="004D78BE" w:rsidP="004D78BE">
      <w:pPr>
        <w:spacing w:after="160" w:line="259" w:lineRule="auto"/>
        <w:ind w:left="720"/>
        <w:contextualSpacing/>
        <w:rPr>
          <w:rFonts w:asciiTheme="minorHAnsi" w:eastAsiaTheme="minorHAnsi" w:hAnsiTheme="minorHAnsi" w:cstheme="minorHAnsi"/>
          <w:b/>
          <w:bCs/>
          <w:sz w:val="22"/>
          <w:szCs w:val="22"/>
          <w:highlight w:val="yellow"/>
        </w:rPr>
      </w:pPr>
    </w:p>
    <w:bookmarkEnd w:id="125"/>
    <w:p w14:paraId="76395CF8" w14:textId="77777777" w:rsidR="00BB44E1" w:rsidRPr="00DB0C40" w:rsidRDefault="00BB44E1">
      <w:pPr>
        <w:jc w:val="both"/>
        <w:rPr>
          <w:sz w:val="22"/>
          <w:szCs w:val="22"/>
        </w:rPr>
      </w:pPr>
    </w:p>
    <w:p w14:paraId="1C4D9549" w14:textId="77777777" w:rsidR="00BB44E1" w:rsidRPr="00DB0C40" w:rsidRDefault="00BB44E1">
      <w:pPr>
        <w:spacing w:before="240" w:after="240"/>
        <w:jc w:val="both"/>
        <w:rPr>
          <w:sz w:val="22"/>
          <w:szCs w:val="22"/>
        </w:rPr>
      </w:pPr>
    </w:p>
    <w:p w14:paraId="248C796F" w14:textId="77777777" w:rsidR="004C7A7B" w:rsidRDefault="00230B49" w:rsidP="004C19E5">
      <w:pPr>
        <w:spacing w:before="240" w:after="240"/>
        <w:rPr>
          <w:b/>
          <w:sz w:val="22"/>
          <w:szCs w:val="22"/>
        </w:rPr>
      </w:pPr>
      <w:r w:rsidRPr="00DB0C40">
        <w:rPr>
          <w:sz w:val="22"/>
          <w:szCs w:val="22"/>
        </w:rPr>
        <w:t xml:space="preserve"> </w:t>
      </w:r>
      <w:r w:rsidR="004C19E5" w:rsidRPr="00DB0C40">
        <w:rPr>
          <w:b/>
          <w:sz w:val="22"/>
          <w:szCs w:val="22"/>
        </w:rPr>
        <w:t>FoW TAT</w:t>
      </w:r>
    </w:p>
    <w:p w14:paraId="09C3F1E8" w14:textId="6568CAC7" w:rsidR="004C19E5" w:rsidRDefault="004C7A7B" w:rsidP="004C19E5">
      <w:pPr>
        <w:spacing w:before="240" w:after="240"/>
        <w:rPr>
          <w:b/>
          <w:sz w:val="22"/>
          <w:szCs w:val="22"/>
        </w:rPr>
      </w:pPr>
      <w:r>
        <w:rPr>
          <w:b/>
          <w:sz w:val="22"/>
          <w:szCs w:val="22"/>
        </w:rPr>
        <w:t xml:space="preserve">June </w:t>
      </w:r>
      <w:r w:rsidR="004C19E5" w:rsidRPr="00DB0C40">
        <w:rPr>
          <w:b/>
          <w:sz w:val="22"/>
          <w:szCs w:val="22"/>
        </w:rPr>
        <w:t>202</w:t>
      </w:r>
      <w:r>
        <w:rPr>
          <w:b/>
          <w:sz w:val="22"/>
          <w:szCs w:val="22"/>
        </w:rPr>
        <w:t>1</w:t>
      </w:r>
    </w:p>
    <w:p w14:paraId="467CF403" w14:textId="42A9FB45" w:rsidR="00E07BEB" w:rsidRDefault="00E07BEB">
      <w:pPr>
        <w:rPr>
          <w:b/>
          <w:sz w:val="22"/>
          <w:szCs w:val="22"/>
        </w:rPr>
      </w:pPr>
      <w:r>
        <w:rPr>
          <w:b/>
          <w:sz w:val="22"/>
          <w:szCs w:val="22"/>
        </w:rPr>
        <w:br w:type="page"/>
      </w:r>
    </w:p>
    <w:p w14:paraId="0E195A4A" w14:textId="4A35ABD6" w:rsidR="00E07BEB" w:rsidRPr="00E07BEB" w:rsidRDefault="004C7A7B" w:rsidP="00E07BEB">
      <w:pPr>
        <w:pStyle w:val="ListParagraph"/>
        <w:numPr>
          <w:ilvl w:val="0"/>
          <w:numId w:val="9"/>
        </w:numPr>
        <w:jc w:val="both"/>
        <w:rPr>
          <w:rFonts w:asciiTheme="majorHAnsi" w:eastAsiaTheme="majorEastAsia" w:hAnsiTheme="majorHAnsi" w:cstheme="majorBidi"/>
          <w:color w:val="1F3763" w:themeColor="accent1" w:themeShade="7F"/>
        </w:rPr>
      </w:pPr>
      <w:r>
        <w:rPr>
          <w:rFonts w:asciiTheme="majorHAnsi" w:eastAsiaTheme="majorEastAsia" w:hAnsiTheme="majorHAnsi" w:cstheme="majorBidi"/>
          <w:color w:val="1F3763" w:themeColor="accent1" w:themeShade="7F"/>
        </w:rPr>
        <w:lastRenderedPageBreak/>
        <w:t>BIBLIOGRAPHY</w:t>
      </w:r>
    </w:p>
    <w:p w14:paraId="717EA6FB" w14:textId="77777777" w:rsidR="00E07BEB" w:rsidRPr="00E07BEB" w:rsidRDefault="00E07BEB" w:rsidP="00E07BEB">
      <w:pPr>
        <w:pStyle w:val="ListParagraph"/>
        <w:jc w:val="both"/>
        <w:rPr>
          <w:b/>
          <w:sz w:val="22"/>
          <w:szCs w:val="22"/>
        </w:rPr>
      </w:pPr>
    </w:p>
    <w:p w14:paraId="4802FCB0"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t xml:space="preserve">Arenas-Arroyo, E.; Fernandez-Kranz, D.; </w:t>
      </w:r>
      <w:proofErr w:type="spellStart"/>
      <w:r w:rsidRPr="00E07BEB">
        <w:rPr>
          <w:rFonts w:asciiTheme="minorHAnsi" w:eastAsiaTheme="minorHAnsi" w:hAnsiTheme="minorHAnsi" w:cstheme="minorBidi"/>
          <w:sz w:val="22"/>
          <w:szCs w:val="22"/>
        </w:rPr>
        <w:t>Nollenberger</w:t>
      </w:r>
      <w:proofErr w:type="spellEnd"/>
      <w:r w:rsidRPr="00E07BEB">
        <w:rPr>
          <w:rFonts w:asciiTheme="minorHAnsi" w:eastAsiaTheme="minorHAnsi" w:hAnsiTheme="minorHAnsi" w:cstheme="minorBidi"/>
          <w:sz w:val="22"/>
          <w:szCs w:val="22"/>
        </w:rPr>
        <w:t xml:space="preserve">, N., ‘Can’t Leave You Now! Intimate Partner Violence under Forced Coexistence and Economic Uncertainty,’ IZA Institute of Labour Economics, Discussion Paper Series No.13570, 2020. Available at </w:t>
      </w:r>
      <w:hyperlink r:id="rId53" w:history="1">
        <w:r w:rsidRPr="00E07BEB">
          <w:rPr>
            <w:rFonts w:asciiTheme="minorHAnsi" w:eastAsiaTheme="minorHAnsi" w:hAnsiTheme="minorHAnsi" w:cstheme="minorBidi"/>
            <w:color w:val="0563C1" w:themeColor="hyperlink"/>
            <w:sz w:val="22"/>
            <w:szCs w:val="22"/>
            <w:u w:val="single"/>
          </w:rPr>
          <w:t>https://covid-19.iza.org/publications/dp13570/</w:t>
        </w:r>
      </w:hyperlink>
    </w:p>
    <w:p w14:paraId="35A4C554"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t>Deloitte Global Centre for Corporate Governance (2017) Women in the boardroom: A global perspective, 5</w:t>
      </w:r>
      <w:r w:rsidRPr="00E07BEB">
        <w:rPr>
          <w:rFonts w:asciiTheme="minorHAnsi" w:eastAsiaTheme="minorHAnsi" w:hAnsiTheme="minorHAnsi" w:cstheme="minorBidi"/>
          <w:sz w:val="22"/>
          <w:szCs w:val="22"/>
          <w:vertAlign w:val="superscript"/>
        </w:rPr>
        <w:t>th</w:t>
      </w:r>
      <w:r w:rsidRPr="00E07BEB">
        <w:rPr>
          <w:rFonts w:asciiTheme="minorHAnsi" w:eastAsiaTheme="minorHAnsi" w:hAnsiTheme="minorHAnsi" w:cstheme="minorBidi"/>
          <w:sz w:val="22"/>
          <w:szCs w:val="22"/>
        </w:rPr>
        <w:t xml:space="preserve"> Edition, available at: </w:t>
      </w:r>
      <w:hyperlink r:id="rId54" w:history="1">
        <w:r w:rsidRPr="00E07BEB">
          <w:rPr>
            <w:rFonts w:asciiTheme="minorHAnsi" w:eastAsiaTheme="minorHAnsi" w:hAnsiTheme="minorHAnsi" w:cstheme="minorBidi"/>
            <w:color w:val="0563C1" w:themeColor="hyperlink"/>
            <w:sz w:val="22"/>
            <w:szCs w:val="22"/>
            <w:u w:val="single"/>
          </w:rPr>
          <w:t>https://www2.deloitte.com/content/dam/Deloitte/cz/Documents/about-deloitte/cz-women-in-the-boardroom-5th-edition.pdf</w:t>
        </w:r>
      </w:hyperlink>
    </w:p>
    <w:p w14:paraId="0D32F5BF"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rPr>
        <w:t>Edin, P., and M. Gustavsson (2008) “Time out of Work and Skill Depreciation.” Industrial and Labour Relations Review  61 (2): 163–80.</w:t>
      </w:r>
    </w:p>
    <w:p w14:paraId="770A45C6"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lang w:val="en-US"/>
        </w:rPr>
        <w:t xml:space="preserve">European Commission (2019) 2019 Report on equality between women and men in the EU, Brussels available at: </w:t>
      </w:r>
      <w:hyperlink r:id="rId55" w:tgtFrame="_blank" w:history="1">
        <w:r w:rsidRPr="00E07BEB">
          <w:rPr>
            <w:rFonts w:asciiTheme="minorHAnsi" w:eastAsiaTheme="minorHAnsi" w:hAnsiTheme="minorHAnsi" w:cstheme="minorBidi"/>
            <w:color w:val="0563C1" w:themeColor="hyperlink"/>
            <w:sz w:val="22"/>
            <w:szCs w:val="22"/>
            <w:u w:val="single"/>
          </w:rPr>
          <w:t>https://op.europa.eu/en/publication-detail/-/publication/f3dd1274-7788-11e9-9f05-01aa75ed71a1/</w:t>
        </w:r>
      </w:hyperlink>
    </w:p>
    <w:p w14:paraId="6023AF45"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t xml:space="preserve">European Commission (2021) 2021 report on gender equality in the EU, available at: </w:t>
      </w:r>
      <w:hyperlink r:id="rId56" w:tgtFrame="_blank" w:history="1">
        <w:r w:rsidRPr="00E07BEB">
          <w:rPr>
            <w:rFonts w:asciiTheme="minorHAnsi" w:eastAsiaTheme="minorHAnsi" w:hAnsiTheme="minorHAnsi" w:cstheme="minorBidi"/>
            <w:color w:val="0563C1" w:themeColor="hyperlink"/>
            <w:sz w:val="22"/>
            <w:szCs w:val="22"/>
            <w:u w:val="single"/>
          </w:rPr>
          <w:t>https://op.europa.eu/en/publication-detail/-/publication/11d9cab1-fa52-11eb-b520-01aa75ed71a1</w:t>
        </w:r>
      </w:hyperlink>
    </w:p>
    <w:p w14:paraId="5407CB19" w14:textId="71E3812C"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t xml:space="preserve">European Parliament (2012) Gender equality in </w:t>
      </w:r>
      <w:r w:rsidR="00AC20EA">
        <w:rPr>
          <w:rFonts w:asciiTheme="minorHAnsi" w:eastAsiaTheme="minorHAnsi" w:hAnsiTheme="minorHAnsi" w:cstheme="minorBidi"/>
          <w:sz w:val="22"/>
          <w:szCs w:val="22"/>
        </w:rPr>
        <w:t>Türkiye</w:t>
      </w:r>
      <w:r w:rsidRPr="00E07BEB">
        <w:rPr>
          <w:rFonts w:asciiTheme="minorHAnsi" w:eastAsiaTheme="minorHAnsi" w:hAnsiTheme="minorHAnsi" w:cstheme="minorBidi"/>
          <w:sz w:val="22"/>
          <w:szCs w:val="22"/>
        </w:rPr>
        <w:t xml:space="preserve">, available in </w:t>
      </w:r>
      <w:hyperlink r:id="rId57" w:history="1">
        <w:r w:rsidRPr="00E07BEB">
          <w:rPr>
            <w:rFonts w:asciiTheme="minorHAnsi" w:eastAsiaTheme="minorHAnsi" w:hAnsiTheme="minorHAnsi" w:cstheme="minorBidi"/>
            <w:color w:val="0563C1" w:themeColor="hyperlink"/>
            <w:sz w:val="22"/>
            <w:szCs w:val="22"/>
            <w:u w:val="single"/>
          </w:rPr>
          <w:t>https://www.europarl.europa.eu/RegData/etudes/note/join/2012/462428/IPOL-FEMM_NT(2012)462428_EN.pdf</w:t>
        </w:r>
      </w:hyperlink>
    </w:p>
    <w:p w14:paraId="4A07608A" w14:textId="73742CD2"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rPr>
        <w:t>Ghani, E., W. Kerr, and S. O’Connell (2013) “Promoting Women’s Economic Participation in India.” Economic Premise No. 107</w:t>
      </w:r>
    </w:p>
    <w:p w14:paraId="180F5B89"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rPr>
        <w:t xml:space="preserve">Gong, X., R. </w:t>
      </w:r>
      <w:proofErr w:type="spellStart"/>
      <w:r w:rsidRPr="00E07BEB">
        <w:rPr>
          <w:rFonts w:asciiTheme="minorHAnsi" w:eastAsiaTheme="minorHAnsi" w:hAnsiTheme="minorHAnsi" w:cstheme="minorBidi"/>
          <w:sz w:val="22"/>
          <w:szCs w:val="22"/>
        </w:rPr>
        <w:t>Breunig</w:t>
      </w:r>
      <w:proofErr w:type="spellEnd"/>
      <w:r w:rsidRPr="00E07BEB">
        <w:rPr>
          <w:rFonts w:asciiTheme="minorHAnsi" w:eastAsiaTheme="minorHAnsi" w:hAnsiTheme="minorHAnsi" w:cstheme="minorBidi"/>
          <w:sz w:val="22"/>
          <w:szCs w:val="22"/>
        </w:rPr>
        <w:t>, and A. King  (2010) “How Responsive is Female Labour Supply to Child Care Costs? New Australian Estimates.” IZA Discussion Paper No. 5119, Institute for the Study of Labour, Bonn.</w:t>
      </w:r>
    </w:p>
    <w:p w14:paraId="20376299"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lang w:val="en-US"/>
        </w:rPr>
        <w:t xml:space="preserve">ILO (2016) Women at work: Trends 2016 (Geneva), available at: </w:t>
      </w:r>
      <w:hyperlink r:id="rId58" w:tgtFrame="_blank" w:history="1">
        <w:r w:rsidRPr="00E07BEB">
          <w:rPr>
            <w:rFonts w:asciiTheme="minorHAnsi" w:eastAsiaTheme="minorHAnsi" w:hAnsiTheme="minorHAnsi" w:cstheme="minorBidi"/>
            <w:color w:val="0563C1" w:themeColor="hyperlink"/>
            <w:sz w:val="22"/>
            <w:szCs w:val="22"/>
            <w:u w:val="single"/>
          </w:rPr>
          <w:t>https://www.ilo.org/gender/Informationresources/Publications/WCMS_457317/lang--en/index.htm</w:t>
        </w:r>
      </w:hyperlink>
    </w:p>
    <w:p w14:paraId="07CE5A88"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t xml:space="preserve">ILO (2019) A quantum leap for gender equality: For a better future of work for all, Geneva, available at: </w:t>
      </w:r>
      <w:hyperlink r:id="rId59" w:tgtFrame="_blank" w:history="1">
        <w:r w:rsidRPr="00E07BEB">
          <w:rPr>
            <w:rFonts w:asciiTheme="minorHAnsi" w:eastAsiaTheme="minorHAnsi" w:hAnsiTheme="minorHAnsi" w:cstheme="minorBidi"/>
            <w:color w:val="0563C1" w:themeColor="hyperlink"/>
            <w:sz w:val="22"/>
            <w:szCs w:val="22"/>
            <w:u w:val="single"/>
          </w:rPr>
          <w:t>https://www.ilo.org/global/publications/books/WCMS_674831/lang--</w:t>
        </w:r>
        <w:proofErr w:type="spellStart"/>
        <w:r w:rsidRPr="00E07BEB">
          <w:rPr>
            <w:rFonts w:asciiTheme="minorHAnsi" w:eastAsiaTheme="minorHAnsi" w:hAnsiTheme="minorHAnsi" w:cstheme="minorBidi"/>
            <w:color w:val="0563C1" w:themeColor="hyperlink"/>
            <w:sz w:val="22"/>
            <w:szCs w:val="22"/>
            <w:u w:val="single"/>
          </w:rPr>
          <w:t>en</w:t>
        </w:r>
        <w:proofErr w:type="spellEnd"/>
        <w:r w:rsidRPr="00E07BEB">
          <w:rPr>
            <w:rFonts w:asciiTheme="minorHAnsi" w:eastAsiaTheme="minorHAnsi" w:hAnsiTheme="minorHAnsi" w:cstheme="minorBidi"/>
            <w:color w:val="0563C1" w:themeColor="hyperlink"/>
            <w:sz w:val="22"/>
            <w:szCs w:val="22"/>
            <w:u w:val="single"/>
          </w:rPr>
          <w:t>/index.htm</w:t>
        </w:r>
      </w:hyperlink>
    </w:p>
    <w:p w14:paraId="1273C9CF"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lang w:val="en-US"/>
        </w:rPr>
        <w:t xml:space="preserve">ILO (2019) Understanding the Gender Pay Gap, available at:  </w:t>
      </w:r>
      <w:hyperlink r:id="rId60" w:history="1">
        <w:r w:rsidRPr="00E07BEB">
          <w:rPr>
            <w:rFonts w:asciiTheme="minorHAnsi" w:eastAsiaTheme="minorHAnsi" w:hAnsiTheme="minorHAnsi" w:cstheme="minorBidi"/>
            <w:color w:val="0563C1" w:themeColor="hyperlink"/>
            <w:sz w:val="22"/>
            <w:szCs w:val="22"/>
            <w:u w:val="single"/>
            <w:lang w:val="en-US"/>
          </w:rPr>
          <w:t>https://www.ilo.org/wcmsp5/groups/public/---</w:t>
        </w:r>
        <w:proofErr w:type="spellStart"/>
        <w:r w:rsidRPr="00E07BEB">
          <w:rPr>
            <w:rFonts w:asciiTheme="minorHAnsi" w:eastAsiaTheme="minorHAnsi" w:hAnsiTheme="minorHAnsi" w:cstheme="minorBidi"/>
            <w:color w:val="0563C1" w:themeColor="hyperlink"/>
            <w:sz w:val="22"/>
            <w:szCs w:val="22"/>
            <w:u w:val="single"/>
            <w:lang w:val="en-US"/>
          </w:rPr>
          <w:t>europe</w:t>
        </w:r>
        <w:proofErr w:type="spellEnd"/>
        <w:r w:rsidRPr="00E07BEB">
          <w:rPr>
            <w:rFonts w:asciiTheme="minorHAnsi" w:eastAsiaTheme="minorHAnsi" w:hAnsiTheme="minorHAnsi" w:cstheme="minorBidi"/>
            <w:color w:val="0563C1" w:themeColor="hyperlink"/>
            <w:sz w:val="22"/>
            <w:szCs w:val="22"/>
            <w:u w:val="single"/>
            <w:lang w:val="en-US"/>
          </w:rPr>
          <w:t>/---</w:t>
        </w:r>
        <w:proofErr w:type="spellStart"/>
        <w:r w:rsidRPr="00E07BEB">
          <w:rPr>
            <w:rFonts w:asciiTheme="minorHAnsi" w:eastAsiaTheme="minorHAnsi" w:hAnsiTheme="minorHAnsi" w:cstheme="minorBidi"/>
            <w:color w:val="0563C1" w:themeColor="hyperlink"/>
            <w:sz w:val="22"/>
            <w:szCs w:val="22"/>
            <w:u w:val="single"/>
            <w:lang w:val="en-US"/>
          </w:rPr>
          <w:t>ro-geneva</w:t>
        </w:r>
        <w:proofErr w:type="spellEnd"/>
        <w:r w:rsidRPr="00E07BEB">
          <w:rPr>
            <w:rFonts w:asciiTheme="minorHAnsi" w:eastAsiaTheme="minorHAnsi" w:hAnsiTheme="minorHAnsi" w:cstheme="minorBidi"/>
            <w:color w:val="0563C1" w:themeColor="hyperlink"/>
            <w:sz w:val="22"/>
            <w:szCs w:val="22"/>
            <w:u w:val="single"/>
            <w:lang w:val="en-US"/>
          </w:rPr>
          <w:t>/---</w:t>
        </w:r>
        <w:proofErr w:type="spellStart"/>
        <w:r w:rsidRPr="00E07BEB">
          <w:rPr>
            <w:rFonts w:asciiTheme="minorHAnsi" w:eastAsiaTheme="minorHAnsi" w:hAnsiTheme="minorHAnsi" w:cstheme="minorBidi"/>
            <w:color w:val="0563C1" w:themeColor="hyperlink"/>
            <w:sz w:val="22"/>
            <w:szCs w:val="22"/>
            <w:u w:val="single"/>
            <w:lang w:val="en-US"/>
          </w:rPr>
          <w:t>ilo-ankara</w:t>
        </w:r>
        <w:proofErr w:type="spellEnd"/>
        <w:r w:rsidRPr="00E07BEB">
          <w:rPr>
            <w:rFonts w:asciiTheme="minorHAnsi" w:eastAsiaTheme="minorHAnsi" w:hAnsiTheme="minorHAnsi" w:cstheme="minorBidi"/>
            <w:color w:val="0563C1" w:themeColor="hyperlink"/>
            <w:sz w:val="22"/>
            <w:szCs w:val="22"/>
            <w:u w:val="single"/>
            <w:lang w:val="en-US"/>
          </w:rPr>
          <w:t>/documents/publication/wcms_707580.pdf</w:t>
        </w:r>
      </w:hyperlink>
    </w:p>
    <w:p w14:paraId="7F11B8BA"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lang w:val="en-US"/>
        </w:rPr>
        <w:t xml:space="preserve">ILO (2019) Women in Business and Management: The business case for change, Geneva available at: </w:t>
      </w:r>
      <w:hyperlink r:id="rId61" w:tgtFrame="_blank" w:history="1">
        <w:r w:rsidRPr="00E07BEB">
          <w:rPr>
            <w:rFonts w:asciiTheme="minorHAnsi" w:eastAsiaTheme="minorHAnsi" w:hAnsiTheme="minorHAnsi" w:cstheme="minorBidi"/>
            <w:color w:val="0563C1" w:themeColor="hyperlink"/>
            <w:sz w:val="22"/>
            <w:szCs w:val="22"/>
            <w:u w:val="single"/>
          </w:rPr>
          <w:t>https://www.ilo.org/wcmsp5/groups/public/---</w:t>
        </w:r>
        <w:proofErr w:type="spellStart"/>
        <w:r w:rsidRPr="00E07BEB">
          <w:rPr>
            <w:rFonts w:asciiTheme="minorHAnsi" w:eastAsiaTheme="minorHAnsi" w:hAnsiTheme="minorHAnsi" w:cstheme="minorBidi"/>
            <w:color w:val="0563C1" w:themeColor="hyperlink"/>
            <w:sz w:val="22"/>
            <w:szCs w:val="22"/>
            <w:u w:val="single"/>
          </w:rPr>
          <w:t>dgreports</w:t>
        </w:r>
        <w:proofErr w:type="spellEnd"/>
        <w:r w:rsidRPr="00E07BEB">
          <w:rPr>
            <w:rFonts w:asciiTheme="minorHAnsi" w:eastAsiaTheme="minorHAnsi" w:hAnsiTheme="minorHAnsi" w:cstheme="minorBidi"/>
            <w:color w:val="0563C1" w:themeColor="hyperlink"/>
            <w:sz w:val="22"/>
            <w:szCs w:val="22"/>
            <w:u w:val="single"/>
          </w:rPr>
          <w:t>/---</w:t>
        </w:r>
        <w:proofErr w:type="spellStart"/>
        <w:r w:rsidRPr="00E07BEB">
          <w:rPr>
            <w:rFonts w:asciiTheme="minorHAnsi" w:eastAsiaTheme="minorHAnsi" w:hAnsiTheme="minorHAnsi" w:cstheme="minorBidi"/>
            <w:color w:val="0563C1" w:themeColor="hyperlink"/>
            <w:sz w:val="22"/>
            <w:szCs w:val="22"/>
            <w:u w:val="single"/>
          </w:rPr>
          <w:t>dcomm</w:t>
        </w:r>
        <w:proofErr w:type="spellEnd"/>
        <w:r w:rsidRPr="00E07BEB">
          <w:rPr>
            <w:rFonts w:asciiTheme="minorHAnsi" w:eastAsiaTheme="minorHAnsi" w:hAnsiTheme="minorHAnsi" w:cstheme="minorBidi"/>
            <w:color w:val="0563C1" w:themeColor="hyperlink"/>
            <w:sz w:val="22"/>
            <w:szCs w:val="22"/>
            <w:u w:val="single"/>
          </w:rPr>
          <w:t>/---</w:t>
        </w:r>
        <w:proofErr w:type="spellStart"/>
        <w:r w:rsidRPr="00E07BEB">
          <w:rPr>
            <w:rFonts w:asciiTheme="minorHAnsi" w:eastAsiaTheme="minorHAnsi" w:hAnsiTheme="minorHAnsi" w:cstheme="minorBidi"/>
            <w:color w:val="0563C1" w:themeColor="hyperlink"/>
            <w:sz w:val="22"/>
            <w:szCs w:val="22"/>
            <w:u w:val="single"/>
          </w:rPr>
          <w:t>publ</w:t>
        </w:r>
        <w:proofErr w:type="spellEnd"/>
        <w:r w:rsidRPr="00E07BEB">
          <w:rPr>
            <w:rFonts w:asciiTheme="minorHAnsi" w:eastAsiaTheme="minorHAnsi" w:hAnsiTheme="minorHAnsi" w:cstheme="minorBidi"/>
            <w:color w:val="0563C1" w:themeColor="hyperlink"/>
            <w:sz w:val="22"/>
            <w:szCs w:val="22"/>
            <w:u w:val="single"/>
          </w:rPr>
          <w:t>/documents/publication/wcms_700953.pdf</w:t>
        </w:r>
      </w:hyperlink>
    </w:p>
    <w:p w14:paraId="65E8B00E"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rPr>
        <w:t xml:space="preserve">ILO and </w:t>
      </w:r>
      <w:proofErr w:type="spellStart"/>
      <w:r w:rsidRPr="00E07BEB">
        <w:rPr>
          <w:rFonts w:asciiTheme="minorHAnsi" w:eastAsiaTheme="minorHAnsi" w:hAnsiTheme="minorHAnsi" w:cstheme="minorBidi"/>
          <w:sz w:val="22"/>
          <w:szCs w:val="22"/>
        </w:rPr>
        <w:t>Eurofound</w:t>
      </w:r>
      <w:proofErr w:type="spellEnd"/>
      <w:r w:rsidRPr="00E07BEB">
        <w:rPr>
          <w:rFonts w:asciiTheme="minorHAnsi" w:eastAsiaTheme="minorHAnsi" w:hAnsiTheme="minorHAnsi" w:cstheme="minorBidi"/>
          <w:sz w:val="22"/>
          <w:szCs w:val="22"/>
        </w:rPr>
        <w:t xml:space="preserve"> (2019) Working conditions in a global perspective, available at: https://www.ilo.org/wcmsp5/groups/public/---</w:t>
      </w:r>
      <w:proofErr w:type="spellStart"/>
      <w:r w:rsidRPr="00E07BEB">
        <w:rPr>
          <w:rFonts w:asciiTheme="minorHAnsi" w:eastAsiaTheme="minorHAnsi" w:hAnsiTheme="minorHAnsi" w:cstheme="minorBidi"/>
          <w:sz w:val="22"/>
          <w:szCs w:val="22"/>
        </w:rPr>
        <w:t>dgreports</w:t>
      </w:r>
      <w:proofErr w:type="spellEnd"/>
      <w:r w:rsidRPr="00E07BEB">
        <w:rPr>
          <w:rFonts w:asciiTheme="minorHAnsi" w:eastAsiaTheme="minorHAnsi" w:hAnsiTheme="minorHAnsi" w:cstheme="minorBidi"/>
          <w:sz w:val="22"/>
          <w:szCs w:val="22"/>
        </w:rPr>
        <w:t>/---</w:t>
      </w:r>
      <w:proofErr w:type="spellStart"/>
      <w:r w:rsidRPr="00E07BEB">
        <w:rPr>
          <w:rFonts w:asciiTheme="minorHAnsi" w:eastAsiaTheme="minorHAnsi" w:hAnsiTheme="minorHAnsi" w:cstheme="minorBidi"/>
          <w:sz w:val="22"/>
          <w:szCs w:val="22"/>
        </w:rPr>
        <w:t>dcomm</w:t>
      </w:r>
      <w:proofErr w:type="spellEnd"/>
      <w:r w:rsidRPr="00E07BEB">
        <w:rPr>
          <w:rFonts w:asciiTheme="minorHAnsi" w:eastAsiaTheme="minorHAnsi" w:hAnsiTheme="minorHAnsi" w:cstheme="minorBidi"/>
          <w:sz w:val="22"/>
          <w:szCs w:val="22"/>
        </w:rPr>
        <w:t>/---</w:t>
      </w:r>
      <w:proofErr w:type="spellStart"/>
      <w:r w:rsidRPr="00E07BEB">
        <w:rPr>
          <w:rFonts w:asciiTheme="minorHAnsi" w:eastAsiaTheme="minorHAnsi" w:hAnsiTheme="minorHAnsi" w:cstheme="minorBidi"/>
          <w:sz w:val="22"/>
          <w:szCs w:val="22"/>
        </w:rPr>
        <w:t>publ</w:t>
      </w:r>
      <w:proofErr w:type="spellEnd"/>
      <w:r w:rsidRPr="00E07BEB">
        <w:rPr>
          <w:rFonts w:asciiTheme="minorHAnsi" w:eastAsiaTheme="minorHAnsi" w:hAnsiTheme="minorHAnsi" w:cstheme="minorBidi"/>
          <w:sz w:val="22"/>
          <w:szCs w:val="22"/>
        </w:rPr>
        <w:t>/documents/publication/wcms_696174.pdf</w:t>
      </w:r>
    </w:p>
    <w:p w14:paraId="2AB6E5EC"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lang w:val="en-US"/>
        </w:rPr>
        <w:t xml:space="preserve">ILO and UN Women (2021) Rethinking gender-responsive procurement: Enabling an ecosystem for women’s economic empowerment, available at: </w:t>
      </w:r>
      <w:hyperlink r:id="rId62" w:history="1">
        <w:r w:rsidRPr="00E07BEB">
          <w:rPr>
            <w:rFonts w:asciiTheme="minorHAnsi" w:eastAsiaTheme="minorHAnsi" w:hAnsiTheme="minorHAnsi" w:cstheme="minorBidi"/>
            <w:color w:val="0563C1" w:themeColor="hyperlink"/>
            <w:sz w:val="22"/>
            <w:szCs w:val="22"/>
            <w:u w:val="single"/>
            <w:lang w:val="en-US"/>
          </w:rPr>
          <w:t>https://www.unwomen.org/en/digital-library/publications/2021/07/rethinking-gender-responsive-procurement</w:t>
        </w:r>
      </w:hyperlink>
    </w:p>
    <w:p w14:paraId="459F6A99"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t xml:space="preserve">ILO, Measuring the gender wage gap. Türkiye case, available at: </w:t>
      </w:r>
      <w:hyperlink r:id="rId63" w:history="1">
        <w:r w:rsidRPr="00E07BEB">
          <w:rPr>
            <w:rFonts w:asciiTheme="minorHAnsi" w:eastAsiaTheme="minorHAnsi" w:hAnsiTheme="minorHAnsi" w:cstheme="minorBidi"/>
            <w:color w:val="0563C1" w:themeColor="hyperlink"/>
            <w:sz w:val="22"/>
            <w:szCs w:val="22"/>
            <w:u w:val="single"/>
          </w:rPr>
          <w:t>https://www.ilo.org/ankara/publications/WCMS_756660/lang--</w:t>
        </w:r>
        <w:proofErr w:type="spellStart"/>
        <w:r w:rsidRPr="00E07BEB">
          <w:rPr>
            <w:rFonts w:asciiTheme="minorHAnsi" w:eastAsiaTheme="minorHAnsi" w:hAnsiTheme="minorHAnsi" w:cstheme="minorBidi"/>
            <w:color w:val="0563C1" w:themeColor="hyperlink"/>
            <w:sz w:val="22"/>
            <w:szCs w:val="22"/>
            <w:u w:val="single"/>
          </w:rPr>
          <w:t>en</w:t>
        </w:r>
        <w:proofErr w:type="spellEnd"/>
        <w:r w:rsidRPr="00E07BEB">
          <w:rPr>
            <w:rFonts w:asciiTheme="minorHAnsi" w:eastAsiaTheme="minorHAnsi" w:hAnsiTheme="minorHAnsi" w:cstheme="minorBidi"/>
            <w:color w:val="0563C1" w:themeColor="hyperlink"/>
            <w:sz w:val="22"/>
            <w:szCs w:val="22"/>
            <w:u w:val="single"/>
          </w:rPr>
          <w:t>/index.htm</w:t>
        </w:r>
      </w:hyperlink>
    </w:p>
    <w:p w14:paraId="0FC93D96"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u w:val="single"/>
        </w:rPr>
      </w:pPr>
      <w:r w:rsidRPr="00E07BEB">
        <w:rPr>
          <w:rFonts w:asciiTheme="minorHAnsi" w:eastAsiaTheme="minorHAnsi" w:hAnsiTheme="minorHAnsi" w:cstheme="minorBidi"/>
          <w:sz w:val="22"/>
          <w:szCs w:val="22"/>
          <w:lang w:val="en-US"/>
        </w:rPr>
        <w:lastRenderedPageBreak/>
        <w:t xml:space="preserve">ILO, undated. Fact Sheet: Sexual Harassment at Work, Geneva, available at: </w:t>
      </w:r>
      <w:r w:rsidRPr="00E07BEB">
        <w:rPr>
          <w:rFonts w:asciiTheme="minorHAnsi" w:eastAsiaTheme="minorHAnsi" w:hAnsiTheme="minorHAnsi" w:cstheme="minorBidi"/>
          <w:sz w:val="22"/>
          <w:szCs w:val="22"/>
        </w:rPr>
        <w:br/>
      </w:r>
      <w:hyperlink r:id="rId64" w:history="1">
        <w:r w:rsidRPr="00E07BEB">
          <w:rPr>
            <w:rFonts w:asciiTheme="minorHAnsi" w:eastAsiaTheme="minorHAnsi" w:hAnsiTheme="minorHAnsi" w:cstheme="minorBidi"/>
            <w:color w:val="0563C1" w:themeColor="hyperlink"/>
            <w:sz w:val="22"/>
            <w:szCs w:val="22"/>
            <w:u w:val="single"/>
          </w:rPr>
          <w:t>https://www.ilo.org/wcmsp5/groups/public/---</w:t>
        </w:r>
        <w:proofErr w:type="spellStart"/>
        <w:r w:rsidRPr="00E07BEB">
          <w:rPr>
            <w:rFonts w:asciiTheme="minorHAnsi" w:eastAsiaTheme="minorHAnsi" w:hAnsiTheme="minorHAnsi" w:cstheme="minorBidi"/>
            <w:color w:val="0563C1" w:themeColor="hyperlink"/>
            <w:sz w:val="22"/>
            <w:szCs w:val="22"/>
            <w:u w:val="single"/>
          </w:rPr>
          <w:t>ed_norm</w:t>
        </w:r>
        <w:proofErr w:type="spellEnd"/>
        <w:r w:rsidRPr="00E07BEB">
          <w:rPr>
            <w:rFonts w:asciiTheme="minorHAnsi" w:eastAsiaTheme="minorHAnsi" w:hAnsiTheme="minorHAnsi" w:cstheme="minorBidi"/>
            <w:color w:val="0563C1" w:themeColor="hyperlink"/>
            <w:sz w:val="22"/>
            <w:szCs w:val="22"/>
            <w:u w:val="single"/>
          </w:rPr>
          <w:t>/---declaration/documents/publication/wcms_decl_fs_96_en.pdf</w:t>
        </w:r>
      </w:hyperlink>
    </w:p>
    <w:p w14:paraId="364C5A57"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rPr>
        <w:t>IMF (2013) “Women, Work, and the Economy: Macroeconomic Gains from Gender Equity,” IMF Staff Discussion Note, SDN/13/10.</w:t>
      </w:r>
    </w:p>
    <w:p w14:paraId="2A3293F3"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rPr>
        <w:t xml:space="preserve">IMF, Fair Play: More Equal Laws Boost Female Labour Force Participation, available at: </w:t>
      </w:r>
      <w:hyperlink r:id="rId65" w:tgtFrame="_blank" w:history="1">
        <w:r w:rsidRPr="00E07BEB">
          <w:rPr>
            <w:rFonts w:asciiTheme="minorHAnsi" w:eastAsiaTheme="minorHAnsi" w:hAnsiTheme="minorHAnsi" w:cstheme="minorBidi"/>
            <w:color w:val="0563C1" w:themeColor="hyperlink"/>
            <w:sz w:val="22"/>
            <w:szCs w:val="22"/>
            <w:u w:val="single"/>
          </w:rPr>
          <w:t>https://www.imf.org/en/Publications/Staff-Discussion-Notes/Issues/2016/12/31/Fair-Play-More-Equal-Laws-Boost-Female-Labor-Force-Participation-42721</w:t>
        </w:r>
      </w:hyperlink>
    </w:p>
    <w:p w14:paraId="71628AAB"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t xml:space="preserve">Klugman, J., and S. Twigg (2012) “The Role of Laws and Institutions in Expanding Women’s Voice, Agency, and Empowerment.” In The World Bank Legal Review: Legal Innovation and Empowerment for Development, edited by </w:t>
      </w:r>
      <w:proofErr w:type="spellStart"/>
      <w:r w:rsidRPr="00E07BEB">
        <w:rPr>
          <w:rFonts w:asciiTheme="minorHAnsi" w:eastAsiaTheme="minorHAnsi" w:hAnsiTheme="minorHAnsi" w:cstheme="minorBidi"/>
          <w:sz w:val="22"/>
          <w:szCs w:val="22"/>
        </w:rPr>
        <w:t>Cisse</w:t>
      </w:r>
      <w:proofErr w:type="spellEnd"/>
      <w:r w:rsidRPr="00E07BEB">
        <w:rPr>
          <w:rFonts w:asciiTheme="minorHAnsi" w:eastAsiaTheme="minorHAnsi" w:hAnsiTheme="minorHAnsi" w:cstheme="minorBidi"/>
          <w:sz w:val="22"/>
          <w:szCs w:val="22"/>
        </w:rPr>
        <w:t xml:space="preserve"> H., S. Muller, C. Thomas, and W. </w:t>
      </w:r>
      <w:proofErr w:type="spellStart"/>
      <w:r w:rsidRPr="00E07BEB">
        <w:rPr>
          <w:rFonts w:asciiTheme="minorHAnsi" w:eastAsiaTheme="minorHAnsi" w:hAnsiTheme="minorHAnsi" w:cstheme="minorBidi"/>
          <w:sz w:val="22"/>
          <w:szCs w:val="22"/>
        </w:rPr>
        <w:t>Chenguang</w:t>
      </w:r>
      <w:proofErr w:type="spellEnd"/>
      <w:r w:rsidRPr="00E07BEB">
        <w:rPr>
          <w:rFonts w:asciiTheme="minorHAnsi" w:eastAsiaTheme="minorHAnsi" w:hAnsiTheme="minorHAnsi" w:cstheme="minorBidi"/>
          <w:sz w:val="22"/>
          <w:szCs w:val="22"/>
        </w:rPr>
        <w:t>. Washington: World Bank</w:t>
      </w:r>
    </w:p>
    <w:p w14:paraId="6C6EC791"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lang w:val="en-US"/>
        </w:rPr>
        <w:t>Lee, S.; McCann, D.M. and Messenger, J.C. (2007) Working time around the world: Trends in working hours, laws and policies in a global comparative perspective, Routledge Studies in the Modern World Economy (Geneva, ILO).</w:t>
      </w:r>
    </w:p>
    <w:p w14:paraId="70EAF2D8"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rPr>
        <w:t>OECD (2016), ‘Women entrepreneurship Key findings: Türkiye Who wants to be an entrepreneur?’, March 2016, http://www.oecd.org/sdd/business-stats/EaG-Türkiye-Eng.pdf</w:t>
      </w:r>
    </w:p>
    <w:p w14:paraId="00733B57"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rPr>
        <w:t xml:space="preserve">OECD and ILO (2019) </w:t>
      </w:r>
      <w:r w:rsidRPr="00E07BEB">
        <w:rPr>
          <w:rFonts w:asciiTheme="minorHAnsi" w:eastAsiaTheme="minorHAnsi" w:hAnsiTheme="minorHAnsi" w:cstheme="minorBidi"/>
          <w:bCs/>
          <w:sz w:val="22"/>
          <w:szCs w:val="22"/>
          <w:lang w:val="en-US"/>
        </w:rPr>
        <w:t xml:space="preserve">Women at Work in G20 countries: Progress and policy action, available at: </w:t>
      </w:r>
      <w:hyperlink r:id="rId66" w:tgtFrame="_blank" w:history="1">
        <w:r w:rsidRPr="00E07BEB">
          <w:rPr>
            <w:rFonts w:asciiTheme="minorHAnsi" w:eastAsiaTheme="minorHAnsi" w:hAnsiTheme="minorHAnsi" w:cstheme="minorBidi"/>
            <w:bCs/>
            <w:color w:val="0563C1" w:themeColor="hyperlink"/>
            <w:sz w:val="22"/>
            <w:szCs w:val="22"/>
            <w:u w:val="single"/>
          </w:rPr>
          <w:t>https://www.ilo.org/wcmsp5/groups/public/---</w:t>
        </w:r>
        <w:proofErr w:type="spellStart"/>
        <w:r w:rsidRPr="00E07BEB">
          <w:rPr>
            <w:rFonts w:asciiTheme="minorHAnsi" w:eastAsiaTheme="minorHAnsi" w:hAnsiTheme="minorHAnsi" w:cstheme="minorBidi"/>
            <w:bCs/>
            <w:color w:val="0563C1" w:themeColor="hyperlink"/>
            <w:sz w:val="22"/>
            <w:szCs w:val="22"/>
            <w:u w:val="single"/>
          </w:rPr>
          <w:t>dgreports</w:t>
        </w:r>
        <w:proofErr w:type="spellEnd"/>
        <w:r w:rsidRPr="00E07BEB">
          <w:rPr>
            <w:rFonts w:asciiTheme="minorHAnsi" w:eastAsiaTheme="minorHAnsi" w:hAnsiTheme="minorHAnsi" w:cstheme="minorBidi"/>
            <w:bCs/>
            <w:color w:val="0563C1" w:themeColor="hyperlink"/>
            <w:sz w:val="22"/>
            <w:szCs w:val="22"/>
            <w:u w:val="single"/>
          </w:rPr>
          <w:t>/---cabinet/documents/publication/wcms_756334.pdf</w:t>
        </w:r>
      </w:hyperlink>
    </w:p>
    <w:p w14:paraId="5FB81740"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rPr>
      </w:pPr>
      <w:proofErr w:type="spellStart"/>
      <w:r w:rsidRPr="00E07BEB">
        <w:rPr>
          <w:rFonts w:asciiTheme="minorHAnsi" w:eastAsiaTheme="minorHAnsi" w:hAnsiTheme="minorHAnsi" w:cstheme="minorBidi"/>
          <w:sz w:val="22"/>
          <w:szCs w:val="22"/>
        </w:rPr>
        <w:t>Ozar</w:t>
      </w:r>
      <w:proofErr w:type="spellEnd"/>
      <w:r w:rsidRPr="00E07BEB">
        <w:rPr>
          <w:rFonts w:asciiTheme="minorHAnsi" w:eastAsiaTheme="minorHAnsi" w:hAnsiTheme="minorHAnsi" w:cstheme="minorBidi"/>
          <w:sz w:val="22"/>
          <w:szCs w:val="22"/>
        </w:rPr>
        <w:t xml:space="preserve">, S. (2016), ‘Women Entrepreneurs in Türkiye: Obstacles, Potentials, and Prospects’ in </w:t>
      </w:r>
      <w:proofErr w:type="spellStart"/>
      <w:r w:rsidRPr="00E07BEB">
        <w:rPr>
          <w:rFonts w:asciiTheme="minorHAnsi" w:eastAsiaTheme="minorHAnsi" w:hAnsiTheme="minorHAnsi" w:cstheme="minorBidi"/>
          <w:sz w:val="22"/>
          <w:szCs w:val="22"/>
        </w:rPr>
        <w:t>Chamlou</w:t>
      </w:r>
      <w:proofErr w:type="spellEnd"/>
      <w:r w:rsidRPr="00E07BEB">
        <w:rPr>
          <w:rFonts w:asciiTheme="minorHAnsi" w:eastAsiaTheme="minorHAnsi" w:hAnsiTheme="minorHAnsi" w:cstheme="minorBidi"/>
          <w:sz w:val="22"/>
          <w:szCs w:val="22"/>
        </w:rPr>
        <w:t xml:space="preserve">, N. and </w:t>
      </w:r>
      <w:proofErr w:type="spellStart"/>
      <w:r w:rsidRPr="00E07BEB">
        <w:rPr>
          <w:rFonts w:asciiTheme="minorHAnsi" w:eastAsiaTheme="minorHAnsi" w:hAnsiTheme="minorHAnsi" w:cstheme="minorBidi"/>
          <w:sz w:val="22"/>
          <w:szCs w:val="22"/>
        </w:rPr>
        <w:t>Karshenas</w:t>
      </w:r>
      <w:proofErr w:type="spellEnd"/>
      <w:r w:rsidRPr="00E07BEB">
        <w:rPr>
          <w:rFonts w:asciiTheme="minorHAnsi" w:eastAsiaTheme="minorHAnsi" w:hAnsiTheme="minorHAnsi" w:cstheme="minorBidi"/>
          <w:sz w:val="22"/>
          <w:szCs w:val="22"/>
        </w:rPr>
        <w:t>, M. (eds.) Women, Work and Welfare in the Middle East and North Africa, World Scientific</w:t>
      </w:r>
    </w:p>
    <w:p w14:paraId="3460D741"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rPr>
        <w:t xml:space="preserve">Sen, A. (2001) “Many Faces of Gender Inequality.” </w:t>
      </w:r>
      <w:r w:rsidRPr="00E07BEB">
        <w:rPr>
          <w:rFonts w:asciiTheme="minorHAnsi" w:eastAsiaTheme="minorHAnsi" w:hAnsiTheme="minorHAnsi" w:cstheme="minorBidi"/>
          <w:sz w:val="22"/>
          <w:szCs w:val="22"/>
          <w:lang w:val="en-US"/>
        </w:rPr>
        <w:t xml:space="preserve">Frontline 18 (22) available at:  http://www.frontline.in/static/html/fl1822/18220040.htm </w:t>
      </w:r>
    </w:p>
    <w:p w14:paraId="022EB83A"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proofErr w:type="spellStart"/>
      <w:r w:rsidRPr="00E07BEB">
        <w:rPr>
          <w:rFonts w:asciiTheme="minorHAnsi" w:eastAsiaTheme="minorHAnsi" w:hAnsiTheme="minorHAnsi" w:cstheme="minorBidi"/>
          <w:sz w:val="22"/>
          <w:szCs w:val="22"/>
        </w:rPr>
        <w:t>Thévenon</w:t>
      </w:r>
      <w:proofErr w:type="spellEnd"/>
      <w:r w:rsidRPr="00E07BEB">
        <w:rPr>
          <w:rFonts w:asciiTheme="minorHAnsi" w:eastAsiaTheme="minorHAnsi" w:hAnsiTheme="minorHAnsi" w:cstheme="minorBidi"/>
          <w:sz w:val="22"/>
          <w:szCs w:val="22"/>
        </w:rPr>
        <w:t xml:space="preserve"> and </w:t>
      </w:r>
      <w:proofErr w:type="spellStart"/>
      <w:r w:rsidRPr="00E07BEB">
        <w:rPr>
          <w:rFonts w:asciiTheme="minorHAnsi" w:eastAsiaTheme="minorHAnsi" w:hAnsiTheme="minorHAnsi" w:cstheme="minorBidi"/>
          <w:sz w:val="22"/>
          <w:szCs w:val="22"/>
        </w:rPr>
        <w:t>Solaz</w:t>
      </w:r>
      <w:proofErr w:type="spellEnd"/>
      <w:r w:rsidRPr="00E07BEB">
        <w:rPr>
          <w:rFonts w:asciiTheme="minorHAnsi" w:eastAsiaTheme="minorHAnsi" w:hAnsiTheme="minorHAnsi" w:cstheme="minorBidi"/>
          <w:sz w:val="22"/>
          <w:szCs w:val="22"/>
        </w:rPr>
        <w:t xml:space="preserve">. 2013. “Labour Market Effect of Parental Leave Policies in OECD Countries.” OECD Social, Employment and Migration Working Paper No. 141. OECD Publishing, Paris.  </w:t>
      </w:r>
    </w:p>
    <w:p w14:paraId="555E33DA"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rPr>
      </w:pPr>
      <w:proofErr w:type="spellStart"/>
      <w:r w:rsidRPr="00E07BEB">
        <w:rPr>
          <w:rFonts w:asciiTheme="minorHAnsi" w:eastAsiaTheme="minorHAnsi" w:hAnsiTheme="minorHAnsi" w:cstheme="minorBidi"/>
          <w:sz w:val="22"/>
          <w:szCs w:val="22"/>
          <w:lang w:val="en-US"/>
        </w:rPr>
        <w:t>Thévenon</w:t>
      </w:r>
      <w:proofErr w:type="spellEnd"/>
      <w:r w:rsidRPr="00E07BEB">
        <w:rPr>
          <w:rFonts w:asciiTheme="minorHAnsi" w:eastAsiaTheme="minorHAnsi" w:hAnsiTheme="minorHAnsi" w:cstheme="minorBidi"/>
          <w:sz w:val="22"/>
          <w:szCs w:val="22"/>
          <w:lang w:val="en-US"/>
        </w:rPr>
        <w:t xml:space="preserve">, Olivier. </w:t>
      </w:r>
      <w:r w:rsidRPr="00E07BEB">
        <w:rPr>
          <w:rFonts w:asciiTheme="minorHAnsi" w:eastAsiaTheme="minorHAnsi" w:hAnsiTheme="minorHAnsi" w:cstheme="minorBidi"/>
          <w:sz w:val="22"/>
          <w:szCs w:val="22"/>
        </w:rPr>
        <w:t xml:space="preserve">2013. “Drivers of Female Labour Force Participation in the OECD.” OECD Social, Employment and Migration Working Paper No. 145. OECD Publishing, Paris. http://dx.doi.org/10.1787/5k46cvrgnms6-en . </w:t>
      </w:r>
    </w:p>
    <w:p w14:paraId="19F8278A"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lang w:val="en-US"/>
        </w:rPr>
      </w:pPr>
      <w:r w:rsidRPr="00E07BEB">
        <w:rPr>
          <w:rFonts w:asciiTheme="minorHAnsi" w:eastAsiaTheme="minorHAnsi" w:hAnsiTheme="minorHAnsi" w:cstheme="minorBidi"/>
          <w:sz w:val="22"/>
          <w:szCs w:val="22"/>
          <w:lang w:val="en-US"/>
        </w:rPr>
        <w:t xml:space="preserve">UNDP (2020)  COVID-19 will widen poverty gap between women and men, new UN Women and UNDP data shows, New York, available at: </w:t>
      </w:r>
      <w:hyperlink r:id="rId67" w:tgtFrame="_blank" w:history="1">
        <w:r w:rsidRPr="00E07BEB">
          <w:rPr>
            <w:rFonts w:asciiTheme="minorHAnsi" w:eastAsiaTheme="minorHAnsi" w:hAnsiTheme="minorHAnsi" w:cstheme="minorBidi"/>
            <w:color w:val="0563C1" w:themeColor="hyperlink"/>
            <w:sz w:val="22"/>
            <w:szCs w:val="22"/>
            <w:u w:val="single"/>
          </w:rPr>
          <w:t>https://www.undp.org/press-releases/covid-19-will-widen-poverty-gap-between-women-and-men-new-un-women-and-undp-data</w:t>
        </w:r>
      </w:hyperlink>
    </w:p>
    <w:p w14:paraId="60118E7B"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t xml:space="preserve">United Nations (2020) WHO warns of surge of domestic violence as COVID-19 cases decrease in Europe, UN Regional Informational Centre for Western Europe, available at: </w:t>
      </w:r>
      <w:hyperlink r:id="rId68" w:history="1">
        <w:r w:rsidRPr="00E07BEB">
          <w:rPr>
            <w:rFonts w:asciiTheme="minorHAnsi" w:eastAsiaTheme="minorHAnsi" w:hAnsiTheme="minorHAnsi" w:cstheme="minorBidi"/>
            <w:color w:val="0563C1" w:themeColor="hyperlink"/>
            <w:sz w:val="22"/>
            <w:szCs w:val="22"/>
            <w:u w:val="single"/>
          </w:rPr>
          <w:t>https://unric.org/en/who-warns-of-surge-ofdomestic-violence-as-covid-19-cases-decrease-in-europe/</w:t>
        </w:r>
      </w:hyperlink>
    </w:p>
    <w:p w14:paraId="1C93EB1D"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u w:val="single"/>
        </w:rPr>
      </w:pPr>
      <w:r w:rsidRPr="00E07BEB">
        <w:rPr>
          <w:rFonts w:asciiTheme="minorHAnsi" w:eastAsiaTheme="minorHAnsi" w:hAnsiTheme="minorHAnsi" w:cstheme="minorBidi"/>
          <w:sz w:val="22"/>
          <w:szCs w:val="22"/>
        </w:rPr>
        <w:t xml:space="preserve">World Bank. World Development Report 2013:  Jobs. Washington: World Bank, available at: </w:t>
      </w:r>
      <w:r w:rsidRPr="00E07BEB">
        <w:rPr>
          <w:rFonts w:asciiTheme="minorHAnsi" w:eastAsiaTheme="minorHAnsi" w:hAnsiTheme="minorHAnsi" w:cstheme="minorBidi"/>
          <w:sz w:val="22"/>
          <w:szCs w:val="22"/>
        </w:rPr>
        <w:br/>
      </w:r>
      <w:hyperlink r:id="rId69" w:history="1">
        <w:r w:rsidRPr="00E07BEB">
          <w:rPr>
            <w:rFonts w:asciiTheme="minorHAnsi" w:eastAsiaTheme="minorHAnsi" w:hAnsiTheme="minorHAnsi" w:cstheme="minorBidi"/>
            <w:color w:val="0563C1" w:themeColor="hyperlink"/>
            <w:sz w:val="22"/>
            <w:szCs w:val="22"/>
            <w:u w:val="single"/>
          </w:rPr>
          <w:t>https://openknowledge.worldbank.org/handle/10986/11843</w:t>
        </w:r>
      </w:hyperlink>
    </w:p>
    <w:p w14:paraId="71AF769F" w14:textId="77777777" w:rsidR="00E07BEB" w:rsidRPr="00E07BEB" w:rsidRDefault="00E07BEB">
      <w:pPr>
        <w:numPr>
          <w:ilvl w:val="0"/>
          <w:numId w:val="51"/>
        </w:numPr>
        <w:spacing w:after="160" w:line="259" w:lineRule="auto"/>
        <w:contextualSpacing/>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t xml:space="preserve">World Health Organization (2020) the rise and rise of interpersonal violence – an unintended impact of the COVID-19 response on families. Available at: </w:t>
      </w:r>
      <w:hyperlink r:id="rId70" w:history="1">
        <w:r w:rsidRPr="00E07BEB">
          <w:rPr>
            <w:rFonts w:asciiTheme="minorHAnsi" w:eastAsiaTheme="minorHAnsi" w:hAnsiTheme="minorHAnsi" w:cstheme="minorBidi"/>
            <w:color w:val="0563C1" w:themeColor="hyperlink"/>
            <w:sz w:val="22"/>
            <w:szCs w:val="22"/>
            <w:u w:val="single"/>
          </w:rPr>
          <w:t>https://www.euro.who.int/en/health-topics/diseaseprevention/violence-and-injuries/news/news/2020/6/the-rise-and-rise-of-interpersonal-violence-anunintended-impact-of-the-covid-19-response-on-families</w:t>
        </w:r>
      </w:hyperlink>
      <w:r w:rsidRPr="00E07BEB">
        <w:rPr>
          <w:rFonts w:asciiTheme="minorHAnsi" w:eastAsiaTheme="minorHAnsi" w:hAnsiTheme="minorHAnsi" w:cstheme="minorBidi"/>
          <w:sz w:val="22"/>
          <w:szCs w:val="22"/>
        </w:rPr>
        <w:t>.</w:t>
      </w:r>
    </w:p>
    <w:p w14:paraId="7366AFB7" w14:textId="77777777" w:rsidR="00E07BEB" w:rsidRPr="00E07BEB" w:rsidRDefault="00E07BEB" w:rsidP="00E07BEB">
      <w:pPr>
        <w:spacing w:after="160" w:line="259" w:lineRule="auto"/>
        <w:jc w:val="both"/>
        <w:rPr>
          <w:rFonts w:asciiTheme="minorHAnsi" w:eastAsiaTheme="minorHAnsi" w:hAnsiTheme="minorHAnsi" w:cstheme="minorBidi"/>
          <w:sz w:val="22"/>
          <w:szCs w:val="22"/>
        </w:rPr>
      </w:pPr>
    </w:p>
    <w:p w14:paraId="456FE65B" w14:textId="77777777" w:rsidR="00E07BEB" w:rsidRPr="00E07BEB" w:rsidRDefault="00E07BEB" w:rsidP="00E07BEB">
      <w:pPr>
        <w:spacing w:after="160" w:line="259" w:lineRule="auto"/>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lastRenderedPageBreak/>
        <w:t xml:space="preserve">Links: </w:t>
      </w:r>
    </w:p>
    <w:p w14:paraId="70E51A08" w14:textId="77777777" w:rsidR="00E07BEB" w:rsidRPr="00E07BEB" w:rsidRDefault="00E07BEB">
      <w:pPr>
        <w:numPr>
          <w:ilvl w:val="0"/>
          <w:numId w:val="52"/>
        </w:numPr>
        <w:spacing w:after="160" w:line="259" w:lineRule="auto"/>
        <w:contextualSpacing/>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t xml:space="preserve">Council of Europe, Istanbul Convention: </w:t>
      </w:r>
      <w:hyperlink r:id="rId71" w:history="1">
        <w:r w:rsidRPr="00E07BEB">
          <w:rPr>
            <w:rFonts w:asciiTheme="minorHAnsi" w:eastAsiaTheme="minorHAnsi" w:hAnsiTheme="minorHAnsi" w:cstheme="minorBidi"/>
            <w:color w:val="0563C1" w:themeColor="hyperlink"/>
            <w:sz w:val="22"/>
            <w:szCs w:val="22"/>
            <w:u w:val="single"/>
          </w:rPr>
          <w:t>https://www.coe.int/en/web/istanbul-convention/text-of-the-convention</w:t>
        </w:r>
      </w:hyperlink>
    </w:p>
    <w:p w14:paraId="2024911B" w14:textId="77777777" w:rsidR="00E07BEB" w:rsidRPr="00E07BEB" w:rsidRDefault="00E07BEB">
      <w:pPr>
        <w:numPr>
          <w:ilvl w:val="0"/>
          <w:numId w:val="52"/>
        </w:numPr>
        <w:spacing w:after="160" w:line="259" w:lineRule="auto"/>
        <w:contextualSpacing/>
        <w:jc w:val="both"/>
        <w:rPr>
          <w:rFonts w:asciiTheme="minorHAnsi" w:eastAsiaTheme="minorHAnsi" w:hAnsiTheme="minorHAnsi" w:cstheme="minorBidi"/>
          <w:sz w:val="22"/>
          <w:szCs w:val="22"/>
          <w:lang w:val="es-AR"/>
        </w:rPr>
      </w:pPr>
      <w:r w:rsidRPr="00E07BEB">
        <w:rPr>
          <w:rFonts w:asciiTheme="minorHAnsi" w:eastAsiaTheme="minorHAnsi" w:hAnsiTheme="minorHAnsi" w:cstheme="minorBidi"/>
          <w:sz w:val="22"/>
          <w:szCs w:val="22"/>
          <w:lang w:val="es-AR"/>
        </w:rPr>
        <w:t xml:space="preserve">Gobierno de España, 2020. Real Decreto Legislativo 2/2015, de 23 de octubre, </w:t>
      </w:r>
      <w:proofErr w:type="spellStart"/>
      <w:r w:rsidRPr="00E07BEB">
        <w:rPr>
          <w:rFonts w:asciiTheme="minorHAnsi" w:eastAsiaTheme="minorHAnsi" w:hAnsiTheme="minorHAnsi" w:cstheme="minorBidi"/>
          <w:sz w:val="22"/>
          <w:szCs w:val="22"/>
          <w:lang w:val="es-AR"/>
        </w:rPr>
        <w:t>available</w:t>
      </w:r>
      <w:proofErr w:type="spellEnd"/>
      <w:r w:rsidRPr="00E07BEB">
        <w:rPr>
          <w:rFonts w:asciiTheme="minorHAnsi" w:eastAsiaTheme="minorHAnsi" w:hAnsiTheme="minorHAnsi" w:cstheme="minorBidi"/>
          <w:sz w:val="22"/>
          <w:szCs w:val="22"/>
          <w:lang w:val="es-AR"/>
        </w:rPr>
        <w:t xml:space="preserve"> at: </w:t>
      </w:r>
      <w:hyperlink r:id="rId72" w:tgtFrame="_blank" w:history="1">
        <w:r w:rsidRPr="00E07BEB">
          <w:rPr>
            <w:rFonts w:asciiTheme="minorHAnsi" w:eastAsiaTheme="minorHAnsi" w:hAnsiTheme="minorHAnsi" w:cstheme="minorBidi"/>
            <w:color w:val="0563C1" w:themeColor="hyperlink"/>
            <w:sz w:val="22"/>
            <w:szCs w:val="22"/>
            <w:u w:val="single"/>
            <w:lang w:val="es-AR"/>
          </w:rPr>
          <w:t>https://www.boe.es/buscar/act.php?id=BOE-A-2015-11430</w:t>
        </w:r>
      </w:hyperlink>
    </w:p>
    <w:p w14:paraId="35DF7760" w14:textId="77777777" w:rsidR="00E07BEB" w:rsidRPr="00E07BEB" w:rsidRDefault="00A01BDC">
      <w:pPr>
        <w:numPr>
          <w:ilvl w:val="0"/>
          <w:numId w:val="52"/>
        </w:numPr>
        <w:spacing w:after="160" w:line="259" w:lineRule="auto"/>
        <w:contextualSpacing/>
        <w:jc w:val="both"/>
        <w:rPr>
          <w:rFonts w:asciiTheme="minorHAnsi" w:eastAsiaTheme="minorHAnsi" w:hAnsiTheme="minorHAnsi" w:cstheme="minorBidi"/>
          <w:sz w:val="22"/>
          <w:szCs w:val="22"/>
          <w:lang w:val="es-AR"/>
        </w:rPr>
      </w:pPr>
      <w:hyperlink r:id="rId73" w:history="1">
        <w:r w:rsidR="00E07BEB" w:rsidRPr="00E07BEB">
          <w:rPr>
            <w:rFonts w:asciiTheme="minorHAnsi" w:eastAsiaTheme="minorHAnsi" w:hAnsiTheme="minorHAnsi" w:cstheme="minorBidi"/>
            <w:color w:val="0563C1" w:themeColor="hyperlink"/>
            <w:sz w:val="22"/>
            <w:szCs w:val="22"/>
            <w:u w:val="single"/>
            <w:lang w:val="es-AR"/>
          </w:rPr>
          <w:t>https://wbl.worldbank.org/en/wbl</w:t>
        </w:r>
      </w:hyperlink>
    </w:p>
    <w:p w14:paraId="58F36B0D" w14:textId="77777777" w:rsidR="00E07BEB" w:rsidRPr="00E07BEB" w:rsidRDefault="00A01BDC">
      <w:pPr>
        <w:numPr>
          <w:ilvl w:val="0"/>
          <w:numId w:val="52"/>
        </w:numPr>
        <w:spacing w:after="160" w:line="259" w:lineRule="auto"/>
        <w:contextualSpacing/>
        <w:jc w:val="both"/>
        <w:rPr>
          <w:rFonts w:asciiTheme="minorHAnsi" w:eastAsiaTheme="minorHAnsi" w:hAnsiTheme="minorHAnsi" w:cstheme="minorBidi"/>
          <w:sz w:val="22"/>
          <w:szCs w:val="22"/>
          <w:lang w:val="es-AR"/>
        </w:rPr>
      </w:pPr>
      <w:hyperlink r:id="rId74" w:history="1">
        <w:r w:rsidR="00E07BEB" w:rsidRPr="00E07BEB">
          <w:rPr>
            <w:rFonts w:asciiTheme="minorHAnsi" w:eastAsiaTheme="minorHAnsi" w:hAnsiTheme="minorHAnsi" w:cstheme="minorBidi"/>
            <w:color w:val="0563C1" w:themeColor="hyperlink"/>
            <w:sz w:val="22"/>
            <w:szCs w:val="22"/>
            <w:u w:val="single"/>
            <w:lang w:val="es-AR"/>
          </w:rPr>
          <w:t>https://www.aile.gov.tr/ksgm</w:t>
        </w:r>
      </w:hyperlink>
    </w:p>
    <w:p w14:paraId="0D5EAF03" w14:textId="77777777" w:rsidR="00E07BEB" w:rsidRPr="00E07BEB" w:rsidRDefault="00E07BEB">
      <w:pPr>
        <w:numPr>
          <w:ilvl w:val="0"/>
          <w:numId w:val="52"/>
        </w:numPr>
        <w:spacing w:after="160" w:line="259" w:lineRule="auto"/>
        <w:contextualSpacing/>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t xml:space="preserve">National Employment Strategy (2014 – 2023); </w:t>
      </w:r>
      <w:hyperlink r:id="rId75">
        <w:r w:rsidRPr="00E07BEB">
          <w:rPr>
            <w:rFonts w:asciiTheme="minorHAnsi" w:eastAsiaTheme="minorHAnsi" w:hAnsiTheme="minorHAnsi" w:cstheme="minorBidi"/>
            <w:color w:val="0563C1" w:themeColor="hyperlink"/>
            <w:sz w:val="22"/>
            <w:szCs w:val="22"/>
            <w:u w:val="single"/>
          </w:rPr>
          <w:t>http://extwprlegs</w:t>
        </w:r>
      </w:hyperlink>
      <w:r w:rsidRPr="00E07BEB">
        <w:rPr>
          <w:rFonts w:asciiTheme="minorHAnsi" w:eastAsiaTheme="minorHAnsi" w:hAnsiTheme="minorHAnsi" w:cstheme="minorBidi"/>
          <w:sz w:val="22"/>
          <w:szCs w:val="22"/>
        </w:rPr>
        <w:t>1.fao.org/docs/pdf/tur175309.pdf</w:t>
      </w:r>
    </w:p>
    <w:p w14:paraId="046CBF0A" w14:textId="77777777" w:rsidR="00E07BEB" w:rsidRPr="00E07BEB" w:rsidRDefault="00E07BEB">
      <w:pPr>
        <w:numPr>
          <w:ilvl w:val="0"/>
          <w:numId w:val="52"/>
        </w:numPr>
        <w:spacing w:after="160" w:line="259" w:lineRule="auto"/>
        <w:contextualSpacing/>
        <w:jc w:val="both"/>
        <w:rPr>
          <w:rFonts w:asciiTheme="minorHAnsi" w:eastAsiaTheme="minorHAnsi" w:hAnsiTheme="minorHAnsi" w:cstheme="minorBidi"/>
          <w:sz w:val="22"/>
          <w:szCs w:val="22"/>
        </w:rPr>
      </w:pPr>
      <w:r w:rsidRPr="00E07BEB">
        <w:rPr>
          <w:rFonts w:asciiTheme="minorHAnsi" w:eastAsiaTheme="minorHAnsi" w:hAnsiTheme="minorHAnsi" w:cstheme="minorBidi"/>
          <w:sz w:val="22"/>
          <w:szCs w:val="22"/>
        </w:rPr>
        <w:t>The 11</w:t>
      </w:r>
      <w:r w:rsidRPr="00E07BEB">
        <w:rPr>
          <w:rFonts w:asciiTheme="minorHAnsi" w:eastAsiaTheme="minorHAnsi" w:hAnsiTheme="minorHAnsi" w:cstheme="minorBidi"/>
          <w:sz w:val="22"/>
          <w:szCs w:val="22"/>
          <w:vertAlign w:val="superscript"/>
        </w:rPr>
        <w:t>th</w:t>
      </w:r>
      <w:r w:rsidRPr="00E07BEB">
        <w:rPr>
          <w:rFonts w:asciiTheme="minorHAnsi" w:eastAsiaTheme="minorHAnsi" w:hAnsiTheme="minorHAnsi" w:cstheme="minorBidi"/>
          <w:sz w:val="22"/>
          <w:szCs w:val="22"/>
        </w:rPr>
        <w:t xml:space="preserve"> Development Plan: </w:t>
      </w:r>
      <w:hyperlink r:id="rId76" w:history="1">
        <w:r w:rsidRPr="00E07BEB">
          <w:rPr>
            <w:rFonts w:asciiTheme="minorHAnsi" w:eastAsiaTheme="minorHAnsi" w:hAnsiTheme="minorHAnsi" w:cstheme="minorBidi"/>
            <w:color w:val="0563C1" w:themeColor="hyperlink"/>
            <w:sz w:val="22"/>
            <w:szCs w:val="22"/>
            <w:u w:val="single"/>
          </w:rPr>
          <w:t>https://www.sbb.gov.tr/wp-content/uploads/2021/12/Eleventh_Development_Plan_2019-2023.pdf</w:t>
        </w:r>
      </w:hyperlink>
    </w:p>
    <w:p w14:paraId="5AE997E8" w14:textId="66C992DC" w:rsidR="00E07BEB" w:rsidRPr="00E07BEB" w:rsidRDefault="00A45334">
      <w:pPr>
        <w:numPr>
          <w:ilvl w:val="0"/>
          <w:numId w:val="52"/>
        </w:numPr>
        <w:spacing w:after="160" w:line="259" w:lineRule="auto"/>
        <w:contextualSpacing/>
        <w:jc w:val="both"/>
        <w:rPr>
          <w:rFonts w:asciiTheme="minorHAnsi" w:eastAsiaTheme="minorHAnsi" w:hAnsiTheme="minorHAnsi" w:cstheme="minorBidi"/>
          <w:sz w:val="22"/>
          <w:szCs w:val="22"/>
        </w:rPr>
      </w:pPr>
      <w:proofErr w:type="spellStart"/>
      <w:r>
        <w:rPr>
          <w:rFonts w:asciiTheme="minorHAnsi" w:eastAsiaTheme="minorHAnsi" w:hAnsiTheme="minorHAnsi" w:cstheme="minorBidi"/>
          <w:sz w:val="22"/>
          <w:szCs w:val="22"/>
        </w:rPr>
        <w:t>TurkStat</w:t>
      </w:r>
      <w:proofErr w:type="spellEnd"/>
      <w:r w:rsidR="00E07BEB" w:rsidRPr="00E07BEB">
        <w:rPr>
          <w:rFonts w:asciiTheme="minorHAnsi" w:eastAsiaTheme="minorHAnsi" w:hAnsiTheme="minorHAnsi" w:cstheme="minorBidi"/>
          <w:sz w:val="22"/>
          <w:szCs w:val="22"/>
        </w:rPr>
        <w:t xml:space="preserve"> (2020) ‘Women in Statistics 2019’, press release 6 March 2020, available at: https://tuikweb.tuik.gov.tr/PreHaberBultenleri.do?id=33732#:~:text=T%C3%BCrkiye%20%C4%B0statisti k%20Kurumu%2C%20%C4%B0statistiklerle%20Kad%C4%B1n%2C%202019&amp;text=Adrese%20Dayal%C4 %B1%20N%C3%BCfus%20Kay%C4%B1t%20Sistemi,2'sini%20ise%20erkekler%20olu%C5%9Fturdu</w:t>
      </w:r>
    </w:p>
    <w:p w14:paraId="4E757EBD" w14:textId="3C9785DB" w:rsidR="00E07BEB" w:rsidRPr="00E07BEB" w:rsidRDefault="00A45334">
      <w:pPr>
        <w:numPr>
          <w:ilvl w:val="0"/>
          <w:numId w:val="52"/>
        </w:numPr>
        <w:spacing w:after="160" w:line="259" w:lineRule="auto"/>
        <w:contextualSpacing/>
        <w:jc w:val="both"/>
        <w:rPr>
          <w:rFonts w:asciiTheme="minorHAnsi" w:eastAsiaTheme="minorHAnsi" w:hAnsiTheme="minorHAnsi" w:cstheme="minorBidi"/>
          <w:sz w:val="22"/>
          <w:szCs w:val="22"/>
        </w:rPr>
      </w:pPr>
      <w:proofErr w:type="spellStart"/>
      <w:r>
        <w:rPr>
          <w:rFonts w:asciiTheme="minorHAnsi" w:eastAsiaTheme="minorHAnsi" w:hAnsiTheme="minorHAnsi" w:cstheme="minorBidi"/>
          <w:sz w:val="22"/>
          <w:szCs w:val="22"/>
        </w:rPr>
        <w:t>TurkStat</w:t>
      </w:r>
      <w:proofErr w:type="spellEnd"/>
      <w:r w:rsidR="00E07BEB" w:rsidRPr="00E07BEB">
        <w:rPr>
          <w:rFonts w:asciiTheme="minorHAnsi" w:eastAsiaTheme="minorHAnsi" w:hAnsiTheme="minorHAnsi" w:cstheme="minorBidi"/>
          <w:sz w:val="22"/>
          <w:szCs w:val="22"/>
        </w:rPr>
        <w:t xml:space="preserve"> (2021) Women in Statistics, available at: </w:t>
      </w:r>
      <w:hyperlink r:id="rId77" w:anchor=":~:text=The%20rate%20of%20women%20working,females%20and%209.3%25%20for%20males" w:history="1">
        <w:r w:rsidR="00E07BEB" w:rsidRPr="00E07BEB">
          <w:rPr>
            <w:rFonts w:asciiTheme="minorHAnsi" w:eastAsiaTheme="minorHAnsi" w:hAnsiTheme="minorHAnsi" w:cstheme="minorBidi"/>
            <w:color w:val="0563C1" w:themeColor="hyperlink"/>
            <w:sz w:val="22"/>
            <w:szCs w:val="22"/>
            <w:u w:val="single"/>
          </w:rPr>
          <w:t>https://data.tuik.gov.tr/Bulten/Index?p=Istatistiklerle-Kadin-2021-45635&amp;dil=2#:~:text=The%20rate%20of%20women%20working,females%20and%209.3%25%20for%20males</w:t>
        </w:r>
      </w:hyperlink>
    </w:p>
    <w:p w14:paraId="0C8C023D" w14:textId="77777777" w:rsidR="00E07BEB" w:rsidRPr="00E07BEB" w:rsidRDefault="00A01BDC">
      <w:pPr>
        <w:numPr>
          <w:ilvl w:val="0"/>
          <w:numId w:val="52"/>
        </w:numPr>
        <w:spacing w:after="160" w:line="259" w:lineRule="auto"/>
        <w:contextualSpacing/>
        <w:jc w:val="both"/>
        <w:rPr>
          <w:rFonts w:asciiTheme="minorHAnsi" w:eastAsiaTheme="minorHAnsi" w:hAnsiTheme="minorHAnsi" w:cstheme="minorBidi"/>
          <w:sz w:val="22"/>
          <w:szCs w:val="22"/>
        </w:rPr>
      </w:pPr>
      <w:hyperlink r:id="rId78" w:history="1">
        <w:r w:rsidR="00E07BEB" w:rsidRPr="00E07BEB">
          <w:rPr>
            <w:rFonts w:asciiTheme="minorHAnsi" w:eastAsiaTheme="minorHAnsi" w:hAnsiTheme="minorHAnsi" w:cstheme="minorBidi"/>
            <w:color w:val="0563C1" w:themeColor="hyperlink"/>
            <w:sz w:val="22"/>
            <w:szCs w:val="22"/>
            <w:u w:val="single"/>
          </w:rPr>
          <w:t>www.data.tuik.gov.tr</w:t>
        </w:r>
      </w:hyperlink>
    </w:p>
    <w:p w14:paraId="723E8F03" w14:textId="77777777" w:rsidR="00E07BEB" w:rsidRPr="00E07BEB" w:rsidRDefault="00E07BEB" w:rsidP="00E07BEB">
      <w:pPr>
        <w:spacing w:after="160" w:line="259" w:lineRule="auto"/>
        <w:jc w:val="both"/>
        <w:rPr>
          <w:rFonts w:asciiTheme="minorHAnsi" w:eastAsiaTheme="minorHAnsi" w:hAnsiTheme="minorHAnsi" w:cstheme="minorBidi"/>
          <w:sz w:val="22"/>
          <w:szCs w:val="22"/>
        </w:rPr>
      </w:pPr>
    </w:p>
    <w:p w14:paraId="3D240C40" w14:textId="77777777" w:rsidR="004C19E5" w:rsidRPr="00DB0C40" w:rsidRDefault="004C19E5" w:rsidP="004C19E5">
      <w:pPr>
        <w:spacing w:before="240" w:after="240"/>
        <w:rPr>
          <w:sz w:val="22"/>
          <w:szCs w:val="22"/>
        </w:rPr>
      </w:pPr>
    </w:p>
    <w:p w14:paraId="6764C944" w14:textId="2AF6CB38" w:rsidR="00BB44E1" w:rsidRPr="00DB0C40" w:rsidRDefault="00BB44E1">
      <w:pPr>
        <w:spacing w:before="240" w:after="240"/>
        <w:rPr>
          <w:sz w:val="22"/>
          <w:szCs w:val="22"/>
        </w:rPr>
      </w:pPr>
    </w:p>
    <w:p w14:paraId="208A14F0" w14:textId="77777777" w:rsidR="00BB44E1" w:rsidRPr="00DB0C40" w:rsidRDefault="00230B49">
      <w:pPr>
        <w:spacing w:before="240" w:after="240"/>
        <w:rPr>
          <w:sz w:val="22"/>
          <w:szCs w:val="22"/>
        </w:rPr>
      </w:pPr>
      <w:r w:rsidRPr="00DB0C40">
        <w:rPr>
          <w:sz w:val="22"/>
          <w:szCs w:val="22"/>
        </w:rPr>
        <w:t xml:space="preserve"> </w:t>
      </w:r>
    </w:p>
    <w:p w14:paraId="6C520FDB" w14:textId="77777777" w:rsidR="00BB44E1" w:rsidRPr="00DB0C40" w:rsidRDefault="00230B49">
      <w:pPr>
        <w:spacing w:before="240" w:after="240"/>
        <w:rPr>
          <w:sz w:val="22"/>
          <w:szCs w:val="22"/>
        </w:rPr>
      </w:pPr>
      <w:r w:rsidRPr="00DB0C40">
        <w:rPr>
          <w:sz w:val="22"/>
          <w:szCs w:val="22"/>
        </w:rPr>
        <w:t xml:space="preserve"> </w:t>
      </w:r>
    </w:p>
    <w:p w14:paraId="42D14A37" w14:textId="77777777" w:rsidR="007037F9" w:rsidRPr="00C51E07" w:rsidRDefault="007037F9">
      <w:pPr>
        <w:jc w:val="both"/>
        <w:rPr>
          <w:b/>
          <w:sz w:val="22"/>
          <w:szCs w:val="22"/>
          <w:lang w:val="en-US"/>
        </w:rPr>
      </w:pPr>
    </w:p>
    <w:p w14:paraId="40F8B8B2" w14:textId="77777777" w:rsidR="007037F9" w:rsidRPr="00C51E07" w:rsidRDefault="007037F9">
      <w:pPr>
        <w:jc w:val="both"/>
        <w:rPr>
          <w:b/>
          <w:sz w:val="22"/>
          <w:szCs w:val="22"/>
          <w:lang w:val="en-US"/>
        </w:rPr>
      </w:pPr>
    </w:p>
    <w:p w14:paraId="3E266163" w14:textId="77777777" w:rsidR="00BB44E1" w:rsidRPr="00C51E07" w:rsidRDefault="00BB44E1">
      <w:pPr>
        <w:rPr>
          <w:sz w:val="22"/>
          <w:szCs w:val="22"/>
          <w:lang w:val="en-US"/>
        </w:rPr>
      </w:pPr>
    </w:p>
    <w:p w14:paraId="6172E456" w14:textId="77777777" w:rsidR="00BB44E1" w:rsidRPr="00C51E07" w:rsidRDefault="00BB44E1">
      <w:pPr>
        <w:rPr>
          <w:sz w:val="22"/>
          <w:szCs w:val="22"/>
          <w:lang w:val="en-US"/>
        </w:rPr>
      </w:pPr>
    </w:p>
    <w:p w14:paraId="0FAE9B20" w14:textId="77777777" w:rsidR="00BB44E1" w:rsidRPr="00C51E07" w:rsidRDefault="00BB44E1">
      <w:pPr>
        <w:rPr>
          <w:sz w:val="22"/>
          <w:szCs w:val="22"/>
          <w:lang w:val="en-US"/>
        </w:rPr>
      </w:pPr>
    </w:p>
    <w:p w14:paraId="3881D2F9" w14:textId="77777777" w:rsidR="00BB44E1" w:rsidRPr="00C51E07" w:rsidRDefault="00230B49">
      <w:pPr>
        <w:tabs>
          <w:tab w:val="left" w:pos="1470"/>
        </w:tabs>
        <w:rPr>
          <w:sz w:val="22"/>
          <w:szCs w:val="22"/>
          <w:lang w:val="en-US"/>
        </w:rPr>
      </w:pPr>
      <w:r w:rsidRPr="00C51E07">
        <w:rPr>
          <w:sz w:val="22"/>
          <w:szCs w:val="22"/>
          <w:lang w:val="en-US"/>
        </w:rPr>
        <w:tab/>
      </w:r>
    </w:p>
    <w:p w14:paraId="678764B5" w14:textId="77777777" w:rsidR="00BB44E1" w:rsidRPr="00C51E07" w:rsidRDefault="00230B49">
      <w:pPr>
        <w:tabs>
          <w:tab w:val="left" w:pos="3870"/>
        </w:tabs>
        <w:rPr>
          <w:sz w:val="22"/>
          <w:szCs w:val="22"/>
          <w:lang w:val="en-US"/>
        </w:rPr>
      </w:pPr>
      <w:r w:rsidRPr="00C51E07">
        <w:rPr>
          <w:sz w:val="22"/>
          <w:szCs w:val="22"/>
          <w:lang w:val="en-US"/>
        </w:rPr>
        <w:tab/>
      </w:r>
    </w:p>
    <w:p w14:paraId="502F742E" w14:textId="77777777" w:rsidR="00BB44E1" w:rsidRDefault="00230B49">
      <w:pPr>
        <w:rPr>
          <w:sz w:val="22"/>
          <w:szCs w:val="22"/>
        </w:rPr>
      </w:pPr>
      <w:r w:rsidRPr="00C51E07">
        <w:rPr>
          <w:lang w:val="en-US"/>
        </w:rPr>
        <w:br w:type="page"/>
      </w:r>
      <w:r>
        <w:rPr>
          <w:noProof/>
          <w:sz w:val="22"/>
          <w:szCs w:val="22"/>
        </w:rPr>
        <w:lastRenderedPageBreak/>
        <w:drawing>
          <wp:anchor distT="0" distB="0" distL="0" distR="0" simplePos="0" relativeHeight="251663360" behindDoc="1" locked="0" layoutInCell="1" hidden="0" allowOverlap="1" wp14:anchorId="11999DAD" wp14:editId="4D42B922">
            <wp:simplePos x="0" y="0"/>
            <wp:positionH relativeFrom="margin">
              <wp:posOffset>-934084</wp:posOffset>
            </wp:positionH>
            <wp:positionV relativeFrom="page">
              <wp:align>center</wp:align>
            </wp:positionV>
            <wp:extent cx="7560000" cy="10699200"/>
            <wp:effectExtent l="0" t="0" r="0" b="0"/>
            <wp:wrapNone/>
            <wp:docPr id="4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9"/>
                    <a:srcRect/>
                    <a:stretch>
                      <a:fillRect/>
                    </a:stretch>
                  </pic:blipFill>
                  <pic:spPr>
                    <a:xfrm>
                      <a:off x="0" y="0"/>
                      <a:ext cx="7560000" cy="10699200"/>
                    </a:xfrm>
                    <a:prstGeom prst="rect">
                      <a:avLst/>
                    </a:prstGeom>
                    <a:ln/>
                  </pic:spPr>
                </pic:pic>
              </a:graphicData>
            </a:graphic>
          </wp:anchor>
        </w:drawing>
      </w:r>
      <w:r>
        <w:rPr>
          <w:noProof/>
        </w:rPr>
        <mc:AlternateContent>
          <mc:Choice Requires="wps">
            <w:drawing>
              <wp:anchor distT="0" distB="0" distL="114300" distR="114300" simplePos="0" relativeHeight="251664384" behindDoc="0" locked="0" layoutInCell="1" hidden="0" allowOverlap="1" wp14:anchorId="13C52B8A" wp14:editId="0E240CFA">
                <wp:simplePos x="0" y="0"/>
                <wp:positionH relativeFrom="column">
                  <wp:posOffset>-901699</wp:posOffset>
                </wp:positionH>
                <wp:positionV relativeFrom="paragraph">
                  <wp:posOffset>8407400</wp:posOffset>
                </wp:positionV>
                <wp:extent cx="7179945" cy="611505"/>
                <wp:effectExtent l="0" t="0" r="0" b="0"/>
                <wp:wrapNone/>
                <wp:docPr id="41" name="Rectangle 41"/>
                <wp:cNvGraphicFramePr/>
                <a:graphic xmlns:a="http://schemas.openxmlformats.org/drawingml/2006/main">
                  <a:graphicData uri="http://schemas.microsoft.com/office/word/2010/wordprocessingShape">
                    <wps:wsp>
                      <wps:cNvSpPr/>
                      <wps:spPr>
                        <a:xfrm>
                          <a:off x="1760790" y="3479010"/>
                          <a:ext cx="7170420" cy="601980"/>
                        </a:xfrm>
                        <a:prstGeom prst="rect">
                          <a:avLst/>
                        </a:prstGeom>
                        <a:noFill/>
                        <a:ln>
                          <a:noFill/>
                        </a:ln>
                      </wps:spPr>
                      <wps:txbx>
                        <w:txbxContent>
                          <w:p w14:paraId="48A1E421" w14:textId="604E75D3" w:rsidR="00BF6983" w:rsidRDefault="00BF6983">
                            <w:pPr>
                              <w:spacing w:line="288" w:lineRule="auto"/>
                              <w:jc w:val="both"/>
                              <w:textDirection w:val="btLr"/>
                            </w:pPr>
                            <w:r>
                              <w:rPr>
                                <w:color w:val="002060"/>
                                <w:sz w:val="20"/>
                              </w:rPr>
                              <w:t xml:space="preserve">This publication was produced with the financial support of the European Union and the Republic of Türkiye. Its contents are the sole responsibility of the consortium led by WEglobal A.Ş. in consortium with WEglobal Italy, </w:t>
                            </w:r>
                            <w:proofErr w:type="spellStart"/>
                            <w:r>
                              <w:rPr>
                                <w:color w:val="002060"/>
                                <w:sz w:val="20"/>
                              </w:rPr>
                              <w:t>Archidata</w:t>
                            </w:r>
                            <w:proofErr w:type="spellEnd"/>
                            <w:r>
                              <w:rPr>
                                <w:color w:val="002060"/>
                                <w:sz w:val="20"/>
                              </w:rPr>
                              <w:t xml:space="preserve"> </w:t>
                            </w:r>
                            <w:proofErr w:type="spellStart"/>
                            <w:r>
                              <w:rPr>
                                <w:color w:val="002060"/>
                                <w:sz w:val="20"/>
                              </w:rPr>
                              <w:t>Srl</w:t>
                            </w:r>
                            <w:proofErr w:type="spellEnd"/>
                            <w:r>
                              <w:rPr>
                                <w:color w:val="002060"/>
                                <w:sz w:val="20"/>
                              </w:rPr>
                              <w:t xml:space="preserve">, and Federation of </w:t>
                            </w:r>
                            <w:proofErr w:type="spellStart"/>
                            <w:r>
                              <w:rPr>
                                <w:color w:val="002060"/>
                                <w:sz w:val="20"/>
                              </w:rPr>
                              <w:t>Trentina</w:t>
                            </w:r>
                            <w:proofErr w:type="spellEnd"/>
                            <w:r>
                              <w:rPr>
                                <w:color w:val="002060"/>
                                <w:sz w:val="20"/>
                              </w:rPr>
                              <w:t xml:space="preserve"> Cooperatives (FTC) and do not necessarily reflect the views of the European Union and the Republic of Türkiye.</w:t>
                            </w:r>
                          </w:p>
                        </w:txbxContent>
                      </wps:txbx>
                      <wps:bodyPr spcFirstLastPara="1" wrap="square" lIns="0" tIns="0" rIns="0" bIns="0" anchor="t" anchorCtr="0">
                        <a:noAutofit/>
                      </wps:bodyPr>
                    </wps:wsp>
                  </a:graphicData>
                </a:graphic>
              </wp:anchor>
            </w:drawing>
          </mc:Choice>
          <mc:Fallback>
            <w:pict>
              <v:rect w14:anchorId="13C52B8A" id="Rectangle 41" o:spid="_x0000_s1034" style="position:absolute;margin-left:-71pt;margin-top:662pt;width:565.35pt;height:48.1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" filled="f" stroked="f">
                <v:textbox inset="0,0,0,0">
                  <w:txbxContent>
                    <w:p w14:paraId="48A1E421" w14:textId="604E75D3" w:rsidR="00BF6983" w:rsidRDefault="00BF6983">
                      <w:pPr>
                        <w:spacing w:line="288" w:lineRule="auto"/>
                        <w:jc w:val="both"/>
                        <w:textDirection w:val="btLr"/>
                      </w:pPr>
                      <w:r>
                        <w:rPr>
                          <w:color w:val="002060"/>
                          <w:sz w:val="20"/>
                        </w:rPr>
                        <w:t xml:space="preserve">This publication was produced with the financial support of the European Union and the Republic of Türkiye. Its contents are the sole responsibility of the consortium led by WEglobal A.Ş. in consortium with WEglobal Italy, </w:t>
                      </w:r>
                      <w:proofErr w:type="spellStart"/>
                      <w:r>
                        <w:rPr>
                          <w:color w:val="002060"/>
                          <w:sz w:val="20"/>
                        </w:rPr>
                        <w:t>Archidata</w:t>
                      </w:r>
                      <w:proofErr w:type="spellEnd"/>
                      <w:r>
                        <w:rPr>
                          <w:color w:val="002060"/>
                          <w:sz w:val="20"/>
                        </w:rPr>
                        <w:t xml:space="preserve"> </w:t>
                      </w:r>
                      <w:proofErr w:type="spellStart"/>
                      <w:r>
                        <w:rPr>
                          <w:color w:val="002060"/>
                          <w:sz w:val="20"/>
                        </w:rPr>
                        <w:t>Srl</w:t>
                      </w:r>
                      <w:proofErr w:type="spellEnd"/>
                      <w:r>
                        <w:rPr>
                          <w:color w:val="002060"/>
                          <w:sz w:val="20"/>
                        </w:rPr>
                        <w:t xml:space="preserve">, and Federation of </w:t>
                      </w:r>
                      <w:proofErr w:type="spellStart"/>
                      <w:r>
                        <w:rPr>
                          <w:color w:val="002060"/>
                          <w:sz w:val="20"/>
                        </w:rPr>
                        <w:t>Trentina</w:t>
                      </w:r>
                      <w:proofErr w:type="spellEnd"/>
                      <w:r>
                        <w:rPr>
                          <w:color w:val="002060"/>
                          <w:sz w:val="20"/>
                        </w:rPr>
                        <w:t xml:space="preserve"> Cooperatives (FTC) and do not necessarily reflect the views of the European Union and the Republic of Türkiye.</w:t>
                      </w:r>
                    </w:p>
                  </w:txbxContent>
                </v:textbox>
              </v:rect>
            </w:pict>
          </mc:Fallback>
        </mc:AlternateContent>
      </w:r>
    </w:p>
    <w:sectPr w:rsidR="00BB44E1">
      <w:headerReference w:type="default" r:id="rId80"/>
      <w:footerReference w:type="default" r:id="rId81"/>
      <w:pgSz w:w="11900" w:h="16840"/>
      <w:pgMar w:top="1985" w:right="985" w:bottom="1843" w:left="1418" w:header="709" w:footer="987" w:gutter="0"/>
      <w:pgNumType w:start="1"/>
      <w:cols w:space="72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A4DBCC" w16cex:dateUtc="2022-08-15T11:50:00Z"/>
  <w16cex:commentExtensible w16cex:durableId="26A4D945" w16cex:dateUtc="2022-08-15T11:40:00Z"/>
  <w16cex:commentExtensible w16cex:durableId="26A4D996" w16cex:dateUtc="2022-08-15T11:41:00Z"/>
  <w16cex:commentExtensible w16cex:durableId="26A4D9D4" w16cex:dateUtc="2022-08-15T11:42:00Z"/>
  <w16cex:commentExtensible w16cex:durableId="26A4D9FA" w16cex:dateUtc="2022-08-15T11:43:00Z"/>
  <w16cex:commentExtensible w16cex:durableId="26A4DA62" w16cex:dateUtc="2022-08-15T11:44:00Z"/>
  <w16cex:commentExtensible w16cex:durableId="26A4DACF" w16cex:dateUtc="2022-08-15T11:46: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CAF679" w14:textId="77777777" w:rsidR="00A01BDC" w:rsidRDefault="00A01BDC">
      <w:r>
        <w:separator/>
      </w:r>
    </w:p>
  </w:endnote>
  <w:endnote w:type="continuationSeparator" w:id="0">
    <w:p w14:paraId="05D508AD" w14:textId="77777777" w:rsidR="00A01BDC" w:rsidRDefault="00A01B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Times">
    <w:panose1 w:val="02020603050405020304"/>
    <w:charset w:val="00"/>
    <w:family w:val="auto"/>
    <w:pitch w:val="default"/>
  </w:font>
  <w:font w:name="Roboto">
    <w:altName w:val="Arial"/>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29496829"/>
      <w:docPartObj>
        <w:docPartGallery w:val="Page Numbers (Bottom of Page)"/>
        <w:docPartUnique/>
      </w:docPartObj>
    </w:sdtPr>
    <w:sdtEndPr>
      <w:rPr>
        <w:noProof/>
      </w:rPr>
    </w:sdtEndPr>
    <w:sdtContent>
      <w:p w14:paraId="478CCE79" w14:textId="61BCD781" w:rsidR="00BF6983" w:rsidRDefault="00BF6983">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73E34328" w14:textId="77777777" w:rsidR="00BF6983" w:rsidRDefault="00BF698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94268686"/>
      <w:docPartObj>
        <w:docPartGallery w:val="Page Numbers (Bottom of Page)"/>
        <w:docPartUnique/>
      </w:docPartObj>
    </w:sdtPr>
    <w:sdtEndPr>
      <w:rPr>
        <w:rStyle w:val="PageNumber"/>
      </w:rPr>
    </w:sdtEndPr>
    <w:sdtContent>
      <w:p w14:paraId="19EECA87" w14:textId="77777777" w:rsidR="00BF6983" w:rsidRDefault="00BF6983" w:rsidP="00EA37B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8DC6D83" w14:textId="77777777" w:rsidR="00BF6983" w:rsidRDefault="00BF6983">
    <w:pPr>
      <w:pStyle w:val="Footer"/>
    </w:pPr>
  </w:p>
  <w:p w14:paraId="3B623DF1" w14:textId="77777777" w:rsidR="00BF6983" w:rsidRDefault="00BF6983"/>
  <w:p w14:paraId="42EF0A10" w14:textId="77777777" w:rsidR="00BF6983" w:rsidRDefault="00BF6983"/>
  <w:p w14:paraId="6761D489" w14:textId="77777777" w:rsidR="00BF6983" w:rsidRDefault="00BF6983"/>
  <w:p w14:paraId="2F238BF9" w14:textId="77777777" w:rsidR="00BF6983" w:rsidRDefault="00BF6983"/>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DB4860" w14:textId="77777777" w:rsidR="00BF6983" w:rsidRDefault="00BF698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89205415"/>
      <w:docPartObj>
        <w:docPartGallery w:val="Page Numbers (Bottom of Page)"/>
        <w:docPartUnique/>
      </w:docPartObj>
    </w:sdtPr>
    <w:sdtEndPr>
      <w:rPr>
        <w:noProof/>
      </w:rPr>
    </w:sdtEndPr>
    <w:sdtContent>
      <w:p w14:paraId="13039AB7" w14:textId="6A660FDB" w:rsidR="004C7A7B" w:rsidRDefault="004C7A7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A557D26" w14:textId="77777777" w:rsidR="00BF6983" w:rsidRDefault="00BF6983">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385311" w14:textId="77777777" w:rsidR="00A01BDC" w:rsidRDefault="00A01BDC">
      <w:r>
        <w:separator/>
      </w:r>
    </w:p>
  </w:footnote>
  <w:footnote w:type="continuationSeparator" w:id="0">
    <w:p w14:paraId="274B2BB8" w14:textId="77777777" w:rsidR="00A01BDC" w:rsidRDefault="00A01BDC">
      <w:r>
        <w:continuationSeparator/>
      </w:r>
    </w:p>
  </w:footnote>
  <w:footnote w:id="1">
    <w:p w14:paraId="0535A268" w14:textId="77777777" w:rsidR="00BF6983" w:rsidRPr="00604DAD" w:rsidRDefault="00BF6983" w:rsidP="005758B6">
      <w:pPr>
        <w:pStyle w:val="FootnoteText"/>
        <w:rPr>
          <w:rFonts w:ascii="Times New Roman" w:hAnsi="Times New Roman"/>
          <w:sz w:val="18"/>
          <w:szCs w:val="18"/>
        </w:rPr>
      </w:pPr>
      <w:r>
        <w:rPr>
          <w:rStyle w:val="FootnoteReference"/>
        </w:rPr>
        <w:footnoteRef/>
      </w:r>
      <w:r>
        <w:t xml:space="preserve"> </w:t>
      </w:r>
      <w:bookmarkStart w:id="7" w:name="_Hlk82594576"/>
      <w:bookmarkStart w:id="8" w:name="_Hlk82594577"/>
      <w:r w:rsidRPr="00604DAD">
        <w:rPr>
          <w:rFonts w:ascii="Times New Roman" w:hAnsi="Times New Roman"/>
          <w:sz w:val="18"/>
          <w:szCs w:val="18"/>
        </w:rPr>
        <w:t>ILO &amp; UN Women (2021) Empowering Women at Work Government Laws and Policies for Gender Equality</w:t>
      </w:r>
      <w:bookmarkEnd w:id="7"/>
      <w:bookmarkEnd w:id="8"/>
    </w:p>
  </w:footnote>
  <w:footnote w:id="2">
    <w:p w14:paraId="75A422BB" w14:textId="77777777" w:rsidR="00BF6983" w:rsidRPr="00604DAD" w:rsidRDefault="00BF6983" w:rsidP="005758B6">
      <w:pPr>
        <w:pStyle w:val="FootnoteText"/>
        <w:rPr>
          <w:rFonts w:ascii="Times New Roman" w:hAnsi="Times New Roman"/>
          <w:sz w:val="18"/>
          <w:szCs w:val="18"/>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Conventions are international treaties, open for ratification by Member States, which then have the obligation of translating them into national law and putting themselves under international supervision to ensure that they are applying the provisions of the ratified conventions in law and practice.</w:t>
      </w:r>
    </w:p>
  </w:footnote>
  <w:footnote w:id="3">
    <w:p w14:paraId="34D54D8E" w14:textId="6E36AD36" w:rsidR="00BF6983" w:rsidRPr="00F26CD0" w:rsidRDefault="00BF6983" w:rsidP="005758B6">
      <w:pPr>
        <w:pStyle w:val="FootnoteText"/>
      </w:pPr>
      <w:r>
        <w:rPr>
          <w:rStyle w:val="FootnoteReference"/>
        </w:rPr>
        <w:footnoteRef/>
      </w:r>
      <w:r>
        <w:t xml:space="preserve"> </w:t>
      </w:r>
      <w:r w:rsidRPr="00F24FEE">
        <w:rPr>
          <w:rFonts w:ascii="Times New Roman" w:hAnsi="Times New Roman"/>
          <w:sz w:val="18"/>
          <w:szCs w:val="18"/>
        </w:rPr>
        <w:t xml:space="preserve">The ratification of the ILO Conventions is checked in the Government of </w:t>
      </w:r>
      <w:r>
        <w:rPr>
          <w:rFonts w:ascii="Times New Roman" w:hAnsi="Times New Roman"/>
          <w:sz w:val="18"/>
          <w:szCs w:val="18"/>
        </w:rPr>
        <w:t>Türkiye</w:t>
      </w:r>
      <w:r w:rsidRPr="00F24FEE">
        <w:rPr>
          <w:rFonts w:ascii="Times New Roman" w:hAnsi="Times New Roman"/>
          <w:sz w:val="18"/>
          <w:szCs w:val="18"/>
        </w:rPr>
        <w:t xml:space="preserve"> and ILO Ankara websites</w:t>
      </w:r>
      <w:r>
        <w:t xml:space="preserve">. </w:t>
      </w:r>
    </w:p>
  </w:footnote>
  <w:footnote w:id="4">
    <w:p w14:paraId="760D1088" w14:textId="77777777" w:rsidR="00BF6983" w:rsidRPr="00604DAD" w:rsidRDefault="00BF6983" w:rsidP="005758B6">
      <w:pPr>
        <w:pStyle w:val="FootnoteText"/>
        <w:rPr>
          <w:rFonts w:ascii="Times New Roman" w:hAnsi="Times New Roman"/>
          <w:sz w:val="18"/>
          <w:szCs w:val="18"/>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The classification in these three issues follows some publications of ILO, UN Women and EU.</w:t>
      </w:r>
    </w:p>
  </w:footnote>
  <w:footnote w:id="5">
    <w:p w14:paraId="6E402A57" w14:textId="77777777" w:rsidR="00BF6983" w:rsidRPr="00604DAD" w:rsidRDefault="00BF6983" w:rsidP="005758B6">
      <w:pPr>
        <w:pStyle w:val="FootnoteText"/>
        <w:rPr>
          <w:rFonts w:ascii="Times New Roman" w:hAnsi="Times New Roman"/>
          <w:sz w:val="18"/>
          <w:szCs w:val="18"/>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World Economic Forum (2021) Global Gender Gap Report 2020</w:t>
      </w:r>
    </w:p>
  </w:footnote>
  <w:footnote w:id="6">
    <w:p w14:paraId="11974CC9" w14:textId="6D45FB46" w:rsidR="00BF6983" w:rsidRPr="00604DAD" w:rsidRDefault="00BF6983" w:rsidP="005758B6">
      <w:pPr>
        <w:pStyle w:val="FootnoteText"/>
        <w:rPr>
          <w:rFonts w:ascii="Times New Roman" w:hAnsi="Times New Roman"/>
          <w:sz w:val="18"/>
          <w:szCs w:val="18"/>
          <w:lang w:val="en-US"/>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w:t>
      </w:r>
      <w:r w:rsidRPr="00604DAD">
        <w:rPr>
          <w:rFonts w:ascii="Times New Roman" w:hAnsi="Times New Roman"/>
          <w:sz w:val="18"/>
          <w:szCs w:val="18"/>
          <w:lang w:val="en-US"/>
        </w:rPr>
        <w:t xml:space="preserve"> ILO, 2019. </w:t>
      </w:r>
      <w:hyperlink r:id="rId1">
        <w:r w:rsidRPr="00604DAD">
          <w:rPr>
            <w:rStyle w:val="Hyperlink"/>
            <w:rFonts w:ascii="Times New Roman" w:hAnsi="Times New Roman"/>
            <w:sz w:val="18"/>
            <w:szCs w:val="18"/>
            <w:lang w:val="en-US"/>
          </w:rPr>
          <w:t xml:space="preserve">Women in Business and Management: The </w:t>
        </w:r>
      </w:hyperlink>
      <w:r w:rsidRPr="00604DAD">
        <w:rPr>
          <w:rFonts w:ascii="Times New Roman" w:hAnsi="Times New Roman"/>
          <w:sz w:val="18"/>
          <w:szCs w:val="18"/>
          <w:lang w:val="en-US"/>
        </w:rPr>
        <w:t>business case for change, Geneva.</w:t>
      </w:r>
    </w:p>
  </w:footnote>
  <w:footnote w:id="7">
    <w:p w14:paraId="746963A1" w14:textId="77777777" w:rsidR="00BF6983" w:rsidRPr="00136AFF" w:rsidRDefault="00BF6983" w:rsidP="005758B6">
      <w:pPr>
        <w:pStyle w:val="FootnoteText"/>
        <w:rPr>
          <w:rFonts w:ascii="Times New Roman" w:hAnsi="Times New Roman"/>
          <w:sz w:val="18"/>
          <w:szCs w:val="18"/>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w:t>
      </w:r>
      <w:bookmarkStart w:id="30" w:name="_Hlk88652531"/>
      <w:r w:rsidRPr="00604DAD">
        <w:rPr>
          <w:rFonts w:ascii="Times New Roman" w:hAnsi="Times New Roman"/>
          <w:sz w:val="18"/>
          <w:szCs w:val="18"/>
        </w:rPr>
        <w:t xml:space="preserve">These good practices in European countries, both included in ILO and UN Women (2021) </w:t>
      </w:r>
      <w:bookmarkEnd w:id="30"/>
      <w:r w:rsidRPr="00136AFF">
        <w:rPr>
          <w:rFonts w:ascii="Times New Roman" w:hAnsi="Times New Roman"/>
          <w:sz w:val="18"/>
          <w:szCs w:val="18"/>
        </w:rPr>
        <w:t>and the websites of the governments</w:t>
      </w:r>
    </w:p>
    <w:p w14:paraId="0A200290" w14:textId="77777777" w:rsidR="00BF6983" w:rsidRPr="00604DAD" w:rsidRDefault="00BF6983" w:rsidP="005758B6">
      <w:pPr>
        <w:pStyle w:val="FootnoteText"/>
        <w:rPr>
          <w:rFonts w:ascii="Times New Roman" w:hAnsi="Times New Roman"/>
          <w:sz w:val="18"/>
          <w:szCs w:val="18"/>
        </w:rPr>
      </w:pPr>
    </w:p>
  </w:footnote>
  <w:footnote w:id="8">
    <w:p w14:paraId="090F1785" w14:textId="77777777" w:rsidR="00BF6983" w:rsidRPr="00604DAD" w:rsidRDefault="00BF6983" w:rsidP="005758B6">
      <w:pPr>
        <w:pStyle w:val="FootnoteText"/>
        <w:rPr>
          <w:rFonts w:ascii="Times New Roman" w:hAnsi="Times New Roman"/>
          <w:sz w:val="18"/>
          <w:szCs w:val="18"/>
          <w:lang w:val="es-AR"/>
        </w:rPr>
      </w:pPr>
      <w:r w:rsidRPr="00604DAD">
        <w:rPr>
          <w:rStyle w:val="FootnoteReference"/>
          <w:rFonts w:ascii="Times New Roman" w:hAnsi="Times New Roman"/>
          <w:sz w:val="18"/>
          <w:szCs w:val="18"/>
        </w:rPr>
        <w:footnoteRef/>
      </w:r>
      <w:r w:rsidRPr="00604DAD">
        <w:rPr>
          <w:rFonts w:ascii="Times New Roman" w:hAnsi="Times New Roman"/>
          <w:sz w:val="18"/>
          <w:szCs w:val="18"/>
          <w:lang w:val="es-AR"/>
        </w:rPr>
        <w:t xml:space="preserve"> Gobierno de España, 2020. Real Decreto Legislativo 2/2015, de 23 de octubre, por el que se aprueba el texto refundido de la Ley del Estatuto de los Trabajadores and ILO NATLEX, Real Decreto Legislativo núm. 1/1994, de 20 de junio, por el que se aprueba el texto refundido de la ley general de la seguridad social.</w:t>
      </w:r>
    </w:p>
  </w:footnote>
  <w:footnote w:id="9">
    <w:p w14:paraId="23060E8D" w14:textId="77777777" w:rsidR="00BF6983" w:rsidRPr="00604DAD" w:rsidRDefault="00BF6983" w:rsidP="005758B6">
      <w:pPr>
        <w:pStyle w:val="FootnoteText"/>
        <w:rPr>
          <w:rFonts w:ascii="Times New Roman" w:hAnsi="Times New Roman"/>
          <w:sz w:val="18"/>
          <w:szCs w:val="18"/>
          <w:lang w:val="en-US"/>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w:t>
      </w:r>
      <w:r w:rsidRPr="00604DAD">
        <w:rPr>
          <w:rFonts w:ascii="Times New Roman" w:hAnsi="Times New Roman"/>
          <w:sz w:val="18"/>
          <w:szCs w:val="18"/>
          <w:lang w:val="en-US"/>
        </w:rPr>
        <w:t xml:space="preserve">UNDP, 2020. </w:t>
      </w:r>
      <w:hyperlink r:id="rId2">
        <w:r w:rsidRPr="00604DAD">
          <w:rPr>
            <w:rStyle w:val="Hyperlink"/>
            <w:rFonts w:ascii="Times New Roman" w:hAnsi="Times New Roman"/>
            <w:sz w:val="18"/>
            <w:szCs w:val="18"/>
            <w:lang w:val="en-US"/>
          </w:rPr>
          <w:t>COVID-19 will widen poverty gap between women and men, new UN Women and UNDP data</w:t>
        </w:r>
      </w:hyperlink>
      <w:r w:rsidRPr="00604DAD">
        <w:rPr>
          <w:rFonts w:ascii="Times New Roman" w:hAnsi="Times New Roman"/>
          <w:sz w:val="18"/>
          <w:szCs w:val="18"/>
          <w:lang w:val="en-US"/>
        </w:rPr>
        <w:t xml:space="preserve"> </w:t>
      </w:r>
      <w:hyperlink r:id="rId3">
        <w:r w:rsidRPr="00604DAD">
          <w:rPr>
            <w:rStyle w:val="Hyperlink"/>
            <w:rFonts w:ascii="Times New Roman" w:hAnsi="Times New Roman"/>
            <w:sz w:val="18"/>
            <w:szCs w:val="18"/>
            <w:lang w:val="en-US"/>
          </w:rPr>
          <w:t>shows</w:t>
        </w:r>
      </w:hyperlink>
      <w:r w:rsidRPr="00604DAD">
        <w:rPr>
          <w:rFonts w:ascii="Times New Roman" w:hAnsi="Times New Roman"/>
          <w:sz w:val="18"/>
          <w:szCs w:val="18"/>
          <w:lang w:val="en-US"/>
        </w:rPr>
        <w:t>, New York.</w:t>
      </w:r>
    </w:p>
    <w:p w14:paraId="3A690AC5" w14:textId="77777777" w:rsidR="00BF6983" w:rsidRPr="00604DAD" w:rsidRDefault="00BF6983" w:rsidP="005758B6">
      <w:pPr>
        <w:pStyle w:val="FootnoteText"/>
        <w:rPr>
          <w:rFonts w:ascii="Times New Roman" w:hAnsi="Times New Roman"/>
          <w:sz w:val="18"/>
          <w:szCs w:val="18"/>
          <w:lang w:val="en-US"/>
        </w:rPr>
      </w:pPr>
    </w:p>
  </w:footnote>
  <w:footnote w:id="10">
    <w:p w14:paraId="6ACEEF58" w14:textId="77777777" w:rsidR="00BF6983" w:rsidRPr="00604DAD" w:rsidRDefault="00BF6983" w:rsidP="005758B6">
      <w:pPr>
        <w:pStyle w:val="FootnoteText"/>
        <w:rPr>
          <w:rFonts w:ascii="Times New Roman" w:hAnsi="Times New Roman"/>
          <w:sz w:val="18"/>
          <w:szCs w:val="18"/>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This information is included in the Report 2021 – ILO &amp; UN Women </w:t>
      </w:r>
    </w:p>
  </w:footnote>
  <w:footnote w:id="11">
    <w:p w14:paraId="4AB4BFF4" w14:textId="461BED82" w:rsidR="00BF6983" w:rsidRPr="00604DAD" w:rsidRDefault="00BF6983" w:rsidP="005758B6">
      <w:pPr>
        <w:pStyle w:val="FootnoteText"/>
        <w:rPr>
          <w:rFonts w:ascii="Times New Roman" w:hAnsi="Times New Roman"/>
          <w:sz w:val="18"/>
          <w:szCs w:val="18"/>
          <w:lang w:val="en-US"/>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w:t>
      </w:r>
      <w:r w:rsidRPr="0024145A">
        <w:rPr>
          <w:rFonts w:ascii="Times New Roman" w:hAnsi="Times New Roman"/>
          <w:sz w:val="18"/>
          <w:szCs w:val="18"/>
          <w:lang w:val="en-US"/>
        </w:rPr>
        <w:t xml:space="preserve">European Commission, 2019. </w:t>
      </w:r>
      <w:hyperlink r:id="rId4">
        <w:r w:rsidRPr="0024145A">
          <w:rPr>
            <w:rStyle w:val="Hyperlink"/>
            <w:rFonts w:ascii="Times New Roman" w:hAnsi="Times New Roman"/>
            <w:sz w:val="18"/>
            <w:szCs w:val="18"/>
            <w:lang w:val="en-US"/>
          </w:rPr>
          <w:t>2019 Report on equality between women and men in the EU</w:t>
        </w:r>
      </w:hyperlink>
      <w:r w:rsidRPr="0024145A">
        <w:rPr>
          <w:rFonts w:ascii="Times New Roman" w:hAnsi="Times New Roman"/>
          <w:sz w:val="18"/>
          <w:szCs w:val="18"/>
          <w:lang w:val="en-US"/>
        </w:rPr>
        <w:t>, Brussels</w:t>
      </w:r>
      <w:r w:rsidRPr="00604DAD">
        <w:rPr>
          <w:rFonts w:ascii="Times New Roman" w:hAnsi="Times New Roman"/>
          <w:sz w:val="18"/>
          <w:szCs w:val="18"/>
          <w:lang w:val="en-US"/>
        </w:rPr>
        <w:t xml:space="preserve"> and </w:t>
      </w:r>
      <w:r w:rsidRPr="0024145A">
        <w:rPr>
          <w:rFonts w:ascii="Times New Roman" w:hAnsi="Times New Roman"/>
          <w:sz w:val="18"/>
          <w:szCs w:val="18"/>
          <w:lang w:val="en-US"/>
        </w:rPr>
        <w:t xml:space="preserve">ILO, undated. </w:t>
      </w:r>
      <w:hyperlink r:id="rId5">
        <w:r w:rsidRPr="0024145A">
          <w:rPr>
            <w:rStyle w:val="Hyperlink"/>
            <w:rFonts w:ascii="Times New Roman" w:hAnsi="Times New Roman"/>
            <w:sz w:val="18"/>
            <w:szCs w:val="18"/>
            <w:lang w:val="en-US"/>
          </w:rPr>
          <w:t>Fact Sheet: Sexual Harassment at Work</w:t>
        </w:r>
      </w:hyperlink>
      <w:r w:rsidRPr="0024145A">
        <w:rPr>
          <w:rFonts w:ascii="Times New Roman" w:hAnsi="Times New Roman"/>
          <w:sz w:val="18"/>
          <w:szCs w:val="18"/>
          <w:lang w:val="en-US"/>
        </w:rPr>
        <w:t>, Geneva.</w:t>
      </w:r>
    </w:p>
  </w:footnote>
  <w:footnote w:id="12">
    <w:p w14:paraId="1334E1A3" w14:textId="77777777" w:rsidR="00BF6983" w:rsidRPr="00E46F31" w:rsidRDefault="00BF6983" w:rsidP="005758B6">
      <w:pPr>
        <w:pStyle w:val="FootnoteText"/>
        <w:rPr>
          <w:rFonts w:ascii="Times New Roman" w:hAnsi="Times New Roman"/>
          <w:sz w:val="18"/>
          <w:szCs w:val="18"/>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w:t>
      </w:r>
      <w:r w:rsidRPr="00E46F31">
        <w:rPr>
          <w:rFonts w:ascii="Times New Roman" w:hAnsi="Times New Roman"/>
          <w:sz w:val="18"/>
          <w:szCs w:val="18"/>
        </w:rPr>
        <w:t>The concept of “violence and harassment” is defined as “unacceptable behaviours and practices, or threats thereof, whether a single occurrence or repeated, that aim at, result in, or are likely to result in physical, psychological, sexual or economic harm, and includes gender-based violence and harassment, including sexual harassment.”</w:t>
      </w:r>
    </w:p>
  </w:footnote>
  <w:footnote w:id="13">
    <w:p w14:paraId="6EC0F690" w14:textId="77777777" w:rsidR="00BF6983" w:rsidRPr="00E46F31" w:rsidRDefault="00BF6983" w:rsidP="005758B6">
      <w:pPr>
        <w:pStyle w:val="FootnoteText"/>
        <w:rPr>
          <w:rFonts w:ascii="Times New Roman" w:hAnsi="Times New Roman"/>
          <w:sz w:val="18"/>
          <w:szCs w:val="18"/>
        </w:rPr>
      </w:pPr>
      <w:r w:rsidRPr="00E46F31">
        <w:rPr>
          <w:rStyle w:val="FootnoteReference"/>
          <w:rFonts w:ascii="Times New Roman" w:hAnsi="Times New Roman"/>
          <w:sz w:val="18"/>
          <w:szCs w:val="18"/>
        </w:rPr>
        <w:footnoteRef/>
      </w:r>
      <w:r w:rsidRPr="00E46F31">
        <w:rPr>
          <w:rFonts w:ascii="Times New Roman" w:hAnsi="Times New Roman"/>
          <w:sz w:val="18"/>
          <w:szCs w:val="18"/>
        </w:rPr>
        <w:t xml:space="preserve"> Council of Europe, Istanbul Convention, available at: https://www.coe.int/en/web/istanbul-convention/text-of-the-convention</w:t>
      </w:r>
    </w:p>
    <w:p w14:paraId="7BBFF608" w14:textId="77777777" w:rsidR="00BF6983" w:rsidRPr="00EC655C" w:rsidRDefault="00BF6983" w:rsidP="005758B6">
      <w:pPr>
        <w:pStyle w:val="FootnoteText"/>
      </w:pPr>
    </w:p>
  </w:footnote>
  <w:footnote w:id="14">
    <w:p w14:paraId="0E4E9DB3" w14:textId="77777777" w:rsidR="00BF6983" w:rsidRPr="00604DAD" w:rsidRDefault="00BF6983" w:rsidP="005758B6">
      <w:pPr>
        <w:pStyle w:val="FootnoteText"/>
        <w:rPr>
          <w:rFonts w:ascii="Times New Roman" w:hAnsi="Times New Roman"/>
          <w:sz w:val="18"/>
          <w:szCs w:val="18"/>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European Commission (2021) 2021 report on gender equality in the EU</w:t>
      </w:r>
    </w:p>
  </w:footnote>
  <w:footnote w:id="15">
    <w:p w14:paraId="79049B30" w14:textId="77777777" w:rsidR="00BF6983" w:rsidRPr="000216A4" w:rsidRDefault="00BF6983" w:rsidP="005758B6">
      <w:pPr>
        <w:pStyle w:val="FootnoteText"/>
        <w:rPr>
          <w:rFonts w:ascii="Times New Roman" w:hAnsi="Times New Roman"/>
          <w:sz w:val="18"/>
          <w:szCs w:val="18"/>
        </w:rPr>
      </w:pPr>
      <w:r>
        <w:rPr>
          <w:rStyle w:val="FootnoteReference"/>
        </w:rPr>
        <w:footnoteRef/>
      </w:r>
      <w:r>
        <w:t xml:space="preserve"> </w:t>
      </w:r>
      <w:r w:rsidRPr="000216A4">
        <w:rPr>
          <w:rFonts w:ascii="Times New Roman" w:hAnsi="Times New Roman"/>
          <w:sz w:val="18"/>
          <w:szCs w:val="18"/>
        </w:rPr>
        <w:t>These good practices in European countries, both included in ILO and UN Women (2021)</w:t>
      </w:r>
    </w:p>
  </w:footnote>
  <w:footnote w:id="16">
    <w:p w14:paraId="40C2855C" w14:textId="77777777" w:rsidR="00BF6983" w:rsidRPr="00604DAD" w:rsidRDefault="00BF6983" w:rsidP="005758B6">
      <w:pPr>
        <w:pStyle w:val="FootnoteText"/>
        <w:rPr>
          <w:rFonts w:ascii="Times New Roman" w:hAnsi="Times New Roman"/>
          <w:sz w:val="18"/>
          <w:szCs w:val="18"/>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World Health Organization, the rise and rise of interpersonal violence – an unintended impact of the COVID-19 response on families, 2020. Available at: https://www.euro.who.int/en/health-topics/diseaseprevention/violence-and-injuries/news/news/2020/6/the-rise-and-rise-of-interpersonal-violence-anunintended-impact-of-the-covid-19-response-on-families.</w:t>
      </w:r>
    </w:p>
    <w:p w14:paraId="0182FD42" w14:textId="77777777" w:rsidR="00BF6983" w:rsidRPr="00604DAD" w:rsidRDefault="00BF6983" w:rsidP="005758B6">
      <w:pPr>
        <w:pStyle w:val="FootnoteText"/>
        <w:rPr>
          <w:rFonts w:ascii="Times New Roman" w:hAnsi="Times New Roman"/>
          <w:sz w:val="18"/>
          <w:szCs w:val="18"/>
        </w:rPr>
      </w:pPr>
      <w:r w:rsidRPr="00604DAD">
        <w:rPr>
          <w:rFonts w:ascii="Times New Roman" w:hAnsi="Times New Roman"/>
          <w:sz w:val="18"/>
          <w:szCs w:val="18"/>
        </w:rPr>
        <w:t xml:space="preserve"> United Nations, WHO warns of surge of domestic violence as COVID-19 cases decrease in Europe, UN Regional Informational Centre for Western Europe, 2020, available at: https://unric.org/en/who-warns-of-surge-ofdomestic-violence-as-covid-19-cases-decrease-in-europe/. </w:t>
      </w:r>
    </w:p>
    <w:p w14:paraId="193A707F" w14:textId="77777777" w:rsidR="00BF6983" w:rsidRPr="00BC6F80" w:rsidRDefault="00BF6983" w:rsidP="005758B6">
      <w:pPr>
        <w:pStyle w:val="FootnoteText"/>
        <w:rPr>
          <w:rFonts w:ascii="Times New Roman" w:hAnsi="Times New Roman"/>
          <w:sz w:val="18"/>
          <w:szCs w:val="18"/>
        </w:rPr>
      </w:pPr>
      <w:r w:rsidRPr="00604DAD">
        <w:rPr>
          <w:rFonts w:ascii="Times New Roman" w:hAnsi="Times New Roman"/>
          <w:sz w:val="18"/>
          <w:szCs w:val="18"/>
        </w:rPr>
        <w:t xml:space="preserve">Arenas-Arroyo, E.; Fernandez-Kranz, D.; </w:t>
      </w:r>
      <w:proofErr w:type="spellStart"/>
      <w:r w:rsidRPr="00604DAD">
        <w:rPr>
          <w:rFonts w:ascii="Times New Roman" w:hAnsi="Times New Roman"/>
          <w:sz w:val="18"/>
          <w:szCs w:val="18"/>
        </w:rPr>
        <w:t>Nollenberger</w:t>
      </w:r>
      <w:proofErr w:type="spellEnd"/>
      <w:r w:rsidRPr="00604DAD">
        <w:rPr>
          <w:rFonts w:ascii="Times New Roman" w:hAnsi="Times New Roman"/>
          <w:sz w:val="18"/>
          <w:szCs w:val="18"/>
        </w:rPr>
        <w:t>, N., ‘Can’t Leave You Now! Intimate Partner Violence under Forced Coexistence and Economic Uncertainty,’ IZA Institute of Labour Economics, Discussion Paper Series No.13570, 2020. Available at https://covid-19.iza.org/publications/dp13570/.</w:t>
      </w:r>
    </w:p>
  </w:footnote>
  <w:footnote w:id="17">
    <w:p w14:paraId="71FA6F5B" w14:textId="77777777" w:rsidR="00BF6983" w:rsidRPr="00BC6F80" w:rsidRDefault="00BF6983" w:rsidP="005758B6">
      <w:pPr>
        <w:pStyle w:val="FootnoteText"/>
        <w:rPr>
          <w:rFonts w:ascii="Times New Roman" w:hAnsi="Times New Roman"/>
          <w:sz w:val="18"/>
          <w:szCs w:val="18"/>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w:t>
      </w:r>
      <w:r w:rsidRPr="00BC6F80">
        <w:rPr>
          <w:rFonts w:ascii="Times New Roman" w:hAnsi="Times New Roman"/>
          <w:sz w:val="18"/>
          <w:szCs w:val="18"/>
        </w:rPr>
        <w:t>ILO and UN Women (2021)</w:t>
      </w:r>
    </w:p>
  </w:footnote>
  <w:footnote w:id="18">
    <w:p w14:paraId="2F8EFCBE" w14:textId="77777777" w:rsidR="00BF6983" w:rsidRPr="000216A4" w:rsidRDefault="00BF6983" w:rsidP="005758B6">
      <w:pPr>
        <w:pStyle w:val="FootnoteText"/>
        <w:rPr>
          <w:rFonts w:ascii="Times New Roman" w:hAnsi="Times New Roman"/>
          <w:sz w:val="18"/>
          <w:szCs w:val="18"/>
        </w:rPr>
      </w:pPr>
      <w:r>
        <w:rPr>
          <w:rStyle w:val="FootnoteReference"/>
        </w:rPr>
        <w:footnoteRef/>
      </w:r>
      <w:r w:rsidRPr="000216A4">
        <w:rPr>
          <w:rFonts w:ascii="Times New Roman" w:hAnsi="Times New Roman"/>
          <w:sz w:val="18"/>
          <w:szCs w:val="18"/>
        </w:rPr>
        <w:t>These good practices in European countries, both included in ILO and UN Women (2021) and the websites of the governments</w:t>
      </w:r>
    </w:p>
    <w:p w14:paraId="1B82DEDD" w14:textId="77777777" w:rsidR="00BF6983" w:rsidRPr="000216A4" w:rsidRDefault="00BF6983" w:rsidP="005758B6">
      <w:pPr>
        <w:pStyle w:val="FootnoteText"/>
        <w:rPr>
          <w:rFonts w:ascii="Times New Roman" w:hAnsi="Times New Roman"/>
          <w:sz w:val="18"/>
          <w:szCs w:val="18"/>
        </w:rPr>
      </w:pPr>
    </w:p>
  </w:footnote>
  <w:footnote w:id="19">
    <w:p w14:paraId="06AC95F6" w14:textId="77777777" w:rsidR="00BF6983" w:rsidRPr="00BC6F80" w:rsidRDefault="00BF6983" w:rsidP="005758B6">
      <w:pPr>
        <w:pStyle w:val="FootnoteText"/>
        <w:rPr>
          <w:rFonts w:ascii="Times New Roman" w:hAnsi="Times New Roman"/>
          <w:sz w:val="18"/>
          <w:szCs w:val="18"/>
        </w:rPr>
      </w:pPr>
      <w:r w:rsidRPr="00604DAD">
        <w:rPr>
          <w:rStyle w:val="FootnoteReference"/>
          <w:rFonts w:ascii="Times New Roman" w:hAnsi="Times New Roman"/>
          <w:sz w:val="18"/>
          <w:szCs w:val="18"/>
        </w:rPr>
        <w:footnoteRef/>
      </w:r>
      <w:r w:rsidRPr="00604DAD">
        <w:rPr>
          <w:rFonts w:ascii="Times New Roman" w:hAnsi="Times New Roman"/>
          <w:sz w:val="18"/>
          <w:szCs w:val="18"/>
        </w:rPr>
        <w:t xml:space="preserve"> ILO, 2019.A quantum leap for gender equality: For a better future of work for all, Geneva. Deloitte Global Centre for Corporate Governance, 2017. Women in the boardroom: A global perspective, 5</w:t>
      </w:r>
      <w:r w:rsidRPr="00604DAD">
        <w:rPr>
          <w:rFonts w:ascii="Times New Roman" w:hAnsi="Times New Roman"/>
          <w:sz w:val="18"/>
          <w:szCs w:val="18"/>
          <w:vertAlign w:val="superscript"/>
        </w:rPr>
        <w:t>th</w:t>
      </w:r>
      <w:r w:rsidRPr="00604DAD">
        <w:rPr>
          <w:rFonts w:ascii="Times New Roman" w:hAnsi="Times New Roman"/>
          <w:sz w:val="18"/>
          <w:szCs w:val="18"/>
        </w:rPr>
        <w:t xml:space="preserve"> Edition.</w:t>
      </w:r>
    </w:p>
  </w:footnote>
  <w:footnote w:id="20">
    <w:p w14:paraId="2601B165" w14:textId="77777777" w:rsidR="00BF6983" w:rsidRPr="000216A4" w:rsidRDefault="00BF6983" w:rsidP="005758B6">
      <w:pPr>
        <w:pStyle w:val="FootnoteText"/>
        <w:rPr>
          <w:rFonts w:ascii="Times New Roman" w:hAnsi="Times New Roman"/>
          <w:sz w:val="18"/>
          <w:szCs w:val="18"/>
        </w:rPr>
      </w:pPr>
      <w:r>
        <w:rPr>
          <w:rStyle w:val="FootnoteReference"/>
        </w:rPr>
        <w:footnoteRef/>
      </w:r>
      <w:r>
        <w:t xml:space="preserve"> </w:t>
      </w:r>
      <w:r w:rsidRPr="000216A4">
        <w:rPr>
          <w:rFonts w:ascii="Times New Roman" w:hAnsi="Times New Roman"/>
          <w:sz w:val="18"/>
          <w:szCs w:val="18"/>
        </w:rPr>
        <w:t>These good practices in European countries, both included in ILO and UN Women (2021) and the websites of the governments</w:t>
      </w:r>
    </w:p>
    <w:p w14:paraId="29FF3DEB" w14:textId="77777777" w:rsidR="00BF6983" w:rsidRPr="000216A4" w:rsidRDefault="00BF6983" w:rsidP="005758B6">
      <w:pPr>
        <w:pStyle w:val="FootnoteText"/>
        <w:rPr>
          <w:rFonts w:ascii="Times New Roman" w:hAnsi="Times New Roman"/>
          <w:sz w:val="18"/>
          <w:szCs w:val="18"/>
        </w:rPr>
      </w:pPr>
    </w:p>
  </w:footnote>
  <w:footnote w:id="21">
    <w:p w14:paraId="3FF72C20" w14:textId="77777777" w:rsidR="00BF6983" w:rsidRPr="000216A4" w:rsidRDefault="00BF6983" w:rsidP="00A45334">
      <w:pPr>
        <w:pStyle w:val="FootnoteText"/>
        <w:jc w:val="both"/>
        <w:rPr>
          <w:rFonts w:ascii="Times New Roman" w:hAnsi="Times New Roman"/>
          <w:sz w:val="18"/>
          <w:szCs w:val="18"/>
        </w:rPr>
      </w:pPr>
      <w:r>
        <w:rPr>
          <w:rStyle w:val="FootnoteReference"/>
        </w:rPr>
        <w:footnoteRef/>
      </w:r>
      <w:r>
        <w:t xml:space="preserve"> </w:t>
      </w:r>
      <w:r w:rsidRPr="000216A4">
        <w:rPr>
          <w:rFonts w:ascii="Times New Roman" w:hAnsi="Times New Roman"/>
          <w:sz w:val="18"/>
          <w:szCs w:val="18"/>
        </w:rPr>
        <w:t>These good practices in European countries, both included in ILO and UN Women (2021)</w:t>
      </w:r>
      <w:r>
        <w:rPr>
          <w:rFonts w:ascii="Times New Roman" w:hAnsi="Times New Roman"/>
          <w:sz w:val="18"/>
          <w:szCs w:val="18"/>
        </w:rPr>
        <w:t xml:space="preserve"> </w:t>
      </w:r>
      <w:bookmarkStart w:id="62" w:name="_Hlk88652728"/>
      <w:r>
        <w:rPr>
          <w:rFonts w:ascii="Times New Roman" w:hAnsi="Times New Roman"/>
          <w:sz w:val="18"/>
          <w:szCs w:val="18"/>
        </w:rPr>
        <w:t>and the websites of the governments</w:t>
      </w:r>
      <w:bookmarkEnd w:id="62"/>
    </w:p>
  </w:footnote>
  <w:footnote w:id="22">
    <w:p w14:paraId="17C53974" w14:textId="77777777" w:rsidR="00BF6983" w:rsidRDefault="00BF6983">
      <w:pPr>
        <w:pBdr>
          <w:top w:val="nil"/>
          <w:left w:val="nil"/>
          <w:bottom w:val="nil"/>
          <w:right w:val="nil"/>
          <w:between w:val="nil"/>
        </w:pBdr>
        <w:rPr>
          <w:color w:val="000000"/>
          <w:sz w:val="20"/>
          <w:szCs w:val="20"/>
        </w:rPr>
      </w:pPr>
      <w:r>
        <w:rPr>
          <w:rStyle w:val="FootnoteReference"/>
          <w:vertAlign w:val="superscript"/>
        </w:rPr>
        <w:footnoteRef/>
      </w:r>
      <w:r>
        <w:rPr>
          <w:color w:val="000000"/>
          <w:sz w:val="20"/>
          <w:szCs w:val="20"/>
        </w:rPr>
        <w:t xml:space="preserve"> </w:t>
      </w:r>
      <w:r>
        <w:rPr>
          <w:rFonts w:ascii="Times New Roman" w:eastAsia="Times New Roman" w:hAnsi="Times New Roman" w:cs="Times New Roman"/>
          <w:color w:val="000000"/>
          <w:sz w:val="20"/>
          <w:szCs w:val="20"/>
        </w:rPr>
        <w:t>The 11</w:t>
      </w:r>
      <w:r>
        <w:rPr>
          <w:rFonts w:ascii="Times New Roman" w:eastAsia="Times New Roman" w:hAnsi="Times New Roman" w:cs="Times New Roman"/>
          <w:color w:val="000000"/>
          <w:sz w:val="20"/>
          <w:szCs w:val="20"/>
          <w:vertAlign w:val="superscript"/>
        </w:rPr>
        <w:t>th</w:t>
      </w:r>
      <w:r>
        <w:rPr>
          <w:rFonts w:ascii="Times New Roman" w:eastAsia="Times New Roman" w:hAnsi="Times New Roman" w:cs="Times New Roman"/>
          <w:color w:val="000000"/>
          <w:sz w:val="20"/>
          <w:szCs w:val="20"/>
        </w:rPr>
        <w:t xml:space="preserve"> Development Plan is available on this link: https://www.sbb.gov.tr/wp-content/uploads/2021/12/Eleventh_Development_Plan_2019-2023.pdf</w:t>
      </w:r>
    </w:p>
  </w:footnote>
  <w:footnote w:id="23">
    <w:p w14:paraId="0439E392" w14:textId="77777777" w:rsidR="00BF6983" w:rsidRDefault="00BF6983">
      <w:pPr>
        <w:pBdr>
          <w:top w:val="nil"/>
          <w:left w:val="nil"/>
          <w:bottom w:val="nil"/>
          <w:right w:val="nil"/>
          <w:between w:val="nil"/>
        </w:pBdr>
        <w:rPr>
          <w:rFonts w:ascii="Times New Roman" w:eastAsia="Times New Roman" w:hAnsi="Times New Roman" w:cs="Times New Roman"/>
          <w:color w:val="000000"/>
          <w:sz w:val="20"/>
          <w:szCs w:val="20"/>
        </w:rPr>
      </w:pPr>
      <w:r>
        <w:rPr>
          <w:rStyle w:val="FootnoteReference"/>
          <w:vertAlign w:val="superscript"/>
        </w:rPr>
        <w:footnoteRef/>
      </w:r>
      <w:r>
        <w:rPr>
          <w:rFonts w:ascii="Times New Roman" w:eastAsia="Times New Roman" w:hAnsi="Times New Roman" w:cs="Times New Roman"/>
          <w:color w:val="000000"/>
          <w:sz w:val="20"/>
          <w:szCs w:val="20"/>
        </w:rPr>
        <w:t xml:space="preserve"> National Employment Strategy (2014 – 2023) available at </w:t>
      </w:r>
      <w:hyperlink r:id="rId6">
        <w:r>
          <w:rPr>
            <w:rFonts w:ascii="Times New Roman" w:eastAsia="Times New Roman" w:hAnsi="Times New Roman" w:cs="Times New Roman"/>
            <w:color w:val="0563C1"/>
            <w:sz w:val="20"/>
            <w:szCs w:val="20"/>
            <w:u w:val="single"/>
          </w:rPr>
          <w:t>http://extwprlegs</w:t>
        </w:r>
      </w:hyperlink>
      <w:r>
        <w:rPr>
          <w:rFonts w:ascii="Times New Roman" w:eastAsia="Times New Roman" w:hAnsi="Times New Roman" w:cs="Times New Roman"/>
          <w:color w:val="000000"/>
          <w:sz w:val="20"/>
          <w:szCs w:val="20"/>
        </w:rPr>
        <w:t>1.fao.org/docs/pdf/tur175309.pdf</w:t>
      </w:r>
    </w:p>
    <w:p w14:paraId="3BDC1601" w14:textId="77777777" w:rsidR="00BF6983" w:rsidRDefault="00BF6983">
      <w:pPr>
        <w:pBdr>
          <w:top w:val="nil"/>
          <w:left w:val="nil"/>
          <w:bottom w:val="nil"/>
          <w:right w:val="nil"/>
          <w:between w:val="nil"/>
        </w:pBdr>
        <w:rPr>
          <w:color w:val="000000"/>
          <w:sz w:val="20"/>
          <w:szCs w:val="20"/>
        </w:rPr>
      </w:pPr>
    </w:p>
  </w:footnote>
  <w:footnote w:id="24">
    <w:p w14:paraId="05450686" w14:textId="0BB00802" w:rsidR="00BF6983" w:rsidRDefault="00BF6983">
      <w:pPr>
        <w:pBdr>
          <w:top w:val="nil"/>
          <w:left w:val="nil"/>
          <w:bottom w:val="nil"/>
          <w:right w:val="nil"/>
          <w:between w:val="nil"/>
        </w:pBdr>
        <w:rPr>
          <w:rFonts w:ascii="Times New Roman" w:eastAsia="Times New Roman" w:hAnsi="Times New Roman" w:cs="Times New Roman"/>
          <w:color w:val="000000"/>
          <w:sz w:val="20"/>
          <w:szCs w:val="20"/>
        </w:rPr>
      </w:pPr>
      <w:r>
        <w:rPr>
          <w:rStyle w:val="FootnoteReference"/>
          <w:vertAlign w:val="superscript"/>
        </w:rPr>
        <w:footnoteRef/>
      </w:r>
      <w:r>
        <w:rPr>
          <w:rFonts w:ascii="Times New Roman" w:eastAsia="Times New Roman" w:hAnsi="Times New Roman" w:cs="Times New Roman"/>
          <w:color w:val="000000"/>
          <w:sz w:val="20"/>
          <w:szCs w:val="20"/>
        </w:rPr>
        <w:t>Gender equality in Türkiye (2012), European Parliament, available in https://www.europarl.europa.eu/RegData/etudes/note/join/2012/462428/IPOL-FEMM_NT(2012)462428_EN.pdf</w:t>
      </w:r>
    </w:p>
  </w:footnote>
  <w:footnote w:id="25">
    <w:p w14:paraId="4417F435" w14:textId="77777777" w:rsidR="00BF6983" w:rsidRDefault="00BF6983">
      <w:pPr>
        <w:pBdr>
          <w:top w:val="nil"/>
          <w:left w:val="nil"/>
          <w:bottom w:val="nil"/>
          <w:right w:val="nil"/>
          <w:between w:val="nil"/>
        </w:pBdr>
        <w:rPr>
          <w:rFonts w:ascii="Times New Roman" w:eastAsia="Times New Roman" w:hAnsi="Times New Roman" w:cs="Times New Roman"/>
          <w:color w:val="000000"/>
          <w:sz w:val="20"/>
          <w:szCs w:val="20"/>
        </w:rPr>
      </w:pPr>
      <w:r>
        <w:rPr>
          <w:rStyle w:val="FootnoteReference"/>
          <w:vertAlign w:val="superscript"/>
        </w:rPr>
        <w:footnoteRef/>
      </w:r>
      <w:r>
        <w:rPr>
          <w:rFonts w:ascii="Times New Roman" w:eastAsia="Times New Roman" w:hAnsi="Times New Roman" w:cs="Times New Roman"/>
          <w:color w:val="000000"/>
          <w:sz w:val="20"/>
          <w:szCs w:val="20"/>
        </w:rPr>
        <w:t xml:space="preserve">  More information is available on the link of the Directorate: https://www.aile.gov.tr/ksgm</w:t>
      </w:r>
    </w:p>
  </w:footnote>
  <w:footnote w:id="26">
    <w:p w14:paraId="01C025AE" w14:textId="77777777" w:rsidR="00BF6983" w:rsidRPr="00C74B29" w:rsidRDefault="00BF6983" w:rsidP="002557B7">
      <w:pPr>
        <w:pStyle w:val="FootnoteText"/>
        <w:jc w:val="both"/>
        <w:rPr>
          <w:lang w:val="en-US"/>
        </w:rPr>
      </w:pPr>
      <w:r>
        <w:rPr>
          <w:rStyle w:val="FootnoteReference"/>
        </w:rPr>
        <w:footnoteRef/>
      </w:r>
      <w:r>
        <w:t xml:space="preserve"> </w:t>
      </w:r>
      <w:r w:rsidRPr="00C74B29">
        <w:t xml:space="preserve">Klugman, J., and S. Twigg. 2012. “The Role of Laws and Institutions in Expanding Women’s Voice, Agency, and Empowerment.” In The World Bank Legal Review: Legal Innovation and Empowerment for Development, edited by </w:t>
      </w:r>
      <w:proofErr w:type="spellStart"/>
      <w:r w:rsidRPr="00C74B29">
        <w:t>Cisse</w:t>
      </w:r>
      <w:proofErr w:type="spellEnd"/>
      <w:r w:rsidRPr="00C74B29">
        <w:t xml:space="preserve"> H., S. Muller, C. Thomas, and W. </w:t>
      </w:r>
      <w:proofErr w:type="spellStart"/>
      <w:r w:rsidRPr="00C74B29">
        <w:t>Chenguang</w:t>
      </w:r>
      <w:proofErr w:type="spellEnd"/>
      <w:r w:rsidRPr="00C74B29">
        <w:t>. Washington: World Bank</w:t>
      </w:r>
      <w:r>
        <w:t xml:space="preserve">; </w:t>
      </w:r>
      <w:r w:rsidRPr="00C74B29">
        <w:t xml:space="preserve">Sen, A. 2001. “Many Faces of Gender Inequality.” Frontline 18 (22). http://www.frontline.in/static/html/fl1822/18220040.htm </w:t>
      </w:r>
      <w:r>
        <w:t xml:space="preserve">; </w:t>
      </w:r>
      <w:proofErr w:type="spellStart"/>
      <w:r w:rsidRPr="00C74B29">
        <w:t>Thévenon</w:t>
      </w:r>
      <w:proofErr w:type="spellEnd"/>
      <w:r w:rsidRPr="00C74B29">
        <w:t xml:space="preserve">, Olivier. 2013. “Drivers of Female </w:t>
      </w:r>
      <w:r>
        <w:t>Labour</w:t>
      </w:r>
      <w:r w:rsidRPr="00C74B29">
        <w:t xml:space="preserve"> Force Participation in the OECD.” OECD Social, Employment and Migration Working Paper No. 145. OECD Publishing, Paris. http://dx.doi.org/10.1787/5k46cvrgnms6-en . </w:t>
      </w:r>
      <w:proofErr w:type="spellStart"/>
      <w:r>
        <w:t>Thévenon</w:t>
      </w:r>
      <w:proofErr w:type="spellEnd"/>
      <w:r w:rsidRPr="00C74B29">
        <w:t xml:space="preserve"> and </w:t>
      </w:r>
      <w:proofErr w:type="spellStart"/>
      <w:r w:rsidRPr="00C74B29">
        <w:t>Solaz</w:t>
      </w:r>
      <w:proofErr w:type="spellEnd"/>
      <w:r w:rsidRPr="00C74B29">
        <w:t>. 2013. “</w:t>
      </w:r>
      <w:r>
        <w:t>Labour</w:t>
      </w:r>
      <w:r w:rsidRPr="00C74B29">
        <w:t xml:space="preserve"> Market Effect of Parental Leave Policies in OECD Countries.” OECD Social, Employment and Migration Working Paper No. 141. OECD Publishing, Paris.  </w:t>
      </w:r>
    </w:p>
  </w:footnote>
  <w:footnote w:id="27">
    <w:p w14:paraId="4372325E" w14:textId="77777777" w:rsidR="00BF6983" w:rsidRPr="00C74B29" w:rsidRDefault="00BF6983" w:rsidP="002557B7">
      <w:pPr>
        <w:pStyle w:val="FootnoteText"/>
        <w:rPr>
          <w:lang w:val="en-US"/>
        </w:rPr>
      </w:pPr>
      <w:r>
        <w:rPr>
          <w:rStyle w:val="FootnoteReference"/>
        </w:rPr>
        <w:footnoteRef/>
      </w:r>
      <w:r>
        <w:t xml:space="preserve"> </w:t>
      </w:r>
      <w:hyperlink r:id="rId7" w:history="1">
        <w:r w:rsidRPr="00447DEF">
          <w:rPr>
            <w:rStyle w:val="Hyperlink"/>
          </w:rPr>
          <w:t>https://wbl.worldbank.org/en/wbl</w:t>
        </w:r>
      </w:hyperlink>
    </w:p>
  </w:footnote>
  <w:footnote w:id="28">
    <w:p w14:paraId="0F0315CC" w14:textId="77777777" w:rsidR="00BF6983" w:rsidRPr="00EE070F" w:rsidRDefault="00BF6983" w:rsidP="002557B7">
      <w:pPr>
        <w:pStyle w:val="FootnoteText"/>
        <w:rPr>
          <w:lang w:val="en-US"/>
        </w:rPr>
      </w:pPr>
      <w:r>
        <w:rPr>
          <w:rStyle w:val="FootnoteReference"/>
        </w:rPr>
        <w:footnoteRef/>
      </w:r>
      <w:r>
        <w:t xml:space="preserve"> IMF, Fair Play: </w:t>
      </w:r>
      <w:r w:rsidRPr="00EE070F">
        <w:t xml:space="preserve">More Equal Laws Boost Female </w:t>
      </w:r>
      <w:r>
        <w:t>Labour</w:t>
      </w:r>
      <w:r w:rsidRPr="00EE070F">
        <w:t xml:space="preserve"> Force Participation</w:t>
      </w:r>
    </w:p>
  </w:footnote>
  <w:footnote w:id="29">
    <w:p w14:paraId="0467EED5" w14:textId="77777777" w:rsidR="00BF6983" w:rsidRPr="0069233A" w:rsidRDefault="00BF6983" w:rsidP="002557B7">
      <w:pPr>
        <w:pStyle w:val="FootnoteText"/>
        <w:jc w:val="both"/>
        <w:rPr>
          <w:lang w:val="en-US"/>
        </w:rPr>
      </w:pPr>
      <w:r>
        <w:rPr>
          <w:rStyle w:val="FootnoteReference"/>
        </w:rPr>
        <w:footnoteRef/>
      </w:r>
      <w:r>
        <w:t xml:space="preserve"> </w:t>
      </w:r>
      <w:r w:rsidRPr="0069233A">
        <w:t xml:space="preserve">Gong, X., R. </w:t>
      </w:r>
      <w:proofErr w:type="spellStart"/>
      <w:r w:rsidRPr="0069233A">
        <w:t>Breunig</w:t>
      </w:r>
      <w:proofErr w:type="spellEnd"/>
      <w:r w:rsidRPr="0069233A">
        <w:t xml:space="preserve">, and A. King. 2010. “How Responsive is Female Labour Supply to Child Care Costs? New Australian Estimates.” IZA Discussion Paper No. 5119, Institute for the Study of </w:t>
      </w:r>
      <w:r>
        <w:t>Labour</w:t>
      </w:r>
      <w:r w:rsidRPr="0069233A">
        <w:t>, Bonn.</w:t>
      </w:r>
    </w:p>
  </w:footnote>
  <w:footnote w:id="30">
    <w:p w14:paraId="22420BF1" w14:textId="77777777" w:rsidR="00BF6983" w:rsidRPr="0069233A" w:rsidRDefault="00BF6983" w:rsidP="002557B7">
      <w:pPr>
        <w:pStyle w:val="FootnoteText"/>
        <w:jc w:val="both"/>
        <w:rPr>
          <w:lang w:val="en-US"/>
        </w:rPr>
      </w:pPr>
      <w:r>
        <w:rPr>
          <w:rStyle w:val="FootnoteReference"/>
        </w:rPr>
        <w:footnoteRef/>
      </w:r>
      <w:r>
        <w:t xml:space="preserve"> </w:t>
      </w:r>
      <w:r w:rsidRPr="0069233A">
        <w:t>Ghani, E., W. Kerr, and S. O’Connell. 2013. “Promoting Women’s Economic Participation in India.” Economic Premise No. 107, World Bank, Washington</w:t>
      </w:r>
      <w:r>
        <w:t xml:space="preserve"> in IFM, Fair Play: </w:t>
      </w:r>
      <w:r w:rsidRPr="0069233A">
        <w:t xml:space="preserve">More Equal Laws Boost Female </w:t>
      </w:r>
      <w:r>
        <w:t>Labour</w:t>
      </w:r>
      <w:r w:rsidRPr="0069233A">
        <w:t xml:space="preserve"> Force Participation</w:t>
      </w:r>
    </w:p>
  </w:footnote>
  <w:footnote w:id="31">
    <w:p w14:paraId="5AD0D69E" w14:textId="77777777" w:rsidR="00BF6983" w:rsidRPr="00E34364" w:rsidRDefault="00BF6983" w:rsidP="002557B7">
      <w:pPr>
        <w:pStyle w:val="FootnoteText"/>
        <w:jc w:val="both"/>
        <w:rPr>
          <w:lang w:val="en-US"/>
        </w:rPr>
      </w:pPr>
      <w:r>
        <w:rPr>
          <w:rStyle w:val="FootnoteReference"/>
        </w:rPr>
        <w:footnoteRef/>
      </w:r>
      <w:r>
        <w:t xml:space="preserve"> </w:t>
      </w:r>
      <w:r w:rsidRPr="00D23D6F">
        <w:t xml:space="preserve">Edin, P., and M. Gustavsson. 2008. “Time out of Work and Skill Depreciation.” Industrial and </w:t>
      </w:r>
      <w:r>
        <w:t>Labour</w:t>
      </w:r>
      <w:r w:rsidRPr="00D23D6F">
        <w:t xml:space="preserve"> Relations Review  61 (2): 163–80.</w:t>
      </w:r>
    </w:p>
  </w:footnote>
  <w:footnote w:id="32">
    <w:p w14:paraId="18C662D6" w14:textId="77777777" w:rsidR="00BF6983" w:rsidRPr="00D23D6F" w:rsidRDefault="00BF6983" w:rsidP="002557B7">
      <w:pPr>
        <w:pStyle w:val="FootnoteText"/>
        <w:rPr>
          <w:lang w:val="en-US"/>
        </w:rPr>
      </w:pPr>
      <w:r>
        <w:rPr>
          <w:rStyle w:val="FootnoteReference"/>
        </w:rPr>
        <w:footnoteRef/>
      </w:r>
      <w:r>
        <w:t xml:space="preserve"> World Bank</w:t>
      </w:r>
      <w:r w:rsidRPr="00D23D6F">
        <w:t>. World Development Report 2013:  Jobs. Washington: World Bank.</w:t>
      </w:r>
    </w:p>
  </w:footnote>
  <w:footnote w:id="33">
    <w:p w14:paraId="0DCA73C0" w14:textId="77777777" w:rsidR="00BF6983" w:rsidRPr="00D23D6F" w:rsidRDefault="00BF6983" w:rsidP="002557B7">
      <w:pPr>
        <w:pStyle w:val="FootnoteText"/>
        <w:rPr>
          <w:lang w:val="en-US"/>
        </w:rPr>
      </w:pPr>
      <w:r>
        <w:rPr>
          <w:rStyle w:val="FootnoteReference"/>
        </w:rPr>
        <w:footnoteRef/>
      </w:r>
      <w:r>
        <w:t xml:space="preserve"> </w:t>
      </w:r>
      <w:r w:rsidRPr="00D23D6F">
        <w:t>IMF, 2013, “Women, Work, and the Economy: Macroeconomic Gains from Gender Equity,” IMF Staff Discussion Note, SDN/13/10.</w:t>
      </w:r>
    </w:p>
  </w:footnote>
  <w:footnote w:id="34">
    <w:p w14:paraId="2AC75595" w14:textId="77777777" w:rsidR="00BF6983" w:rsidRPr="006076ED" w:rsidRDefault="00BF6983" w:rsidP="002557B7">
      <w:pPr>
        <w:pStyle w:val="FootnoteText"/>
        <w:rPr>
          <w:lang w:val="en-US"/>
        </w:rPr>
      </w:pPr>
      <w:r>
        <w:rPr>
          <w:rStyle w:val="FootnoteReference"/>
        </w:rPr>
        <w:footnoteRef/>
      </w:r>
      <w:r>
        <w:t xml:space="preserve"> OECD and ILO (2019) </w:t>
      </w:r>
      <w:r w:rsidRPr="00E61B88">
        <w:rPr>
          <w:bCs/>
          <w:lang w:val="en-US"/>
        </w:rPr>
        <w:t>Women at Work in G20 countries: Progress and policy action</w:t>
      </w:r>
    </w:p>
  </w:footnote>
  <w:footnote w:id="35">
    <w:p w14:paraId="3C2AFDE3" w14:textId="77777777" w:rsidR="00BF6983" w:rsidRPr="00AD5178" w:rsidRDefault="00BF6983" w:rsidP="002557B7">
      <w:pPr>
        <w:pStyle w:val="FootnoteText"/>
        <w:rPr>
          <w:lang w:val="en-US"/>
        </w:rPr>
      </w:pPr>
      <w:r w:rsidRPr="00AD5178">
        <w:rPr>
          <w:rStyle w:val="FootnoteReference"/>
        </w:rPr>
        <w:footnoteRef/>
      </w:r>
      <w:r w:rsidRPr="00AD5178">
        <w:t xml:space="preserve"> </w:t>
      </w:r>
      <w:r w:rsidRPr="00AD5178">
        <w:rPr>
          <w:lang w:val="en-US"/>
        </w:rPr>
        <w:t>ILO. 2016. Women at work: Trends 2016 (Geneva) and Lee, S.; McCann, D.M. and Messenger, J.C. 2007. Working time around the world: Trends in working hours, laws and policies in a global comparative perspective, Routledge Studies in the Modern World Economy (Geneva, ILO).</w:t>
      </w:r>
    </w:p>
    <w:p w14:paraId="585AAF40" w14:textId="77777777" w:rsidR="00BF6983" w:rsidRPr="00AD5178" w:rsidRDefault="00BF6983" w:rsidP="002557B7">
      <w:pPr>
        <w:pStyle w:val="FootnoteText"/>
        <w:rPr>
          <w:lang w:val="en-US"/>
        </w:rPr>
      </w:pPr>
    </w:p>
  </w:footnote>
  <w:footnote w:id="36">
    <w:p w14:paraId="2A021686" w14:textId="77777777" w:rsidR="00BF6983" w:rsidRPr="00D47E87" w:rsidRDefault="00BF6983" w:rsidP="002557B7">
      <w:pPr>
        <w:pStyle w:val="FootnoteText"/>
      </w:pPr>
      <w:r>
        <w:rPr>
          <w:rStyle w:val="FootnoteReference"/>
          <w:rFonts w:eastAsiaTheme="majorEastAsia"/>
        </w:rPr>
        <w:footnoteRef/>
      </w:r>
      <w:r>
        <w:t xml:space="preserve"> </w:t>
      </w:r>
      <w:r w:rsidRPr="00891747">
        <w:rPr>
          <w:rFonts w:ascii="Times New Roman" w:hAnsi="Times New Roman"/>
          <w:sz w:val="18"/>
          <w:szCs w:val="18"/>
        </w:rPr>
        <w:t>www.data.tuik.gov.tr</w:t>
      </w:r>
    </w:p>
  </w:footnote>
  <w:footnote w:id="37">
    <w:p w14:paraId="2D26D837" w14:textId="77777777" w:rsidR="00BF6983" w:rsidRPr="00FE177A" w:rsidRDefault="00BF6983" w:rsidP="002557B7">
      <w:pPr>
        <w:pStyle w:val="FootnoteText"/>
        <w:rPr>
          <w:rFonts w:ascii="Times New Roman" w:hAnsi="Times New Roman"/>
          <w:sz w:val="18"/>
          <w:szCs w:val="18"/>
          <w:lang w:val="en-US"/>
        </w:rPr>
      </w:pPr>
      <w:r w:rsidRPr="00FE177A">
        <w:rPr>
          <w:rStyle w:val="FootnoteReference"/>
          <w:rFonts w:ascii="Times New Roman" w:eastAsiaTheme="majorEastAsia" w:hAnsi="Times New Roman"/>
          <w:sz w:val="18"/>
          <w:szCs w:val="18"/>
        </w:rPr>
        <w:footnoteRef/>
      </w:r>
      <w:r w:rsidRPr="00FE177A">
        <w:rPr>
          <w:rFonts w:ascii="Times New Roman" w:hAnsi="Times New Roman"/>
          <w:sz w:val="18"/>
          <w:szCs w:val="18"/>
        </w:rPr>
        <w:t xml:space="preserve"> According to ILO, the difference in average wages between women and men who are engaged in paid employment. </w:t>
      </w:r>
    </w:p>
  </w:footnote>
  <w:footnote w:id="38">
    <w:p w14:paraId="46417F09" w14:textId="77777777" w:rsidR="00BF6983" w:rsidRPr="00FE177A" w:rsidRDefault="00BF6983" w:rsidP="002557B7">
      <w:pPr>
        <w:pStyle w:val="FootnoteText"/>
        <w:rPr>
          <w:rFonts w:ascii="Times New Roman" w:hAnsi="Times New Roman"/>
          <w:sz w:val="18"/>
          <w:szCs w:val="18"/>
        </w:rPr>
      </w:pPr>
      <w:r w:rsidRPr="00FE177A">
        <w:rPr>
          <w:rStyle w:val="FootnoteReference"/>
          <w:rFonts w:ascii="Times New Roman" w:eastAsiaTheme="majorEastAsia" w:hAnsi="Times New Roman"/>
          <w:sz w:val="18"/>
          <w:szCs w:val="18"/>
        </w:rPr>
        <w:footnoteRef/>
      </w:r>
      <w:r w:rsidRPr="00FE177A">
        <w:rPr>
          <w:rFonts w:ascii="Times New Roman" w:hAnsi="Times New Roman"/>
          <w:sz w:val="18"/>
          <w:szCs w:val="18"/>
        </w:rPr>
        <w:t xml:space="preserve"> The calculations in this section were made using data from the Income and Living Conditions Survey as of 2015-2018</w:t>
      </w:r>
    </w:p>
  </w:footnote>
  <w:footnote w:id="39">
    <w:p w14:paraId="59B359EE" w14:textId="77777777" w:rsidR="00BF6983" w:rsidRPr="00FE177A" w:rsidRDefault="00BF6983" w:rsidP="002557B7">
      <w:pPr>
        <w:pStyle w:val="FootnoteText"/>
        <w:rPr>
          <w:rFonts w:ascii="Times New Roman" w:hAnsi="Times New Roman"/>
          <w:sz w:val="18"/>
          <w:szCs w:val="18"/>
        </w:rPr>
      </w:pPr>
      <w:r w:rsidRPr="00FE177A">
        <w:rPr>
          <w:rStyle w:val="FootnoteReference"/>
          <w:rFonts w:ascii="Times New Roman" w:eastAsiaTheme="majorEastAsia" w:hAnsi="Times New Roman"/>
          <w:sz w:val="18"/>
          <w:szCs w:val="18"/>
        </w:rPr>
        <w:footnoteRef/>
      </w:r>
      <w:r w:rsidRPr="00FE177A">
        <w:rPr>
          <w:rFonts w:ascii="Times New Roman" w:hAnsi="Times New Roman"/>
          <w:sz w:val="18"/>
          <w:szCs w:val="18"/>
        </w:rPr>
        <w:t xml:space="preserve"> ILO, Measuring the gender wage gap. </w:t>
      </w:r>
      <w:r>
        <w:rPr>
          <w:rFonts w:ascii="Times New Roman" w:hAnsi="Times New Roman"/>
          <w:sz w:val="18"/>
          <w:szCs w:val="18"/>
        </w:rPr>
        <w:t>Türkiye</w:t>
      </w:r>
      <w:r w:rsidRPr="00FE177A">
        <w:rPr>
          <w:rFonts w:ascii="Times New Roman" w:hAnsi="Times New Roman"/>
          <w:sz w:val="18"/>
          <w:szCs w:val="18"/>
        </w:rPr>
        <w:t xml:space="preserve"> case. </w:t>
      </w:r>
    </w:p>
  </w:footnote>
  <w:footnote w:id="40">
    <w:p w14:paraId="508DDB3F" w14:textId="77777777" w:rsidR="00BF6983" w:rsidRPr="00FE177A" w:rsidRDefault="00BF6983" w:rsidP="002557B7">
      <w:pPr>
        <w:pStyle w:val="FootnoteText"/>
        <w:rPr>
          <w:rFonts w:ascii="Times New Roman" w:hAnsi="Times New Roman"/>
          <w:sz w:val="18"/>
          <w:szCs w:val="18"/>
          <w:lang w:val="en-US"/>
        </w:rPr>
      </w:pPr>
      <w:r w:rsidRPr="00FE177A">
        <w:rPr>
          <w:rStyle w:val="FootnoteReference"/>
          <w:rFonts w:ascii="Times New Roman" w:eastAsiaTheme="majorEastAsia" w:hAnsi="Times New Roman"/>
          <w:sz w:val="18"/>
          <w:szCs w:val="18"/>
        </w:rPr>
        <w:footnoteRef/>
      </w:r>
      <w:r w:rsidRPr="00FE177A">
        <w:rPr>
          <w:rFonts w:ascii="Times New Roman" w:hAnsi="Times New Roman"/>
          <w:sz w:val="18"/>
          <w:szCs w:val="18"/>
        </w:rPr>
        <w:t xml:space="preserve"> The motherhood pay gap measures the pay gap between mothers and non-mothers, aged 25-50, the latter defined as women without dependent children.</w:t>
      </w:r>
    </w:p>
  </w:footnote>
  <w:footnote w:id="41">
    <w:p w14:paraId="6D20ED48" w14:textId="77777777" w:rsidR="00BF6983" w:rsidRPr="000748EB" w:rsidRDefault="00BF6983" w:rsidP="002557B7">
      <w:pPr>
        <w:pStyle w:val="FootnoteText"/>
        <w:rPr>
          <w:rFonts w:ascii="Times New Roman" w:hAnsi="Times New Roman"/>
          <w:sz w:val="18"/>
          <w:szCs w:val="18"/>
          <w:lang w:val="it-IT"/>
        </w:rPr>
      </w:pPr>
      <w:r w:rsidRPr="00FE177A">
        <w:rPr>
          <w:rStyle w:val="FootnoteReference"/>
          <w:rFonts w:ascii="Times New Roman" w:eastAsiaTheme="majorEastAsia" w:hAnsi="Times New Roman"/>
          <w:sz w:val="18"/>
          <w:szCs w:val="18"/>
        </w:rPr>
        <w:footnoteRef/>
      </w:r>
      <w:r w:rsidRPr="000748EB">
        <w:rPr>
          <w:rFonts w:ascii="Times New Roman" w:hAnsi="Times New Roman"/>
          <w:sz w:val="18"/>
          <w:szCs w:val="18"/>
          <w:lang w:val="it-IT"/>
        </w:rPr>
        <w:t xml:space="preserve"> ILO, 2019, </w:t>
      </w:r>
      <w:hyperlink r:id="rId8" w:history="1">
        <w:r w:rsidRPr="000748EB">
          <w:rPr>
            <w:rStyle w:val="Hyperlink"/>
            <w:rFonts w:ascii="Times New Roman" w:hAnsi="Times New Roman"/>
            <w:sz w:val="18"/>
            <w:szCs w:val="18"/>
            <w:lang w:val="it-IT"/>
          </w:rPr>
          <w:t>https://www.ilo.org/wcmsp5/groups/public/---europe/---ro-geneva/---ilo-ankara/documents/publication/wcms_707580.pdf</w:t>
        </w:r>
      </w:hyperlink>
    </w:p>
  </w:footnote>
  <w:footnote w:id="42">
    <w:p w14:paraId="233BC47D" w14:textId="77777777" w:rsidR="00BF6983" w:rsidRPr="00260BC9" w:rsidRDefault="00BF6983" w:rsidP="002557B7">
      <w:pPr>
        <w:pStyle w:val="FootnoteText"/>
      </w:pPr>
      <w:r>
        <w:rPr>
          <w:rStyle w:val="FootnoteReference"/>
        </w:rPr>
        <w:footnoteRef/>
      </w:r>
      <w:r>
        <w:t xml:space="preserve"> TUKSTAT (2020) Women in Statistics</w:t>
      </w:r>
    </w:p>
  </w:footnote>
  <w:footnote w:id="43">
    <w:p w14:paraId="46EDC773" w14:textId="77777777" w:rsidR="00BF6983" w:rsidRPr="008675C3" w:rsidRDefault="00BF6983" w:rsidP="002557B7">
      <w:pPr>
        <w:pStyle w:val="FootnoteText"/>
        <w:rPr>
          <w:lang w:val="en-US"/>
        </w:rPr>
      </w:pPr>
      <w:r>
        <w:rPr>
          <w:rStyle w:val="FootnoteReference"/>
        </w:rPr>
        <w:footnoteRef/>
      </w:r>
      <w:r>
        <w:t xml:space="preserve"> ILO and </w:t>
      </w:r>
      <w:proofErr w:type="spellStart"/>
      <w:r>
        <w:t>Eurofound</w:t>
      </w:r>
      <w:proofErr w:type="spellEnd"/>
      <w:r>
        <w:t xml:space="preserve"> (2019) </w:t>
      </w:r>
      <w:r w:rsidRPr="008675C3">
        <w:t>Working conditions in a global perspective</w:t>
      </w:r>
      <w:r>
        <w:t xml:space="preserve">, available at: </w:t>
      </w:r>
      <w:r w:rsidRPr="008675C3">
        <w:t>https://www.ilo.org/wcmsp5/groups/public/---</w:t>
      </w:r>
      <w:proofErr w:type="spellStart"/>
      <w:r w:rsidRPr="008675C3">
        <w:t>dgreports</w:t>
      </w:r>
      <w:proofErr w:type="spellEnd"/>
      <w:r w:rsidRPr="008675C3">
        <w:t>/---</w:t>
      </w:r>
      <w:proofErr w:type="spellStart"/>
      <w:r w:rsidRPr="008675C3">
        <w:t>dcomm</w:t>
      </w:r>
      <w:proofErr w:type="spellEnd"/>
      <w:r w:rsidRPr="008675C3">
        <w:t>/---</w:t>
      </w:r>
      <w:proofErr w:type="spellStart"/>
      <w:r w:rsidRPr="008675C3">
        <w:t>publ</w:t>
      </w:r>
      <w:proofErr w:type="spellEnd"/>
      <w:r w:rsidRPr="008675C3">
        <w:t>/documents/publication/wcms_696174.pdf</w:t>
      </w:r>
    </w:p>
  </w:footnote>
  <w:footnote w:id="44">
    <w:p w14:paraId="2B097107" w14:textId="4E7A5779" w:rsidR="00BF6983" w:rsidRPr="00582041" w:rsidRDefault="00BF6983" w:rsidP="002557B7">
      <w:pPr>
        <w:pStyle w:val="FootnoteText"/>
        <w:jc w:val="both"/>
        <w:rPr>
          <w:rFonts w:cstheme="minorHAnsi"/>
          <w:lang w:val="en-US"/>
        </w:rPr>
      </w:pPr>
      <w:r>
        <w:rPr>
          <w:rStyle w:val="FootnoteReference"/>
        </w:rPr>
        <w:footnoteRef/>
      </w:r>
      <w:r>
        <w:t xml:space="preserve"> </w:t>
      </w:r>
      <w:proofErr w:type="spellStart"/>
      <w:r>
        <w:rPr>
          <w:rFonts w:cstheme="minorHAnsi"/>
        </w:rPr>
        <w:t>TurkStat</w:t>
      </w:r>
      <w:proofErr w:type="spellEnd"/>
      <w:r w:rsidRPr="00582041">
        <w:rPr>
          <w:rFonts w:cstheme="minorHAnsi"/>
        </w:rPr>
        <w:t xml:space="preserve"> (2020) ‘Women in Statistics 2019’, press release 6 March 2020, available at: https://tuikweb.tuik.gov.tr/PreHaberBultenleri.do?id=33732#:~:text=T%C3%BCrkiye%20%C4%B0statisti k%20Kurumu%2C%20%C4%B0statistiklerle%20Kad%C4%B1n%2C%202019&amp;text=Adrese%20Dayal%C4 %B1%20N%C3%BCfus%20Kay%C4%B1t%20Sistemi,2'sini%20ise%20erkekler%20olu%C5%9Fturdu.</w:t>
      </w:r>
    </w:p>
  </w:footnote>
  <w:footnote w:id="45">
    <w:p w14:paraId="2441E2C0" w14:textId="77777777" w:rsidR="00BF6983" w:rsidRPr="0062463C" w:rsidRDefault="00BF6983" w:rsidP="002557B7">
      <w:pPr>
        <w:pStyle w:val="FootnoteText"/>
        <w:jc w:val="both"/>
        <w:rPr>
          <w:lang w:val="en-US"/>
        </w:rPr>
      </w:pPr>
      <w:r>
        <w:rPr>
          <w:rStyle w:val="FootnoteReference"/>
        </w:rPr>
        <w:footnoteRef/>
      </w:r>
      <w:r>
        <w:t xml:space="preserve"> </w:t>
      </w:r>
      <w:proofErr w:type="spellStart"/>
      <w:r w:rsidRPr="00582041">
        <w:rPr>
          <w:rFonts w:cstheme="minorHAnsi"/>
        </w:rPr>
        <w:t>Ozar</w:t>
      </w:r>
      <w:proofErr w:type="spellEnd"/>
      <w:r w:rsidRPr="00582041">
        <w:rPr>
          <w:rFonts w:cstheme="minorHAnsi"/>
        </w:rPr>
        <w:t xml:space="preserve">, S. (2016), ‘Women Entrepreneurs in </w:t>
      </w:r>
      <w:r>
        <w:rPr>
          <w:rFonts w:cstheme="minorHAnsi"/>
        </w:rPr>
        <w:t>Türkiye</w:t>
      </w:r>
      <w:r w:rsidRPr="00582041">
        <w:rPr>
          <w:rFonts w:cstheme="minorHAnsi"/>
        </w:rPr>
        <w:t xml:space="preserve">: Obstacles, Potentials, and Prospects’ in </w:t>
      </w:r>
      <w:proofErr w:type="spellStart"/>
      <w:r w:rsidRPr="00582041">
        <w:rPr>
          <w:rFonts w:cstheme="minorHAnsi"/>
        </w:rPr>
        <w:t>Chamlou</w:t>
      </w:r>
      <w:proofErr w:type="spellEnd"/>
      <w:r w:rsidRPr="00582041">
        <w:rPr>
          <w:rFonts w:cstheme="minorHAnsi"/>
        </w:rPr>
        <w:t xml:space="preserve">, N. and </w:t>
      </w:r>
      <w:proofErr w:type="spellStart"/>
      <w:r w:rsidRPr="00582041">
        <w:rPr>
          <w:rFonts w:cstheme="minorHAnsi"/>
        </w:rPr>
        <w:t>Karshenas</w:t>
      </w:r>
      <w:proofErr w:type="spellEnd"/>
      <w:r w:rsidRPr="00582041">
        <w:rPr>
          <w:rFonts w:cstheme="minorHAnsi"/>
        </w:rPr>
        <w:t xml:space="preserve">, M. (eds.) Women, Work and Welfare in the Middle East and North Africa, World Scientific; OECD (2016), ‘Women entrepreneurship Key findings: </w:t>
      </w:r>
      <w:r>
        <w:rPr>
          <w:rFonts w:cstheme="minorHAnsi"/>
        </w:rPr>
        <w:t>Türkiye</w:t>
      </w:r>
      <w:r w:rsidRPr="00582041">
        <w:rPr>
          <w:rFonts w:cstheme="minorHAnsi"/>
        </w:rPr>
        <w:t xml:space="preserve"> Who wants to be an entrepreneur?’, March 2016, http://www.oecd.org/sdd/business-stats/EaG-</w:t>
      </w:r>
      <w:r>
        <w:rPr>
          <w:rFonts w:cstheme="minorHAnsi"/>
        </w:rPr>
        <w:t>Türkiye</w:t>
      </w:r>
      <w:r w:rsidRPr="00582041">
        <w:rPr>
          <w:rFonts w:cstheme="minorHAnsi"/>
        </w:rPr>
        <w:t>-Eng.pdf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A4A4FD" w14:textId="77777777" w:rsidR="00BF6983" w:rsidRDefault="00BF6983" w:rsidP="00EA37BB">
    <w:pPr>
      <w:pStyle w:val="Header"/>
    </w:pPr>
  </w:p>
  <w:p w14:paraId="5D5A2B17" w14:textId="77777777" w:rsidR="00BF6983" w:rsidRDefault="00BF6983"/>
  <w:p w14:paraId="6733FF7F" w14:textId="77777777" w:rsidR="00BF6983" w:rsidRDefault="00BF6983"/>
  <w:p w14:paraId="50DDABCA" w14:textId="77777777" w:rsidR="00BF6983" w:rsidRDefault="00BF698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A5B7E" w14:textId="77777777" w:rsidR="00BF6983" w:rsidRDefault="00BF6983">
    <w:pPr>
      <w:pBdr>
        <w:top w:val="nil"/>
        <w:left w:val="nil"/>
        <w:bottom w:val="nil"/>
        <w:right w:val="nil"/>
        <w:between w:val="nil"/>
      </w:pBdr>
      <w:tabs>
        <w:tab w:val="center" w:pos="4680"/>
        <w:tab w:val="right" w:pos="9360"/>
      </w:tabs>
      <w:rPr>
        <w:color w:val="000000"/>
      </w:rPr>
    </w:pPr>
    <w:r>
      <w:rPr>
        <w:noProof/>
        <w:color w:val="000000"/>
      </w:rPr>
      <w:drawing>
        <wp:anchor distT="0" distB="0" distL="0" distR="0" simplePos="0" relativeHeight="251658240" behindDoc="1" locked="0" layoutInCell="1" hidden="0" allowOverlap="1" wp14:anchorId="43B556A9" wp14:editId="1ECA5788">
          <wp:simplePos x="0" y="0"/>
          <wp:positionH relativeFrom="page">
            <wp:align>center</wp:align>
          </wp:positionH>
          <wp:positionV relativeFrom="page">
            <wp:align>top</wp:align>
          </wp:positionV>
          <wp:extent cx="6480000" cy="1256400"/>
          <wp:effectExtent l="0" t="0" r="0" b="0"/>
          <wp:wrapNone/>
          <wp:docPr id="52" name="image7.png" descr="A picture containing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A picture containing application&#10;&#10;Description automatically generated"/>
                  <pic:cNvPicPr preferRelativeResize="0"/>
                </pic:nvPicPr>
                <pic:blipFill>
                  <a:blip r:embed="rId1"/>
                  <a:srcRect/>
                  <a:stretch>
                    <a:fillRect/>
                  </a:stretch>
                </pic:blipFill>
                <pic:spPr>
                  <a:xfrm>
                    <a:off x="0" y="0"/>
                    <a:ext cx="6480000" cy="12564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FC0E66"/>
    <w:multiLevelType w:val="hybridMultilevel"/>
    <w:tmpl w:val="1F50BF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BC525E6"/>
    <w:multiLevelType w:val="multilevel"/>
    <w:tmpl w:val="3E7A4EC4"/>
    <w:lvl w:ilvl="0">
      <w:start w:val="1"/>
      <w:numFmt w:val="bullet"/>
      <w:lvlText w:val="●"/>
      <w:lvlJc w:val="left"/>
      <w:pPr>
        <w:ind w:left="590" w:hanging="360"/>
      </w:pPr>
      <w:rPr>
        <w:rFonts w:ascii="Noto Sans Symbols" w:eastAsia="Noto Sans Symbols" w:hAnsi="Noto Sans Symbols" w:cs="Noto Sans Symbols"/>
      </w:rPr>
    </w:lvl>
    <w:lvl w:ilvl="1">
      <w:start w:val="1"/>
      <w:numFmt w:val="bullet"/>
      <w:lvlText w:val="o"/>
      <w:lvlJc w:val="left"/>
      <w:pPr>
        <w:ind w:left="1310" w:hanging="360"/>
      </w:pPr>
      <w:rPr>
        <w:rFonts w:ascii="Courier New" w:eastAsia="Courier New" w:hAnsi="Courier New" w:cs="Courier New"/>
      </w:rPr>
    </w:lvl>
    <w:lvl w:ilvl="2">
      <w:start w:val="1"/>
      <w:numFmt w:val="bullet"/>
      <w:lvlText w:val="▪"/>
      <w:lvlJc w:val="left"/>
      <w:pPr>
        <w:ind w:left="2030" w:hanging="360"/>
      </w:pPr>
      <w:rPr>
        <w:rFonts w:ascii="Noto Sans Symbols" w:eastAsia="Noto Sans Symbols" w:hAnsi="Noto Sans Symbols" w:cs="Noto Sans Symbols"/>
      </w:rPr>
    </w:lvl>
    <w:lvl w:ilvl="3">
      <w:start w:val="1"/>
      <w:numFmt w:val="bullet"/>
      <w:lvlText w:val="●"/>
      <w:lvlJc w:val="left"/>
      <w:pPr>
        <w:ind w:left="2750" w:hanging="360"/>
      </w:pPr>
      <w:rPr>
        <w:rFonts w:ascii="Noto Sans Symbols" w:eastAsia="Noto Sans Symbols" w:hAnsi="Noto Sans Symbols" w:cs="Noto Sans Symbols"/>
      </w:rPr>
    </w:lvl>
    <w:lvl w:ilvl="4">
      <w:start w:val="1"/>
      <w:numFmt w:val="bullet"/>
      <w:lvlText w:val="o"/>
      <w:lvlJc w:val="left"/>
      <w:pPr>
        <w:ind w:left="3470" w:hanging="360"/>
      </w:pPr>
      <w:rPr>
        <w:rFonts w:ascii="Courier New" w:eastAsia="Courier New" w:hAnsi="Courier New" w:cs="Courier New"/>
      </w:rPr>
    </w:lvl>
    <w:lvl w:ilvl="5">
      <w:start w:val="1"/>
      <w:numFmt w:val="bullet"/>
      <w:lvlText w:val="▪"/>
      <w:lvlJc w:val="left"/>
      <w:pPr>
        <w:ind w:left="4190" w:hanging="360"/>
      </w:pPr>
      <w:rPr>
        <w:rFonts w:ascii="Noto Sans Symbols" w:eastAsia="Noto Sans Symbols" w:hAnsi="Noto Sans Symbols" w:cs="Noto Sans Symbols"/>
      </w:rPr>
    </w:lvl>
    <w:lvl w:ilvl="6">
      <w:start w:val="1"/>
      <w:numFmt w:val="bullet"/>
      <w:lvlText w:val="●"/>
      <w:lvlJc w:val="left"/>
      <w:pPr>
        <w:ind w:left="4910" w:hanging="360"/>
      </w:pPr>
      <w:rPr>
        <w:rFonts w:ascii="Noto Sans Symbols" w:eastAsia="Noto Sans Symbols" w:hAnsi="Noto Sans Symbols" w:cs="Noto Sans Symbols"/>
      </w:rPr>
    </w:lvl>
    <w:lvl w:ilvl="7">
      <w:start w:val="1"/>
      <w:numFmt w:val="bullet"/>
      <w:lvlText w:val="o"/>
      <w:lvlJc w:val="left"/>
      <w:pPr>
        <w:ind w:left="5630" w:hanging="360"/>
      </w:pPr>
      <w:rPr>
        <w:rFonts w:ascii="Courier New" w:eastAsia="Courier New" w:hAnsi="Courier New" w:cs="Courier New"/>
      </w:rPr>
    </w:lvl>
    <w:lvl w:ilvl="8">
      <w:start w:val="1"/>
      <w:numFmt w:val="bullet"/>
      <w:lvlText w:val="▪"/>
      <w:lvlJc w:val="left"/>
      <w:pPr>
        <w:ind w:left="6350" w:hanging="360"/>
      </w:pPr>
      <w:rPr>
        <w:rFonts w:ascii="Noto Sans Symbols" w:eastAsia="Noto Sans Symbols" w:hAnsi="Noto Sans Symbols" w:cs="Noto Sans Symbols"/>
      </w:rPr>
    </w:lvl>
  </w:abstractNum>
  <w:abstractNum w:abstractNumId="2" w15:restartNumberingAfterBreak="0">
    <w:nsid w:val="13C65809"/>
    <w:multiLevelType w:val="hybridMultilevel"/>
    <w:tmpl w:val="943AEC5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3F544F5"/>
    <w:multiLevelType w:val="multilevel"/>
    <w:tmpl w:val="601A345E"/>
    <w:lvl w:ilvl="0">
      <w:start w:val="3"/>
      <w:numFmt w:val="decimal"/>
      <w:lvlText w:val="%1."/>
      <w:lvlJc w:val="left"/>
      <w:pPr>
        <w:ind w:left="570" w:hanging="570"/>
      </w:pPr>
      <w:rPr>
        <w:rFonts w:hint="default"/>
      </w:rPr>
    </w:lvl>
    <w:lvl w:ilvl="1">
      <w:start w:val="4"/>
      <w:numFmt w:val="decimal"/>
      <w:lvlText w:val="%1.%2."/>
      <w:lvlJc w:val="left"/>
      <w:pPr>
        <w:ind w:left="720" w:hanging="72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46B0404"/>
    <w:multiLevelType w:val="hybridMultilevel"/>
    <w:tmpl w:val="5CC456D6"/>
    <w:lvl w:ilvl="0" w:tplc="4BA091AA">
      <w:start w:val="1"/>
      <w:numFmt w:val="bullet"/>
      <w:lvlText w:val="-"/>
      <w:lvlJc w:val="left"/>
      <w:pPr>
        <w:ind w:left="720" w:hanging="360"/>
      </w:pPr>
      <w:rPr>
        <w:rFonts w:ascii="Calibri" w:eastAsiaTheme="minorHAnsi" w:hAnsi="Calibri" w:cs="Calibri"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16D80ECC"/>
    <w:multiLevelType w:val="multilevel"/>
    <w:tmpl w:val="91362D7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AF440C8"/>
    <w:multiLevelType w:val="multilevel"/>
    <w:tmpl w:val="D2B28E70"/>
    <w:lvl w:ilvl="0">
      <w:start w:val="1"/>
      <w:numFmt w:val="bullet"/>
      <w:lvlText w:val="●"/>
      <w:lvlJc w:val="center"/>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C2F72FE"/>
    <w:multiLevelType w:val="hybridMultilevel"/>
    <w:tmpl w:val="A88479A4"/>
    <w:lvl w:ilvl="0" w:tplc="4BA091AA">
      <w:start w:val="1"/>
      <w:numFmt w:val="bullet"/>
      <w:lvlText w:val="-"/>
      <w:lvlJc w:val="left"/>
      <w:pPr>
        <w:ind w:left="720" w:hanging="360"/>
      </w:pPr>
      <w:rPr>
        <w:rFonts w:ascii="Calibri" w:eastAsiaTheme="minorHAnsi" w:hAnsi="Calibri" w:cs="Calibri"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 w15:restartNumberingAfterBreak="0">
    <w:nsid w:val="1D1A37A3"/>
    <w:multiLevelType w:val="multilevel"/>
    <w:tmpl w:val="660A243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F036E86"/>
    <w:multiLevelType w:val="hybridMultilevel"/>
    <w:tmpl w:val="2340BC3C"/>
    <w:lvl w:ilvl="0" w:tplc="C03407D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31F17C9"/>
    <w:multiLevelType w:val="hybridMultilevel"/>
    <w:tmpl w:val="434E9B3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23872E7F"/>
    <w:multiLevelType w:val="hybridMultilevel"/>
    <w:tmpl w:val="FA74D4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64F50B6"/>
    <w:multiLevelType w:val="multilevel"/>
    <w:tmpl w:val="53788298"/>
    <w:lvl w:ilvl="0">
      <w:start w:val="3"/>
      <w:numFmt w:val="decimal"/>
      <w:lvlText w:val="%1."/>
      <w:lvlJc w:val="left"/>
      <w:pPr>
        <w:ind w:left="380" w:hanging="3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77607B8"/>
    <w:multiLevelType w:val="multilevel"/>
    <w:tmpl w:val="7BEA3CA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28230B0F"/>
    <w:multiLevelType w:val="hybridMultilevel"/>
    <w:tmpl w:val="94A85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84E669C"/>
    <w:multiLevelType w:val="multilevel"/>
    <w:tmpl w:val="819E214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286D179F"/>
    <w:multiLevelType w:val="hybridMultilevel"/>
    <w:tmpl w:val="C31A49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9071F35"/>
    <w:multiLevelType w:val="hybridMultilevel"/>
    <w:tmpl w:val="BDDC3A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257465"/>
    <w:multiLevelType w:val="multilevel"/>
    <w:tmpl w:val="51E2CE96"/>
    <w:lvl w:ilvl="0">
      <w:start w:val="1"/>
      <w:numFmt w:val="decimal"/>
      <w:lvlText w:val="%1."/>
      <w:lvlJc w:val="left"/>
      <w:pPr>
        <w:ind w:left="1080" w:hanging="720"/>
      </w:pPr>
    </w:lvl>
    <w:lvl w:ilvl="1">
      <w:start w:val="1"/>
      <w:numFmt w:val="decimal"/>
      <w:lvlText w:val="%1.%2."/>
      <w:lvlJc w:val="left"/>
      <w:pPr>
        <w:ind w:left="1440" w:hanging="360"/>
      </w:pPr>
    </w:lvl>
    <w:lvl w:ilvl="2">
      <w:start w:val="1"/>
      <w:numFmt w:val="decimal"/>
      <w:lvlText w:val="%1.%2.%3."/>
      <w:lvlJc w:val="left"/>
      <w:pPr>
        <w:ind w:left="2520" w:hanging="720"/>
      </w:pPr>
    </w:lvl>
    <w:lvl w:ilvl="3">
      <w:start w:val="1"/>
      <w:numFmt w:val="decimal"/>
      <w:lvlText w:val="%1.%2.%3.%4."/>
      <w:lvlJc w:val="left"/>
      <w:pPr>
        <w:ind w:left="3240" w:hanging="720"/>
      </w:pPr>
    </w:lvl>
    <w:lvl w:ilvl="4">
      <w:start w:val="1"/>
      <w:numFmt w:val="decimal"/>
      <w:lvlText w:val="%1.%2.%3.%4.%5."/>
      <w:lvlJc w:val="left"/>
      <w:pPr>
        <w:ind w:left="4320" w:hanging="1080"/>
      </w:pPr>
    </w:lvl>
    <w:lvl w:ilvl="5">
      <w:start w:val="1"/>
      <w:numFmt w:val="decimal"/>
      <w:lvlText w:val="%1.%2.%3.%4.%5.%6."/>
      <w:lvlJc w:val="left"/>
      <w:pPr>
        <w:ind w:left="5040" w:hanging="1080"/>
      </w:pPr>
    </w:lvl>
    <w:lvl w:ilvl="6">
      <w:start w:val="1"/>
      <w:numFmt w:val="decimal"/>
      <w:lvlText w:val="%1.%2.%3.%4.%5.%6.%7."/>
      <w:lvlJc w:val="left"/>
      <w:pPr>
        <w:ind w:left="6120" w:hanging="1440"/>
      </w:pPr>
    </w:lvl>
    <w:lvl w:ilvl="7">
      <w:start w:val="1"/>
      <w:numFmt w:val="decimal"/>
      <w:lvlText w:val="%1.%2.%3.%4.%5.%6.%7.%8."/>
      <w:lvlJc w:val="left"/>
      <w:pPr>
        <w:ind w:left="6840" w:hanging="1440"/>
      </w:pPr>
    </w:lvl>
    <w:lvl w:ilvl="8">
      <w:start w:val="1"/>
      <w:numFmt w:val="decimal"/>
      <w:lvlText w:val="%1.%2.%3.%4.%5.%6.%7.%8.%9."/>
      <w:lvlJc w:val="left"/>
      <w:pPr>
        <w:ind w:left="7920" w:hanging="1800"/>
      </w:pPr>
    </w:lvl>
  </w:abstractNum>
  <w:abstractNum w:abstractNumId="19" w15:restartNumberingAfterBreak="0">
    <w:nsid w:val="2B5C3053"/>
    <w:multiLevelType w:val="hybridMultilevel"/>
    <w:tmpl w:val="48E6F2B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15:restartNumberingAfterBreak="0">
    <w:nsid w:val="3019703F"/>
    <w:multiLevelType w:val="multilevel"/>
    <w:tmpl w:val="E22E86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1610F28"/>
    <w:multiLevelType w:val="hybridMultilevel"/>
    <w:tmpl w:val="52641F5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2" w15:restartNumberingAfterBreak="0">
    <w:nsid w:val="3B3F174E"/>
    <w:multiLevelType w:val="hybridMultilevel"/>
    <w:tmpl w:val="9F1CA4AE"/>
    <w:lvl w:ilvl="0" w:tplc="2C0A0001">
      <w:start w:val="1"/>
      <w:numFmt w:val="bullet"/>
      <w:lvlText w:val=""/>
      <w:lvlJc w:val="left"/>
      <w:pPr>
        <w:ind w:left="1440" w:hanging="360"/>
      </w:pPr>
      <w:rPr>
        <w:rFonts w:ascii="Symbol" w:hAnsi="Symbol" w:hint="default"/>
      </w:rPr>
    </w:lvl>
    <w:lvl w:ilvl="1" w:tplc="2C0A0003" w:tentative="1">
      <w:start w:val="1"/>
      <w:numFmt w:val="bullet"/>
      <w:lvlText w:val="o"/>
      <w:lvlJc w:val="left"/>
      <w:pPr>
        <w:ind w:left="2160" w:hanging="360"/>
      </w:pPr>
      <w:rPr>
        <w:rFonts w:ascii="Courier New" w:hAnsi="Courier New" w:cs="Courier New" w:hint="default"/>
      </w:rPr>
    </w:lvl>
    <w:lvl w:ilvl="2" w:tplc="2C0A0005" w:tentative="1">
      <w:start w:val="1"/>
      <w:numFmt w:val="bullet"/>
      <w:lvlText w:val=""/>
      <w:lvlJc w:val="left"/>
      <w:pPr>
        <w:ind w:left="2880" w:hanging="360"/>
      </w:pPr>
      <w:rPr>
        <w:rFonts w:ascii="Wingdings" w:hAnsi="Wingdings" w:hint="default"/>
      </w:rPr>
    </w:lvl>
    <w:lvl w:ilvl="3" w:tplc="2C0A0001" w:tentative="1">
      <w:start w:val="1"/>
      <w:numFmt w:val="bullet"/>
      <w:lvlText w:val=""/>
      <w:lvlJc w:val="left"/>
      <w:pPr>
        <w:ind w:left="3600" w:hanging="360"/>
      </w:pPr>
      <w:rPr>
        <w:rFonts w:ascii="Symbol" w:hAnsi="Symbol" w:hint="default"/>
      </w:rPr>
    </w:lvl>
    <w:lvl w:ilvl="4" w:tplc="2C0A0003" w:tentative="1">
      <w:start w:val="1"/>
      <w:numFmt w:val="bullet"/>
      <w:lvlText w:val="o"/>
      <w:lvlJc w:val="left"/>
      <w:pPr>
        <w:ind w:left="4320" w:hanging="360"/>
      </w:pPr>
      <w:rPr>
        <w:rFonts w:ascii="Courier New" w:hAnsi="Courier New" w:cs="Courier New" w:hint="default"/>
      </w:rPr>
    </w:lvl>
    <w:lvl w:ilvl="5" w:tplc="2C0A0005" w:tentative="1">
      <w:start w:val="1"/>
      <w:numFmt w:val="bullet"/>
      <w:lvlText w:val=""/>
      <w:lvlJc w:val="left"/>
      <w:pPr>
        <w:ind w:left="5040" w:hanging="360"/>
      </w:pPr>
      <w:rPr>
        <w:rFonts w:ascii="Wingdings" w:hAnsi="Wingdings" w:hint="default"/>
      </w:rPr>
    </w:lvl>
    <w:lvl w:ilvl="6" w:tplc="2C0A0001" w:tentative="1">
      <w:start w:val="1"/>
      <w:numFmt w:val="bullet"/>
      <w:lvlText w:val=""/>
      <w:lvlJc w:val="left"/>
      <w:pPr>
        <w:ind w:left="5760" w:hanging="360"/>
      </w:pPr>
      <w:rPr>
        <w:rFonts w:ascii="Symbol" w:hAnsi="Symbol" w:hint="default"/>
      </w:rPr>
    </w:lvl>
    <w:lvl w:ilvl="7" w:tplc="2C0A0003" w:tentative="1">
      <w:start w:val="1"/>
      <w:numFmt w:val="bullet"/>
      <w:lvlText w:val="o"/>
      <w:lvlJc w:val="left"/>
      <w:pPr>
        <w:ind w:left="6480" w:hanging="360"/>
      </w:pPr>
      <w:rPr>
        <w:rFonts w:ascii="Courier New" w:hAnsi="Courier New" w:cs="Courier New" w:hint="default"/>
      </w:rPr>
    </w:lvl>
    <w:lvl w:ilvl="8" w:tplc="2C0A0005" w:tentative="1">
      <w:start w:val="1"/>
      <w:numFmt w:val="bullet"/>
      <w:lvlText w:val=""/>
      <w:lvlJc w:val="left"/>
      <w:pPr>
        <w:ind w:left="7200" w:hanging="360"/>
      </w:pPr>
      <w:rPr>
        <w:rFonts w:ascii="Wingdings" w:hAnsi="Wingdings" w:hint="default"/>
      </w:rPr>
    </w:lvl>
  </w:abstractNum>
  <w:abstractNum w:abstractNumId="23" w15:restartNumberingAfterBreak="0">
    <w:nsid w:val="3CAC49E5"/>
    <w:multiLevelType w:val="hybridMultilevel"/>
    <w:tmpl w:val="E2380150"/>
    <w:lvl w:ilvl="0" w:tplc="97D68F04">
      <w:start w:val="5"/>
      <w:numFmt w:val="bullet"/>
      <w:lvlText w:val="-"/>
      <w:lvlJc w:val="left"/>
      <w:pPr>
        <w:ind w:left="720" w:hanging="360"/>
      </w:pPr>
      <w:rPr>
        <w:rFonts w:ascii="Calibri" w:eastAsiaTheme="minorHAnsi"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3CB35E45"/>
    <w:multiLevelType w:val="multilevel"/>
    <w:tmpl w:val="76C0345E"/>
    <w:lvl w:ilvl="0">
      <w:start w:val="1"/>
      <w:numFmt w:val="bullet"/>
      <w:lvlText w:val="●"/>
      <w:lvlJc w:val="center"/>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3CCC3182"/>
    <w:multiLevelType w:val="hybridMultilevel"/>
    <w:tmpl w:val="2C40F6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DFA72B9"/>
    <w:multiLevelType w:val="hybridMultilevel"/>
    <w:tmpl w:val="56E4C978"/>
    <w:lvl w:ilvl="0" w:tplc="2C0A0003">
      <w:start w:val="1"/>
      <w:numFmt w:val="bullet"/>
      <w:lvlText w:val="o"/>
      <w:lvlJc w:val="left"/>
      <w:pPr>
        <w:ind w:left="1080" w:hanging="360"/>
      </w:pPr>
      <w:rPr>
        <w:rFonts w:ascii="Courier New" w:hAnsi="Courier New" w:cs="Courier New" w:hint="default"/>
      </w:rPr>
    </w:lvl>
    <w:lvl w:ilvl="1" w:tplc="2C0A0003" w:tentative="1">
      <w:start w:val="1"/>
      <w:numFmt w:val="bullet"/>
      <w:lvlText w:val="o"/>
      <w:lvlJc w:val="left"/>
      <w:pPr>
        <w:ind w:left="1800" w:hanging="360"/>
      </w:pPr>
      <w:rPr>
        <w:rFonts w:ascii="Courier New" w:hAnsi="Courier New" w:cs="Courier New" w:hint="default"/>
      </w:rPr>
    </w:lvl>
    <w:lvl w:ilvl="2" w:tplc="2C0A0005" w:tentative="1">
      <w:start w:val="1"/>
      <w:numFmt w:val="bullet"/>
      <w:lvlText w:val=""/>
      <w:lvlJc w:val="left"/>
      <w:pPr>
        <w:ind w:left="2520" w:hanging="360"/>
      </w:pPr>
      <w:rPr>
        <w:rFonts w:ascii="Wingdings" w:hAnsi="Wingdings" w:hint="default"/>
      </w:rPr>
    </w:lvl>
    <w:lvl w:ilvl="3" w:tplc="2C0A0001" w:tentative="1">
      <w:start w:val="1"/>
      <w:numFmt w:val="bullet"/>
      <w:lvlText w:val=""/>
      <w:lvlJc w:val="left"/>
      <w:pPr>
        <w:ind w:left="3240" w:hanging="360"/>
      </w:pPr>
      <w:rPr>
        <w:rFonts w:ascii="Symbol" w:hAnsi="Symbol" w:hint="default"/>
      </w:rPr>
    </w:lvl>
    <w:lvl w:ilvl="4" w:tplc="2C0A0003" w:tentative="1">
      <w:start w:val="1"/>
      <w:numFmt w:val="bullet"/>
      <w:lvlText w:val="o"/>
      <w:lvlJc w:val="left"/>
      <w:pPr>
        <w:ind w:left="3960" w:hanging="360"/>
      </w:pPr>
      <w:rPr>
        <w:rFonts w:ascii="Courier New" w:hAnsi="Courier New" w:cs="Courier New" w:hint="default"/>
      </w:rPr>
    </w:lvl>
    <w:lvl w:ilvl="5" w:tplc="2C0A0005" w:tentative="1">
      <w:start w:val="1"/>
      <w:numFmt w:val="bullet"/>
      <w:lvlText w:val=""/>
      <w:lvlJc w:val="left"/>
      <w:pPr>
        <w:ind w:left="4680" w:hanging="360"/>
      </w:pPr>
      <w:rPr>
        <w:rFonts w:ascii="Wingdings" w:hAnsi="Wingdings" w:hint="default"/>
      </w:rPr>
    </w:lvl>
    <w:lvl w:ilvl="6" w:tplc="2C0A0001" w:tentative="1">
      <w:start w:val="1"/>
      <w:numFmt w:val="bullet"/>
      <w:lvlText w:val=""/>
      <w:lvlJc w:val="left"/>
      <w:pPr>
        <w:ind w:left="5400" w:hanging="360"/>
      </w:pPr>
      <w:rPr>
        <w:rFonts w:ascii="Symbol" w:hAnsi="Symbol" w:hint="default"/>
      </w:rPr>
    </w:lvl>
    <w:lvl w:ilvl="7" w:tplc="2C0A0003" w:tentative="1">
      <w:start w:val="1"/>
      <w:numFmt w:val="bullet"/>
      <w:lvlText w:val="o"/>
      <w:lvlJc w:val="left"/>
      <w:pPr>
        <w:ind w:left="6120" w:hanging="360"/>
      </w:pPr>
      <w:rPr>
        <w:rFonts w:ascii="Courier New" w:hAnsi="Courier New" w:cs="Courier New" w:hint="default"/>
      </w:rPr>
    </w:lvl>
    <w:lvl w:ilvl="8" w:tplc="2C0A0005" w:tentative="1">
      <w:start w:val="1"/>
      <w:numFmt w:val="bullet"/>
      <w:lvlText w:val=""/>
      <w:lvlJc w:val="left"/>
      <w:pPr>
        <w:ind w:left="6840" w:hanging="360"/>
      </w:pPr>
      <w:rPr>
        <w:rFonts w:ascii="Wingdings" w:hAnsi="Wingdings" w:hint="default"/>
      </w:rPr>
    </w:lvl>
  </w:abstractNum>
  <w:abstractNum w:abstractNumId="27" w15:restartNumberingAfterBreak="0">
    <w:nsid w:val="41784A1A"/>
    <w:multiLevelType w:val="multilevel"/>
    <w:tmpl w:val="32AC61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43C51637"/>
    <w:multiLevelType w:val="hybridMultilevel"/>
    <w:tmpl w:val="EEFA9A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68511E8"/>
    <w:multiLevelType w:val="multilevel"/>
    <w:tmpl w:val="507C1076"/>
    <w:lvl w:ilvl="0">
      <w:start w:val="3"/>
      <w:numFmt w:val="decimal"/>
      <w:lvlText w:val="%1."/>
      <w:lvlJc w:val="left"/>
      <w:pPr>
        <w:ind w:left="720" w:hanging="720"/>
      </w:pPr>
      <w:rPr>
        <w:rFonts w:hint="default"/>
      </w:rPr>
    </w:lvl>
    <w:lvl w:ilvl="1">
      <w:start w:val="4"/>
      <w:numFmt w:val="decimal"/>
      <w:lvlText w:val="%1.%2."/>
      <w:lvlJc w:val="left"/>
      <w:pPr>
        <w:ind w:left="720" w:hanging="720"/>
      </w:pPr>
      <w:rPr>
        <w:rFonts w:hint="default"/>
      </w:rPr>
    </w:lvl>
    <w:lvl w:ilvl="2">
      <w:start w:val="3"/>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4A0553BF"/>
    <w:multiLevelType w:val="hybridMultilevel"/>
    <w:tmpl w:val="21643994"/>
    <w:lvl w:ilvl="0" w:tplc="4460A85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AFE2D6A"/>
    <w:multiLevelType w:val="multilevel"/>
    <w:tmpl w:val="E68070D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4D5D21C6"/>
    <w:multiLevelType w:val="hybridMultilevel"/>
    <w:tmpl w:val="175220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D951E34"/>
    <w:multiLevelType w:val="multilevel"/>
    <w:tmpl w:val="E256A07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F540861"/>
    <w:multiLevelType w:val="multilevel"/>
    <w:tmpl w:val="64385196"/>
    <w:lvl w:ilvl="0">
      <w:start w:val="1"/>
      <w:numFmt w:val="bullet"/>
      <w:lvlText w:val="●"/>
      <w:lvlJc w:val="center"/>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51090F15"/>
    <w:multiLevelType w:val="hybridMultilevel"/>
    <w:tmpl w:val="950467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2804D22"/>
    <w:multiLevelType w:val="multilevel"/>
    <w:tmpl w:val="9196CBF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2C64F14"/>
    <w:multiLevelType w:val="hybridMultilevel"/>
    <w:tmpl w:val="FA2C2B68"/>
    <w:lvl w:ilvl="0" w:tplc="4BA091AA">
      <w:start w:val="1"/>
      <w:numFmt w:val="bullet"/>
      <w:lvlText w:val="-"/>
      <w:lvlJc w:val="left"/>
      <w:pPr>
        <w:ind w:left="720" w:hanging="360"/>
      </w:pPr>
      <w:rPr>
        <w:rFonts w:ascii="Calibri" w:eastAsiaTheme="minorHAnsi" w:hAnsi="Calibri" w:cs="Calibri"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8" w15:restartNumberingAfterBreak="0">
    <w:nsid w:val="53E95235"/>
    <w:multiLevelType w:val="hybridMultilevel"/>
    <w:tmpl w:val="0A663F74"/>
    <w:lvl w:ilvl="0" w:tplc="4BA091AA">
      <w:start w:val="1"/>
      <w:numFmt w:val="bullet"/>
      <w:lvlText w:val="-"/>
      <w:lvlJc w:val="left"/>
      <w:pPr>
        <w:ind w:left="720" w:hanging="360"/>
      </w:pPr>
      <w:rPr>
        <w:rFonts w:ascii="Calibri" w:eastAsiaTheme="minorHAnsi" w:hAnsi="Calibri" w:cs="Calibri"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9" w15:restartNumberingAfterBreak="0">
    <w:nsid w:val="57C85200"/>
    <w:multiLevelType w:val="multilevel"/>
    <w:tmpl w:val="1B3AC33A"/>
    <w:lvl w:ilvl="0">
      <w:start w:val="1"/>
      <w:numFmt w:val="decimal"/>
      <w:lvlText w:val="%1."/>
      <w:lvlJc w:val="left"/>
      <w:pPr>
        <w:ind w:left="720" w:hanging="360"/>
      </w:pPr>
    </w:lvl>
    <w:lvl w:ilvl="1">
      <w:start w:val="1"/>
      <w:numFmt w:val="decimal"/>
      <w:lvlText w:val="%1.%2."/>
      <w:lvlJc w:val="left"/>
      <w:pPr>
        <w:ind w:left="1080" w:hanging="360"/>
      </w:pPr>
    </w:lvl>
    <w:lvl w:ilvl="2">
      <w:start w:val="1"/>
      <w:numFmt w:val="decimal"/>
      <w:lvlText w:val="%1.%2.%3."/>
      <w:lvlJc w:val="left"/>
      <w:pPr>
        <w:ind w:left="1800" w:hanging="720"/>
      </w:pPr>
    </w:lvl>
    <w:lvl w:ilvl="3">
      <w:start w:val="1"/>
      <w:numFmt w:val="decimal"/>
      <w:lvlText w:val="%1.%2.%3.%4."/>
      <w:lvlJc w:val="left"/>
      <w:pPr>
        <w:ind w:left="2160" w:hanging="720"/>
      </w:pPr>
    </w:lvl>
    <w:lvl w:ilvl="4">
      <w:start w:val="1"/>
      <w:numFmt w:val="decimal"/>
      <w:lvlText w:val="%1.%2.%3.%4.%5."/>
      <w:lvlJc w:val="left"/>
      <w:pPr>
        <w:ind w:left="2880" w:hanging="1080"/>
      </w:pPr>
    </w:lvl>
    <w:lvl w:ilvl="5">
      <w:start w:val="1"/>
      <w:numFmt w:val="decimal"/>
      <w:lvlText w:val="%1.%2.%3.%4.%5.%6."/>
      <w:lvlJc w:val="left"/>
      <w:pPr>
        <w:ind w:left="3240" w:hanging="1080"/>
      </w:pPr>
    </w:lvl>
    <w:lvl w:ilvl="6">
      <w:start w:val="1"/>
      <w:numFmt w:val="decimal"/>
      <w:lvlText w:val="%1.%2.%3.%4.%5.%6.%7."/>
      <w:lvlJc w:val="left"/>
      <w:pPr>
        <w:ind w:left="3960" w:hanging="1440"/>
      </w:pPr>
    </w:lvl>
    <w:lvl w:ilvl="7">
      <w:start w:val="1"/>
      <w:numFmt w:val="decimal"/>
      <w:lvlText w:val="%1.%2.%3.%4.%5.%6.%7.%8."/>
      <w:lvlJc w:val="left"/>
      <w:pPr>
        <w:ind w:left="4320" w:hanging="1440"/>
      </w:pPr>
    </w:lvl>
    <w:lvl w:ilvl="8">
      <w:start w:val="1"/>
      <w:numFmt w:val="decimal"/>
      <w:lvlText w:val="%1.%2.%3.%4.%5.%6.%7.%8.%9."/>
      <w:lvlJc w:val="left"/>
      <w:pPr>
        <w:ind w:left="5040" w:hanging="1800"/>
      </w:pPr>
    </w:lvl>
  </w:abstractNum>
  <w:abstractNum w:abstractNumId="40" w15:restartNumberingAfterBreak="0">
    <w:nsid w:val="58DF1D8D"/>
    <w:multiLevelType w:val="hybridMultilevel"/>
    <w:tmpl w:val="B742E592"/>
    <w:lvl w:ilvl="0" w:tplc="0409000F">
      <w:start w:val="1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9346123"/>
    <w:multiLevelType w:val="multilevel"/>
    <w:tmpl w:val="8BEC52AE"/>
    <w:lvl w:ilvl="0">
      <w:start w:val="3"/>
      <w:numFmt w:val="decimal"/>
      <w:lvlText w:val="%1."/>
      <w:lvlJc w:val="left"/>
      <w:pPr>
        <w:ind w:left="510" w:hanging="510"/>
      </w:pPr>
      <w:rPr>
        <w:rFonts w:hint="default"/>
      </w:rPr>
    </w:lvl>
    <w:lvl w:ilvl="1">
      <w:start w:val="8"/>
      <w:numFmt w:val="decimal"/>
      <w:lvlText w:val="%1.%2."/>
      <w:lvlJc w:val="left"/>
      <w:pPr>
        <w:ind w:left="510" w:hanging="51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598346B5"/>
    <w:multiLevelType w:val="hybridMultilevel"/>
    <w:tmpl w:val="A07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E3A2BD2"/>
    <w:multiLevelType w:val="multilevel"/>
    <w:tmpl w:val="CB68078E"/>
    <w:lvl w:ilvl="0">
      <w:start w:val="1"/>
      <w:numFmt w:val="decimal"/>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60FF5719"/>
    <w:multiLevelType w:val="multilevel"/>
    <w:tmpl w:val="5492FA34"/>
    <w:lvl w:ilvl="0">
      <w:start w:val="1"/>
      <w:numFmt w:val="decimal"/>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622043A0"/>
    <w:multiLevelType w:val="hybridMultilevel"/>
    <w:tmpl w:val="275EB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3521543"/>
    <w:multiLevelType w:val="hybridMultilevel"/>
    <w:tmpl w:val="9A8EA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5A251F5"/>
    <w:multiLevelType w:val="hybridMultilevel"/>
    <w:tmpl w:val="CE14660A"/>
    <w:lvl w:ilvl="0" w:tplc="EAE0204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6A05A3E"/>
    <w:multiLevelType w:val="multilevel"/>
    <w:tmpl w:val="A8D811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68F24F4E"/>
    <w:multiLevelType w:val="multilevel"/>
    <w:tmpl w:val="667E5FDE"/>
    <w:lvl w:ilvl="0">
      <w:start w:val="1"/>
      <w:numFmt w:val="decimal"/>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68FF4BF9"/>
    <w:multiLevelType w:val="hybridMultilevel"/>
    <w:tmpl w:val="B002EBE4"/>
    <w:lvl w:ilvl="0" w:tplc="2C0A0001">
      <w:start w:val="1"/>
      <w:numFmt w:val="bullet"/>
      <w:lvlText w:val=""/>
      <w:lvlJc w:val="left"/>
      <w:pPr>
        <w:ind w:left="1080" w:hanging="360"/>
      </w:pPr>
      <w:rPr>
        <w:rFonts w:ascii="Symbol" w:hAnsi="Symbol" w:hint="default"/>
      </w:rPr>
    </w:lvl>
    <w:lvl w:ilvl="1" w:tplc="2C0A0003" w:tentative="1">
      <w:start w:val="1"/>
      <w:numFmt w:val="bullet"/>
      <w:lvlText w:val="o"/>
      <w:lvlJc w:val="left"/>
      <w:pPr>
        <w:ind w:left="1800" w:hanging="360"/>
      </w:pPr>
      <w:rPr>
        <w:rFonts w:ascii="Courier New" w:hAnsi="Courier New" w:cs="Courier New" w:hint="default"/>
      </w:rPr>
    </w:lvl>
    <w:lvl w:ilvl="2" w:tplc="2C0A0005" w:tentative="1">
      <w:start w:val="1"/>
      <w:numFmt w:val="bullet"/>
      <w:lvlText w:val=""/>
      <w:lvlJc w:val="left"/>
      <w:pPr>
        <w:ind w:left="2520" w:hanging="360"/>
      </w:pPr>
      <w:rPr>
        <w:rFonts w:ascii="Wingdings" w:hAnsi="Wingdings" w:hint="default"/>
      </w:rPr>
    </w:lvl>
    <w:lvl w:ilvl="3" w:tplc="2C0A0001" w:tentative="1">
      <w:start w:val="1"/>
      <w:numFmt w:val="bullet"/>
      <w:lvlText w:val=""/>
      <w:lvlJc w:val="left"/>
      <w:pPr>
        <w:ind w:left="3240" w:hanging="360"/>
      </w:pPr>
      <w:rPr>
        <w:rFonts w:ascii="Symbol" w:hAnsi="Symbol" w:hint="default"/>
      </w:rPr>
    </w:lvl>
    <w:lvl w:ilvl="4" w:tplc="2C0A0003" w:tentative="1">
      <w:start w:val="1"/>
      <w:numFmt w:val="bullet"/>
      <w:lvlText w:val="o"/>
      <w:lvlJc w:val="left"/>
      <w:pPr>
        <w:ind w:left="3960" w:hanging="360"/>
      </w:pPr>
      <w:rPr>
        <w:rFonts w:ascii="Courier New" w:hAnsi="Courier New" w:cs="Courier New" w:hint="default"/>
      </w:rPr>
    </w:lvl>
    <w:lvl w:ilvl="5" w:tplc="2C0A0005" w:tentative="1">
      <w:start w:val="1"/>
      <w:numFmt w:val="bullet"/>
      <w:lvlText w:val=""/>
      <w:lvlJc w:val="left"/>
      <w:pPr>
        <w:ind w:left="4680" w:hanging="360"/>
      </w:pPr>
      <w:rPr>
        <w:rFonts w:ascii="Wingdings" w:hAnsi="Wingdings" w:hint="default"/>
      </w:rPr>
    </w:lvl>
    <w:lvl w:ilvl="6" w:tplc="2C0A0001" w:tentative="1">
      <w:start w:val="1"/>
      <w:numFmt w:val="bullet"/>
      <w:lvlText w:val=""/>
      <w:lvlJc w:val="left"/>
      <w:pPr>
        <w:ind w:left="5400" w:hanging="360"/>
      </w:pPr>
      <w:rPr>
        <w:rFonts w:ascii="Symbol" w:hAnsi="Symbol" w:hint="default"/>
      </w:rPr>
    </w:lvl>
    <w:lvl w:ilvl="7" w:tplc="2C0A0003" w:tentative="1">
      <w:start w:val="1"/>
      <w:numFmt w:val="bullet"/>
      <w:lvlText w:val="o"/>
      <w:lvlJc w:val="left"/>
      <w:pPr>
        <w:ind w:left="6120" w:hanging="360"/>
      </w:pPr>
      <w:rPr>
        <w:rFonts w:ascii="Courier New" w:hAnsi="Courier New" w:cs="Courier New" w:hint="default"/>
      </w:rPr>
    </w:lvl>
    <w:lvl w:ilvl="8" w:tplc="2C0A0005" w:tentative="1">
      <w:start w:val="1"/>
      <w:numFmt w:val="bullet"/>
      <w:lvlText w:val=""/>
      <w:lvlJc w:val="left"/>
      <w:pPr>
        <w:ind w:left="6840" w:hanging="360"/>
      </w:pPr>
      <w:rPr>
        <w:rFonts w:ascii="Wingdings" w:hAnsi="Wingdings" w:hint="default"/>
      </w:rPr>
    </w:lvl>
  </w:abstractNum>
  <w:abstractNum w:abstractNumId="51" w15:restartNumberingAfterBreak="0">
    <w:nsid w:val="71866934"/>
    <w:multiLevelType w:val="hybridMultilevel"/>
    <w:tmpl w:val="249CC1AC"/>
    <w:lvl w:ilvl="0" w:tplc="6FA46988">
      <w:start w:val="1"/>
      <w:numFmt w:val="decimal"/>
      <w:lvlText w:val="%1."/>
      <w:lvlJc w:val="left"/>
      <w:pPr>
        <w:ind w:left="720" w:hanging="360"/>
      </w:pPr>
      <w:rPr>
        <w:rFonts w:ascii="Calibri" w:eastAsia="Calibri" w:hAnsi="Calibri" w:cstheme="minorHAnsi"/>
      </w:rPr>
    </w:lvl>
    <w:lvl w:ilvl="1" w:tplc="2C0A0001">
      <w:start w:val="1"/>
      <w:numFmt w:val="bullet"/>
      <w:lvlText w:val=""/>
      <w:lvlJc w:val="left"/>
      <w:pPr>
        <w:ind w:left="1440" w:hanging="360"/>
      </w:pPr>
      <w:rPr>
        <w:rFonts w:ascii="Symbol" w:hAnsi="Symbol" w:hint="default"/>
      </w:rPr>
    </w:lvl>
    <w:lvl w:ilvl="2" w:tplc="2C0A001B">
      <w:start w:val="1"/>
      <w:numFmt w:val="lowerRoman"/>
      <w:lvlText w:val="%3."/>
      <w:lvlJc w:val="right"/>
      <w:pPr>
        <w:ind w:left="2160" w:hanging="180"/>
      </w:pPr>
    </w:lvl>
    <w:lvl w:ilvl="3" w:tplc="2C0A000F">
      <w:start w:val="1"/>
      <w:numFmt w:val="decimal"/>
      <w:lvlText w:val="%4."/>
      <w:lvlJc w:val="left"/>
      <w:pPr>
        <w:ind w:left="2880" w:hanging="360"/>
      </w:pPr>
    </w:lvl>
    <w:lvl w:ilvl="4" w:tplc="2C0A0019">
      <w:start w:val="1"/>
      <w:numFmt w:val="lowerLetter"/>
      <w:lvlText w:val="%5."/>
      <w:lvlJc w:val="left"/>
      <w:pPr>
        <w:ind w:left="3600" w:hanging="360"/>
      </w:pPr>
    </w:lvl>
    <w:lvl w:ilvl="5" w:tplc="2C0A001B">
      <w:start w:val="1"/>
      <w:numFmt w:val="lowerRoman"/>
      <w:lvlText w:val="%6."/>
      <w:lvlJc w:val="right"/>
      <w:pPr>
        <w:ind w:left="4320" w:hanging="180"/>
      </w:pPr>
    </w:lvl>
    <w:lvl w:ilvl="6" w:tplc="2C0A000F">
      <w:start w:val="1"/>
      <w:numFmt w:val="decimal"/>
      <w:lvlText w:val="%7."/>
      <w:lvlJc w:val="left"/>
      <w:pPr>
        <w:ind w:left="5040" w:hanging="360"/>
      </w:pPr>
    </w:lvl>
    <w:lvl w:ilvl="7" w:tplc="2C0A0019">
      <w:start w:val="1"/>
      <w:numFmt w:val="lowerLetter"/>
      <w:lvlText w:val="%8."/>
      <w:lvlJc w:val="left"/>
      <w:pPr>
        <w:ind w:left="5760" w:hanging="360"/>
      </w:pPr>
    </w:lvl>
    <w:lvl w:ilvl="8" w:tplc="2C0A001B">
      <w:start w:val="1"/>
      <w:numFmt w:val="lowerRoman"/>
      <w:lvlText w:val="%9."/>
      <w:lvlJc w:val="right"/>
      <w:pPr>
        <w:ind w:left="6480" w:hanging="180"/>
      </w:pPr>
    </w:lvl>
  </w:abstractNum>
  <w:abstractNum w:abstractNumId="52" w15:restartNumberingAfterBreak="0">
    <w:nsid w:val="72DA7090"/>
    <w:multiLevelType w:val="hybridMultilevel"/>
    <w:tmpl w:val="33FEF0D6"/>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3" w15:restartNumberingAfterBreak="0">
    <w:nsid w:val="741A533E"/>
    <w:multiLevelType w:val="multilevel"/>
    <w:tmpl w:val="80DAC496"/>
    <w:lvl w:ilvl="0">
      <w:start w:val="3"/>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757D094C"/>
    <w:multiLevelType w:val="hybridMultilevel"/>
    <w:tmpl w:val="03E6DE38"/>
    <w:lvl w:ilvl="0" w:tplc="97D68F04">
      <w:start w:val="5"/>
      <w:numFmt w:val="bullet"/>
      <w:lvlText w:val="-"/>
      <w:lvlJc w:val="left"/>
      <w:pPr>
        <w:ind w:left="720" w:hanging="360"/>
      </w:pPr>
      <w:rPr>
        <w:rFonts w:ascii="Calibri" w:eastAsiaTheme="minorHAnsi"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789843DF"/>
    <w:multiLevelType w:val="hybridMultilevel"/>
    <w:tmpl w:val="03BC967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 w15:restartNumberingAfterBreak="0">
    <w:nsid w:val="7A0441E9"/>
    <w:multiLevelType w:val="multilevel"/>
    <w:tmpl w:val="846E10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56"/>
  </w:num>
  <w:num w:numId="2">
    <w:abstractNumId w:val="27"/>
  </w:num>
  <w:num w:numId="3">
    <w:abstractNumId w:val="49"/>
  </w:num>
  <w:num w:numId="4">
    <w:abstractNumId w:val="6"/>
  </w:num>
  <w:num w:numId="5">
    <w:abstractNumId w:val="44"/>
  </w:num>
  <w:num w:numId="6">
    <w:abstractNumId w:val="43"/>
  </w:num>
  <w:num w:numId="7">
    <w:abstractNumId w:val="34"/>
  </w:num>
  <w:num w:numId="8">
    <w:abstractNumId w:val="24"/>
  </w:num>
  <w:num w:numId="9">
    <w:abstractNumId w:val="39"/>
  </w:num>
  <w:num w:numId="10">
    <w:abstractNumId w:val="1"/>
  </w:num>
  <w:num w:numId="11">
    <w:abstractNumId w:val="18"/>
  </w:num>
  <w:num w:numId="12">
    <w:abstractNumId w:val="15"/>
  </w:num>
  <w:num w:numId="13">
    <w:abstractNumId w:val="20"/>
  </w:num>
  <w:num w:numId="14">
    <w:abstractNumId w:val="13"/>
  </w:num>
  <w:num w:numId="15">
    <w:abstractNumId w:val="48"/>
  </w:num>
  <w:num w:numId="16">
    <w:abstractNumId w:val="17"/>
  </w:num>
  <w:num w:numId="17">
    <w:abstractNumId w:val="26"/>
  </w:num>
  <w:num w:numId="18">
    <w:abstractNumId w:val="37"/>
  </w:num>
  <w:num w:numId="19">
    <w:abstractNumId w:val="4"/>
  </w:num>
  <w:num w:numId="20">
    <w:abstractNumId w:val="38"/>
  </w:num>
  <w:num w:numId="21">
    <w:abstractNumId w:val="7"/>
  </w:num>
  <w:num w:numId="22">
    <w:abstractNumId w:val="21"/>
  </w:num>
  <w:num w:numId="23">
    <w:abstractNumId w:val="52"/>
  </w:num>
  <w:num w:numId="24">
    <w:abstractNumId w:val="51"/>
  </w:num>
  <w:num w:numId="25">
    <w:abstractNumId w:val="22"/>
  </w:num>
  <w:num w:numId="26">
    <w:abstractNumId w:val="50"/>
  </w:num>
  <w:num w:numId="27">
    <w:abstractNumId w:val="12"/>
  </w:num>
  <w:num w:numId="28">
    <w:abstractNumId w:val="45"/>
  </w:num>
  <w:num w:numId="29">
    <w:abstractNumId w:val="16"/>
  </w:num>
  <w:num w:numId="30">
    <w:abstractNumId w:val="47"/>
  </w:num>
  <w:num w:numId="31">
    <w:abstractNumId w:val="0"/>
  </w:num>
  <w:num w:numId="32">
    <w:abstractNumId w:val="42"/>
  </w:num>
  <w:num w:numId="33">
    <w:abstractNumId w:val="14"/>
  </w:num>
  <w:num w:numId="34">
    <w:abstractNumId w:val="30"/>
  </w:num>
  <w:num w:numId="35">
    <w:abstractNumId w:val="2"/>
  </w:num>
  <w:num w:numId="36">
    <w:abstractNumId w:val="46"/>
  </w:num>
  <w:num w:numId="37">
    <w:abstractNumId w:val="36"/>
  </w:num>
  <w:num w:numId="38">
    <w:abstractNumId w:val="9"/>
  </w:num>
  <w:num w:numId="39">
    <w:abstractNumId w:val="32"/>
  </w:num>
  <w:num w:numId="40">
    <w:abstractNumId w:val="11"/>
  </w:num>
  <w:num w:numId="41">
    <w:abstractNumId w:val="40"/>
  </w:num>
  <w:num w:numId="42">
    <w:abstractNumId w:val="3"/>
  </w:num>
  <w:num w:numId="43">
    <w:abstractNumId w:val="28"/>
  </w:num>
  <w:num w:numId="44">
    <w:abstractNumId w:val="29"/>
  </w:num>
  <w:num w:numId="45">
    <w:abstractNumId w:val="53"/>
  </w:num>
  <w:num w:numId="46">
    <w:abstractNumId w:val="41"/>
  </w:num>
  <w:num w:numId="47">
    <w:abstractNumId w:val="19"/>
  </w:num>
  <w:num w:numId="48">
    <w:abstractNumId w:val="10"/>
  </w:num>
  <w:num w:numId="49">
    <w:abstractNumId w:val="55"/>
  </w:num>
  <w:num w:numId="50">
    <w:abstractNumId w:val="8"/>
  </w:num>
  <w:num w:numId="51">
    <w:abstractNumId w:val="23"/>
  </w:num>
  <w:num w:numId="52">
    <w:abstractNumId w:val="54"/>
  </w:num>
  <w:num w:numId="53">
    <w:abstractNumId w:val="35"/>
  </w:num>
  <w:num w:numId="54">
    <w:abstractNumId w:val="25"/>
  </w:num>
  <w:num w:numId="55">
    <w:abstractNumId w:val="31"/>
  </w:num>
  <w:num w:numId="56">
    <w:abstractNumId w:val="5"/>
  </w:num>
  <w:num w:numId="57">
    <w:abstractNumId w:val="3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44E1"/>
    <w:rsid w:val="0002001C"/>
    <w:rsid w:val="00044414"/>
    <w:rsid w:val="00044DE2"/>
    <w:rsid w:val="00053D08"/>
    <w:rsid w:val="000551F2"/>
    <w:rsid w:val="000956A0"/>
    <w:rsid w:val="000A4570"/>
    <w:rsid w:val="000B63F0"/>
    <w:rsid w:val="000D0554"/>
    <w:rsid w:val="000E3BF5"/>
    <w:rsid w:val="000F0267"/>
    <w:rsid w:val="0011759F"/>
    <w:rsid w:val="00151244"/>
    <w:rsid w:val="00195977"/>
    <w:rsid w:val="00196D9C"/>
    <w:rsid w:val="001B5C7C"/>
    <w:rsid w:val="001D2137"/>
    <w:rsid w:val="001E345A"/>
    <w:rsid w:val="00230B49"/>
    <w:rsid w:val="002557B7"/>
    <w:rsid w:val="0026629E"/>
    <w:rsid w:val="002A32E5"/>
    <w:rsid w:val="002B3C15"/>
    <w:rsid w:val="002E456F"/>
    <w:rsid w:val="002E58DF"/>
    <w:rsid w:val="0031168F"/>
    <w:rsid w:val="00361CE6"/>
    <w:rsid w:val="00362B91"/>
    <w:rsid w:val="003658AF"/>
    <w:rsid w:val="00372C2F"/>
    <w:rsid w:val="00373C22"/>
    <w:rsid w:val="003F7BB3"/>
    <w:rsid w:val="0046321B"/>
    <w:rsid w:val="004710DA"/>
    <w:rsid w:val="00483488"/>
    <w:rsid w:val="00490C4C"/>
    <w:rsid w:val="004977F9"/>
    <w:rsid w:val="004B2FB8"/>
    <w:rsid w:val="004C19E5"/>
    <w:rsid w:val="004C7A7B"/>
    <w:rsid w:val="004D78BE"/>
    <w:rsid w:val="00500A88"/>
    <w:rsid w:val="00517B7E"/>
    <w:rsid w:val="005758B6"/>
    <w:rsid w:val="0059761E"/>
    <w:rsid w:val="00597B65"/>
    <w:rsid w:val="005C3C21"/>
    <w:rsid w:val="00625948"/>
    <w:rsid w:val="006667C7"/>
    <w:rsid w:val="00695441"/>
    <w:rsid w:val="007037F9"/>
    <w:rsid w:val="0072176B"/>
    <w:rsid w:val="007242F1"/>
    <w:rsid w:val="0074795B"/>
    <w:rsid w:val="00775318"/>
    <w:rsid w:val="00795554"/>
    <w:rsid w:val="007A7E2D"/>
    <w:rsid w:val="007D437F"/>
    <w:rsid w:val="007E65F0"/>
    <w:rsid w:val="007F19BB"/>
    <w:rsid w:val="008024A4"/>
    <w:rsid w:val="00812863"/>
    <w:rsid w:val="0086587C"/>
    <w:rsid w:val="008C01B9"/>
    <w:rsid w:val="008C4D23"/>
    <w:rsid w:val="008F729E"/>
    <w:rsid w:val="00940930"/>
    <w:rsid w:val="0094333D"/>
    <w:rsid w:val="009E356C"/>
    <w:rsid w:val="009F3C7F"/>
    <w:rsid w:val="00A01BDC"/>
    <w:rsid w:val="00A216BF"/>
    <w:rsid w:val="00A3796D"/>
    <w:rsid w:val="00A45334"/>
    <w:rsid w:val="00A8541B"/>
    <w:rsid w:val="00AC20EA"/>
    <w:rsid w:val="00AC290E"/>
    <w:rsid w:val="00AD2223"/>
    <w:rsid w:val="00AE67F2"/>
    <w:rsid w:val="00AF1B5D"/>
    <w:rsid w:val="00AF68FB"/>
    <w:rsid w:val="00B15F85"/>
    <w:rsid w:val="00B258C4"/>
    <w:rsid w:val="00B84159"/>
    <w:rsid w:val="00B875D8"/>
    <w:rsid w:val="00B9007C"/>
    <w:rsid w:val="00B93B70"/>
    <w:rsid w:val="00BA33A9"/>
    <w:rsid w:val="00BB44E1"/>
    <w:rsid w:val="00BD23D7"/>
    <w:rsid w:val="00BF6983"/>
    <w:rsid w:val="00BF7DC4"/>
    <w:rsid w:val="00C00E2B"/>
    <w:rsid w:val="00C14533"/>
    <w:rsid w:val="00C17C64"/>
    <w:rsid w:val="00C2410D"/>
    <w:rsid w:val="00C51E07"/>
    <w:rsid w:val="00CD2A61"/>
    <w:rsid w:val="00CD6094"/>
    <w:rsid w:val="00D1389E"/>
    <w:rsid w:val="00D93026"/>
    <w:rsid w:val="00D93C96"/>
    <w:rsid w:val="00DB0C40"/>
    <w:rsid w:val="00DB663A"/>
    <w:rsid w:val="00DC316C"/>
    <w:rsid w:val="00E0559E"/>
    <w:rsid w:val="00E07BEB"/>
    <w:rsid w:val="00E279B2"/>
    <w:rsid w:val="00E30ADC"/>
    <w:rsid w:val="00E44AF4"/>
    <w:rsid w:val="00E4703B"/>
    <w:rsid w:val="00E471AD"/>
    <w:rsid w:val="00E6222D"/>
    <w:rsid w:val="00E941FF"/>
    <w:rsid w:val="00E94A0E"/>
    <w:rsid w:val="00EA37BB"/>
    <w:rsid w:val="00EE0D93"/>
    <w:rsid w:val="00EE56EA"/>
    <w:rsid w:val="00EF4332"/>
    <w:rsid w:val="00EF6EB8"/>
    <w:rsid w:val="00EF7BC1"/>
    <w:rsid w:val="00F03CE5"/>
    <w:rsid w:val="00F37BC3"/>
    <w:rsid w:val="00F45AF9"/>
    <w:rsid w:val="00F55A69"/>
    <w:rsid w:val="00FB59BE"/>
    <w:rsid w:val="00FC3AC5"/>
    <w:rsid w:val="00FC7E02"/>
    <w:rsid w:val="00FE0285"/>
    <w:rsid w:val="00FF2C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695F7A"/>
  <w15:docId w15:val="{1A45623A-D4F8-405F-B7B4-7F90EC52E0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4"/>
        <w:szCs w:val="24"/>
        <w:lang w:val="en-GB"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A40B06"/>
  </w:style>
  <w:style w:type="paragraph" w:styleId="Heading1">
    <w:name w:val="heading 1"/>
    <w:basedOn w:val="Normal"/>
    <w:next w:val="Normal"/>
    <w:link w:val="Heading1Char"/>
    <w:uiPriority w:val="9"/>
    <w:qFormat/>
    <w:rsid w:val="00492ACD"/>
    <w:pPr>
      <w:keepNext/>
      <w:keepLines/>
      <w:spacing w:before="240" w:after="12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35E1"/>
    <w:pPr>
      <w:keepNext/>
      <w:keepLines/>
      <w:spacing w:before="120" w:after="12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AA35E1"/>
    <w:pPr>
      <w:keepNext/>
      <w:keepLines/>
      <w:spacing w:before="240" w:after="12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C804C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C804CE"/>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1A26F1"/>
    <w:pPr>
      <w:tabs>
        <w:tab w:val="center" w:pos="4680"/>
        <w:tab w:val="right" w:pos="9360"/>
      </w:tabs>
    </w:pPr>
  </w:style>
  <w:style w:type="character" w:customStyle="1" w:styleId="HeaderChar">
    <w:name w:val="Header Char"/>
    <w:basedOn w:val="DefaultParagraphFont"/>
    <w:link w:val="Header"/>
    <w:uiPriority w:val="99"/>
    <w:rsid w:val="001A26F1"/>
  </w:style>
  <w:style w:type="paragraph" w:styleId="Footer">
    <w:name w:val="footer"/>
    <w:basedOn w:val="Normal"/>
    <w:link w:val="FooterChar"/>
    <w:uiPriority w:val="99"/>
    <w:unhideWhenUsed/>
    <w:rsid w:val="001A26F1"/>
    <w:pPr>
      <w:tabs>
        <w:tab w:val="center" w:pos="4680"/>
        <w:tab w:val="right" w:pos="9360"/>
      </w:tabs>
    </w:pPr>
  </w:style>
  <w:style w:type="character" w:customStyle="1" w:styleId="FooterChar">
    <w:name w:val="Footer Char"/>
    <w:basedOn w:val="DefaultParagraphFont"/>
    <w:link w:val="Footer"/>
    <w:uiPriority w:val="99"/>
    <w:rsid w:val="001A26F1"/>
  </w:style>
  <w:style w:type="paragraph" w:styleId="FootnoteText">
    <w:name w:val="footnote text"/>
    <w:aliases w:val="Fußnote,Fußnotentextf,Podrozdział,Footnote Text Char Char,single space,FOOTNOTES,fn,stile 1,Footnote,Footnote1,Footnote2,Footnote3,Footnote4,Footnote5,Footnote6,Footnote7,Footnote8,Footnote9,Footnote10"/>
    <w:basedOn w:val="Normal"/>
    <w:link w:val="FootnoteTextChar"/>
    <w:uiPriority w:val="99"/>
    <w:unhideWhenUsed/>
    <w:rsid w:val="009548B8"/>
    <w:rPr>
      <w:sz w:val="20"/>
      <w:szCs w:val="20"/>
    </w:rPr>
  </w:style>
  <w:style w:type="character" w:customStyle="1" w:styleId="FootnoteTextChar">
    <w:name w:val="Footnote Text Char"/>
    <w:aliases w:val="Fußnote Char,Fußnotentextf Char,Podrozdział Char,Footnote Text Char Char Char,single space Char,FOOTNOTES Char,fn Char,stile 1 Char,Footnote Char,Footnote1 Char,Footnote2 Char,Footnote3 Char,Footnote4 Char,Footnote5 Char"/>
    <w:basedOn w:val="DefaultParagraphFont"/>
    <w:link w:val="FootnoteText"/>
    <w:uiPriority w:val="99"/>
    <w:rsid w:val="009548B8"/>
    <w:rPr>
      <w:sz w:val="20"/>
      <w:szCs w:val="20"/>
    </w:rPr>
  </w:style>
  <w:style w:type="character" w:styleId="FootnoteReference">
    <w:name w:val="footnote reference"/>
    <w:aliases w:val="Überschrift 4 Zchn1,Título 4 Car Zchn,Heading 4 Char1 Car Zchn,no vale 2 Zchn,no vale 2 Car Zchn,Footnote Reference Superscript"/>
    <w:uiPriority w:val="99"/>
    <w:rsid w:val="009548B8"/>
    <w:rPr>
      <w:rFonts w:ascii="TimesNewRomanPS" w:hAnsi="TimesNewRomanPS"/>
      <w:position w:val="6"/>
      <w:sz w:val="16"/>
    </w:rPr>
  </w:style>
  <w:style w:type="paragraph" w:styleId="EndnoteText">
    <w:name w:val="endnote text"/>
    <w:basedOn w:val="Normal"/>
    <w:link w:val="EndnoteTextChar"/>
    <w:uiPriority w:val="99"/>
    <w:semiHidden/>
    <w:unhideWhenUsed/>
    <w:rsid w:val="009548B8"/>
    <w:rPr>
      <w:sz w:val="20"/>
      <w:szCs w:val="20"/>
    </w:rPr>
  </w:style>
  <w:style w:type="character" w:customStyle="1" w:styleId="EndnoteTextChar">
    <w:name w:val="Endnote Text Char"/>
    <w:basedOn w:val="DefaultParagraphFont"/>
    <w:link w:val="EndnoteText"/>
    <w:uiPriority w:val="99"/>
    <w:semiHidden/>
    <w:rsid w:val="009548B8"/>
    <w:rPr>
      <w:sz w:val="20"/>
      <w:szCs w:val="20"/>
      <w:lang w:val="en-GB"/>
    </w:rPr>
  </w:style>
  <w:style w:type="character" w:styleId="EndnoteReference">
    <w:name w:val="endnote reference"/>
    <w:basedOn w:val="DefaultParagraphFont"/>
    <w:uiPriority w:val="99"/>
    <w:semiHidden/>
    <w:unhideWhenUsed/>
    <w:rsid w:val="009548B8"/>
    <w:rPr>
      <w:vertAlign w:val="superscript"/>
    </w:rPr>
  </w:style>
  <w:style w:type="character" w:styleId="CommentReference">
    <w:name w:val="annotation reference"/>
    <w:basedOn w:val="DefaultParagraphFont"/>
    <w:uiPriority w:val="99"/>
    <w:semiHidden/>
    <w:unhideWhenUsed/>
    <w:rsid w:val="00FF1F29"/>
    <w:rPr>
      <w:sz w:val="16"/>
      <w:szCs w:val="16"/>
    </w:rPr>
  </w:style>
  <w:style w:type="paragraph" w:styleId="CommentText">
    <w:name w:val="annotation text"/>
    <w:basedOn w:val="Normal"/>
    <w:link w:val="CommentTextChar"/>
    <w:uiPriority w:val="99"/>
    <w:unhideWhenUsed/>
    <w:rsid w:val="00FF1F29"/>
    <w:rPr>
      <w:sz w:val="20"/>
      <w:szCs w:val="20"/>
    </w:rPr>
  </w:style>
  <w:style w:type="character" w:customStyle="1" w:styleId="CommentTextChar">
    <w:name w:val="Comment Text Char"/>
    <w:basedOn w:val="DefaultParagraphFont"/>
    <w:link w:val="CommentText"/>
    <w:uiPriority w:val="99"/>
    <w:rsid w:val="00FF1F29"/>
    <w:rPr>
      <w:sz w:val="20"/>
      <w:szCs w:val="20"/>
    </w:rPr>
  </w:style>
  <w:style w:type="paragraph" w:styleId="CommentSubject">
    <w:name w:val="annotation subject"/>
    <w:basedOn w:val="CommentText"/>
    <w:next w:val="CommentText"/>
    <w:link w:val="CommentSubjectChar"/>
    <w:uiPriority w:val="99"/>
    <w:semiHidden/>
    <w:unhideWhenUsed/>
    <w:rsid w:val="00FF1F29"/>
    <w:rPr>
      <w:b/>
      <w:bCs/>
    </w:rPr>
  </w:style>
  <w:style w:type="character" w:customStyle="1" w:styleId="CommentSubjectChar">
    <w:name w:val="Comment Subject Char"/>
    <w:basedOn w:val="CommentTextChar"/>
    <w:link w:val="CommentSubject"/>
    <w:uiPriority w:val="99"/>
    <w:semiHidden/>
    <w:rsid w:val="00FF1F29"/>
    <w:rPr>
      <w:b/>
      <w:bCs/>
      <w:sz w:val="20"/>
      <w:szCs w:val="20"/>
    </w:rPr>
  </w:style>
  <w:style w:type="paragraph" w:styleId="BalloonText">
    <w:name w:val="Balloon Text"/>
    <w:basedOn w:val="Normal"/>
    <w:link w:val="BalloonTextChar"/>
    <w:uiPriority w:val="99"/>
    <w:semiHidden/>
    <w:unhideWhenUsed/>
    <w:rsid w:val="00FF1F2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1F29"/>
    <w:rPr>
      <w:rFonts w:ascii="Segoe UI" w:hAnsi="Segoe UI" w:cs="Segoe UI"/>
      <w:sz w:val="18"/>
      <w:szCs w:val="18"/>
    </w:rPr>
  </w:style>
  <w:style w:type="character" w:customStyle="1" w:styleId="Heading1Char">
    <w:name w:val="Heading 1 Char"/>
    <w:basedOn w:val="DefaultParagraphFont"/>
    <w:link w:val="Heading1"/>
    <w:uiPriority w:val="9"/>
    <w:rsid w:val="00492ACD"/>
    <w:rPr>
      <w:rFonts w:asciiTheme="majorHAnsi" w:eastAsiaTheme="majorEastAsia" w:hAnsiTheme="majorHAnsi" w:cstheme="majorBidi"/>
      <w:color w:val="2F5496" w:themeColor="accent1" w:themeShade="BF"/>
      <w:sz w:val="32"/>
      <w:szCs w:val="32"/>
    </w:rPr>
  </w:style>
  <w:style w:type="paragraph" w:styleId="ListParagraph">
    <w:name w:val="List Paragraph"/>
    <w:aliases w:val="Bullet Points,Listenabsatz1,Llista Nivell1,Lista de nivel 1,Paragraphe de liste PBLH,Normal bullet 2,Graph &amp; Table tite,Table of contents numbered,Bullet list,Liststycke SKL,List Paragraph2,Foot note,UEDAŞ Bullet"/>
    <w:basedOn w:val="Normal"/>
    <w:link w:val="ListParagraphChar"/>
    <w:uiPriority w:val="34"/>
    <w:qFormat/>
    <w:rsid w:val="002F2BFB"/>
    <w:pPr>
      <w:ind w:left="720"/>
      <w:contextualSpacing/>
    </w:pPr>
  </w:style>
  <w:style w:type="table" w:customStyle="1" w:styleId="Tablaconcuadrcula1">
    <w:name w:val="Tabla con cuadrícula1"/>
    <w:basedOn w:val="TableNormal"/>
    <w:next w:val="TableGrid"/>
    <w:uiPriority w:val="39"/>
    <w:rsid w:val="00CF5370"/>
    <w:rPr>
      <w:sz w:val="22"/>
      <w:szCs w:val="22"/>
      <w:lang w:val="es-A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CF53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EB3530"/>
    <w:rPr>
      <w:color w:val="0563C1" w:themeColor="hyperlink"/>
      <w:u w:val="single"/>
    </w:rPr>
  </w:style>
  <w:style w:type="table" w:customStyle="1" w:styleId="TableNormal2">
    <w:name w:val="Table Normal2"/>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EB3530"/>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Heading2Char">
    <w:name w:val="Heading 2 Char"/>
    <w:basedOn w:val="DefaultParagraphFont"/>
    <w:link w:val="Heading2"/>
    <w:uiPriority w:val="9"/>
    <w:rsid w:val="00AA35E1"/>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C55470"/>
    <w:pPr>
      <w:spacing w:line="259" w:lineRule="auto"/>
      <w:outlineLvl w:val="9"/>
    </w:pPr>
    <w:rPr>
      <w:lang w:val="en-US"/>
    </w:rPr>
  </w:style>
  <w:style w:type="paragraph" w:styleId="TOC1">
    <w:name w:val="toc 1"/>
    <w:basedOn w:val="Normal"/>
    <w:next w:val="Normal"/>
    <w:autoRedefine/>
    <w:uiPriority w:val="39"/>
    <w:unhideWhenUsed/>
    <w:rsid w:val="00C55470"/>
    <w:pPr>
      <w:spacing w:before="360"/>
    </w:pPr>
    <w:rPr>
      <w:rFonts w:asciiTheme="majorHAnsi" w:hAnsiTheme="majorHAnsi" w:cstheme="majorHAnsi"/>
      <w:b/>
      <w:bCs/>
      <w:caps/>
    </w:rPr>
  </w:style>
  <w:style w:type="paragraph" w:styleId="TOC2">
    <w:name w:val="toc 2"/>
    <w:basedOn w:val="Normal"/>
    <w:next w:val="Normal"/>
    <w:autoRedefine/>
    <w:uiPriority w:val="39"/>
    <w:unhideWhenUsed/>
    <w:rsid w:val="00C55470"/>
    <w:pPr>
      <w:spacing w:before="240"/>
    </w:pPr>
    <w:rPr>
      <w:rFonts w:cstheme="minorHAnsi"/>
      <w:b/>
      <w:bCs/>
      <w:sz w:val="20"/>
      <w:szCs w:val="20"/>
    </w:rPr>
  </w:style>
  <w:style w:type="character" w:customStyle="1" w:styleId="Heading3Char">
    <w:name w:val="Heading 3 Char"/>
    <w:basedOn w:val="DefaultParagraphFont"/>
    <w:link w:val="Heading3"/>
    <w:uiPriority w:val="9"/>
    <w:rsid w:val="00AA35E1"/>
    <w:rPr>
      <w:rFonts w:asciiTheme="majorHAnsi" w:eastAsiaTheme="majorEastAsia" w:hAnsiTheme="majorHAnsi" w:cstheme="majorBidi"/>
      <w:color w:val="1F3763" w:themeColor="accent1" w:themeShade="7F"/>
    </w:rPr>
  </w:style>
  <w:style w:type="paragraph" w:styleId="TOC3">
    <w:name w:val="toc 3"/>
    <w:basedOn w:val="Normal"/>
    <w:next w:val="Normal"/>
    <w:autoRedefine/>
    <w:uiPriority w:val="39"/>
    <w:unhideWhenUsed/>
    <w:rsid w:val="00492ACD"/>
    <w:pPr>
      <w:ind w:left="240"/>
    </w:pPr>
    <w:rPr>
      <w:rFonts w:cstheme="minorHAnsi"/>
      <w:sz w:val="20"/>
      <w:szCs w:val="20"/>
    </w:rPr>
  </w:style>
  <w:style w:type="paragraph" w:styleId="TOC4">
    <w:name w:val="toc 4"/>
    <w:basedOn w:val="Normal"/>
    <w:next w:val="Normal"/>
    <w:autoRedefine/>
    <w:uiPriority w:val="39"/>
    <w:unhideWhenUsed/>
    <w:rsid w:val="00492ACD"/>
    <w:pPr>
      <w:ind w:left="480"/>
    </w:pPr>
    <w:rPr>
      <w:rFonts w:cstheme="minorHAnsi"/>
      <w:sz w:val="20"/>
      <w:szCs w:val="20"/>
    </w:rPr>
  </w:style>
  <w:style w:type="paragraph" w:styleId="TOC5">
    <w:name w:val="toc 5"/>
    <w:basedOn w:val="Normal"/>
    <w:next w:val="Normal"/>
    <w:autoRedefine/>
    <w:uiPriority w:val="39"/>
    <w:unhideWhenUsed/>
    <w:rsid w:val="00492ACD"/>
    <w:pPr>
      <w:ind w:left="720"/>
    </w:pPr>
    <w:rPr>
      <w:rFonts w:cstheme="minorHAnsi"/>
      <w:sz w:val="20"/>
      <w:szCs w:val="20"/>
    </w:rPr>
  </w:style>
  <w:style w:type="paragraph" w:styleId="TOC6">
    <w:name w:val="toc 6"/>
    <w:basedOn w:val="Normal"/>
    <w:next w:val="Normal"/>
    <w:autoRedefine/>
    <w:uiPriority w:val="39"/>
    <w:unhideWhenUsed/>
    <w:rsid w:val="00492ACD"/>
    <w:pPr>
      <w:ind w:left="960"/>
    </w:pPr>
    <w:rPr>
      <w:rFonts w:cstheme="minorHAnsi"/>
      <w:sz w:val="20"/>
      <w:szCs w:val="20"/>
    </w:rPr>
  </w:style>
  <w:style w:type="paragraph" w:styleId="TOC7">
    <w:name w:val="toc 7"/>
    <w:basedOn w:val="Normal"/>
    <w:next w:val="Normal"/>
    <w:autoRedefine/>
    <w:uiPriority w:val="39"/>
    <w:unhideWhenUsed/>
    <w:rsid w:val="00492ACD"/>
    <w:pPr>
      <w:ind w:left="1200"/>
    </w:pPr>
    <w:rPr>
      <w:rFonts w:cstheme="minorHAnsi"/>
      <w:sz w:val="20"/>
      <w:szCs w:val="20"/>
    </w:rPr>
  </w:style>
  <w:style w:type="paragraph" w:styleId="TOC8">
    <w:name w:val="toc 8"/>
    <w:basedOn w:val="Normal"/>
    <w:next w:val="Normal"/>
    <w:autoRedefine/>
    <w:uiPriority w:val="39"/>
    <w:unhideWhenUsed/>
    <w:rsid w:val="00492ACD"/>
    <w:pPr>
      <w:ind w:left="1440"/>
    </w:pPr>
    <w:rPr>
      <w:rFonts w:cstheme="minorHAnsi"/>
      <w:sz w:val="20"/>
      <w:szCs w:val="20"/>
    </w:rPr>
  </w:style>
  <w:style w:type="paragraph" w:styleId="TOC9">
    <w:name w:val="toc 9"/>
    <w:basedOn w:val="Normal"/>
    <w:next w:val="Normal"/>
    <w:autoRedefine/>
    <w:uiPriority w:val="39"/>
    <w:unhideWhenUsed/>
    <w:rsid w:val="00492ACD"/>
    <w:pPr>
      <w:ind w:left="1680"/>
    </w:pPr>
    <w:rPr>
      <w:rFonts w:cstheme="minorHAnsi"/>
      <w:sz w:val="20"/>
      <w:szCs w:val="20"/>
    </w:rPr>
  </w:style>
  <w:style w:type="character" w:styleId="PageNumber">
    <w:name w:val="page number"/>
    <w:basedOn w:val="DefaultParagraphFont"/>
    <w:uiPriority w:val="99"/>
    <w:semiHidden/>
    <w:unhideWhenUsed/>
    <w:rsid w:val="00DF55E9"/>
  </w:style>
  <w:style w:type="character" w:customStyle="1" w:styleId="UnresolvedMention1">
    <w:name w:val="Unresolved Mention1"/>
    <w:basedOn w:val="DefaultParagraphFont"/>
    <w:uiPriority w:val="99"/>
    <w:semiHidden/>
    <w:unhideWhenUsed/>
    <w:rsid w:val="004B20FB"/>
    <w:rPr>
      <w:color w:val="605E5C"/>
      <w:shd w:val="clear" w:color="auto" w:fill="E1DFDD"/>
    </w:rPr>
  </w:style>
  <w:style w:type="paragraph" w:styleId="NormalWeb">
    <w:name w:val="Normal (Web)"/>
    <w:basedOn w:val="Normal"/>
    <w:uiPriority w:val="99"/>
    <w:unhideWhenUsed/>
    <w:rsid w:val="003E50F9"/>
    <w:rPr>
      <w:rFonts w:ascii="Times New Roman" w:hAnsi="Times New Roman" w:cs="Times New Roman"/>
    </w:rPr>
  </w:style>
  <w:style w:type="table" w:customStyle="1" w:styleId="TableGrid1">
    <w:name w:val="Table Grid1"/>
    <w:basedOn w:val="TableNormal"/>
    <w:next w:val="TableGrid"/>
    <w:uiPriority w:val="39"/>
    <w:rsid w:val="00860EBD"/>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1B37BE"/>
  </w:style>
  <w:style w:type="character" w:customStyle="1" w:styleId="UnresolvedMention2">
    <w:name w:val="Unresolved Mention2"/>
    <w:basedOn w:val="DefaultParagraphFont"/>
    <w:uiPriority w:val="99"/>
    <w:semiHidden/>
    <w:unhideWhenUsed/>
    <w:rsid w:val="007135B7"/>
    <w:rPr>
      <w:color w:val="605E5C"/>
      <w:shd w:val="clear" w:color="auto" w:fill="E1DFDD"/>
    </w:rPr>
  </w:style>
  <w:style w:type="paragraph" w:customStyle="1" w:styleId="Default">
    <w:name w:val="Default"/>
    <w:rsid w:val="006C68A7"/>
    <w:pPr>
      <w:autoSpaceDE w:val="0"/>
      <w:autoSpaceDN w:val="0"/>
      <w:adjustRightInd w:val="0"/>
    </w:pPr>
    <w:rPr>
      <w:rFonts w:ascii="Segoe UI" w:hAnsi="Segoe UI" w:cs="Segoe UI"/>
      <w:color w:val="000000"/>
      <w:lang w:val="en-US"/>
    </w:rPr>
  </w:style>
  <w:style w:type="paragraph" w:customStyle="1" w:styleId="Pa3">
    <w:name w:val="Pa3"/>
    <w:basedOn w:val="Default"/>
    <w:next w:val="Default"/>
    <w:uiPriority w:val="99"/>
    <w:rsid w:val="006C68A7"/>
    <w:pPr>
      <w:spacing w:line="201" w:lineRule="atLeast"/>
    </w:pPr>
    <w:rPr>
      <w:color w:val="auto"/>
    </w:rPr>
  </w:style>
  <w:style w:type="character" w:customStyle="1" w:styleId="UnresolvedMention3">
    <w:name w:val="Unresolved Mention3"/>
    <w:basedOn w:val="DefaultParagraphFont"/>
    <w:uiPriority w:val="99"/>
    <w:semiHidden/>
    <w:unhideWhenUsed/>
    <w:rsid w:val="00B8285A"/>
    <w:rPr>
      <w:color w:val="605E5C"/>
      <w:shd w:val="clear" w:color="auto" w:fill="E1DFDD"/>
    </w:rPr>
  </w:style>
  <w:style w:type="paragraph" w:styleId="HTMLPreformatted">
    <w:name w:val="HTML Preformatted"/>
    <w:basedOn w:val="Normal"/>
    <w:link w:val="HTMLPreformattedChar"/>
    <w:uiPriority w:val="99"/>
    <w:semiHidden/>
    <w:unhideWhenUsed/>
    <w:rsid w:val="00142C66"/>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142C66"/>
    <w:rPr>
      <w:rFonts w:ascii="Consolas" w:hAnsi="Consolas"/>
      <w:sz w:val="20"/>
      <w:szCs w:val="20"/>
      <w:lang w:val="en-GB"/>
    </w:rPr>
  </w:style>
  <w:style w:type="character" w:styleId="FollowedHyperlink">
    <w:name w:val="FollowedHyperlink"/>
    <w:basedOn w:val="DefaultParagraphFont"/>
    <w:uiPriority w:val="99"/>
    <w:semiHidden/>
    <w:unhideWhenUsed/>
    <w:rsid w:val="00142C66"/>
    <w:rPr>
      <w:color w:val="954F72" w:themeColor="followedHyperlink"/>
      <w:u w:val="single"/>
    </w:rPr>
  </w:style>
  <w:style w:type="character" w:styleId="UnresolvedMention">
    <w:name w:val="Unresolved Mention"/>
    <w:basedOn w:val="DefaultParagraphFont"/>
    <w:uiPriority w:val="99"/>
    <w:semiHidden/>
    <w:unhideWhenUsed/>
    <w:rsid w:val="00B031B2"/>
    <w:rPr>
      <w:color w:val="605E5C"/>
      <w:shd w:val="clear" w:color="auto" w:fill="E1DFDD"/>
    </w:rPr>
  </w:style>
  <w:style w:type="character" w:customStyle="1" w:styleId="ListParagraphChar">
    <w:name w:val="List Paragraph Char"/>
    <w:aliases w:val="Bullet Points Char,Listenabsatz1 Char,Llista Nivell1 Char,Lista de nivel 1 Char,Paragraphe de liste PBLH Char,Normal bullet 2 Char,Graph &amp; Table tite Char,Table of contents numbered Char,Bullet list Char,Liststycke SKL Char"/>
    <w:link w:val="ListParagraph"/>
    <w:uiPriority w:val="34"/>
    <w:qFormat/>
    <w:locked/>
    <w:rsid w:val="002B0081"/>
    <w:rPr>
      <w:lang w:val="en-GB"/>
    </w:rPr>
  </w:style>
  <w:style w:type="character" w:customStyle="1" w:styleId="Heading4Char">
    <w:name w:val="Heading 4 Char"/>
    <w:basedOn w:val="DefaultParagraphFont"/>
    <w:link w:val="Heading4"/>
    <w:uiPriority w:val="9"/>
    <w:semiHidden/>
    <w:rsid w:val="00C804CE"/>
    <w:rPr>
      <w:rFonts w:asciiTheme="majorHAnsi" w:eastAsiaTheme="majorEastAsia" w:hAnsiTheme="majorHAnsi" w:cstheme="majorBidi"/>
      <w:i/>
      <w:iCs/>
      <w:color w:val="2F5496" w:themeColor="accent1" w:themeShade="BF"/>
      <w:lang w:val="en-GB"/>
    </w:rPr>
  </w:style>
  <w:style w:type="character" w:customStyle="1" w:styleId="Heading5Char">
    <w:name w:val="Heading 5 Char"/>
    <w:basedOn w:val="DefaultParagraphFont"/>
    <w:link w:val="Heading5"/>
    <w:uiPriority w:val="9"/>
    <w:semiHidden/>
    <w:rsid w:val="00C804CE"/>
    <w:rPr>
      <w:rFonts w:asciiTheme="majorHAnsi" w:eastAsiaTheme="majorEastAsia" w:hAnsiTheme="majorHAnsi" w:cstheme="majorBidi"/>
      <w:color w:val="2F5496" w:themeColor="accent1" w:themeShade="BF"/>
      <w:lang w:val="en-GB"/>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rPr>
      <w:sz w:val="22"/>
      <w:szCs w:val="22"/>
    </w:rPr>
    <w:tblPr>
      <w:tblStyleRowBandSize w:val="1"/>
      <w:tblStyleColBandSize w:val="1"/>
    </w:tblPr>
  </w:style>
  <w:style w:type="table" w:customStyle="1" w:styleId="a2">
    <w:basedOn w:val="TableNormal"/>
    <w:rPr>
      <w:sz w:val="22"/>
      <w:szCs w:val="22"/>
    </w:rPr>
    <w:tblPr>
      <w:tblStyleRowBandSize w:val="1"/>
      <w:tblStyleColBandSize w:val="1"/>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rPr>
      <w:sz w:val="22"/>
      <w:szCs w:val="22"/>
    </w:rPr>
    <w:tblPr>
      <w:tblStyleRowBandSize w:val="1"/>
      <w:tblStyleColBandSize w:val="1"/>
    </w:tblPr>
  </w:style>
  <w:style w:type="table" w:customStyle="1" w:styleId="a7">
    <w:basedOn w:val="TableNormal"/>
    <w:tblPr>
      <w:tblStyleRowBandSize w:val="1"/>
      <w:tblStyleColBandSize w:val="1"/>
      <w:tblCellMar>
        <w:left w:w="70" w:type="dxa"/>
        <w:right w:w="70" w:type="dxa"/>
      </w:tblCellMar>
    </w:tblPr>
  </w:style>
  <w:style w:type="table" w:customStyle="1" w:styleId="TableGrid2">
    <w:name w:val="Table Grid2"/>
    <w:basedOn w:val="TableNormal"/>
    <w:next w:val="TableGrid"/>
    <w:uiPriority w:val="39"/>
    <w:rsid w:val="005758B6"/>
    <w:rPr>
      <w:rFonts w:asciiTheme="minorHAnsi" w:eastAsiaTheme="minorHAnsi" w:hAnsiTheme="minorHAnsi" w:cstheme="minorBidi"/>
      <w:lang w:val="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2557B7"/>
  </w:style>
  <w:style w:type="paragraph" w:styleId="BodyText">
    <w:name w:val="Body Text"/>
    <w:basedOn w:val="Normal"/>
    <w:link w:val="BodyTextChar"/>
    <w:uiPriority w:val="99"/>
    <w:semiHidden/>
    <w:unhideWhenUsed/>
    <w:rsid w:val="002557B7"/>
    <w:pPr>
      <w:spacing w:after="120" w:line="259" w:lineRule="auto"/>
    </w:pPr>
    <w:rPr>
      <w:rFonts w:asciiTheme="minorHAnsi" w:eastAsiaTheme="minorHAnsi" w:hAnsiTheme="minorHAnsi" w:cstheme="minorBidi"/>
      <w:sz w:val="22"/>
      <w:szCs w:val="22"/>
    </w:rPr>
  </w:style>
  <w:style w:type="character" w:customStyle="1" w:styleId="BodyTextChar">
    <w:name w:val="Body Text Char"/>
    <w:basedOn w:val="DefaultParagraphFont"/>
    <w:link w:val="BodyText"/>
    <w:uiPriority w:val="99"/>
    <w:semiHidden/>
    <w:rsid w:val="002557B7"/>
    <w:rPr>
      <w:rFonts w:asciiTheme="minorHAnsi" w:eastAsiaTheme="minorHAnsi" w:hAnsiTheme="minorHAnsi" w:cstheme="minorBidi"/>
      <w:sz w:val="22"/>
      <w:szCs w:val="22"/>
    </w:rPr>
  </w:style>
  <w:style w:type="paragraph" w:customStyle="1" w:styleId="TableParagraph">
    <w:name w:val="Table Paragraph"/>
    <w:basedOn w:val="Normal"/>
    <w:uiPriority w:val="1"/>
    <w:qFormat/>
    <w:rsid w:val="002557B7"/>
    <w:pPr>
      <w:widowControl w:val="0"/>
      <w:autoSpaceDE w:val="0"/>
      <w:autoSpaceDN w:val="0"/>
    </w:pPr>
    <w:rPr>
      <w:rFonts w:ascii="Times New Roman" w:eastAsia="Times New Roman" w:hAnsi="Times New Roman" w:cs="Times New Roman"/>
      <w:sz w:val="22"/>
      <w:szCs w:val="22"/>
      <w:lang w:val="en-US"/>
    </w:rPr>
  </w:style>
  <w:style w:type="table" w:customStyle="1" w:styleId="TableGrid11">
    <w:name w:val="Table Grid11"/>
    <w:basedOn w:val="TableNormal"/>
    <w:next w:val="TableGrid"/>
    <w:uiPriority w:val="39"/>
    <w:rsid w:val="002557B7"/>
    <w:rPr>
      <w:rFonts w:asciiTheme="minorHAnsi" w:eastAsiaTheme="minorHAnsi" w:hAnsiTheme="minorHAnsi" w:cstheme="minorBid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2557B7"/>
    <w:rPr>
      <w:rFonts w:asciiTheme="minorHAnsi" w:eastAsiaTheme="minorHAnsi" w:hAnsiTheme="minorHAnsi" w:cstheme="minorBid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317894">
      <w:bodyDiv w:val="1"/>
      <w:marLeft w:val="0"/>
      <w:marRight w:val="0"/>
      <w:marTop w:val="0"/>
      <w:marBottom w:val="0"/>
      <w:divBdr>
        <w:top w:val="none" w:sz="0" w:space="0" w:color="auto"/>
        <w:left w:val="none" w:sz="0" w:space="0" w:color="auto"/>
        <w:bottom w:val="none" w:sz="0" w:space="0" w:color="auto"/>
        <w:right w:val="none" w:sz="0" w:space="0" w:color="auto"/>
      </w:divBdr>
      <w:divsChild>
        <w:div w:id="648901864">
          <w:marLeft w:val="0"/>
          <w:marRight w:val="0"/>
          <w:marTop w:val="0"/>
          <w:marBottom w:val="0"/>
          <w:divBdr>
            <w:top w:val="none" w:sz="0" w:space="0" w:color="auto"/>
            <w:left w:val="none" w:sz="0" w:space="0" w:color="auto"/>
            <w:bottom w:val="none" w:sz="0" w:space="0" w:color="auto"/>
            <w:right w:val="none" w:sz="0" w:space="0" w:color="auto"/>
          </w:divBdr>
        </w:div>
        <w:div w:id="556209276">
          <w:marLeft w:val="0"/>
          <w:marRight w:val="0"/>
          <w:marTop w:val="0"/>
          <w:marBottom w:val="0"/>
          <w:divBdr>
            <w:top w:val="none" w:sz="0" w:space="0" w:color="auto"/>
            <w:left w:val="none" w:sz="0" w:space="0" w:color="auto"/>
            <w:bottom w:val="none" w:sz="0" w:space="0" w:color="auto"/>
            <w:right w:val="none" w:sz="0" w:space="0" w:color="auto"/>
          </w:divBdr>
        </w:div>
        <w:div w:id="1615214182">
          <w:marLeft w:val="0"/>
          <w:marRight w:val="0"/>
          <w:marTop w:val="0"/>
          <w:marBottom w:val="0"/>
          <w:divBdr>
            <w:top w:val="none" w:sz="0" w:space="0" w:color="auto"/>
            <w:left w:val="none" w:sz="0" w:space="0" w:color="auto"/>
            <w:bottom w:val="none" w:sz="0" w:space="0" w:color="auto"/>
            <w:right w:val="none" w:sz="0" w:space="0" w:color="auto"/>
          </w:divBdr>
        </w:div>
        <w:div w:id="117918497">
          <w:marLeft w:val="0"/>
          <w:marRight w:val="0"/>
          <w:marTop w:val="0"/>
          <w:marBottom w:val="0"/>
          <w:divBdr>
            <w:top w:val="none" w:sz="0" w:space="0" w:color="auto"/>
            <w:left w:val="none" w:sz="0" w:space="0" w:color="auto"/>
            <w:bottom w:val="none" w:sz="0" w:space="0" w:color="auto"/>
            <w:right w:val="none" w:sz="0" w:space="0" w:color="auto"/>
          </w:divBdr>
        </w:div>
        <w:div w:id="1520191937">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6.png"/><Relationship Id="rId39" Type="http://schemas.openxmlformats.org/officeDocument/2006/relationships/image" Target="media/image23.png"/><Relationship Id="rId21" Type="http://schemas.openxmlformats.org/officeDocument/2006/relationships/image" Target="media/image9.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footer" Target="footer1.xml"/><Relationship Id="rId50" Type="http://schemas.openxmlformats.org/officeDocument/2006/relationships/footer" Target="footer2.xml"/><Relationship Id="rId55" Type="http://schemas.openxmlformats.org/officeDocument/2006/relationships/hyperlink" Target="https://op.europa.eu/en/publication-detail/-/publication/f3dd1274-7788-11e9-9f05-01aa75ed71a1/" TargetMode="External"/><Relationship Id="rId63" Type="http://schemas.openxmlformats.org/officeDocument/2006/relationships/hyperlink" Target="https://www.ilo.org/ankara/publications/WCMS_756660/lang--en/index.htm" TargetMode="External"/><Relationship Id="rId68" Type="http://schemas.openxmlformats.org/officeDocument/2006/relationships/hyperlink" Target="https://unric.org/en/who-warns-of-surge-ofdomestic-violence-as-covid-19-cases-decrease-in-europe/" TargetMode="External"/><Relationship Id="rId76" Type="http://schemas.openxmlformats.org/officeDocument/2006/relationships/hyperlink" Target="https://www.sbb.gov.tr/wp-content/uploads/2021/12/Eleventh_Development_Plan_2019-2023.pdf" TargetMode="External"/><Relationship Id="rId84" Type="http://schemas.microsoft.com/office/2018/08/relationships/commentsExtensible" Target="commentsExtensible.xml"/><Relationship Id="rId7" Type="http://schemas.openxmlformats.org/officeDocument/2006/relationships/footnotes" Target="footnotes.xml"/><Relationship Id="rId71" Type="http://schemas.openxmlformats.org/officeDocument/2006/relationships/hyperlink" Target="https://www.coe.int/en/web/istanbul-convention/text-of-the-convention" TargetMode="External"/><Relationship Id="rId2" Type="http://schemas.openxmlformats.org/officeDocument/2006/relationships/customXml" Target="../customXml/item2.xml"/><Relationship Id="rId16" Type="http://schemas.openxmlformats.org/officeDocument/2006/relationships/hyperlink" Target="about:blank" TargetMode="External"/><Relationship Id="rId29" Type="http://schemas.openxmlformats.org/officeDocument/2006/relationships/image" Target="media/image13.png"/><Relationship Id="rId11" Type="http://schemas.openxmlformats.org/officeDocument/2006/relationships/image" Target="media/image3.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hyperlink" Target="https://covid-19.iza.org/publications/dp13570/" TargetMode="External"/><Relationship Id="rId58" Type="http://schemas.openxmlformats.org/officeDocument/2006/relationships/hyperlink" Target="https://www.ilo.org/gender/Informationresources/Publications/WCMS_457317/lang--en/index.htm" TargetMode="External"/><Relationship Id="rId66" Type="http://schemas.openxmlformats.org/officeDocument/2006/relationships/hyperlink" Target="https://www.ilo.org/wcmsp5/groups/public/---dgreports/---cabinet/documents/publication/wcms_756334.pdf" TargetMode="External"/><Relationship Id="rId74" Type="http://schemas.openxmlformats.org/officeDocument/2006/relationships/hyperlink" Target="https://www.aile.gov.tr/ksgm" TargetMode="External"/><Relationship Id="rId79" Type="http://schemas.openxmlformats.org/officeDocument/2006/relationships/image" Target="media/image33.png"/><Relationship Id="rId5" Type="http://schemas.openxmlformats.org/officeDocument/2006/relationships/settings" Target="settings.xml"/><Relationship Id="rId61" Type="http://schemas.openxmlformats.org/officeDocument/2006/relationships/hyperlink" Target="https://www.ilo.org/wcmsp5/groups/public/---dgreports/---dcomm/---publ/documents/publication/wcms_700953.pdf" TargetMode="External"/><Relationship Id="rId82"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7.png"/><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2.jpeg"/><Relationship Id="rId60" Type="http://schemas.openxmlformats.org/officeDocument/2006/relationships/hyperlink" Target="https://www.ilo.org/wcmsp5/groups/public/---europe/---ro-geneva/---ilo-ankara/documents/publication/wcms_707580.pdf" TargetMode="External"/><Relationship Id="rId65" Type="http://schemas.openxmlformats.org/officeDocument/2006/relationships/hyperlink" Target="https://www.imf.org/en/Publications/Staff-Discussion-Notes/Issues/2016/12/31/Fair-Play-More-Equal-Laws-Boost-Female-Labor-Force-Participation-42721" TargetMode="External"/><Relationship Id="rId73" Type="http://schemas.openxmlformats.org/officeDocument/2006/relationships/hyperlink" Target="https://wbl.worldbank.org/en/wbl" TargetMode="External"/><Relationship Id="rId78" Type="http://schemas.openxmlformats.org/officeDocument/2006/relationships/hyperlink" Target="http://www.data.tuik.gov.tr" TargetMode="External"/><Relationship Id="rId81" Type="http://schemas.openxmlformats.org/officeDocument/2006/relationships/footer" Target="footer4.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about:blank" TargetMode="External"/><Relationship Id="rId22" Type="http://schemas.openxmlformats.org/officeDocument/2006/relationships/image" Target="media/image10.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1.emf"/><Relationship Id="rId56" Type="http://schemas.openxmlformats.org/officeDocument/2006/relationships/hyperlink" Target="https://op.europa.eu/en/publication-detail/-/publication/11d9cab1-fa52-11eb-b520-01aa75ed71a1" TargetMode="External"/><Relationship Id="rId64" Type="http://schemas.openxmlformats.org/officeDocument/2006/relationships/hyperlink" Target="https://www.ilo.org/wcmsp5/groups/public/---ed_norm/---declaration/documents/publication/wcms_decl_fs_96_en.pdf" TargetMode="External"/><Relationship Id="rId69" Type="http://schemas.openxmlformats.org/officeDocument/2006/relationships/hyperlink" Target="https://openknowledge.worldbank.org/handle/10986/11843" TargetMode="External"/><Relationship Id="rId77" Type="http://schemas.openxmlformats.org/officeDocument/2006/relationships/hyperlink" Target="https://data.tuik.gov.tr/Bulten/Index?p=Istatistiklerle-Kadin-2021-45635&amp;dil=2" TargetMode="External"/><Relationship Id="rId8" Type="http://schemas.openxmlformats.org/officeDocument/2006/relationships/endnotes" Target="endnotes.xml"/><Relationship Id="rId51" Type="http://schemas.openxmlformats.org/officeDocument/2006/relationships/footer" Target="footer3.xml"/><Relationship Id="rId72" Type="http://schemas.openxmlformats.org/officeDocument/2006/relationships/hyperlink" Target="https://www.boe.es/buscar/act.php?id=BOE-A-2015-11430" TargetMode="External"/><Relationship Id="rId80" Type="http://schemas.openxmlformats.org/officeDocument/2006/relationships/header" Target="header2.xml"/><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hyperlink" Target="about:blank" TargetMode="External"/><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hyperlink" Target="https://www.ilo.org/global/publications/books/WCMS_674831/lang--en/index.htm" TargetMode="External"/><Relationship Id="rId67" Type="http://schemas.openxmlformats.org/officeDocument/2006/relationships/hyperlink" Target="https://www.undp.org/press-releases/covid-19-will-widen-poverty-gap-between-women-and-men-new-un-women-and-undp-data" TargetMode="External"/><Relationship Id="rId20" Type="http://schemas.openxmlformats.org/officeDocument/2006/relationships/image" Target="media/image8.png"/><Relationship Id="rId41" Type="http://schemas.openxmlformats.org/officeDocument/2006/relationships/image" Target="media/image25.png"/><Relationship Id="rId54" Type="http://schemas.openxmlformats.org/officeDocument/2006/relationships/hyperlink" Target="https://www2.deloitte.com/content/dam/Deloitte/cz/Documents/about-deloitte/cz-women-in-the-boardroom-5th-edition.pdf" TargetMode="External"/><Relationship Id="rId62" Type="http://schemas.openxmlformats.org/officeDocument/2006/relationships/hyperlink" Target="https://www.unwomen.org/en/digital-library/publications/2021/07/rethinking-gender-responsive-procurement" TargetMode="External"/><Relationship Id="rId70" Type="http://schemas.openxmlformats.org/officeDocument/2006/relationships/hyperlink" Target="https://www.euro.who.int/en/health-topics/diseaseprevention/violence-and-injuries/news/news/2020/6/the-rise-and-rise-of-interpersonal-violence-anunintended-impact-of-the-covid-19-response-on-families" TargetMode="External"/><Relationship Id="rId75" Type="http://schemas.openxmlformats.org/officeDocument/2006/relationships/hyperlink" Target="about:blank"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about:blank" TargetMode="External"/><Relationship Id="rId23" Type="http://schemas.openxmlformats.org/officeDocument/2006/relationships/image" Target="media/image11.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header" Target="header1.xml"/><Relationship Id="rId57" Type="http://schemas.openxmlformats.org/officeDocument/2006/relationships/hyperlink" Target="https://www.europarl.europa.eu/RegData/etudes/note/join/2012/462428/IPOL-FEMM_NT(2012)462428_EN.pdf"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ilo.org/wcmsp5/groups/public/---europe/---ro-geneva/---ilo-ankara/documents/publication/wcms_707580.pdf" TargetMode="External"/><Relationship Id="rId3" Type="http://schemas.openxmlformats.org/officeDocument/2006/relationships/hyperlink" Target="about:blank" TargetMode="External"/><Relationship Id="rId7" Type="http://schemas.openxmlformats.org/officeDocument/2006/relationships/hyperlink" Target="https://wbl.worldbank.org/en/wbl" TargetMode="External"/><Relationship Id="rId2" Type="http://schemas.openxmlformats.org/officeDocument/2006/relationships/hyperlink" Target="about:blank" TargetMode="External"/><Relationship Id="rId1" Type="http://schemas.openxmlformats.org/officeDocument/2006/relationships/hyperlink" Target="about:blank" TargetMode="External"/><Relationship Id="rId6" Type="http://schemas.openxmlformats.org/officeDocument/2006/relationships/hyperlink" Target="about:blank" TargetMode="External"/><Relationship Id="rId5" Type="http://schemas.openxmlformats.org/officeDocument/2006/relationships/hyperlink" Target="about:blank" TargetMode="External"/><Relationship Id="rId4" Type="http://schemas.openxmlformats.org/officeDocument/2006/relationships/hyperlink" Target="about:blank"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ddLalAJgkUrL27rV166vpNzurCg==">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</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2192016-6635-4763-B75E-A342EBF292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69</Pages>
  <Words>25157</Words>
  <Characters>143396</Characters>
  <Application>Microsoft Office Word</Application>
  <DocSecurity>0</DocSecurity>
  <Lines>1194</Lines>
  <Paragraphs>336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İpek Çetin</dc:creator>
  <cp:lastModifiedBy>Michael Chambers</cp:lastModifiedBy>
  <cp:revision>9</cp:revision>
  <dcterms:created xsi:type="dcterms:W3CDTF">2022-08-15T11:55:00Z</dcterms:created>
  <dcterms:modified xsi:type="dcterms:W3CDTF">2022-11-02T08:28:00Z</dcterms:modified>
</cp:coreProperties>
</file>