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1C949" w14:textId="77777777" w:rsidR="0015658F" w:rsidRDefault="006A3AF5">
      <w:pPr>
        <w:rPr>
          <w:sz w:val="22"/>
          <w:szCs w:val="22"/>
        </w:rPr>
      </w:pPr>
      <w:r>
        <w:rPr>
          <w:noProof/>
          <w:sz w:val="22"/>
          <w:szCs w:val="22"/>
          <w:lang w:eastAsia="en-GB"/>
        </w:rPr>
        <w:drawing>
          <wp:anchor distT="0" distB="0" distL="0" distR="0" simplePos="0" relativeHeight="251658240" behindDoc="1" locked="0" layoutInCell="1" hidden="0" allowOverlap="1" wp14:anchorId="22E3E589" wp14:editId="1BE980DA">
            <wp:simplePos x="0" y="0"/>
            <wp:positionH relativeFrom="margin">
              <wp:align>center</wp:align>
            </wp:positionH>
            <wp:positionV relativeFrom="page">
              <wp:posOffset>411480</wp:posOffset>
            </wp:positionV>
            <wp:extent cx="1990725" cy="1071880"/>
            <wp:effectExtent l="0" t="0" r="0" b="0"/>
            <wp:wrapNone/>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990725" cy="1071880"/>
                    </a:xfrm>
                    <a:prstGeom prst="rect">
                      <a:avLst/>
                    </a:prstGeom>
                    <a:ln/>
                  </pic:spPr>
                </pic:pic>
              </a:graphicData>
            </a:graphic>
          </wp:anchor>
        </w:drawing>
      </w:r>
      <w:r>
        <w:rPr>
          <w:noProof/>
          <w:sz w:val="22"/>
          <w:szCs w:val="22"/>
          <w:lang w:eastAsia="en-GB"/>
        </w:rPr>
        <w:drawing>
          <wp:anchor distT="0" distB="0" distL="0" distR="0" simplePos="0" relativeHeight="251659264" behindDoc="1" locked="0" layoutInCell="1" hidden="0" allowOverlap="1" wp14:anchorId="6800FAFE" wp14:editId="08A9CD46">
            <wp:simplePos x="0" y="0"/>
            <wp:positionH relativeFrom="page">
              <wp:align>left</wp:align>
            </wp:positionH>
            <wp:positionV relativeFrom="margin">
              <wp:posOffset>-1322704</wp:posOffset>
            </wp:positionV>
            <wp:extent cx="7560000" cy="10698601"/>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560000" cy="10698601"/>
                    </a:xfrm>
                    <a:prstGeom prst="rect">
                      <a:avLst/>
                    </a:prstGeom>
                    <a:ln/>
                  </pic:spPr>
                </pic:pic>
              </a:graphicData>
            </a:graphic>
          </wp:anchor>
        </w:drawing>
      </w:r>
      <w:r>
        <w:rPr>
          <w:sz w:val="22"/>
          <w:szCs w:val="22"/>
        </w:rPr>
        <w:t xml:space="preserve">                                          </w:t>
      </w:r>
    </w:p>
    <w:p w14:paraId="7413A519" w14:textId="77777777" w:rsidR="0015658F" w:rsidRDefault="0015658F">
      <w:pPr>
        <w:rPr>
          <w:sz w:val="22"/>
          <w:szCs w:val="22"/>
        </w:rPr>
      </w:pPr>
    </w:p>
    <w:p w14:paraId="30B19709" w14:textId="67E6EFED" w:rsidR="0015658F" w:rsidRDefault="0020268B">
      <w:pPr>
        <w:rPr>
          <w:b/>
          <w:sz w:val="22"/>
          <w:szCs w:val="22"/>
        </w:rPr>
      </w:pPr>
      <w:r>
        <w:rPr>
          <w:noProof/>
          <w:lang w:eastAsia="en-GB"/>
        </w:rPr>
        <mc:AlternateContent>
          <mc:Choice Requires="wps">
            <w:drawing>
              <wp:anchor distT="45720" distB="45720" distL="114300" distR="114300" simplePos="0" relativeHeight="251661312" behindDoc="0" locked="0" layoutInCell="1" hidden="0" allowOverlap="1" wp14:anchorId="779F4EBF" wp14:editId="798E4A74">
                <wp:simplePos x="0" y="0"/>
                <wp:positionH relativeFrom="column">
                  <wp:posOffset>-557530</wp:posOffset>
                </wp:positionH>
                <wp:positionV relativeFrom="paragraph">
                  <wp:posOffset>1598295</wp:posOffset>
                </wp:positionV>
                <wp:extent cx="6918960" cy="5685155"/>
                <wp:effectExtent l="0" t="0" r="0" b="0"/>
                <wp:wrapSquare wrapText="bothSides" distT="45720" distB="45720" distL="114300" distR="114300"/>
                <wp:docPr id="32" name="Rectangle 32"/>
                <wp:cNvGraphicFramePr/>
                <a:graphic xmlns:a="http://schemas.openxmlformats.org/drawingml/2006/main">
                  <a:graphicData uri="http://schemas.microsoft.com/office/word/2010/wordprocessingShape">
                    <wps:wsp>
                      <wps:cNvSpPr/>
                      <wps:spPr>
                        <a:xfrm>
                          <a:off x="0" y="0"/>
                          <a:ext cx="6918960" cy="5685155"/>
                        </a:xfrm>
                        <a:prstGeom prst="rect">
                          <a:avLst/>
                        </a:prstGeom>
                        <a:noFill/>
                        <a:ln>
                          <a:noFill/>
                        </a:ln>
                      </wps:spPr>
                      <wps:txbx>
                        <w:txbxContent>
                          <w:p w14:paraId="06D2971F" w14:textId="77777777" w:rsidR="009A6D0A" w:rsidRDefault="009A6D0A">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67432E1" w:rsidR="009A6D0A" w:rsidRDefault="009A6D0A">
                            <w:pPr>
                              <w:spacing w:after="160" w:line="258" w:lineRule="auto"/>
                              <w:textDirection w:val="btLr"/>
                            </w:pPr>
                            <w:r>
                              <w:rPr>
                                <w:rFonts w:ascii="Tahoma" w:eastAsia="Tahoma" w:hAnsi="Tahoma" w:cs="Tahoma"/>
                                <w:b/>
                                <w:color w:val="234B7D"/>
                                <w:sz w:val="32"/>
                              </w:rPr>
                              <w:t>TÜRKIYE</w:t>
                            </w:r>
                          </w:p>
                          <w:p w14:paraId="0480CB36" w14:textId="77777777" w:rsidR="009A6D0A" w:rsidRDefault="009A6D0A">
                            <w:pPr>
                              <w:spacing w:after="160" w:line="258" w:lineRule="auto"/>
                              <w:textDirection w:val="btLr"/>
                              <w:rPr>
                                <w:rFonts w:ascii="Tahoma" w:eastAsia="Tahoma" w:hAnsi="Tahoma" w:cs="Tahoma"/>
                                <w:b/>
                                <w:color w:val="234B7D"/>
                              </w:rPr>
                            </w:pPr>
                          </w:p>
                          <w:p w14:paraId="01372CE3" w14:textId="5E808BD1" w:rsidR="009A6D0A" w:rsidRPr="0020268B" w:rsidRDefault="009A6D0A">
                            <w:pPr>
                              <w:spacing w:after="160" w:line="258" w:lineRule="auto"/>
                              <w:textDirection w:val="btLr"/>
                              <w:rPr>
                                <w:sz w:val="28"/>
                                <w:szCs w:val="28"/>
                              </w:rPr>
                            </w:pPr>
                            <w:r w:rsidRPr="0020268B">
                              <w:rPr>
                                <w:rFonts w:ascii="Tahoma" w:eastAsia="Tahoma" w:hAnsi="Tahoma" w:cs="Tahoma"/>
                                <w:b/>
                                <w:color w:val="234B7D"/>
                                <w:sz w:val="28"/>
                                <w:szCs w:val="28"/>
                              </w:rPr>
                              <w:t>CATEGORY 3: SCIENTIFIC AND TECHNICAL STUDIES</w:t>
                            </w:r>
                          </w:p>
                          <w:p w14:paraId="3CC1BE95" w14:textId="0B9A46AE" w:rsidR="009A6D0A" w:rsidRPr="0020268B" w:rsidRDefault="009A6D0A">
                            <w:pPr>
                              <w:spacing w:line="258" w:lineRule="auto"/>
                              <w:textDirection w:val="btLr"/>
                              <w:rPr>
                                <w:rFonts w:ascii="Tahoma" w:eastAsia="Tahoma" w:hAnsi="Tahoma" w:cs="Tahoma"/>
                                <w:b/>
                                <w:color w:val="234B7D"/>
                                <w:sz w:val="28"/>
                                <w:szCs w:val="28"/>
                              </w:rPr>
                            </w:pPr>
                            <w:r w:rsidRPr="0020268B">
                              <w:rPr>
                                <w:rFonts w:ascii="Tahoma" w:eastAsia="Tahoma" w:hAnsi="Tahoma" w:cs="Tahoma"/>
                                <w:b/>
                                <w:color w:val="234B7D"/>
                                <w:sz w:val="28"/>
                                <w:szCs w:val="28"/>
                              </w:rPr>
                              <w:t xml:space="preserve">INTERVENTION </w:t>
                            </w:r>
                            <w:r>
                              <w:rPr>
                                <w:rFonts w:ascii="Tahoma" w:eastAsia="Tahoma" w:hAnsi="Tahoma" w:cs="Tahoma"/>
                                <w:b/>
                                <w:color w:val="234B7D"/>
                                <w:sz w:val="28"/>
                                <w:szCs w:val="28"/>
                              </w:rPr>
                              <w:t>11</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IMPACT ASSESSMENT</w:t>
                            </w:r>
                          </w:p>
                          <w:p w14:paraId="64ACE45A" w14:textId="57C13027" w:rsidR="009A6D0A" w:rsidRDefault="009A6D0A">
                            <w:pPr>
                              <w:spacing w:line="258" w:lineRule="auto"/>
                              <w:textDirection w:val="btLr"/>
                              <w:rPr>
                                <w:rFonts w:ascii="Tahoma" w:eastAsia="Tahoma" w:hAnsi="Tahoma" w:cs="Tahoma"/>
                                <w:b/>
                                <w:color w:val="234B7D"/>
                              </w:rPr>
                            </w:pPr>
                          </w:p>
                          <w:p w14:paraId="296131BE" w14:textId="10BE1D3E" w:rsidR="009A6D0A" w:rsidRDefault="009A6D0A">
                            <w:pPr>
                              <w:spacing w:line="258" w:lineRule="auto"/>
                              <w:textDirection w:val="btLr"/>
                              <w:rPr>
                                <w:rFonts w:ascii="Tahoma" w:eastAsia="Tahoma" w:hAnsi="Tahoma" w:cs="Tahoma"/>
                                <w:b/>
                                <w:color w:val="234B7D"/>
                              </w:rPr>
                            </w:pPr>
                          </w:p>
                          <w:p w14:paraId="6874977B" w14:textId="5BE44038" w:rsidR="009A6D0A" w:rsidRPr="0020268B" w:rsidRDefault="009A6D0A">
                            <w:pPr>
                              <w:spacing w:line="258" w:lineRule="auto"/>
                              <w:textDirection w:val="btLr"/>
                              <w:rPr>
                                <w:sz w:val="32"/>
                                <w:szCs w:val="32"/>
                              </w:rPr>
                            </w:pPr>
                            <w:r w:rsidRPr="0020268B">
                              <w:rPr>
                                <w:rFonts w:ascii="Tahoma" w:eastAsia="Tahoma" w:hAnsi="Tahoma" w:cs="Tahoma"/>
                                <w:b/>
                                <w:color w:val="234B7D"/>
                                <w:sz w:val="32"/>
                                <w:szCs w:val="32"/>
                              </w:rPr>
                              <w:t>EXECUTIVE SUMMARY REPORT</w:t>
                            </w:r>
                          </w:p>
                          <w:p w14:paraId="6FB923DB" w14:textId="77777777" w:rsidR="009A6D0A" w:rsidRDefault="009A6D0A">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9F4EBF" id="Rectangle 32" o:spid="_x0000_s1026" style="position:absolute;margin-left:-43.9pt;margin-top:125.85pt;width:544.8pt;height:44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" filled="f" stroked="f">
                <v:textbox inset="2.53958mm,1.2694mm,2.53958mm,1.2694mm">
                  <w:txbxContent>
                    <w:p w14:paraId="06D2971F" w14:textId="77777777" w:rsidR="009A6D0A" w:rsidRDefault="009A6D0A">
                      <w:pPr>
                        <w:spacing w:after="160" w:line="258" w:lineRule="auto"/>
                        <w:textDirection w:val="btLr"/>
                      </w:pPr>
                      <w:r>
                        <w:rPr>
                          <w:rFonts w:ascii="Tahoma" w:eastAsia="Tahoma" w:hAnsi="Tahoma" w:cs="Tahoma"/>
                          <w:b/>
                          <w:color w:val="234B7D"/>
                          <w:sz w:val="40"/>
                        </w:rPr>
                        <w:t>TECHNICAL ASSISTANCE FOR PROMOTING</w:t>
                      </w:r>
                      <w:r>
                        <w:rPr>
                          <w:rFonts w:ascii="Tahoma" w:eastAsia="Tahoma" w:hAnsi="Tahoma" w:cs="Tahoma"/>
                          <w:b/>
                          <w:color w:val="234B7D"/>
                          <w:sz w:val="40"/>
                        </w:rPr>
                        <w:br/>
                        <w:t>DECENT FUTURE OF WORK APPROACH WITH</w:t>
                      </w:r>
                      <w:r>
                        <w:rPr>
                          <w:rFonts w:ascii="Tahoma" w:eastAsia="Tahoma" w:hAnsi="Tahoma" w:cs="Tahoma"/>
                          <w:b/>
                          <w:color w:val="234B7D"/>
                          <w:sz w:val="40"/>
                        </w:rPr>
                        <w:br/>
                        <w:t>A FOCUS ON GENDER EQUALITY</w:t>
                      </w:r>
                      <w:r>
                        <w:rPr>
                          <w:rFonts w:ascii="Tahoma" w:eastAsia="Tahoma" w:hAnsi="Tahoma" w:cs="Tahoma"/>
                          <w:b/>
                          <w:color w:val="234B7D"/>
                          <w:sz w:val="20"/>
                        </w:rPr>
                        <w:br/>
                      </w:r>
                      <w:r>
                        <w:rPr>
                          <w:rFonts w:ascii="Tahoma" w:eastAsia="Tahoma" w:hAnsi="Tahoma" w:cs="Tahoma"/>
                          <w:b/>
                          <w:color w:val="234B7D"/>
                          <w:sz w:val="20"/>
                        </w:rPr>
                        <w:br/>
                      </w:r>
                      <w:r>
                        <w:rPr>
                          <w:rFonts w:ascii="Tahoma" w:eastAsia="Tahoma" w:hAnsi="Tahoma" w:cs="Tahoma"/>
                          <w:b/>
                          <w:color w:val="234B7D"/>
                          <w:sz w:val="32"/>
                        </w:rPr>
                        <w:t>(TREESP1.3. FoW/P-01)</w:t>
                      </w:r>
                    </w:p>
                    <w:p w14:paraId="57FC32D6" w14:textId="367432E1" w:rsidR="009A6D0A" w:rsidRDefault="009A6D0A">
                      <w:pPr>
                        <w:spacing w:after="160" w:line="258" w:lineRule="auto"/>
                        <w:textDirection w:val="btLr"/>
                      </w:pPr>
                      <w:r>
                        <w:rPr>
                          <w:rFonts w:ascii="Tahoma" w:eastAsia="Tahoma" w:hAnsi="Tahoma" w:cs="Tahoma"/>
                          <w:b/>
                          <w:color w:val="234B7D"/>
                          <w:sz w:val="32"/>
                        </w:rPr>
                        <w:t>TÜRKIYE</w:t>
                      </w:r>
                    </w:p>
                    <w:p w14:paraId="0480CB36" w14:textId="77777777" w:rsidR="009A6D0A" w:rsidRDefault="009A6D0A">
                      <w:pPr>
                        <w:spacing w:after="160" w:line="258" w:lineRule="auto"/>
                        <w:textDirection w:val="btLr"/>
                        <w:rPr>
                          <w:rFonts w:ascii="Tahoma" w:eastAsia="Tahoma" w:hAnsi="Tahoma" w:cs="Tahoma"/>
                          <w:b/>
                          <w:color w:val="234B7D"/>
                        </w:rPr>
                      </w:pPr>
                    </w:p>
                    <w:p w14:paraId="01372CE3" w14:textId="5E808BD1" w:rsidR="009A6D0A" w:rsidRPr="0020268B" w:rsidRDefault="009A6D0A">
                      <w:pPr>
                        <w:spacing w:after="160" w:line="258" w:lineRule="auto"/>
                        <w:textDirection w:val="btLr"/>
                        <w:rPr>
                          <w:sz w:val="28"/>
                          <w:szCs w:val="28"/>
                        </w:rPr>
                      </w:pPr>
                      <w:r w:rsidRPr="0020268B">
                        <w:rPr>
                          <w:rFonts w:ascii="Tahoma" w:eastAsia="Tahoma" w:hAnsi="Tahoma" w:cs="Tahoma"/>
                          <w:b/>
                          <w:color w:val="234B7D"/>
                          <w:sz w:val="28"/>
                          <w:szCs w:val="28"/>
                        </w:rPr>
                        <w:t>CATEGORY 3: SCIENTIFIC AND TECHNICAL STUDIES</w:t>
                      </w:r>
                    </w:p>
                    <w:p w14:paraId="3CC1BE95" w14:textId="0B9A46AE" w:rsidR="009A6D0A" w:rsidRPr="0020268B" w:rsidRDefault="009A6D0A">
                      <w:pPr>
                        <w:spacing w:line="258" w:lineRule="auto"/>
                        <w:textDirection w:val="btLr"/>
                        <w:rPr>
                          <w:rFonts w:ascii="Tahoma" w:eastAsia="Tahoma" w:hAnsi="Tahoma" w:cs="Tahoma"/>
                          <w:b/>
                          <w:color w:val="234B7D"/>
                          <w:sz w:val="28"/>
                          <w:szCs w:val="28"/>
                        </w:rPr>
                      </w:pPr>
                      <w:r w:rsidRPr="0020268B">
                        <w:rPr>
                          <w:rFonts w:ascii="Tahoma" w:eastAsia="Tahoma" w:hAnsi="Tahoma" w:cs="Tahoma"/>
                          <w:b/>
                          <w:color w:val="234B7D"/>
                          <w:sz w:val="28"/>
                          <w:szCs w:val="28"/>
                        </w:rPr>
                        <w:t xml:space="preserve">INTERVENTION </w:t>
                      </w:r>
                      <w:r>
                        <w:rPr>
                          <w:rFonts w:ascii="Tahoma" w:eastAsia="Tahoma" w:hAnsi="Tahoma" w:cs="Tahoma"/>
                          <w:b/>
                          <w:color w:val="234B7D"/>
                          <w:sz w:val="28"/>
                          <w:szCs w:val="28"/>
                        </w:rPr>
                        <w:t>11</w:t>
                      </w:r>
                      <w:r w:rsidRPr="0020268B">
                        <w:rPr>
                          <w:rFonts w:ascii="Tahoma" w:eastAsia="Tahoma" w:hAnsi="Tahoma" w:cs="Tahoma"/>
                          <w:b/>
                          <w:color w:val="234B7D"/>
                          <w:sz w:val="28"/>
                          <w:szCs w:val="28"/>
                        </w:rPr>
                        <w:t xml:space="preserve">: </w:t>
                      </w:r>
                      <w:r>
                        <w:rPr>
                          <w:rFonts w:ascii="Tahoma" w:eastAsia="Tahoma" w:hAnsi="Tahoma" w:cs="Tahoma"/>
                          <w:b/>
                          <w:color w:val="234B7D"/>
                          <w:sz w:val="28"/>
                          <w:szCs w:val="28"/>
                        </w:rPr>
                        <w:t>IMPACT ASSESSMENT</w:t>
                      </w:r>
                    </w:p>
                    <w:p w14:paraId="64ACE45A" w14:textId="57C13027" w:rsidR="009A6D0A" w:rsidRDefault="009A6D0A">
                      <w:pPr>
                        <w:spacing w:line="258" w:lineRule="auto"/>
                        <w:textDirection w:val="btLr"/>
                        <w:rPr>
                          <w:rFonts w:ascii="Tahoma" w:eastAsia="Tahoma" w:hAnsi="Tahoma" w:cs="Tahoma"/>
                          <w:b/>
                          <w:color w:val="234B7D"/>
                        </w:rPr>
                      </w:pPr>
                    </w:p>
                    <w:p w14:paraId="296131BE" w14:textId="10BE1D3E" w:rsidR="009A6D0A" w:rsidRDefault="009A6D0A">
                      <w:pPr>
                        <w:spacing w:line="258" w:lineRule="auto"/>
                        <w:textDirection w:val="btLr"/>
                        <w:rPr>
                          <w:rFonts w:ascii="Tahoma" w:eastAsia="Tahoma" w:hAnsi="Tahoma" w:cs="Tahoma"/>
                          <w:b/>
                          <w:color w:val="234B7D"/>
                        </w:rPr>
                      </w:pPr>
                    </w:p>
                    <w:p w14:paraId="6874977B" w14:textId="5BE44038" w:rsidR="009A6D0A" w:rsidRPr="0020268B" w:rsidRDefault="009A6D0A">
                      <w:pPr>
                        <w:spacing w:line="258" w:lineRule="auto"/>
                        <w:textDirection w:val="btLr"/>
                        <w:rPr>
                          <w:sz w:val="32"/>
                          <w:szCs w:val="32"/>
                        </w:rPr>
                      </w:pPr>
                      <w:r w:rsidRPr="0020268B">
                        <w:rPr>
                          <w:rFonts w:ascii="Tahoma" w:eastAsia="Tahoma" w:hAnsi="Tahoma" w:cs="Tahoma"/>
                          <w:b/>
                          <w:color w:val="234B7D"/>
                          <w:sz w:val="32"/>
                          <w:szCs w:val="32"/>
                        </w:rPr>
                        <w:t>EXECUTIVE SUMMARY REPORT</w:t>
                      </w:r>
                    </w:p>
                    <w:p w14:paraId="6FB923DB" w14:textId="77777777" w:rsidR="009A6D0A" w:rsidRDefault="009A6D0A">
                      <w:pPr>
                        <w:spacing w:line="258" w:lineRule="auto"/>
                        <w:textDirection w:val="btLr"/>
                      </w:pPr>
                    </w:p>
                  </w:txbxContent>
                </v:textbox>
                <w10:wrap type="square"/>
              </v:rect>
            </w:pict>
          </mc:Fallback>
        </mc:AlternateContent>
      </w:r>
      <w:r w:rsidR="006A3AF5">
        <w:rPr>
          <w:noProof/>
          <w:sz w:val="22"/>
          <w:szCs w:val="22"/>
          <w:lang w:eastAsia="en-GB"/>
        </w:rPr>
        <w:drawing>
          <wp:anchor distT="0" distB="0" distL="0" distR="0" simplePos="0" relativeHeight="251660288" behindDoc="1" locked="0" layoutInCell="1" hidden="0" allowOverlap="1" wp14:anchorId="7534B897" wp14:editId="3793549A">
            <wp:simplePos x="0" y="0"/>
            <wp:positionH relativeFrom="margin">
              <wp:posOffset>-276340</wp:posOffset>
            </wp:positionH>
            <wp:positionV relativeFrom="bottomMargin">
              <wp:posOffset>-90054</wp:posOffset>
            </wp:positionV>
            <wp:extent cx="6479540" cy="64452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479540" cy="644525"/>
                    </a:xfrm>
                    <a:prstGeom prst="rect">
                      <a:avLst/>
                    </a:prstGeom>
                    <a:ln/>
                  </pic:spPr>
                </pic:pic>
              </a:graphicData>
            </a:graphic>
          </wp:anchor>
        </w:drawing>
      </w:r>
      <w:r w:rsidR="006A3AF5">
        <w:br w:type="page"/>
      </w:r>
    </w:p>
    <w:p w14:paraId="7AE84E61" w14:textId="00E05B0B" w:rsidR="0015658F" w:rsidRPr="00F22636" w:rsidRDefault="006A3AF5" w:rsidP="00F22636">
      <w:pPr>
        <w:rPr>
          <w:b/>
          <w:sz w:val="22"/>
          <w:szCs w:val="22"/>
        </w:rPr>
      </w:pPr>
      <w:r>
        <w:rPr>
          <w:b/>
          <w:noProof/>
          <w:sz w:val="22"/>
          <w:szCs w:val="22"/>
          <w:lang w:eastAsia="en-GB"/>
        </w:rPr>
        <w:lastRenderedPageBreak/>
        <w:drawing>
          <wp:anchor distT="0" distB="0" distL="0" distR="0" simplePos="0" relativeHeight="251662336" behindDoc="1" locked="0" layoutInCell="1" hidden="0" allowOverlap="1" wp14:anchorId="61612C49" wp14:editId="67ECD305">
            <wp:simplePos x="0" y="0"/>
            <wp:positionH relativeFrom="page">
              <wp:posOffset>8890</wp:posOffset>
            </wp:positionH>
            <wp:positionV relativeFrom="page">
              <wp:align>bottom</wp:align>
            </wp:positionV>
            <wp:extent cx="7560000" cy="10699362"/>
            <wp:effectExtent l="0" t="0" r="0" b="0"/>
            <wp:wrapNone/>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7560000" cy="10699362"/>
                    </a:xfrm>
                    <a:prstGeom prst="rect">
                      <a:avLst/>
                    </a:prstGeom>
                    <a:ln/>
                  </pic:spPr>
                </pic:pic>
              </a:graphicData>
            </a:graphic>
          </wp:anchor>
        </w:drawing>
      </w:r>
      <w:r>
        <w:br w:type="page"/>
      </w:r>
      <w:bookmarkStart w:id="0" w:name="_heading=h.gjdgxs" w:colFirst="0" w:colLast="0"/>
      <w:bookmarkEnd w:id="0"/>
    </w:p>
    <w:p w14:paraId="3D13D1A7" w14:textId="77777777" w:rsidR="0015658F" w:rsidRDefault="0015658F">
      <w:pPr>
        <w:jc w:val="both"/>
        <w:rPr>
          <w:b/>
          <w:sz w:val="22"/>
          <w:szCs w:val="22"/>
        </w:rPr>
      </w:pPr>
    </w:p>
    <w:bookmarkStart w:id="1" w:name="_heading=h.30j0zll" w:colFirst="0" w:colLast="0" w:displacedByCustomXml="next"/>
    <w:bookmarkEnd w:id="1" w:displacedByCustomXml="next"/>
    <w:sdt>
      <w:sdtPr>
        <w:rPr>
          <w:rFonts w:ascii="Calibri" w:eastAsia="Calibri" w:hAnsi="Calibri" w:cs="Calibri"/>
          <w:color w:val="auto"/>
          <w:sz w:val="24"/>
          <w:szCs w:val="24"/>
          <w:lang w:val="en-GB"/>
        </w:rPr>
        <w:id w:val="-772477940"/>
        <w:docPartObj>
          <w:docPartGallery w:val="Table of Contents"/>
          <w:docPartUnique/>
        </w:docPartObj>
      </w:sdtPr>
      <w:sdtEndPr>
        <w:rPr>
          <w:b/>
          <w:bCs/>
          <w:noProof/>
        </w:rPr>
      </w:sdtEndPr>
      <w:sdtContent>
        <w:p w14:paraId="6F157FD2" w14:textId="3240AA0B" w:rsidR="00F22636" w:rsidRDefault="00EB3532">
          <w:pPr>
            <w:pStyle w:val="TOCHeading"/>
          </w:pPr>
          <w:r>
            <w:t xml:space="preserve">Table of </w:t>
          </w:r>
          <w:r w:rsidR="00F22636">
            <w:t>Contents</w:t>
          </w:r>
        </w:p>
        <w:p w14:paraId="729918A6" w14:textId="278D5B19" w:rsidR="00F3163F" w:rsidRDefault="00F22636">
          <w:pPr>
            <w:pStyle w:val="TOC1"/>
            <w:rPr>
              <w:rFonts w:asciiTheme="minorHAnsi" w:eastAsiaTheme="minorEastAsia" w:hAnsiTheme="minorHAnsi" w:cstheme="minorBidi"/>
              <w:b w:val="0"/>
              <w:bCs w:val="0"/>
              <w:caps w:val="0"/>
              <w:lang w:eastAsia="en-GB"/>
            </w:rPr>
          </w:pPr>
          <w:r>
            <w:fldChar w:fldCharType="begin"/>
          </w:r>
          <w:r>
            <w:instrText xml:space="preserve"> TOC \o "1-3" \h \z \u </w:instrText>
          </w:r>
          <w:r>
            <w:fldChar w:fldCharType="separate"/>
          </w:r>
          <w:hyperlink w:anchor="_Toc156562583" w:history="1">
            <w:r w:rsidR="00F3163F" w:rsidRPr="00B8437F">
              <w:rPr>
                <w:rStyle w:val="Hyperlink"/>
              </w:rPr>
              <w:t>EXECUTIVE SUMMARY</w:t>
            </w:r>
            <w:r w:rsidR="00F3163F">
              <w:rPr>
                <w:webHidden/>
              </w:rPr>
              <w:tab/>
            </w:r>
            <w:r w:rsidR="00F3163F">
              <w:rPr>
                <w:webHidden/>
              </w:rPr>
              <w:fldChar w:fldCharType="begin"/>
            </w:r>
            <w:r w:rsidR="00F3163F">
              <w:rPr>
                <w:webHidden/>
              </w:rPr>
              <w:instrText xml:space="preserve"> PAGEREF _Toc156562583 \h </w:instrText>
            </w:r>
            <w:r w:rsidR="00F3163F">
              <w:rPr>
                <w:webHidden/>
              </w:rPr>
            </w:r>
            <w:r w:rsidR="00F3163F">
              <w:rPr>
                <w:webHidden/>
              </w:rPr>
              <w:fldChar w:fldCharType="separate"/>
            </w:r>
            <w:r w:rsidR="00F3163F">
              <w:rPr>
                <w:webHidden/>
              </w:rPr>
              <w:t>6</w:t>
            </w:r>
            <w:r w:rsidR="00F3163F">
              <w:rPr>
                <w:webHidden/>
              </w:rPr>
              <w:fldChar w:fldCharType="end"/>
            </w:r>
          </w:hyperlink>
        </w:p>
        <w:p w14:paraId="76538672" w14:textId="38955AC6" w:rsidR="00F3163F" w:rsidRDefault="00F3163F">
          <w:pPr>
            <w:pStyle w:val="TOC1"/>
            <w:rPr>
              <w:rFonts w:asciiTheme="minorHAnsi" w:eastAsiaTheme="minorEastAsia" w:hAnsiTheme="minorHAnsi" w:cstheme="minorBidi"/>
              <w:b w:val="0"/>
              <w:bCs w:val="0"/>
              <w:caps w:val="0"/>
              <w:lang w:eastAsia="en-GB"/>
            </w:rPr>
          </w:pPr>
          <w:hyperlink w:anchor="_Toc156562584" w:history="1">
            <w:r w:rsidRPr="00B8437F">
              <w:rPr>
                <w:rStyle w:val="Hyperlink"/>
              </w:rPr>
              <w:t>1. INTRODUCTION AND BACKGROUND OF THE STUDY</w:t>
            </w:r>
            <w:r>
              <w:rPr>
                <w:webHidden/>
              </w:rPr>
              <w:tab/>
            </w:r>
            <w:r>
              <w:rPr>
                <w:webHidden/>
              </w:rPr>
              <w:fldChar w:fldCharType="begin"/>
            </w:r>
            <w:r>
              <w:rPr>
                <w:webHidden/>
              </w:rPr>
              <w:instrText xml:space="preserve"> PAGEREF _Toc156562584 \h </w:instrText>
            </w:r>
            <w:r>
              <w:rPr>
                <w:webHidden/>
              </w:rPr>
            </w:r>
            <w:r>
              <w:rPr>
                <w:webHidden/>
              </w:rPr>
              <w:fldChar w:fldCharType="separate"/>
            </w:r>
            <w:r>
              <w:rPr>
                <w:webHidden/>
              </w:rPr>
              <w:t>8</w:t>
            </w:r>
            <w:r>
              <w:rPr>
                <w:webHidden/>
              </w:rPr>
              <w:fldChar w:fldCharType="end"/>
            </w:r>
          </w:hyperlink>
        </w:p>
        <w:p w14:paraId="7D59C436" w14:textId="4677D353" w:rsidR="00F3163F" w:rsidRDefault="00F3163F">
          <w:pPr>
            <w:pStyle w:val="TOC2"/>
            <w:rPr>
              <w:rFonts w:asciiTheme="minorHAnsi" w:eastAsiaTheme="minorEastAsia" w:hAnsiTheme="minorHAnsi" w:cstheme="minorBidi"/>
              <w:b w:val="0"/>
              <w:bCs w:val="0"/>
              <w:noProof/>
              <w:sz w:val="22"/>
              <w:szCs w:val="22"/>
              <w:lang w:eastAsia="en-GB"/>
            </w:rPr>
          </w:pPr>
          <w:hyperlink w:anchor="_Toc156562585" w:history="1">
            <w:r w:rsidRPr="00B8437F">
              <w:rPr>
                <w:rStyle w:val="Hyperlink"/>
                <w:noProof/>
              </w:rPr>
              <w:t>1.1 Aim</w:t>
            </w:r>
            <w:r>
              <w:rPr>
                <w:noProof/>
                <w:webHidden/>
              </w:rPr>
              <w:tab/>
            </w:r>
            <w:r>
              <w:rPr>
                <w:noProof/>
                <w:webHidden/>
              </w:rPr>
              <w:fldChar w:fldCharType="begin"/>
            </w:r>
            <w:r>
              <w:rPr>
                <w:noProof/>
                <w:webHidden/>
              </w:rPr>
              <w:instrText xml:space="preserve"> PAGEREF _Toc156562585 \h </w:instrText>
            </w:r>
            <w:r>
              <w:rPr>
                <w:noProof/>
                <w:webHidden/>
              </w:rPr>
            </w:r>
            <w:r>
              <w:rPr>
                <w:noProof/>
                <w:webHidden/>
              </w:rPr>
              <w:fldChar w:fldCharType="separate"/>
            </w:r>
            <w:r>
              <w:rPr>
                <w:noProof/>
                <w:webHidden/>
              </w:rPr>
              <w:t>8</w:t>
            </w:r>
            <w:r>
              <w:rPr>
                <w:noProof/>
                <w:webHidden/>
              </w:rPr>
              <w:fldChar w:fldCharType="end"/>
            </w:r>
          </w:hyperlink>
        </w:p>
        <w:p w14:paraId="77C9551C" w14:textId="414BFEB7" w:rsidR="00F3163F" w:rsidRDefault="00F3163F">
          <w:pPr>
            <w:pStyle w:val="TOC2"/>
            <w:rPr>
              <w:rFonts w:asciiTheme="minorHAnsi" w:eastAsiaTheme="minorEastAsia" w:hAnsiTheme="minorHAnsi" w:cstheme="minorBidi"/>
              <w:b w:val="0"/>
              <w:bCs w:val="0"/>
              <w:noProof/>
              <w:sz w:val="22"/>
              <w:szCs w:val="22"/>
              <w:lang w:eastAsia="en-GB"/>
            </w:rPr>
          </w:pPr>
          <w:hyperlink w:anchor="_Toc156562586" w:history="1">
            <w:r w:rsidRPr="00B8437F">
              <w:rPr>
                <w:rStyle w:val="Hyperlink"/>
                <w:noProof/>
              </w:rPr>
              <w:t>1.2 Scope</w:t>
            </w:r>
            <w:r>
              <w:rPr>
                <w:noProof/>
                <w:webHidden/>
              </w:rPr>
              <w:tab/>
            </w:r>
            <w:r>
              <w:rPr>
                <w:noProof/>
                <w:webHidden/>
              </w:rPr>
              <w:fldChar w:fldCharType="begin"/>
            </w:r>
            <w:r>
              <w:rPr>
                <w:noProof/>
                <w:webHidden/>
              </w:rPr>
              <w:instrText xml:space="preserve"> PAGEREF _Toc156562586 \h </w:instrText>
            </w:r>
            <w:r>
              <w:rPr>
                <w:noProof/>
                <w:webHidden/>
              </w:rPr>
            </w:r>
            <w:r>
              <w:rPr>
                <w:noProof/>
                <w:webHidden/>
              </w:rPr>
              <w:fldChar w:fldCharType="separate"/>
            </w:r>
            <w:r>
              <w:rPr>
                <w:noProof/>
                <w:webHidden/>
              </w:rPr>
              <w:t>8</w:t>
            </w:r>
            <w:r>
              <w:rPr>
                <w:noProof/>
                <w:webHidden/>
              </w:rPr>
              <w:fldChar w:fldCharType="end"/>
            </w:r>
          </w:hyperlink>
        </w:p>
        <w:p w14:paraId="01D2F901" w14:textId="481813BD" w:rsidR="00F3163F" w:rsidRDefault="00F3163F">
          <w:pPr>
            <w:pStyle w:val="TOC2"/>
            <w:rPr>
              <w:rFonts w:asciiTheme="minorHAnsi" w:eastAsiaTheme="minorEastAsia" w:hAnsiTheme="minorHAnsi" w:cstheme="minorBidi"/>
              <w:b w:val="0"/>
              <w:bCs w:val="0"/>
              <w:noProof/>
              <w:sz w:val="22"/>
              <w:szCs w:val="22"/>
              <w:lang w:eastAsia="en-GB"/>
            </w:rPr>
          </w:pPr>
          <w:hyperlink w:anchor="_Toc156562587" w:history="1">
            <w:r w:rsidRPr="00B8437F">
              <w:rPr>
                <w:rStyle w:val="Hyperlink"/>
                <w:noProof/>
              </w:rPr>
              <w:t>1.3 Commissioning the Work</w:t>
            </w:r>
            <w:r>
              <w:rPr>
                <w:noProof/>
                <w:webHidden/>
              </w:rPr>
              <w:tab/>
            </w:r>
            <w:r>
              <w:rPr>
                <w:noProof/>
                <w:webHidden/>
              </w:rPr>
              <w:fldChar w:fldCharType="begin"/>
            </w:r>
            <w:r>
              <w:rPr>
                <w:noProof/>
                <w:webHidden/>
              </w:rPr>
              <w:instrText xml:space="preserve"> PAGEREF _Toc156562587 \h </w:instrText>
            </w:r>
            <w:r>
              <w:rPr>
                <w:noProof/>
                <w:webHidden/>
              </w:rPr>
            </w:r>
            <w:r>
              <w:rPr>
                <w:noProof/>
                <w:webHidden/>
              </w:rPr>
              <w:fldChar w:fldCharType="separate"/>
            </w:r>
            <w:r>
              <w:rPr>
                <w:noProof/>
                <w:webHidden/>
              </w:rPr>
              <w:t>8</w:t>
            </w:r>
            <w:r>
              <w:rPr>
                <w:noProof/>
                <w:webHidden/>
              </w:rPr>
              <w:fldChar w:fldCharType="end"/>
            </w:r>
          </w:hyperlink>
        </w:p>
        <w:p w14:paraId="15A74926" w14:textId="1D6BAA7E" w:rsidR="00F3163F" w:rsidRDefault="00F3163F">
          <w:pPr>
            <w:pStyle w:val="TOC2"/>
            <w:rPr>
              <w:rFonts w:asciiTheme="minorHAnsi" w:eastAsiaTheme="minorEastAsia" w:hAnsiTheme="minorHAnsi" w:cstheme="minorBidi"/>
              <w:b w:val="0"/>
              <w:bCs w:val="0"/>
              <w:noProof/>
              <w:sz w:val="22"/>
              <w:szCs w:val="22"/>
              <w:lang w:eastAsia="en-GB"/>
            </w:rPr>
          </w:pPr>
          <w:hyperlink w:anchor="_Toc156562588" w:history="1">
            <w:r w:rsidRPr="00B8437F">
              <w:rPr>
                <w:rStyle w:val="Hyperlink"/>
                <w:noProof/>
              </w:rPr>
              <w:t>1.4 Context and Focus</w:t>
            </w:r>
            <w:r>
              <w:rPr>
                <w:noProof/>
                <w:webHidden/>
              </w:rPr>
              <w:tab/>
            </w:r>
            <w:r>
              <w:rPr>
                <w:noProof/>
                <w:webHidden/>
              </w:rPr>
              <w:fldChar w:fldCharType="begin"/>
            </w:r>
            <w:r>
              <w:rPr>
                <w:noProof/>
                <w:webHidden/>
              </w:rPr>
              <w:instrText xml:space="preserve"> PAGEREF _Toc156562588 \h </w:instrText>
            </w:r>
            <w:r>
              <w:rPr>
                <w:noProof/>
                <w:webHidden/>
              </w:rPr>
            </w:r>
            <w:r>
              <w:rPr>
                <w:noProof/>
                <w:webHidden/>
              </w:rPr>
              <w:fldChar w:fldCharType="separate"/>
            </w:r>
            <w:r>
              <w:rPr>
                <w:noProof/>
                <w:webHidden/>
              </w:rPr>
              <w:t>8</w:t>
            </w:r>
            <w:r>
              <w:rPr>
                <w:noProof/>
                <w:webHidden/>
              </w:rPr>
              <w:fldChar w:fldCharType="end"/>
            </w:r>
          </w:hyperlink>
        </w:p>
        <w:p w14:paraId="4DADE99C" w14:textId="52E8FDE8" w:rsidR="00F3163F" w:rsidRDefault="00F3163F">
          <w:pPr>
            <w:pStyle w:val="TOC1"/>
            <w:rPr>
              <w:rFonts w:asciiTheme="minorHAnsi" w:eastAsiaTheme="minorEastAsia" w:hAnsiTheme="minorHAnsi" w:cstheme="minorBidi"/>
              <w:b w:val="0"/>
              <w:bCs w:val="0"/>
              <w:caps w:val="0"/>
              <w:lang w:eastAsia="en-GB"/>
            </w:rPr>
          </w:pPr>
          <w:hyperlink w:anchor="_Toc156562589" w:history="1">
            <w:r w:rsidRPr="00B8437F">
              <w:rPr>
                <w:rStyle w:val="Hyperlink"/>
              </w:rPr>
              <w:t>2. RESEARCH METHODOLOGY AND APPROACH</w:t>
            </w:r>
            <w:r>
              <w:rPr>
                <w:webHidden/>
              </w:rPr>
              <w:tab/>
            </w:r>
            <w:r>
              <w:rPr>
                <w:webHidden/>
              </w:rPr>
              <w:fldChar w:fldCharType="begin"/>
            </w:r>
            <w:r>
              <w:rPr>
                <w:webHidden/>
              </w:rPr>
              <w:instrText xml:space="preserve"> PAGEREF _Toc156562589 \h </w:instrText>
            </w:r>
            <w:r>
              <w:rPr>
                <w:webHidden/>
              </w:rPr>
            </w:r>
            <w:r>
              <w:rPr>
                <w:webHidden/>
              </w:rPr>
              <w:fldChar w:fldCharType="separate"/>
            </w:r>
            <w:r>
              <w:rPr>
                <w:webHidden/>
              </w:rPr>
              <w:t>9</w:t>
            </w:r>
            <w:r>
              <w:rPr>
                <w:webHidden/>
              </w:rPr>
              <w:fldChar w:fldCharType="end"/>
            </w:r>
          </w:hyperlink>
        </w:p>
        <w:p w14:paraId="23E7D5FF" w14:textId="3EEEABEA" w:rsidR="00F3163F" w:rsidRDefault="00F3163F">
          <w:pPr>
            <w:pStyle w:val="TOC2"/>
            <w:rPr>
              <w:rFonts w:asciiTheme="minorHAnsi" w:eastAsiaTheme="minorEastAsia" w:hAnsiTheme="minorHAnsi" w:cstheme="minorBidi"/>
              <w:b w:val="0"/>
              <w:bCs w:val="0"/>
              <w:noProof/>
              <w:sz w:val="22"/>
              <w:szCs w:val="22"/>
              <w:lang w:eastAsia="en-GB"/>
            </w:rPr>
          </w:pPr>
          <w:hyperlink w:anchor="_Toc156562590" w:history="1">
            <w:r w:rsidRPr="00B8437F">
              <w:rPr>
                <w:rStyle w:val="Hyperlink"/>
                <w:noProof/>
              </w:rPr>
              <w:t>2.1 Outline Methodology</w:t>
            </w:r>
            <w:r>
              <w:rPr>
                <w:noProof/>
                <w:webHidden/>
              </w:rPr>
              <w:tab/>
            </w:r>
            <w:r>
              <w:rPr>
                <w:noProof/>
                <w:webHidden/>
              </w:rPr>
              <w:fldChar w:fldCharType="begin"/>
            </w:r>
            <w:r>
              <w:rPr>
                <w:noProof/>
                <w:webHidden/>
              </w:rPr>
              <w:instrText xml:space="preserve"> PAGEREF _Toc156562590 \h </w:instrText>
            </w:r>
            <w:r>
              <w:rPr>
                <w:noProof/>
                <w:webHidden/>
              </w:rPr>
            </w:r>
            <w:r>
              <w:rPr>
                <w:noProof/>
                <w:webHidden/>
              </w:rPr>
              <w:fldChar w:fldCharType="separate"/>
            </w:r>
            <w:r>
              <w:rPr>
                <w:noProof/>
                <w:webHidden/>
              </w:rPr>
              <w:t>9</w:t>
            </w:r>
            <w:r>
              <w:rPr>
                <w:noProof/>
                <w:webHidden/>
              </w:rPr>
              <w:fldChar w:fldCharType="end"/>
            </w:r>
          </w:hyperlink>
        </w:p>
        <w:p w14:paraId="100966B0" w14:textId="66E3BF8B"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591" w:history="1">
            <w:r w:rsidRPr="00B8437F">
              <w:rPr>
                <w:rStyle w:val="Hyperlink"/>
                <w:noProof/>
              </w:rPr>
              <w:t>2.1.2 Desk Research (see Annex 1)</w:t>
            </w:r>
            <w:r>
              <w:rPr>
                <w:noProof/>
                <w:webHidden/>
              </w:rPr>
              <w:tab/>
            </w:r>
            <w:r>
              <w:rPr>
                <w:noProof/>
                <w:webHidden/>
              </w:rPr>
              <w:fldChar w:fldCharType="begin"/>
            </w:r>
            <w:r>
              <w:rPr>
                <w:noProof/>
                <w:webHidden/>
              </w:rPr>
              <w:instrText xml:space="preserve"> PAGEREF _Toc156562591 \h </w:instrText>
            </w:r>
            <w:r>
              <w:rPr>
                <w:noProof/>
                <w:webHidden/>
              </w:rPr>
            </w:r>
            <w:r>
              <w:rPr>
                <w:noProof/>
                <w:webHidden/>
              </w:rPr>
              <w:fldChar w:fldCharType="separate"/>
            </w:r>
            <w:r>
              <w:rPr>
                <w:noProof/>
                <w:webHidden/>
              </w:rPr>
              <w:t>9</w:t>
            </w:r>
            <w:r>
              <w:rPr>
                <w:noProof/>
                <w:webHidden/>
              </w:rPr>
              <w:fldChar w:fldCharType="end"/>
            </w:r>
          </w:hyperlink>
        </w:p>
        <w:p w14:paraId="53B5399D" w14:textId="0C449B7D"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592" w:history="1">
            <w:r w:rsidRPr="00B8437F">
              <w:rPr>
                <w:rStyle w:val="Hyperlink"/>
                <w:noProof/>
              </w:rPr>
              <w:t>2.1.3 Structure of Desk Research Report</w:t>
            </w:r>
            <w:r>
              <w:rPr>
                <w:noProof/>
                <w:webHidden/>
              </w:rPr>
              <w:tab/>
            </w:r>
            <w:r>
              <w:rPr>
                <w:noProof/>
                <w:webHidden/>
              </w:rPr>
              <w:fldChar w:fldCharType="begin"/>
            </w:r>
            <w:r>
              <w:rPr>
                <w:noProof/>
                <w:webHidden/>
              </w:rPr>
              <w:instrText xml:space="preserve"> PAGEREF _Toc156562592 \h </w:instrText>
            </w:r>
            <w:r>
              <w:rPr>
                <w:noProof/>
                <w:webHidden/>
              </w:rPr>
            </w:r>
            <w:r>
              <w:rPr>
                <w:noProof/>
                <w:webHidden/>
              </w:rPr>
              <w:fldChar w:fldCharType="separate"/>
            </w:r>
            <w:r>
              <w:rPr>
                <w:noProof/>
                <w:webHidden/>
              </w:rPr>
              <w:t>9</w:t>
            </w:r>
            <w:r>
              <w:rPr>
                <w:noProof/>
                <w:webHidden/>
              </w:rPr>
              <w:fldChar w:fldCharType="end"/>
            </w:r>
          </w:hyperlink>
        </w:p>
        <w:p w14:paraId="6A702768" w14:textId="4FCAFFC4"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593" w:history="1">
            <w:r w:rsidRPr="00B8437F">
              <w:rPr>
                <w:rStyle w:val="Hyperlink"/>
                <w:noProof/>
              </w:rPr>
              <w:t>2.1.4 References Consulted for Desk Research</w:t>
            </w:r>
            <w:r>
              <w:rPr>
                <w:noProof/>
                <w:webHidden/>
              </w:rPr>
              <w:tab/>
            </w:r>
            <w:r>
              <w:rPr>
                <w:noProof/>
                <w:webHidden/>
              </w:rPr>
              <w:fldChar w:fldCharType="begin"/>
            </w:r>
            <w:r>
              <w:rPr>
                <w:noProof/>
                <w:webHidden/>
              </w:rPr>
              <w:instrText xml:space="preserve"> PAGEREF _Toc156562593 \h </w:instrText>
            </w:r>
            <w:r>
              <w:rPr>
                <w:noProof/>
                <w:webHidden/>
              </w:rPr>
            </w:r>
            <w:r>
              <w:rPr>
                <w:noProof/>
                <w:webHidden/>
              </w:rPr>
              <w:fldChar w:fldCharType="separate"/>
            </w:r>
            <w:r>
              <w:rPr>
                <w:noProof/>
                <w:webHidden/>
              </w:rPr>
              <w:t>10</w:t>
            </w:r>
            <w:r>
              <w:rPr>
                <w:noProof/>
                <w:webHidden/>
              </w:rPr>
              <w:fldChar w:fldCharType="end"/>
            </w:r>
          </w:hyperlink>
        </w:p>
        <w:p w14:paraId="6BA4A5C8" w14:textId="73BAB26E" w:rsidR="00F3163F" w:rsidRDefault="00F3163F">
          <w:pPr>
            <w:pStyle w:val="TOC2"/>
            <w:rPr>
              <w:rFonts w:asciiTheme="minorHAnsi" w:eastAsiaTheme="minorEastAsia" w:hAnsiTheme="minorHAnsi" w:cstheme="minorBidi"/>
              <w:b w:val="0"/>
              <w:bCs w:val="0"/>
              <w:noProof/>
              <w:sz w:val="22"/>
              <w:szCs w:val="22"/>
              <w:lang w:eastAsia="en-GB"/>
            </w:rPr>
          </w:pPr>
          <w:hyperlink w:anchor="_Toc156562594" w:history="1">
            <w:r w:rsidRPr="00B8437F">
              <w:rPr>
                <w:rStyle w:val="Hyperlink"/>
                <w:noProof/>
              </w:rPr>
              <w:t>2.3 Pre-Study Workshop (see Annex 3)</w:t>
            </w:r>
            <w:r>
              <w:rPr>
                <w:noProof/>
                <w:webHidden/>
              </w:rPr>
              <w:tab/>
            </w:r>
            <w:r>
              <w:rPr>
                <w:noProof/>
                <w:webHidden/>
              </w:rPr>
              <w:fldChar w:fldCharType="begin"/>
            </w:r>
            <w:r>
              <w:rPr>
                <w:noProof/>
                <w:webHidden/>
              </w:rPr>
              <w:instrText xml:space="preserve"> PAGEREF _Toc156562594 \h </w:instrText>
            </w:r>
            <w:r>
              <w:rPr>
                <w:noProof/>
                <w:webHidden/>
              </w:rPr>
            </w:r>
            <w:r>
              <w:rPr>
                <w:noProof/>
                <w:webHidden/>
              </w:rPr>
              <w:fldChar w:fldCharType="separate"/>
            </w:r>
            <w:r>
              <w:rPr>
                <w:noProof/>
                <w:webHidden/>
              </w:rPr>
              <w:t>11</w:t>
            </w:r>
            <w:r>
              <w:rPr>
                <w:noProof/>
                <w:webHidden/>
              </w:rPr>
              <w:fldChar w:fldCharType="end"/>
            </w:r>
          </w:hyperlink>
        </w:p>
        <w:p w14:paraId="2678E42A" w14:textId="69B2F967"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595" w:history="1">
            <w:r w:rsidRPr="00B8437F">
              <w:rPr>
                <w:rStyle w:val="Hyperlink"/>
                <w:noProof/>
              </w:rPr>
              <w:t>2.3.1 Workshop Structure</w:t>
            </w:r>
            <w:r>
              <w:rPr>
                <w:noProof/>
                <w:webHidden/>
              </w:rPr>
              <w:tab/>
            </w:r>
            <w:r>
              <w:rPr>
                <w:noProof/>
                <w:webHidden/>
              </w:rPr>
              <w:fldChar w:fldCharType="begin"/>
            </w:r>
            <w:r>
              <w:rPr>
                <w:noProof/>
                <w:webHidden/>
              </w:rPr>
              <w:instrText xml:space="preserve"> PAGEREF _Toc156562595 \h </w:instrText>
            </w:r>
            <w:r>
              <w:rPr>
                <w:noProof/>
                <w:webHidden/>
              </w:rPr>
            </w:r>
            <w:r>
              <w:rPr>
                <w:noProof/>
                <w:webHidden/>
              </w:rPr>
              <w:fldChar w:fldCharType="separate"/>
            </w:r>
            <w:r>
              <w:rPr>
                <w:noProof/>
                <w:webHidden/>
              </w:rPr>
              <w:t>11</w:t>
            </w:r>
            <w:r>
              <w:rPr>
                <w:noProof/>
                <w:webHidden/>
              </w:rPr>
              <w:fldChar w:fldCharType="end"/>
            </w:r>
          </w:hyperlink>
        </w:p>
        <w:p w14:paraId="06D5F880" w14:textId="751DDFCF"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596" w:history="1">
            <w:r w:rsidRPr="00B8437F">
              <w:rPr>
                <w:rStyle w:val="Hyperlink"/>
                <w:noProof/>
              </w:rPr>
              <w:t>2.3.2 Summary of Main Findings</w:t>
            </w:r>
            <w:r>
              <w:rPr>
                <w:noProof/>
                <w:webHidden/>
              </w:rPr>
              <w:tab/>
            </w:r>
            <w:r>
              <w:rPr>
                <w:noProof/>
                <w:webHidden/>
              </w:rPr>
              <w:fldChar w:fldCharType="begin"/>
            </w:r>
            <w:r>
              <w:rPr>
                <w:noProof/>
                <w:webHidden/>
              </w:rPr>
              <w:instrText xml:space="preserve"> PAGEREF _Toc156562596 \h </w:instrText>
            </w:r>
            <w:r>
              <w:rPr>
                <w:noProof/>
                <w:webHidden/>
              </w:rPr>
            </w:r>
            <w:r>
              <w:rPr>
                <w:noProof/>
                <w:webHidden/>
              </w:rPr>
              <w:fldChar w:fldCharType="separate"/>
            </w:r>
            <w:r>
              <w:rPr>
                <w:noProof/>
                <w:webHidden/>
              </w:rPr>
              <w:t>11</w:t>
            </w:r>
            <w:r>
              <w:rPr>
                <w:noProof/>
                <w:webHidden/>
              </w:rPr>
              <w:fldChar w:fldCharType="end"/>
            </w:r>
          </w:hyperlink>
        </w:p>
        <w:p w14:paraId="59AB06CA" w14:textId="0905482A" w:rsidR="00F3163F" w:rsidRDefault="00F3163F">
          <w:pPr>
            <w:pStyle w:val="TOC2"/>
            <w:rPr>
              <w:rFonts w:asciiTheme="minorHAnsi" w:eastAsiaTheme="minorEastAsia" w:hAnsiTheme="minorHAnsi" w:cstheme="minorBidi"/>
              <w:b w:val="0"/>
              <w:bCs w:val="0"/>
              <w:noProof/>
              <w:sz w:val="22"/>
              <w:szCs w:val="22"/>
              <w:lang w:eastAsia="en-GB"/>
            </w:rPr>
          </w:pPr>
          <w:hyperlink w:anchor="_Toc156562597" w:history="1">
            <w:r w:rsidRPr="00B8437F">
              <w:rPr>
                <w:rStyle w:val="Hyperlink"/>
                <w:noProof/>
              </w:rPr>
              <w:t>2.4 Field Study (see Annex 4)</w:t>
            </w:r>
            <w:r>
              <w:rPr>
                <w:noProof/>
                <w:webHidden/>
              </w:rPr>
              <w:tab/>
            </w:r>
            <w:r>
              <w:rPr>
                <w:noProof/>
                <w:webHidden/>
              </w:rPr>
              <w:fldChar w:fldCharType="begin"/>
            </w:r>
            <w:r>
              <w:rPr>
                <w:noProof/>
                <w:webHidden/>
              </w:rPr>
              <w:instrText xml:space="preserve"> PAGEREF _Toc156562597 \h </w:instrText>
            </w:r>
            <w:r>
              <w:rPr>
                <w:noProof/>
                <w:webHidden/>
              </w:rPr>
            </w:r>
            <w:r>
              <w:rPr>
                <w:noProof/>
                <w:webHidden/>
              </w:rPr>
              <w:fldChar w:fldCharType="separate"/>
            </w:r>
            <w:r>
              <w:rPr>
                <w:noProof/>
                <w:webHidden/>
              </w:rPr>
              <w:t>12</w:t>
            </w:r>
            <w:r>
              <w:rPr>
                <w:noProof/>
                <w:webHidden/>
              </w:rPr>
              <w:fldChar w:fldCharType="end"/>
            </w:r>
          </w:hyperlink>
        </w:p>
        <w:p w14:paraId="11304761" w14:textId="4E38BB69"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598" w:history="1">
            <w:r w:rsidRPr="00B8437F">
              <w:rPr>
                <w:rStyle w:val="Hyperlink"/>
                <w:noProof/>
              </w:rPr>
              <w:t>2.4.1 Methodology</w:t>
            </w:r>
            <w:r>
              <w:rPr>
                <w:noProof/>
                <w:webHidden/>
              </w:rPr>
              <w:tab/>
            </w:r>
            <w:r>
              <w:rPr>
                <w:noProof/>
                <w:webHidden/>
              </w:rPr>
              <w:fldChar w:fldCharType="begin"/>
            </w:r>
            <w:r>
              <w:rPr>
                <w:noProof/>
                <w:webHidden/>
              </w:rPr>
              <w:instrText xml:space="preserve"> PAGEREF _Toc156562598 \h </w:instrText>
            </w:r>
            <w:r>
              <w:rPr>
                <w:noProof/>
                <w:webHidden/>
              </w:rPr>
            </w:r>
            <w:r>
              <w:rPr>
                <w:noProof/>
                <w:webHidden/>
              </w:rPr>
              <w:fldChar w:fldCharType="separate"/>
            </w:r>
            <w:r>
              <w:rPr>
                <w:noProof/>
                <w:webHidden/>
              </w:rPr>
              <w:t>12</w:t>
            </w:r>
            <w:r>
              <w:rPr>
                <w:noProof/>
                <w:webHidden/>
              </w:rPr>
              <w:fldChar w:fldCharType="end"/>
            </w:r>
          </w:hyperlink>
        </w:p>
        <w:p w14:paraId="042F1F78" w14:textId="543F7A04"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599" w:history="1">
            <w:r w:rsidRPr="00B8437F">
              <w:rPr>
                <w:rStyle w:val="Hyperlink"/>
                <w:noProof/>
              </w:rPr>
              <w:t>2.4.2 Focus of Questioning</w:t>
            </w:r>
            <w:r>
              <w:rPr>
                <w:noProof/>
                <w:webHidden/>
              </w:rPr>
              <w:tab/>
            </w:r>
            <w:r>
              <w:rPr>
                <w:noProof/>
                <w:webHidden/>
              </w:rPr>
              <w:fldChar w:fldCharType="begin"/>
            </w:r>
            <w:r>
              <w:rPr>
                <w:noProof/>
                <w:webHidden/>
              </w:rPr>
              <w:instrText xml:space="preserve"> PAGEREF _Toc156562599 \h </w:instrText>
            </w:r>
            <w:r>
              <w:rPr>
                <w:noProof/>
                <w:webHidden/>
              </w:rPr>
            </w:r>
            <w:r>
              <w:rPr>
                <w:noProof/>
                <w:webHidden/>
              </w:rPr>
              <w:fldChar w:fldCharType="separate"/>
            </w:r>
            <w:r>
              <w:rPr>
                <w:noProof/>
                <w:webHidden/>
              </w:rPr>
              <w:t>12</w:t>
            </w:r>
            <w:r>
              <w:rPr>
                <w:noProof/>
                <w:webHidden/>
              </w:rPr>
              <w:fldChar w:fldCharType="end"/>
            </w:r>
          </w:hyperlink>
        </w:p>
        <w:p w14:paraId="1ED70029" w14:textId="125197B2"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600" w:history="1">
            <w:r w:rsidRPr="00B8437F">
              <w:rPr>
                <w:rStyle w:val="Hyperlink"/>
                <w:noProof/>
              </w:rPr>
              <w:t>2.4.3 Data Analysis</w:t>
            </w:r>
            <w:r>
              <w:rPr>
                <w:noProof/>
                <w:webHidden/>
              </w:rPr>
              <w:tab/>
            </w:r>
            <w:r>
              <w:rPr>
                <w:noProof/>
                <w:webHidden/>
              </w:rPr>
              <w:fldChar w:fldCharType="begin"/>
            </w:r>
            <w:r>
              <w:rPr>
                <w:noProof/>
                <w:webHidden/>
              </w:rPr>
              <w:instrText xml:space="preserve"> PAGEREF _Toc156562600 \h </w:instrText>
            </w:r>
            <w:r>
              <w:rPr>
                <w:noProof/>
                <w:webHidden/>
              </w:rPr>
            </w:r>
            <w:r>
              <w:rPr>
                <w:noProof/>
                <w:webHidden/>
              </w:rPr>
              <w:fldChar w:fldCharType="separate"/>
            </w:r>
            <w:r>
              <w:rPr>
                <w:noProof/>
                <w:webHidden/>
              </w:rPr>
              <w:t>12</w:t>
            </w:r>
            <w:r>
              <w:rPr>
                <w:noProof/>
                <w:webHidden/>
              </w:rPr>
              <w:fldChar w:fldCharType="end"/>
            </w:r>
          </w:hyperlink>
        </w:p>
        <w:p w14:paraId="392DD5E6" w14:textId="38CC6993" w:rsidR="00F3163F" w:rsidRDefault="00F3163F">
          <w:pPr>
            <w:pStyle w:val="TOC2"/>
            <w:rPr>
              <w:rFonts w:asciiTheme="minorHAnsi" w:eastAsiaTheme="minorEastAsia" w:hAnsiTheme="minorHAnsi" w:cstheme="minorBidi"/>
              <w:b w:val="0"/>
              <w:bCs w:val="0"/>
              <w:noProof/>
              <w:sz w:val="22"/>
              <w:szCs w:val="22"/>
              <w:lang w:eastAsia="en-GB"/>
            </w:rPr>
          </w:pPr>
          <w:hyperlink w:anchor="_Toc156562601" w:history="1">
            <w:r w:rsidRPr="00B8437F">
              <w:rPr>
                <w:rStyle w:val="Hyperlink"/>
                <w:noProof/>
              </w:rPr>
              <w:t>2.5 Post-Study Workshop (see Annex 5)</w:t>
            </w:r>
            <w:r>
              <w:rPr>
                <w:noProof/>
                <w:webHidden/>
              </w:rPr>
              <w:tab/>
            </w:r>
            <w:r>
              <w:rPr>
                <w:noProof/>
                <w:webHidden/>
              </w:rPr>
              <w:fldChar w:fldCharType="begin"/>
            </w:r>
            <w:r>
              <w:rPr>
                <w:noProof/>
                <w:webHidden/>
              </w:rPr>
              <w:instrText xml:space="preserve"> PAGEREF _Toc156562601 \h </w:instrText>
            </w:r>
            <w:r>
              <w:rPr>
                <w:noProof/>
                <w:webHidden/>
              </w:rPr>
            </w:r>
            <w:r>
              <w:rPr>
                <w:noProof/>
                <w:webHidden/>
              </w:rPr>
              <w:fldChar w:fldCharType="separate"/>
            </w:r>
            <w:r>
              <w:rPr>
                <w:noProof/>
                <w:webHidden/>
              </w:rPr>
              <w:t>13</w:t>
            </w:r>
            <w:r>
              <w:rPr>
                <w:noProof/>
                <w:webHidden/>
              </w:rPr>
              <w:fldChar w:fldCharType="end"/>
            </w:r>
          </w:hyperlink>
        </w:p>
        <w:p w14:paraId="2E73AA74" w14:textId="56D137EB"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602" w:history="1">
            <w:r w:rsidRPr="00B8437F">
              <w:rPr>
                <w:rStyle w:val="Hyperlink"/>
                <w:noProof/>
              </w:rPr>
              <w:t>2.5.1 Workshop Structure</w:t>
            </w:r>
            <w:r>
              <w:rPr>
                <w:noProof/>
                <w:webHidden/>
              </w:rPr>
              <w:tab/>
            </w:r>
            <w:r>
              <w:rPr>
                <w:noProof/>
                <w:webHidden/>
              </w:rPr>
              <w:fldChar w:fldCharType="begin"/>
            </w:r>
            <w:r>
              <w:rPr>
                <w:noProof/>
                <w:webHidden/>
              </w:rPr>
              <w:instrText xml:space="preserve"> PAGEREF _Toc156562602 \h </w:instrText>
            </w:r>
            <w:r>
              <w:rPr>
                <w:noProof/>
                <w:webHidden/>
              </w:rPr>
            </w:r>
            <w:r>
              <w:rPr>
                <w:noProof/>
                <w:webHidden/>
              </w:rPr>
              <w:fldChar w:fldCharType="separate"/>
            </w:r>
            <w:r>
              <w:rPr>
                <w:noProof/>
                <w:webHidden/>
              </w:rPr>
              <w:t>13</w:t>
            </w:r>
            <w:r>
              <w:rPr>
                <w:noProof/>
                <w:webHidden/>
              </w:rPr>
              <w:fldChar w:fldCharType="end"/>
            </w:r>
          </w:hyperlink>
        </w:p>
        <w:p w14:paraId="265EEC13" w14:textId="4BD1423D" w:rsidR="00F3163F" w:rsidRDefault="00F3163F">
          <w:pPr>
            <w:pStyle w:val="TOC3"/>
            <w:tabs>
              <w:tab w:val="right" w:leader="dot" w:pos="9827"/>
            </w:tabs>
            <w:rPr>
              <w:rFonts w:asciiTheme="minorHAnsi" w:eastAsiaTheme="minorEastAsia" w:hAnsiTheme="minorHAnsi" w:cstheme="minorBidi"/>
              <w:noProof/>
              <w:sz w:val="22"/>
              <w:szCs w:val="22"/>
              <w:lang w:eastAsia="en-GB"/>
            </w:rPr>
          </w:pPr>
          <w:hyperlink w:anchor="_Toc156562603" w:history="1">
            <w:r w:rsidRPr="00B8437F">
              <w:rPr>
                <w:rStyle w:val="Hyperlink"/>
                <w:noProof/>
              </w:rPr>
              <w:t>2.5.2 Summary of Key Findings</w:t>
            </w:r>
            <w:r>
              <w:rPr>
                <w:noProof/>
                <w:webHidden/>
              </w:rPr>
              <w:tab/>
            </w:r>
            <w:r>
              <w:rPr>
                <w:noProof/>
                <w:webHidden/>
              </w:rPr>
              <w:fldChar w:fldCharType="begin"/>
            </w:r>
            <w:r>
              <w:rPr>
                <w:noProof/>
                <w:webHidden/>
              </w:rPr>
              <w:instrText xml:space="preserve"> PAGEREF _Toc156562603 \h </w:instrText>
            </w:r>
            <w:r>
              <w:rPr>
                <w:noProof/>
                <w:webHidden/>
              </w:rPr>
            </w:r>
            <w:r>
              <w:rPr>
                <w:noProof/>
                <w:webHidden/>
              </w:rPr>
              <w:fldChar w:fldCharType="separate"/>
            </w:r>
            <w:r>
              <w:rPr>
                <w:noProof/>
                <w:webHidden/>
              </w:rPr>
              <w:t>13</w:t>
            </w:r>
            <w:r>
              <w:rPr>
                <w:noProof/>
                <w:webHidden/>
              </w:rPr>
              <w:fldChar w:fldCharType="end"/>
            </w:r>
          </w:hyperlink>
        </w:p>
        <w:p w14:paraId="229356C4" w14:textId="3CA27D3B" w:rsidR="00F3163F" w:rsidRDefault="00F3163F">
          <w:pPr>
            <w:pStyle w:val="TOC1"/>
            <w:rPr>
              <w:rFonts w:asciiTheme="minorHAnsi" w:eastAsiaTheme="minorEastAsia" w:hAnsiTheme="minorHAnsi" w:cstheme="minorBidi"/>
              <w:b w:val="0"/>
              <w:bCs w:val="0"/>
              <w:caps w:val="0"/>
              <w:lang w:eastAsia="en-GB"/>
            </w:rPr>
          </w:pPr>
          <w:hyperlink w:anchor="_Toc156562604" w:history="1">
            <w:r w:rsidRPr="00B8437F">
              <w:rPr>
                <w:rStyle w:val="Hyperlink"/>
              </w:rPr>
              <w:t>3.RECOMMENDATIONS</w:t>
            </w:r>
            <w:r>
              <w:rPr>
                <w:webHidden/>
              </w:rPr>
              <w:tab/>
            </w:r>
            <w:r>
              <w:rPr>
                <w:webHidden/>
              </w:rPr>
              <w:fldChar w:fldCharType="begin"/>
            </w:r>
            <w:r>
              <w:rPr>
                <w:webHidden/>
              </w:rPr>
              <w:instrText xml:space="preserve"> PAGEREF _Toc156562604 \h </w:instrText>
            </w:r>
            <w:r>
              <w:rPr>
                <w:webHidden/>
              </w:rPr>
            </w:r>
            <w:r>
              <w:rPr>
                <w:webHidden/>
              </w:rPr>
              <w:fldChar w:fldCharType="separate"/>
            </w:r>
            <w:r>
              <w:rPr>
                <w:webHidden/>
              </w:rPr>
              <w:t>13</w:t>
            </w:r>
            <w:r>
              <w:rPr>
                <w:webHidden/>
              </w:rPr>
              <w:fldChar w:fldCharType="end"/>
            </w:r>
          </w:hyperlink>
        </w:p>
        <w:p w14:paraId="09746A15" w14:textId="0F97266B" w:rsidR="00F3163F" w:rsidRDefault="00F3163F">
          <w:pPr>
            <w:pStyle w:val="TOC1"/>
            <w:rPr>
              <w:rFonts w:asciiTheme="minorHAnsi" w:eastAsiaTheme="minorEastAsia" w:hAnsiTheme="minorHAnsi" w:cstheme="minorBidi"/>
              <w:b w:val="0"/>
              <w:bCs w:val="0"/>
              <w:caps w:val="0"/>
              <w:lang w:eastAsia="en-GB"/>
            </w:rPr>
          </w:pPr>
          <w:hyperlink w:anchor="_Toc156562605" w:history="1">
            <w:r w:rsidRPr="00B8437F">
              <w:rPr>
                <w:rStyle w:val="Hyperlink"/>
              </w:rPr>
              <w:t>4.CONCLUSIONS</w:t>
            </w:r>
            <w:r>
              <w:rPr>
                <w:webHidden/>
              </w:rPr>
              <w:tab/>
            </w:r>
            <w:r>
              <w:rPr>
                <w:webHidden/>
              </w:rPr>
              <w:fldChar w:fldCharType="begin"/>
            </w:r>
            <w:r>
              <w:rPr>
                <w:webHidden/>
              </w:rPr>
              <w:instrText xml:space="preserve"> PAGEREF _Toc156562605 \h </w:instrText>
            </w:r>
            <w:r>
              <w:rPr>
                <w:webHidden/>
              </w:rPr>
            </w:r>
            <w:r>
              <w:rPr>
                <w:webHidden/>
              </w:rPr>
              <w:fldChar w:fldCharType="separate"/>
            </w:r>
            <w:r>
              <w:rPr>
                <w:webHidden/>
              </w:rPr>
              <w:t>23</w:t>
            </w:r>
            <w:r>
              <w:rPr>
                <w:webHidden/>
              </w:rPr>
              <w:fldChar w:fldCharType="end"/>
            </w:r>
          </w:hyperlink>
        </w:p>
        <w:p w14:paraId="5216690A" w14:textId="0EE39CAF" w:rsidR="00F3163F" w:rsidRDefault="00F3163F">
          <w:pPr>
            <w:pStyle w:val="TOC1"/>
            <w:rPr>
              <w:rFonts w:asciiTheme="minorHAnsi" w:eastAsiaTheme="minorEastAsia" w:hAnsiTheme="minorHAnsi" w:cstheme="minorBidi"/>
              <w:b w:val="0"/>
              <w:bCs w:val="0"/>
              <w:caps w:val="0"/>
              <w:lang w:eastAsia="en-GB"/>
            </w:rPr>
          </w:pPr>
          <w:hyperlink w:anchor="_Toc156562606" w:history="1">
            <w:r w:rsidRPr="00B8437F">
              <w:rPr>
                <w:rStyle w:val="Hyperlink"/>
              </w:rPr>
              <w:t>5. BIBLIOGRAPHY</w:t>
            </w:r>
            <w:r>
              <w:rPr>
                <w:webHidden/>
              </w:rPr>
              <w:tab/>
            </w:r>
            <w:r>
              <w:rPr>
                <w:webHidden/>
              </w:rPr>
              <w:fldChar w:fldCharType="begin"/>
            </w:r>
            <w:r>
              <w:rPr>
                <w:webHidden/>
              </w:rPr>
              <w:instrText xml:space="preserve"> PAGEREF _Toc156562606 \h </w:instrText>
            </w:r>
            <w:r>
              <w:rPr>
                <w:webHidden/>
              </w:rPr>
            </w:r>
            <w:r>
              <w:rPr>
                <w:webHidden/>
              </w:rPr>
              <w:fldChar w:fldCharType="separate"/>
            </w:r>
            <w:r>
              <w:rPr>
                <w:webHidden/>
              </w:rPr>
              <w:t>24</w:t>
            </w:r>
            <w:r>
              <w:rPr>
                <w:webHidden/>
              </w:rPr>
              <w:fldChar w:fldCharType="end"/>
            </w:r>
          </w:hyperlink>
        </w:p>
        <w:p w14:paraId="40C8946D" w14:textId="3614E83C" w:rsidR="00F3163F" w:rsidRDefault="00F3163F">
          <w:pPr>
            <w:pStyle w:val="TOC2"/>
            <w:rPr>
              <w:rFonts w:asciiTheme="minorHAnsi" w:eastAsiaTheme="minorEastAsia" w:hAnsiTheme="minorHAnsi" w:cstheme="minorBidi"/>
              <w:b w:val="0"/>
              <w:bCs w:val="0"/>
              <w:noProof/>
              <w:sz w:val="22"/>
              <w:szCs w:val="22"/>
              <w:lang w:eastAsia="en-GB"/>
            </w:rPr>
          </w:pPr>
          <w:hyperlink w:anchor="_Toc156562607" w:history="1">
            <w:r w:rsidRPr="00B8437F">
              <w:rPr>
                <w:rStyle w:val="Hyperlink"/>
                <w:noProof/>
              </w:rPr>
              <w:t>References Examined during Desk Research</w:t>
            </w:r>
            <w:r>
              <w:rPr>
                <w:noProof/>
                <w:webHidden/>
              </w:rPr>
              <w:tab/>
            </w:r>
            <w:r>
              <w:rPr>
                <w:noProof/>
                <w:webHidden/>
              </w:rPr>
              <w:fldChar w:fldCharType="begin"/>
            </w:r>
            <w:r>
              <w:rPr>
                <w:noProof/>
                <w:webHidden/>
              </w:rPr>
              <w:instrText xml:space="preserve"> PAGEREF _Toc156562607 \h </w:instrText>
            </w:r>
            <w:r>
              <w:rPr>
                <w:noProof/>
                <w:webHidden/>
              </w:rPr>
            </w:r>
            <w:r>
              <w:rPr>
                <w:noProof/>
                <w:webHidden/>
              </w:rPr>
              <w:fldChar w:fldCharType="separate"/>
            </w:r>
            <w:r>
              <w:rPr>
                <w:noProof/>
                <w:webHidden/>
              </w:rPr>
              <w:t>24</w:t>
            </w:r>
            <w:r>
              <w:rPr>
                <w:noProof/>
                <w:webHidden/>
              </w:rPr>
              <w:fldChar w:fldCharType="end"/>
            </w:r>
          </w:hyperlink>
        </w:p>
        <w:p w14:paraId="26D58205" w14:textId="5EA171D6" w:rsidR="00F22636" w:rsidRDefault="00F22636">
          <w:r>
            <w:rPr>
              <w:b/>
              <w:bCs/>
              <w:noProof/>
            </w:rPr>
            <w:fldChar w:fldCharType="end"/>
          </w:r>
        </w:p>
      </w:sdtContent>
    </w:sdt>
    <w:p w14:paraId="1E869795" w14:textId="77777777" w:rsidR="000B129E" w:rsidRDefault="000B129E">
      <w:r>
        <w:lastRenderedPageBreak/>
        <w:br w:type="page"/>
      </w:r>
      <w:bookmarkStart w:id="2" w:name="_GoBack"/>
      <w:bookmarkEnd w:id="2"/>
    </w:p>
    <w:p w14:paraId="03D3475D" w14:textId="77777777" w:rsidR="009649DA" w:rsidRDefault="009649DA">
      <w:pPr>
        <w:rPr>
          <w:sz w:val="22"/>
          <w:szCs w:val="22"/>
        </w:rPr>
      </w:pPr>
    </w:p>
    <w:p w14:paraId="1E1B2D96" w14:textId="654DC425" w:rsidR="0015658F" w:rsidRDefault="006A3AF5" w:rsidP="003021FF">
      <w:pPr>
        <w:rPr>
          <w:sz w:val="22"/>
          <w:szCs w:val="22"/>
        </w:rPr>
      </w:pPr>
      <w:r>
        <w:rPr>
          <w:sz w:val="22"/>
          <w:szCs w:val="22"/>
        </w:rPr>
        <w:t>LIST OF ABBREVIATIONS</w:t>
      </w:r>
    </w:p>
    <w:p w14:paraId="13B0A564" w14:textId="77777777" w:rsidR="0015658F" w:rsidRDefault="0015658F">
      <w:pPr>
        <w:rPr>
          <w:sz w:val="22"/>
          <w:szCs w:val="22"/>
        </w:rPr>
      </w:pPr>
    </w:p>
    <w:tbl>
      <w:tblPr>
        <w:tblStyle w:val="a"/>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98"/>
        <w:gridCol w:w="6874"/>
      </w:tblGrid>
      <w:tr w:rsidR="0015658F" w14:paraId="3B80D0D8" w14:textId="77777777">
        <w:trPr>
          <w:trHeight w:val="138"/>
        </w:trPr>
        <w:tc>
          <w:tcPr>
            <w:tcW w:w="2198" w:type="dxa"/>
            <w:shd w:val="clear" w:color="auto" w:fill="4F81BD"/>
          </w:tcPr>
          <w:p w14:paraId="7AC5B542" w14:textId="77777777" w:rsidR="0015658F" w:rsidRDefault="006A3AF5">
            <w:pPr>
              <w:spacing w:line="276" w:lineRule="auto"/>
              <w:jc w:val="both"/>
              <w:rPr>
                <w:sz w:val="22"/>
                <w:szCs w:val="22"/>
              </w:rPr>
            </w:pPr>
            <w:r>
              <w:rPr>
                <w:b/>
                <w:sz w:val="22"/>
                <w:szCs w:val="22"/>
              </w:rPr>
              <w:t xml:space="preserve">Abbreviation </w:t>
            </w:r>
          </w:p>
        </w:tc>
        <w:tc>
          <w:tcPr>
            <w:tcW w:w="6874" w:type="dxa"/>
            <w:shd w:val="clear" w:color="auto" w:fill="4F81BD"/>
          </w:tcPr>
          <w:p w14:paraId="0DC78D35" w14:textId="77777777" w:rsidR="0015658F" w:rsidRDefault="006A3AF5">
            <w:pPr>
              <w:spacing w:line="276" w:lineRule="auto"/>
              <w:jc w:val="both"/>
              <w:rPr>
                <w:sz w:val="22"/>
                <w:szCs w:val="22"/>
              </w:rPr>
            </w:pPr>
            <w:r>
              <w:rPr>
                <w:b/>
                <w:sz w:val="22"/>
                <w:szCs w:val="22"/>
              </w:rPr>
              <w:t xml:space="preserve">Meaning </w:t>
            </w:r>
          </w:p>
        </w:tc>
      </w:tr>
      <w:tr w:rsidR="0015658F" w14:paraId="7AC6C560" w14:textId="77777777">
        <w:trPr>
          <w:trHeight w:val="138"/>
        </w:trPr>
        <w:tc>
          <w:tcPr>
            <w:tcW w:w="2198" w:type="dxa"/>
            <w:shd w:val="clear" w:color="auto" w:fill="D9E2F3"/>
          </w:tcPr>
          <w:p w14:paraId="57D8B6D9" w14:textId="77777777" w:rsidR="0015658F" w:rsidRDefault="006A3AF5">
            <w:pPr>
              <w:spacing w:before="40" w:after="40" w:line="276" w:lineRule="auto"/>
              <w:jc w:val="both"/>
              <w:rPr>
                <w:sz w:val="22"/>
                <w:szCs w:val="22"/>
              </w:rPr>
            </w:pPr>
            <w:r>
              <w:rPr>
                <w:sz w:val="22"/>
                <w:szCs w:val="22"/>
              </w:rPr>
              <w:t xml:space="preserve">CEEP </w:t>
            </w:r>
          </w:p>
        </w:tc>
        <w:tc>
          <w:tcPr>
            <w:tcW w:w="6874" w:type="dxa"/>
          </w:tcPr>
          <w:p w14:paraId="2FEB8E81" w14:textId="60C24FCA" w:rsidR="0015658F" w:rsidRDefault="006A3AF5">
            <w:pPr>
              <w:spacing w:before="40" w:after="40" w:line="276" w:lineRule="auto"/>
              <w:jc w:val="both"/>
              <w:rPr>
                <w:sz w:val="22"/>
                <w:szCs w:val="22"/>
              </w:rPr>
            </w:pPr>
            <w:r>
              <w:rPr>
                <w:sz w:val="22"/>
                <w:szCs w:val="22"/>
              </w:rPr>
              <w:t xml:space="preserve">European Centre of Employers </w:t>
            </w:r>
            <w:r w:rsidR="008923E4">
              <w:rPr>
                <w:sz w:val="22"/>
                <w:szCs w:val="22"/>
              </w:rPr>
              <w:t>and</w:t>
            </w:r>
            <w:r>
              <w:rPr>
                <w:sz w:val="22"/>
                <w:szCs w:val="22"/>
              </w:rPr>
              <w:t xml:space="preserve"> Enterprises </w:t>
            </w:r>
          </w:p>
        </w:tc>
      </w:tr>
      <w:tr w:rsidR="0015658F" w14:paraId="33C964D0" w14:textId="77777777">
        <w:trPr>
          <w:trHeight w:val="138"/>
        </w:trPr>
        <w:tc>
          <w:tcPr>
            <w:tcW w:w="2198" w:type="dxa"/>
            <w:shd w:val="clear" w:color="auto" w:fill="D9E2F3"/>
          </w:tcPr>
          <w:p w14:paraId="368EDDE6" w14:textId="77777777" w:rsidR="0015658F" w:rsidRDefault="006A3AF5">
            <w:pPr>
              <w:spacing w:before="40" w:after="40" w:line="276" w:lineRule="auto"/>
              <w:jc w:val="both"/>
              <w:rPr>
                <w:sz w:val="22"/>
                <w:szCs w:val="22"/>
              </w:rPr>
            </w:pPr>
            <w:r>
              <w:rPr>
                <w:sz w:val="22"/>
                <w:szCs w:val="22"/>
              </w:rPr>
              <w:t>CEC</w:t>
            </w:r>
          </w:p>
        </w:tc>
        <w:tc>
          <w:tcPr>
            <w:tcW w:w="6874" w:type="dxa"/>
          </w:tcPr>
          <w:p w14:paraId="21E39B4C" w14:textId="77777777" w:rsidR="0015658F" w:rsidRDefault="006A3AF5">
            <w:pPr>
              <w:spacing w:before="40" w:after="40" w:line="276" w:lineRule="auto"/>
              <w:jc w:val="both"/>
              <w:rPr>
                <w:sz w:val="22"/>
                <w:szCs w:val="22"/>
              </w:rPr>
            </w:pPr>
            <w:r>
              <w:rPr>
                <w:sz w:val="22"/>
                <w:szCs w:val="22"/>
              </w:rPr>
              <w:t>European Confederation of Managers</w:t>
            </w:r>
          </w:p>
        </w:tc>
      </w:tr>
      <w:tr w:rsidR="0015658F" w14:paraId="24EE1696" w14:textId="77777777">
        <w:trPr>
          <w:trHeight w:val="138"/>
        </w:trPr>
        <w:tc>
          <w:tcPr>
            <w:tcW w:w="2198" w:type="dxa"/>
            <w:shd w:val="clear" w:color="auto" w:fill="D9E2F3"/>
          </w:tcPr>
          <w:p w14:paraId="502D4DDD" w14:textId="77777777" w:rsidR="0015658F" w:rsidRDefault="006A3AF5">
            <w:pPr>
              <w:spacing w:before="40" w:after="40" w:line="276" w:lineRule="auto"/>
              <w:jc w:val="both"/>
              <w:rPr>
                <w:sz w:val="22"/>
                <w:szCs w:val="22"/>
              </w:rPr>
            </w:pPr>
            <w:r>
              <w:rPr>
                <w:sz w:val="22"/>
                <w:szCs w:val="22"/>
              </w:rPr>
              <w:t>CHSCT</w:t>
            </w:r>
          </w:p>
        </w:tc>
        <w:tc>
          <w:tcPr>
            <w:tcW w:w="6874" w:type="dxa"/>
          </w:tcPr>
          <w:p w14:paraId="7510EA01" w14:textId="43052F49" w:rsidR="0015658F" w:rsidRDefault="006A3AF5">
            <w:pPr>
              <w:spacing w:before="40" w:after="40" w:line="276" w:lineRule="auto"/>
              <w:jc w:val="both"/>
              <w:rPr>
                <w:sz w:val="22"/>
                <w:szCs w:val="22"/>
              </w:rPr>
            </w:pPr>
            <w:r>
              <w:rPr>
                <w:sz w:val="22"/>
                <w:szCs w:val="22"/>
              </w:rPr>
              <w:t xml:space="preserve">Hygiene, Safety </w:t>
            </w:r>
            <w:r w:rsidR="008923E4">
              <w:rPr>
                <w:sz w:val="22"/>
                <w:szCs w:val="22"/>
              </w:rPr>
              <w:t>and</w:t>
            </w:r>
            <w:r>
              <w:rPr>
                <w:sz w:val="22"/>
                <w:szCs w:val="22"/>
              </w:rPr>
              <w:t xml:space="preserve"> Working Conditions Committee</w:t>
            </w:r>
          </w:p>
        </w:tc>
      </w:tr>
      <w:tr w:rsidR="0015658F" w14:paraId="30C387A9" w14:textId="77777777">
        <w:trPr>
          <w:trHeight w:val="138"/>
        </w:trPr>
        <w:tc>
          <w:tcPr>
            <w:tcW w:w="2198" w:type="dxa"/>
            <w:shd w:val="clear" w:color="auto" w:fill="D9E2F3"/>
          </w:tcPr>
          <w:p w14:paraId="5CE53376" w14:textId="77777777" w:rsidR="0015658F" w:rsidRDefault="006A3AF5">
            <w:pPr>
              <w:spacing w:before="40" w:after="40" w:line="276" w:lineRule="auto"/>
              <w:jc w:val="both"/>
              <w:rPr>
                <w:sz w:val="22"/>
                <w:szCs w:val="22"/>
              </w:rPr>
            </w:pPr>
            <w:r>
              <w:rPr>
                <w:sz w:val="22"/>
                <w:szCs w:val="22"/>
              </w:rPr>
              <w:t>CIMER</w:t>
            </w:r>
          </w:p>
        </w:tc>
        <w:tc>
          <w:tcPr>
            <w:tcW w:w="6874" w:type="dxa"/>
          </w:tcPr>
          <w:p w14:paraId="5FF40DD5" w14:textId="77777777" w:rsidR="0015658F" w:rsidRDefault="006A3AF5">
            <w:pPr>
              <w:rPr>
                <w:sz w:val="22"/>
                <w:szCs w:val="22"/>
              </w:rPr>
            </w:pPr>
            <w:r>
              <w:rPr>
                <w:sz w:val="22"/>
                <w:szCs w:val="22"/>
              </w:rPr>
              <w:t xml:space="preserve">Presidential Communication Centre </w:t>
            </w:r>
          </w:p>
        </w:tc>
      </w:tr>
      <w:tr w:rsidR="0015658F" w14:paraId="4C51EC3E" w14:textId="77777777">
        <w:trPr>
          <w:trHeight w:val="138"/>
        </w:trPr>
        <w:tc>
          <w:tcPr>
            <w:tcW w:w="2198" w:type="dxa"/>
            <w:shd w:val="clear" w:color="auto" w:fill="D9E2F3"/>
          </w:tcPr>
          <w:p w14:paraId="58382BB8" w14:textId="77777777" w:rsidR="0015658F" w:rsidRDefault="006A3AF5">
            <w:pPr>
              <w:spacing w:before="40" w:after="40" w:line="276" w:lineRule="auto"/>
              <w:jc w:val="both"/>
              <w:rPr>
                <w:sz w:val="22"/>
                <w:szCs w:val="22"/>
              </w:rPr>
            </w:pPr>
            <w:r>
              <w:rPr>
                <w:sz w:val="22"/>
                <w:szCs w:val="22"/>
              </w:rPr>
              <w:t>DWEA</w:t>
            </w:r>
          </w:p>
        </w:tc>
        <w:tc>
          <w:tcPr>
            <w:tcW w:w="6874" w:type="dxa"/>
          </w:tcPr>
          <w:p w14:paraId="7DF21D10" w14:textId="77777777" w:rsidR="0015658F" w:rsidRDefault="006A3AF5">
            <w:pPr>
              <w:rPr>
                <w:sz w:val="22"/>
                <w:szCs w:val="22"/>
              </w:rPr>
            </w:pPr>
            <w:r>
              <w:rPr>
                <w:sz w:val="22"/>
                <w:szCs w:val="22"/>
              </w:rPr>
              <w:t>Danish Working Environment Authority</w:t>
            </w:r>
          </w:p>
        </w:tc>
      </w:tr>
      <w:tr w:rsidR="0015658F" w14:paraId="6953431B" w14:textId="77777777">
        <w:trPr>
          <w:trHeight w:val="138"/>
        </w:trPr>
        <w:tc>
          <w:tcPr>
            <w:tcW w:w="2198" w:type="dxa"/>
            <w:shd w:val="clear" w:color="auto" w:fill="D9E2F3"/>
          </w:tcPr>
          <w:p w14:paraId="7DE0E30E" w14:textId="77777777" w:rsidR="0015658F" w:rsidRDefault="006A3AF5">
            <w:pPr>
              <w:spacing w:before="40" w:after="40" w:line="276" w:lineRule="auto"/>
              <w:jc w:val="both"/>
              <w:rPr>
                <w:sz w:val="22"/>
                <w:szCs w:val="22"/>
              </w:rPr>
            </w:pPr>
            <w:r>
              <w:rPr>
                <w:sz w:val="22"/>
                <w:szCs w:val="22"/>
              </w:rPr>
              <w:t xml:space="preserve">ETUC </w:t>
            </w:r>
          </w:p>
        </w:tc>
        <w:tc>
          <w:tcPr>
            <w:tcW w:w="6874" w:type="dxa"/>
          </w:tcPr>
          <w:p w14:paraId="37739CCD" w14:textId="77777777" w:rsidR="0015658F" w:rsidRDefault="006A3AF5">
            <w:pPr>
              <w:rPr>
                <w:sz w:val="22"/>
                <w:szCs w:val="22"/>
              </w:rPr>
            </w:pPr>
            <w:r>
              <w:rPr>
                <w:sz w:val="22"/>
                <w:szCs w:val="22"/>
              </w:rPr>
              <w:t>European Trade Union Confederation</w:t>
            </w:r>
          </w:p>
        </w:tc>
      </w:tr>
      <w:tr w:rsidR="0015658F" w14:paraId="5C800023" w14:textId="77777777">
        <w:trPr>
          <w:trHeight w:val="138"/>
        </w:trPr>
        <w:tc>
          <w:tcPr>
            <w:tcW w:w="2198" w:type="dxa"/>
            <w:shd w:val="clear" w:color="auto" w:fill="D9E2F3"/>
          </w:tcPr>
          <w:p w14:paraId="3A424C75" w14:textId="77777777" w:rsidR="0015658F" w:rsidRDefault="006A3AF5">
            <w:pPr>
              <w:spacing w:before="40" w:after="40" w:line="276" w:lineRule="auto"/>
              <w:jc w:val="both"/>
              <w:rPr>
                <w:sz w:val="22"/>
                <w:szCs w:val="22"/>
              </w:rPr>
            </w:pPr>
            <w:r>
              <w:rPr>
                <w:sz w:val="22"/>
                <w:szCs w:val="22"/>
              </w:rPr>
              <w:t>EU</w:t>
            </w:r>
          </w:p>
        </w:tc>
        <w:tc>
          <w:tcPr>
            <w:tcW w:w="6874" w:type="dxa"/>
          </w:tcPr>
          <w:p w14:paraId="1C7C02B1" w14:textId="77777777" w:rsidR="0015658F" w:rsidRDefault="006A3AF5">
            <w:pPr>
              <w:rPr>
                <w:sz w:val="22"/>
                <w:szCs w:val="22"/>
              </w:rPr>
            </w:pPr>
            <w:r>
              <w:rPr>
                <w:sz w:val="22"/>
                <w:szCs w:val="22"/>
              </w:rPr>
              <w:t>European Union</w:t>
            </w:r>
          </w:p>
        </w:tc>
      </w:tr>
      <w:tr w:rsidR="0015658F" w14:paraId="7C5527F1" w14:textId="77777777">
        <w:trPr>
          <w:trHeight w:val="138"/>
        </w:trPr>
        <w:tc>
          <w:tcPr>
            <w:tcW w:w="2198" w:type="dxa"/>
            <w:shd w:val="clear" w:color="auto" w:fill="D9E2F3"/>
          </w:tcPr>
          <w:p w14:paraId="359235A1" w14:textId="77777777" w:rsidR="0015658F" w:rsidRDefault="006A3AF5">
            <w:pPr>
              <w:spacing w:before="40" w:after="40" w:line="276" w:lineRule="auto"/>
              <w:jc w:val="both"/>
              <w:rPr>
                <w:sz w:val="22"/>
                <w:szCs w:val="22"/>
              </w:rPr>
            </w:pPr>
            <w:r>
              <w:rPr>
                <w:sz w:val="22"/>
                <w:szCs w:val="22"/>
              </w:rPr>
              <w:t>EF - PRIMA</w:t>
            </w:r>
          </w:p>
        </w:tc>
        <w:tc>
          <w:tcPr>
            <w:tcW w:w="6874" w:type="dxa"/>
          </w:tcPr>
          <w:p w14:paraId="45201F14" w14:textId="77777777" w:rsidR="0015658F" w:rsidRDefault="006A3AF5">
            <w:pPr>
              <w:spacing w:before="40" w:after="40" w:line="276" w:lineRule="auto"/>
              <w:jc w:val="both"/>
              <w:rPr>
                <w:sz w:val="22"/>
                <w:szCs w:val="22"/>
              </w:rPr>
            </w:pPr>
            <w:r>
              <w:rPr>
                <w:sz w:val="22"/>
                <w:szCs w:val="22"/>
              </w:rPr>
              <w:t xml:space="preserve">European Framework for Psychosocial Risk Management </w:t>
            </w:r>
          </w:p>
        </w:tc>
      </w:tr>
      <w:tr w:rsidR="0015658F" w14:paraId="3926602A" w14:textId="77777777">
        <w:trPr>
          <w:trHeight w:val="138"/>
        </w:trPr>
        <w:tc>
          <w:tcPr>
            <w:tcW w:w="2198" w:type="dxa"/>
            <w:shd w:val="clear" w:color="auto" w:fill="D9E2F3"/>
          </w:tcPr>
          <w:p w14:paraId="69EA350B" w14:textId="77777777" w:rsidR="0015658F" w:rsidRDefault="006A3AF5">
            <w:pPr>
              <w:spacing w:before="40" w:after="40" w:line="276" w:lineRule="auto"/>
              <w:jc w:val="both"/>
              <w:rPr>
                <w:sz w:val="22"/>
                <w:szCs w:val="22"/>
              </w:rPr>
            </w:pPr>
            <w:r>
              <w:rPr>
                <w:sz w:val="22"/>
                <w:szCs w:val="22"/>
              </w:rPr>
              <w:t>EUROCADRES</w:t>
            </w:r>
          </w:p>
        </w:tc>
        <w:tc>
          <w:tcPr>
            <w:tcW w:w="6874" w:type="dxa"/>
          </w:tcPr>
          <w:p w14:paraId="5901E7CC" w14:textId="7FCD5517" w:rsidR="0015658F" w:rsidRDefault="006A3AF5">
            <w:pPr>
              <w:spacing w:before="40" w:after="40" w:line="276" w:lineRule="auto"/>
              <w:jc w:val="both"/>
              <w:rPr>
                <w:sz w:val="22"/>
                <w:szCs w:val="22"/>
              </w:rPr>
            </w:pPr>
            <w:r>
              <w:rPr>
                <w:sz w:val="22"/>
                <w:szCs w:val="22"/>
              </w:rPr>
              <w:t xml:space="preserve">Trade Union voice of professionals </w:t>
            </w:r>
            <w:r w:rsidR="008923E4">
              <w:rPr>
                <w:sz w:val="22"/>
                <w:szCs w:val="22"/>
              </w:rPr>
              <w:t>and</w:t>
            </w:r>
            <w:r>
              <w:rPr>
                <w:sz w:val="22"/>
                <w:szCs w:val="22"/>
              </w:rPr>
              <w:t xml:space="preserve"> managers</w:t>
            </w:r>
          </w:p>
        </w:tc>
      </w:tr>
      <w:tr w:rsidR="00162059" w14:paraId="1C4BA1D3" w14:textId="77777777">
        <w:trPr>
          <w:trHeight w:val="138"/>
        </w:trPr>
        <w:tc>
          <w:tcPr>
            <w:tcW w:w="2198" w:type="dxa"/>
            <w:shd w:val="clear" w:color="auto" w:fill="D9E2F3"/>
          </w:tcPr>
          <w:p w14:paraId="2763643D" w14:textId="5249E2A6" w:rsidR="00162059" w:rsidRDefault="00162059">
            <w:pPr>
              <w:spacing w:before="40" w:after="40" w:line="276" w:lineRule="auto"/>
              <w:jc w:val="both"/>
              <w:rPr>
                <w:sz w:val="22"/>
                <w:szCs w:val="22"/>
              </w:rPr>
            </w:pPr>
            <w:r>
              <w:rPr>
                <w:sz w:val="22"/>
                <w:szCs w:val="22"/>
              </w:rPr>
              <w:t>FoW Project</w:t>
            </w:r>
          </w:p>
        </w:tc>
        <w:tc>
          <w:tcPr>
            <w:tcW w:w="6874" w:type="dxa"/>
          </w:tcPr>
          <w:p w14:paraId="2B093BE6" w14:textId="52F83AD4" w:rsidR="00162059" w:rsidRDefault="00162059">
            <w:pPr>
              <w:spacing w:before="40" w:after="40" w:line="276" w:lineRule="auto"/>
              <w:jc w:val="both"/>
              <w:rPr>
                <w:sz w:val="22"/>
                <w:szCs w:val="22"/>
              </w:rPr>
            </w:pPr>
            <w:r>
              <w:rPr>
                <w:bCs/>
                <w:sz w:val="22"/>
                <w:szCs w:val="22"/>
              </w:rPr>
              <w:t>Technical Assistance for Promoting Decent Future of Work Approach with a Focus on Gender Equality</w:t>
            </w:r>
          </w:p>
        </w:tc>
      </w:tr>
      <w:tr w:rsidR="001E5ACA" w14:paraId="335114E0" w14:textId="77777777">
        <w:trPr>
          <w:trHeight w:val="138"/>
        </w:trPr>
        <w:tc>
          <w:tcPr>
            <w:tcW w:w="2198" w:type="dxa"/>
            <w:shd w:val="clear" w:color="auto" w:fill="D9E2F3"/>
          </w:tcPr>
          <w:p w14:paraId="51CB1466" w14:textId="75D09C3F" w:rsidR="001E5ACA" w:rsidRDefault="001E5ACA">
            <w:pPr>
              <w:spacing w:before="40" w:after="40" w:line="276" w:lineRule="auto"/>
              <w:jc w:val="both"/>
              <w:rPr>
                <w:sz w:val="22"/>
                <w:szCs w:val="22"/>
              </w:rPr>
            </w:pPr>
            <w:r>
              <w:rPr>
                <w:sz w:val="22"/>
                <w:szCs w:val="22"/>
              </w:rPr>
              <w:t>HAK-IS</w:t>
            </w:r>
          </w:p>
        </w:tc>
        <w:tc>
          <w:tcPr>
            <w:tcW w:w="6874" w:type="dxa"/>
          </w:tcPr>
          <w:p w14:paraId="76DA6491" w14:textId="2605222C" w:rsidR="001E5ACA" w:rsidRDefault="009649DA">
            <w:pPr>
              <w:spacing w:before="40" w:after="40" w:line="276" w:lineRule="auto"/>
              <w:jc w:val="both"/>
              <w:rPr>
                <w:sz w:val="22"/>
                <w:szCs w:val="22"/>
              </w:rPr>
            </w:pPr>
            <w:r>
              <w:rPr>
                <w:sz w:val="22"/>
                <w:szCs w:val="22"/>
              </w:rPr>
              <w:t>Confederation of Trades’ Unions</w:t>
            </w:r>
          </w:p>
        </w:tc>
      </w:tr>
      <w:tr w:rsidR="0015658F" w14:paraId="0BCE4F4A" w14:textId="77777777">
        <w:trPr>
          <w:trHeight w:val="138"/>
        </w:trPr>
        <w:tc>
          <w:tcPr>
            <w:tcW w:w="2198" w:type="dxa"/>
            <w:shd w:val="clear" w:color="auto" w:fill="D9E2F3"/>
          </w:tcPr>
          <w:p w14:paraId="10440A0C" w14:textId="77777777" w:rsidR="0015658F" w:rsidRDefault="006A3AF5">
            <w:pPr>
              <w:spacing w:before="40" w:after="40" w:line="276" w:lineRule="auto"/>
              <w:jc w:val="both"/>
              <w:rPr>
                <w:sz w:val="22"/>
                <w:szCs w:val="22"/>
              </w:rPr>
            </w:pPr>
            <w:r>
              <w:rPr>
                <w:sz w:val="22"/>
                <w:szCs w:val="22"/>
              </w:rPr>
              <w:t>ILO</w:t>
            </w:r>
          </w:p>
        </w:tc>
        <w:tc>
          <w:tcPr>
            <w:tcW w:w="6874" w:type="dxa"/>
          </w:tcPr>
          <w:p w14:paraId="1D421939" w14:textId="4F1908BC" w:rsidR="0015658F" w:rsidRDefault="006A3AF5">
            <w:pPr>
              <w:spacing w:before="40" w:after="40" w:line="276" w:lineRule="auto"/>
              <w:jc w:val="both"/>
              <w:rPr>
                <w:sz w:val="22"/>
                <w:szCs w:val="22"/>
              </w:rPr>
            </w:pPr>
            <w:r>
              <w:rPr>
                <w:sz w:val="22"/>
                <w:szCs w:val="22"/>
              </w:rPr>
              <w:t>International Labour O</w:t>
            </w:r>
            <w:r w:rsidR="008804D5">
              <w:rPr>
                <w:sz w:val="22"/>
                <w:szCs w:val="22"/>
              </w:rPr>
              <w:t>rganisation</w:t>
            </w:r>
          </w:p>
        </w:tc>
      </w:tr>
      <w:tr w:rsidR="0015658F" w14:paraId="5A6E48F9" w14:textId="77777777">
        <w:trPr>
          <w:trHeight w:val="138"/>
        </w:trPr>
        <w:tc>
          <w:tcPr>
            <w:tcW w:w="2198" w:type="dxa"/>
            <w:shd w:val="clear" w:color="auto" w:fill="D9E2F3"/>
          </w:tcPr>
          <w:p w14:paraId="04C48A7A" w14:textId="77777777" w:rsidR="0015658F" w:rsidRDefault="006A3AF5">
            <w:pPr>
              <w:spacing w:before="40" w:after="40" w:line="276" w:lineRule="auto"/>
              <w:jc w:val="both"/>
              <w:rPr>
                <w:sz w:val="22"/>
                <w:szCs w:val="22"/>
              </w:rPr>
            </w:pPr>
            <w:r>
              <w:rPr>
                <w:sz w:val="22"/>
                <w:szCs w:val="22"/>
              </w:rPr>
              <w:t>INQA</w:t>
            </w:r>
          </w:p>
        </w:tc>
        <w:tc>
          <w:tcPr>
            <w:tcW w:w="6874" w:type="dxa"/>
          </w:tcPr>
          <w:p w14:paraId="03010D77" w14:textId="77777777" w:rsidR="0015658F" w:rsidRDefault="006A3AF5">
            <w:pPr>
              <w:spacing w:before="40" w:after="40" w:line="276" w:lineRule="auto"/>
              <w:jc w:val="both"/>
              <w:rPr>
                <w:sz w:val="22"/>
                <w:szCs w:val="22"/>
              </w:rPr>
            </w:pPr>
            <w:r>
              <w:rPr>
                <w:sz w:val="22"/>
                <w:szCs w:val="22"/>
              </w:rPr>
              <w:t xml:space="preserve">New Quality of Work (Initiative Neue Qualität der Arbeit) </w:t>
            </w:r>
          </w:p>
        </w:tc>
      </w:tr>
      <w:tr w:rsidR="008804D5" w14:paraId="57905AF6" w14:textId="77777777">
        <w:trPr>
          <w:trHeight w:val="138"/>
        </w:trPr>
        <w:tc>
          <w:tcPr>
            <w:tcW w:w="2198" w:type="dxa"/>
            <w:shd w:val="clear" w:color="auto" w:fill="D9E2F3"/>
          </w:tcPr>
          <w:p w14:paraId="16DF4E59" w14:textId="37A3F860" w:rsidR="008804D5" w:rsidRDefault="008804D5">
            <w:pPr>
              <w:spacing w:before="40" w:after="40" w:line="276" w:lineRule="auto"/>
              <w:jc w:val="both"/>
              <w:rPr>
                <w:sz w:val="22"/>
                <w:szCs w:val="22"/>
              </w:rPr>
            </w:pPr>
            <w:r>
              <w:rPr>
                <w:sz w:val="22"/>
                <w:szCs w:val="22"/>
              </w:rPr>
              <w:t>MoLSS</w:t>
            </w:r>
          </w:p>
        </w:tc>
        <w:tc>
          <w:tcPr>
            <w:tcW w:w="6874" w:type="dxa"/>
          </w:tcPr>
          <w:p w14:paraId="58C0B3BF" w14:textId="77777777" w:rsidR="00F808C4" w:rsidRDefault="008804D5" w:rsidP="00F808C4">
            <w:pPr>
              <w:spacing w:before="40" w:after="40" w:line="276" w:lineRule="auto"/>
              <w:jc w:val="both"/>
              <w:rPr>
                <w:sz w:val="22"/>
                <w:szCs w:val="22"/>
              </w:rPr>
            </w:pPr>
            <w:r>
              <w:rPr>
                <w:sz w:val="22"/>
                <w:szCs w:val="22"/>
              </w:rPr>
              <w:t>M</w:t>
            </w:r>
          </w:p>
          <w:p w14:paraId="0FCD71B8" w14:textId="77A0393C" w:rsidR="008804D5" w:rsidRDefault="008804D5" w:rsidP="00F808C4">
            <w:pPr>
              <w:spacing w:before="40" w:after="40" w:line="276" w:lineRule="auto"/>
              <w:jc w:val="both"/>
              <w:rPr>
                <w:sz w:val="22"/>
                <w:szCs w:val="22"/>
              </w:rPr>
            </w:pPr>
            <w:r>
              <w:rPr>
                <w:sz w:val="22"/>
                <w:szCs w:val="22"/>
              </w:rPr>
              <w:t>istry of Labour and Social Security</w:t>
            </w:r>
          </w:p>
        </w:tc>
      </w:tr>
      <w:tr w:rsidR="00A4485A" w14:paraId="1917E175" w14:textId="77777777">
        <w:trPr>
          <w:trHeight w:val="138"/>
        </w:trPr>
        <w:tc>
          <w:tcPr>
            <w:tcW w:w="2198" w:type="dxa"/>
            <w:shd w:val="clear" w:color="auto" w:fill="D9E2F3"/>
          </w:tcPr>
          <w:p w14:paraId="19E10268" w14:textId="51C582D3" w:rsidR="00A4485A" w:rsidRDefault="00A4485A">
            <w:pPr>
              <w:spacing w:before="40" w:after="40" w:line="276" w:lineRule="auto"/>
              <w:jc w:val="both"/>
              <w:rPr>
                <w:sz w:val="22"/>
                <w:szCs w:val="22"/>
              </w:rPr>
            </w:pPr>
            <w:r>
              <w:rPr>
                <w:sz w:val="22"/>
                <w:szCs w:val="22"/>
              </w:rPr>
              <w:t>SSI</w:t>
            </w:r>
          </w:p>
        </w:tc>
        <w:tc>
          <w:tcPr>
            <w:tcW w:w="6874" w:type="dxa"/>
          </w:tcPr>
          <w:p w14:paraId="68261C48" w14:textId="5B4182C7" w:rsidR="00A4485A" w:rsidRDefault="00A4485A">
            <w:pPr>
              <w:spacing w:before="40" w:after="40" w:line="276" w:lineRule="auto"/>
              <w:jc w:val="both"/>
              <w:rPr>
                <w:sz w:val="22"/>
                <w:szCs w:val="22"/>
              </w:rPr>
            </w:pPr>
            <w:r>
              <w:rPr>
                <w:sz w:val="22"/>
                <w:szCs w:val="22"/>
              </w:rPr>
              <w:t>Social Security Institute</w:t>
            </w:r>
          </w:p>
        </w:tc>
      </w:tr>
      <w:tr w:rsidR="00DA4FA2" w14:paraId="13BD794C" w14:textId="77777777">
        <w:trPr>
          <w:trHeight w:val="138"/>
        </w:trPr>
        <w:tc>
          <w:tcPr>
            <w:tcW w:w="2198" w:type="dxa"/>
            <w:shd w:val="clear" w:color="auto" w:fill="D9E2F3"/>
          </w:tcPr>
          <w:p w14:paraId="022F8458" w14:textId="3B3B940F" w:rsidR="00DA4FA2" w:rsidRDefault="00DA4FA2">
            <w:pPr>
              <w:spacing w:before="40" w:after="40" w:line="276" w:lineRule="auto"/>
              <w:jc w:val="both"/>
              <w:rPr>
                <w:sz w:val="22"/>
                <w:szCs w:val="22"/>
              </w:rPr>
            </w:pPr>
            <w:r>
              <w:rPr>
                <w:sz w:val="22"/>
                <w:szCs w:val="22"/>
              </w:rPr>
              <w:t>TAT</w:t>
            </w:r>
          </w:p>
        </w:tc>
        <w:tc>
          <w:tcPr>
            <w:tcW w:w="6874" w:type="dxa"/>
          </w:tcPr>
          <w:p w14:paraId="73F4DC89" w14:textId="2841FC7D" w:rsidR="00DA4FA2" w:rsidRDefault="00DA4FA2">
            <w:pPr>
              <w:spacing w:before="40" w:after="40" w:line="276" w:lineRule="auto"/>
              <w:jc w:val="both"/>
              <w:rPr>
                <w:sz w:val="22"/>
                <w:szCs w:val="22"/>
              </w:rPr>
            </w:pPr>
            <w:r>
              <w:rPr>
                <w:sz w:val="22"/>
                <w:szCs w:val="22"/>
              </w:rPr>
              <w:t>Technical Assistance Team</w:t>
            </w:r>
          </w:p>
        </w:tc>
      </w:tr>
      <w:tr w:rsidR="00BD0068" w14:paraId="0AECF917" w14:textId="77777777">
        <w:trPr>
          <w:trHeight w:val="138"/>
        </w:trPr>
        <w:tc>
          <w:tcPr>
            <w:tcW w:w="2198" w:type="dxa"/>
            <w:shd w:val="clear" w:color="auto" w:fill="D9E2F3"/>
          </w:tcPr>
          <w:p w14:paraId="41AB470A" w14:textId="36CD9336" w:rsidR="00BD0068" w:rsidRDefault="00BD0068">
            <w:pPr>
              <w:spacing w:before="40" w:after="40" w:line="276" w:lineRule="auto"/>
              <w:jc w:val="both"/>
              <w:rPr>
                <w:sz w:val="22"/>
                <w:szCs w:val="22"/>
              </w:rPr>
            </w:pPr>
            <w:r>
              <w:rPr>
                <w:sz w:val="22"/>
                <w:szCs w:val="22"/>
              </w:rPr>
              <w:t>TIHEK</w:t>
            </w:r>
          </w:p>
        </w:tc>
        <w:tc>
          <w:tcPr>
            <w:tcW w:w="6874" w:type="dxa"/>
          </w:tcPr>
          <w:p w14:paraId="62D11A5B" w14:textId="0030AF27" w:rsidR="00BD0068" w:rsidRDefault="00BD0068">
            <w:pPr>
              <w:spacing w:before="40" w:after="40" w:line="276" w:lineRule="auto"/>
              <w:jc w:val="both"/>
              <w:rPr>
                <w:sz w:val="22"/>
                <w:szCs w:val="22"/>
              </w:rPr>
            </w:pPr>
            <w:r>
              <w:rPr>
                <w:sz w:val="22"/>
                <w:szCs w:val="22"/>
              </w:rPr>
              <w:t>Human Rights and Equality Institution of Türkiye</w:t>
            </w:r>
          </w:p>
        </w:tc>
      </w:tr>
      <w:tr w:rsidR="008804D5" w14:paraId="161C91F2" w14:textId="77777777">
        <w:trPr>
          <w:trHeight w:val="138"/>
        </w:trPr>
        <w:tc>
          <w:tcPr>
            <w:tcW w:w="2198" w:type="dxa"/>
            <w:shd w:val="clear" w:color="auto" w:fill="D9E2F3"/>
          </w:tcPr>
          <w:p w14:paraId="652821F8" w14:textId="2DECEA0D" w:rsidR="008804D5" w:rsidRDefault="008804D5">
            <w:pPr>
              <w:spacing w:before="40" w:after="40" w:line="276" w:lineRule="auto"/>
              <w:jc w:val="both"/>
              <w:rPr>
                <w:sz w:val="22"/>
                <w:szCs w:val="22"/>
              </w:rPr>
            </w:pPr>
            <w:r>
              <w:rPr>
                <w:sz w:val="22"/>
                <w:szCs w:val="22"/>
              </w:rPr>
              <w:t>ToR</w:t>
            </w:r>
          </w:p>
        </w:tc>
        <w:tc>
          <w:tcPr>
            <w:tcW w:w="6874" w:type="dxa"/>
          </w:tcPr>
          <w:p w14:paraId="4FAC0A86" w14:textId="6B5FA323" w:rsidR="008804D5" w:rsidRDefault="008804D5">
            <w:pPr>
              <w:spacing w:before="40" w:after="40" w:line="276" w:lineRule="auto"/>
              <w:jc w:val="both"/>
              <w:rPr>
                <w:sz w:val="22"/>
                <w:szCs w:val="22"/>
              </w:rPr>
            </w:pPr>
            <w:r>
              <w:rPr>
                <w:sz w:val="22"/>
                <w:szCs w:val="22"/>
              </w:rPr>
              <w:t>Terms of Reference</w:t>
            </w:r>
          </w:p>
        </w:tc>
      </w:tr>
      <w:tr w:rsidR="00DA4FA2" w14:paraId="5F08DA88" w14:textId="77777777">
        <w:trPr>
          <w:trHeight w:val="138"/>
        </w:trPr>
        <w:tc>
          <w:tcPr>
            <w:tcW w:w="2198" w:type="dxa"/>
            <w:shd w:val="clear" w:color="auto" w:fill="D9E2F3"/>
          </w:tcPr>
          <w:p w14:paraId="1497AC30" w14:textId="173B52B9" w:rsidR="00DA4FA2" w:rsidRDefault="00DA4FA2">
            <w:pPr>
              <w:spacing w:before="40" w:after="40" w:line="276" w:lineRule="auto"/>
              <w:jc w:val="both"/>
              <w:rPr>
                <w:sz w:val="22"/>
                <w:szCs w:val="22"/>
              </w:rPr>
            </w:pPr>
            <w:r>
              <w:rPr>
                <w:sz w:val="22"/>
                <w:szCs w:val="22"/>
              </w:rPr>
              <w:t>TP</w:t>
            </w:r>
          </w:p>
        </w:tc>
        <w:tc>
          <w:tcPr>
            <w:tcW w:w="6874" w:type="dxa"/>
          </w:tcPr>
          <w:p w14:paraId="19B565A3" w14:textId="35B7B043" w:rsidR="00DA4FA2" w:rsidRDefault="00DA4FA2">
            <w:pPr>
              <w:spacing w:before="40" w:after="40" w:line="276" w:lineRule="auto"/>
              <w:jc w:val="both"/>
              <w:rPr>
                <w:sz w:val="22"/>
                <w:szCs w:val="22"/>
              </w:rPr>
            </w:pPr>
            <w:r>
              <w:rPr>
                <w:sz w:val="22"/>
                <w:szCs w:val="22"/>
              </w:rPr>
              <w:t>Technical Proposal</w:t>
            </w:r>
          </w:p>
        </w:tc>
      </w:tr>
      <w:tr w:rsidR="0015658F" w14:paraId="2535C81A" w14:textId="77777777">
        <w:trPr>
          <w:trHeight w:val="138"/>
        </w:trPr>
        <w:tc>
          <w:tcPr>
            <w:tcW w:w="2198" w:type="dxa"/>
            <w:shd w:val="clear" w:color="auto" w:fill="D9E2F3"/>
          </w:tcPr>
          <w:p w14:paraId="53F261E2" w14:textId="77777777" w:rsidR="0015658F" w:rsidRDefault="006A3AF5">
            <w:pPr>
              <w:spacing w:before="40" w:after="40" w:line="276" w:lineRule="auto"/>
              <w:jc w:val="both"/>
              <w:rPr>
                <w:sz w:val="22"/>
                <w:szCs w:val="22"/>
              </w:rPr>
            </w:pPr>
            <w:r>
              <w:rPr>
                <w:sz w:val="22"/>
                <w:szCs w:val="22"/>
              </w:rPr>
              <w:t>UEAPME</w:t>
            </w:r>
          </w:p>
        </w:tc>
        <w:tc>
          <w:tcPr>
            <w:tcW w:w="6874" w:type="dxa"/>
          </w:tcPr>
          <w:p w14:paraId="14A1FB63" w14:textId="3948C5FE" w:rsidR="0015658F" w:rsidRDefault="006A3AF5">
            <w:pPr>
              <w:spacing w:before="40" w:after="40" w:line="276" w:lineRule="auto"/>
              <w:jc w:val="both"/>
              <w:rPr>
                <w:sz w:val="22"/>
                <w:szCs w:val="22"/>
              </w:rPr>
            </w:pPr>
            <w:r>
              <w:rPr>
                <w:sz w:val="22"/>
                <w:szCs w:val="22"/>
              </w:rPr>
              <w:t xml:space="preserve">European Association of Craft, Small </w:t>
            </w:r>
            <w:r w:rsidR="008923E4">
              <w:rPr>
                <w:sz w:val="22"/>
                <w:szCs w:val="22"/>
              </w:rPr>
              <w:t>and</w:t>
            </w:r>
            <w:r>
              <w:rPr>
                <w:sz w:val="22"/>
                <w:szCs w:val="22"/>
              </w:rPr>
              <w:t xml:space="preserve"> Medium-sized Enterprises</w:t>
            </w:r>
          </w:p>
        </w:tc>
      </w:tr>
      <w:tr w:rsidR="0015658F" w14:paraId="0AC29830" w14:textId="77777777">
        <w:trPr>
          <w:trHeight w:val="138"/>
        </w:trPr>
        <w:tc>
          <w:tcPr>
            <w:tcW w:w="2198" w:type="dxa"/>
            <w:shd w:val="clear" w:color="auto" w:fill="D9E2F3"/>
          </w:tcPr>
          <w:p w14:paraId="1B4A5DB2" w14:textId="77777777" w:rsidR="0015658F" w:rsidRDefault="006A3AF5">
            <w:pPr>
              <w:spacing w:before="40" w:after="40" w:line="276" w:lineRule="auto"/>
              <w:jc w:val="both"/>
              <w:rPr>
                <w:sz w:val="22"/>
                <w:szCs w:val="22"/>
              </w:rPr>
            </w:pPr>
            <w:r>
              <w:rPr>
                <w:sz w:val="22"/>
                <w:szCs w:val="22"/>
              </w:rPr>
              <w:t>WHO</w:t>
            </w:r>
          </w:p>
        </w:tc>
        <w:tc>
          <w:tcPr>
            <w:tcW w:w="6874" w:type="dxa"/>
          </w:tcPr>
          <w:p w14:paraId="0EF93DC0" w14:textId="77777777" w:rsidR="0015658F" w:rsidRDefault="006A3AF5">
            <w:pPr>
              <w:spacing w:before="40" w:after="40" w:line="276" w:lineRule="auto"/>
              <w:jc w:val="both"/>
              <w:rPr>
                <w:sz w:val="22"/>
                <w:szCs w:val="22"/>
              </w:rPr>
            </w:pPr>
            <w:r>
              <w:rPr>
                <w:sz w:val="22"/>
                <w:szCs w:val="22"/>
              </w:rPr>
              <w:t xml:space="preserve">World Health Organisation </w:t>
            </w:r>
          </w:p>
        </w:tc>
      </w:tr>
    </w:tbl>
    <w:p w14:paraId="66552E12" w14:textId="77777777" w:rsidR="0015658F" w:rsidRDefault="0015658F">
      <w:pPr>
        <w:rPr>
          <w:sz w:val="22"/>
          <w:szCs w:val="22"/>
        </w:rPr>
      </w:pPr>
    </w:p>
    <w:p w14:paraId="6CD55110" w14:textId="77777777" w:rsidR="0015658F" w:rsidRDefault="006A3AF5">
      <w:pPr>
        <w:rPr>
          <w:sz w:val="22"/>
          <w:szCs w:val="22"/>
        </w:rPr>
      </w:pPr>
      <w:r>
        <w:br w:type="page"/>
      </w:r>
    </w:p>
    <w:p w14:paraId="4E93BB90" w14:textId="7504F045" w:rsidR="0015658F" w:rsidRPr="008654D3" w:rsidRDefault="006A3AF5" w:rsidP="008654D3">
      <w:pPr>
        <w:pStyle w:val="Heading1"/>
      </w:pPr>
      <w:bookmarkStart w:id="3" w:name="_Toc156562583"/>
      <w:r w:rsidRPr="008654D3">
        <w:lastRenderedPageBreak/>
        <w:t>EXECUTIVE SUMMARY</w:t>
      </w:r>
      <w:bookmarkEnd w:id="3"/>
      <w:r w:rsidR="00295606" w:rsidRPr="008654D3">
        <w:t xml:space="preserve"> </w:t>
      </w:r>
    </w:p>
    <w:p w14:paraId="21799EF7" w14:textId="227B0D8A" w:rsidR="0020268B" w:rsidRDefault="0020268B" w:rsidP="0020268B">
      <w:pPr>
        <w:jc w:val="both"/>
        <w:rPr>
          <w:bCs/>
          <w:sz w:val="22"/>
          <w:szCs w:val="22"/>
        </w:rPr>
      </w:pPr>
      <w:r>
        <w:rPr>
          <w:bCs/>
          <w:sz w:val="22"/>
          <w:szCs w:val="22"/>
        </w:rPr>
        <w:t>This Report was commissioned by the</w:t>
      </w:r>
      <w:r w:rsidRPr="007E15AC">
        <w:rPr>
          <w:rFonts w:ascii="Segoe UI" w:hAnsi="Segoe UI" w:cs="Segoe UI"/>
          <w:sz w:val="18"/>
          <w:szCs w:val="18"/>
        </w:rPr>
        <w:t xml:space="preserve"> </w:t>
      </w:r>
      <w:r w:rsidRPr="007E15AC">
        <w:rPr>
          <w:bCs/>
          <w:sz w:val="22"/>
          <w:szCs w:val="22"/>
        </w:rPr>
        <w:t>Department for Employment Policies under Ministry of Labour and Social Security</w:t>
      </w:r>
      <w:r w:rsidR="00996F1A">
        <w:rPr>
          <w:bCs/>
          <w:sz w:val="22"/>
          <w:szCs w:val="22"/>
        </w:rPr>
        <w:t xml:space="preserve"> </w:t>
      </w:r>
      <w:r>
        <w:rPr>
          <w:bCs/>
          <w:sz w:val="22"/>
          <w:szCs w:val="22"/>
        </w:rPr>
        <w:t xml:space="preserve">to examine the effectiveness of current </w:t>
      </w:r>
      <w:r w:rsidR="00996F1A">
        <w:rPr>
          <w:bCs/>
          <w:sz w:val="22"/>
          <w:szCs w:val="22"/>
        </w:rPr>
        <w:t xml:space="preserve">legislation in protecting workers’ (especially women’s) rights and in promoting greater participation of women in the Turkish labour force, with a view to making recommendations for adjustments in legislation where deemed necessary. </w:t>
      </w:r>
      <w:r>
        <w:rPr>
          <w:bCs/>
          <w:sz w:val="22"/>
          <w:szCs w:val="22"/>
        </w:rPr>
        <w:t xml:space="preserve">The Report was produced by the project team working within the EU-funded project ‘Technical Assistance for Promoting Decent Future of Work Approach with a focus on Gender Equality’.  </w:t>
      </w:r>
    </w:p>
    <w:p w14:paraId="51D43BA0" w14:textId="77777777" w:rsidR="0020268B" w:rsidRDefault="0020268B" w:rsidP="0020268B">
      <w:pPr>
        <w:jc w:val="both"/>
        <w:rPr>
          <w:rFonts w:cstheme="minorHAnsi"/>
          <w:sz w:val="22"/>
          <w:szCs w:val="22"/>
        </w:rPr>
      </w:pPr>
    </w:p>
    <w:p w14:paraId="3E86BA6E" w14:textId="77777777" w:rsidR="00DF619A" w:rsidRDefault="00996F1A" w:rsidP="0020268B">
      <w:pPr>
        <w:jc w:val="both"/>
        <w:rPr>
          <w:sz w:val="22"/>
          <w:szCs w:val="22"/>
        </w:rPr>
      </w:pPr>
      <w:r>
        <w:rPr>
          <w:rFonts w:cstheme="minorHAnsi"/>
          <w:sz w:val="22"/>
          <w:szCs w:val="22"/>
        </w:rPr>
        <w:t>It is generally recognised that the coming decade will see many changes in the workplace in terms of how we work, where we work, and what we will be doing. The COVID-19 pandemic accelerated changes in the idea of where people could work, with a move towards home-based</w:t>
      </w:r>
      <w:r w:rsidR="00DF619A">
        <w:rPr>
          <w:rFonts w:cstheme="minorHAnsi"/>
          <w:sz w:val="22"/>
          <w:szCs w:val="22"/>
        </w:rPr>
        <w:t xml:space="preserve"> working seen by many as a way of achieving a better work/life balance, through the elimination of lengthy commuting requirements in larger cities. Robotisation, automation, AI and digitalisation have already impacted the world of work and changed the banking and retail sectors dramatically. This process of change will continue and expand and jobs will be affected. Commentators predict that by 2030, in </w:t>
      </w:r>
      <w:r w:rsidR="00DF619A">
        <w:rPr>
          <w:sz w:val="22"/>
          <w:szCs w:val="22"/>
        </w:rPr>
        <w:t xml:space="preserve">Türkiye some 7.5m jobs will be lost as a result of these changes, but that almost 9m jobs will be created – by the very forces (robotisation, automation, etc.) which will have eliminated the conventional jobs. </w:t>
      </w:r>
    </w:p>
    <w:p w14:paraId="234983A2" w14:textId="77777777" w:rsidR="00DF619A" w:rsidRDefault="00DF619A" w:rsidP="0020268B">
      <w:pPr>
        <w:jc w:val="both"/>
        <w:rPr>
          <w:sz w:val="22"/>
          <w:szCs w:val="22"/>
        </w:rPr>
      </w:pPr>
    </w:p>
    <w:p w14:paraId="66268C18" w14:textId="76705A2D" w:rsidR="0020268B" w:rsidRDefault="00DF619A" w:rsidP="0020268B">
      <w:pPr>
        <w:jc w:val="both"/>
        <w:rPr>
          <w:rFonts w:cstheme="minorHAnsi"/>
          <w:sz w:val="22"/>
          <w:szCs w:val="22"/>
        </w:rPr>
      </w:pPr>
      <w:r>
        <w:rPr>
          <w:sz w:val="22"/>
          <w:szCs w:val="22"/>
        </w:rPr>
        <w:t xml:space="preserve">Throughout this coming era of change, some things will remain constant. </w:t>
      </w:r>
      <w:r w:rsidR="005E4950" w:rsidRPr="00575D4F">
        <w:rPr>
          <w:sz w:val="22"/>
          <w:szCs w:val="22"/>
        </w:rPr>
        <w:t xml:space="preserve">Women will continue to </w:t>
      </w:r>
      <w:r w:rsidR="00575D4F" w:rsidRPr="00575D4F">
        <w:rPr>
          <w:sz w:val="22"/>
          <w:szCs w:val="22"/>
        </w:rPr>
        <w:t>give birth</w:t>
      </w:r>
      <w:r w:rsidR="005E4950">
        <w:rPr>
          <w:sz w:val="22"/>
          <w:szCs w:val="22"/>
        </w:rPr>
        <w:t xml:space="preserve">, and women in work will continue to require periods of leave to care for their new families; they will continue to need access to childcare to enable then to return to work should they choose to do so; and they will need to have some degree of flexibility to take time away from work to care for sick children throughout their working lives. The Technical Assistance team (TAT) of the </w:t>
      </w:r>
      <w:r w:rsidR="005E4950" w:rsidRPr="00431188">
        <w:rPr>
          <w:rFonts w:cstheme="minorHAnsi"/>
          <w:sz w:val="22"/>
          <w:szCs w:val="22"/>
        </w:rPr>
        <w:t>‘Technical Assistance for Promoting Decent Future of Work Approach with a Focus on Gender Equality’</w:t>
      </w:r>
      <w:r w:rsidR="005E4950">
        <w:rPr>
          <w:rFonts w:cstheme="minorHAnsi"/>
          <w:sz w:val="22"/>
          <w:szCs w:val="22"/>
        </w:rPr>
        <w:t xml:space="preserve"> project was asked to examine the extent to which current Turkish legislation and practice was, in fact</w:t>
      </w:r>
      <w:r w:rsidR="005E4950">
        <w:rPr>
          <w:sz w:val="22"/>
          <w:szCs w:val="22"/>
        </w:rPr>
        <w:t xml:space="preserve">, providing the necessary </w:t>
      </w:r>
      <w:r w:rsidR="00F47CAF">
        <w:rPr>
          <w:sz w:val="22"/>
          <w:szCs w:val="22"/>
        </w:rPr>
        <w:t>basis for protecting women’s working rights, and, through a better understanding of the situation ‘on the ground’ and through a thorough examination of comparative legislation from other countries, to make recom</w:t>
      </w:r>
      <w:r w:rsidR="00822233">
        <w:rPr>
          <w:sz w:val="22"/>
          <w:szCs w:val="22"/>
        </w:rPr>
        <w:t>m</w:t>
      </w:r>
      <w:r w:rsidR="00F47CAF">
        <w:rPr>
          <w:sz w:val="22"/>
          <w:szCs w:val="22"/>
        </w:rPr>
        <w:t xml:space="preserve">endations, where necessary, to tighten up Turkish legislative </w:t>
      </w:r>
      <w:r w:rsidR="005E4950">
        <w:rPr>
          <w:sz w:val="22"/>
          <w:szCs w:val="22"/>
        </w:rPr>
        <w:t>framework</w:t>
      </w:r>
      <w:r w:rsidR="00F47CAF">
        <w:rPr>
          <w:sz w:val="22"/>
          <w:szCs w:val="22"/>
        </w:rPr>
        <w:t xml:space="preserve">. </w:t>
      </w:r>
    </w:p>
    <w:p w14:paraId="1064BF56" w14:textId="77777777" w:rsidR="00DF619A" w:rsidRDefault="00DF619A" w:rsidP="0020268B">
      <w:pPr>
        <w:jc w:val="both"/>
        <w:rPr>
          <w:rFonts w:cstheme="minorHAnsi"/>
          <w:sz w:val="22"/>
          <w:szCs w:val="22"/>
        </w:rPr>
      </w:pPr>
    </w:p>
    <w:p w14:paraId="6FD967F5" w14:textId="08CCFF15" w:rsidR="0020268B" w:rsidRDefault="00F47CAF" w:rsidP="0020268B">
      <w:pPr>
        <w:jc w:val="both"/>
        <w:rPr>
          <w:rFonts w:cstheme="minorHAnsi"/>
          <w:sz w:val="22"/>
          <w:szCs w:val="22"/>
        </w:rPr>
      </w:pPr>
      <w:r>
        <w:rPr>
          <w:rFonts w:cstheme="minorHAnsi"/>
          <w:sz w:val="22"/>
          <w:szCs w:val="22"/>
        </w:rPr>
        <w:t>To achieve this, TAT carried out a 6-stage study during the period April 2021 to August 2022:</w:t>
      </w:r>
    </w:p>
    <w:p w14:paraId="027609C9" w14:textId="77777777" w:rsidR="0020268B" w:rsidRDefault="0020268B" w:rsidP="0020268B">
      <w:pPr>
        <w:jc w:val="both"/>
        <w:rPr>
          <w:rFonts w:cstheme="minorHAnsi"/>
          <w:sz w:val="22"/>
          <w:szCs w:val="22"/>
        </w:rPr>
      </w:pPr>
    </w:p>
    <w:p w14:paraId="0562072A" w14:textId="66FA0DB6" w:rsidR="0020268B" w:rsidRPr="00431188" w:rsidRDefault="00F47CAF" w:rsidP="00073158">
      <w:pPr>
        <w:pStyle w:val="ListParagraph"/>
        <w:numPr>
          <w:ilvl w:val="0"/>
          <w:numId w:val="4"/>
        </w:numPr>
        <w:jc w:val="both"/>
        <w:rPr>
          <w:rFonts w:cstheme="minorHAnsi"/>
          <w:sz w:val="22"/>
          <w:szCs w:val="22"/>
        </w:rPr>
      </w:pPr>
      <w:r>
        <w:rPr>
          <w:rFonts w:cstheme="minorHAnsi"/>
          <w:sz w:val="22"/>
          <w:szCs w:val="22"/>
        </w:rPr>
        <w:t>C</w:t>
      </w:r>
      <w:r w:rsidR="0020268B">
        <w:rPr>
          <w:rFonts w:cstheme="minorHAnsi"/>
          <w:sz w:val="22"/>
          <w:szCs w:val="22"/>
        </w:rPr>
        <w:t>onducting e</w:t>
      </w:r>
      <w:r w:rsidR="0020268B" w:rsidRPr="00431188">
        <w:rPr>
          <w:rFonts w:cstheme="minorHAnsi"/>
          <w:sz w:val="22"/>
          <w:szCs w:val="22"/>
        </w:rPr>
        <w:t xml:space="preserve">xtensive desk research into international and Turkish </w:t>
      </w:r>
      <w:r>
        <w:rPr>
          <w:rFonts w:cstheme="minorHAnsi"/>
          <w:sz w:val="22"/>
          <w:szCs w:val="22"/>
        </w:rPr>
        <w:t xml:space="preserve">legislation and </w:t>
      </w:r>
      <w:r w:rsidR="0020268B" w:rsidRPr="00431188">
        <w:rPr>
          <w:rFonts w:cstheme="minorHAnsi"/>
          <w:sz w:val="22"/>
          <w:szCs w:val="22"/>
        </w:rPr>
        <w:t>approaches</w:t>
      </w:r>
      <w:r w:rsidR="0020268B">
        <w:rPr>
          <w:rFonts w:cstheme="minorHAnsi"/>
          <w:sz w:val="22"/>
          <w:szCs w:val="22"/>
        </w:rPr>
        <w:t xml:space="preserve"> </w:t>
      </w:r>
      <w:r>
        <w:rPr>
          <w:rFonts w:cstheme="minorHAnsi"/>
          <w:sz w:val="22"/>
          <w:szCs w:val="22"/>
        </w:rPr>
        <w:t>regarding women’s working rights</w:t>
      </w:r>
      <w:r w:rsidR="0020268B" w:rsidRPr="00431188">
        <w:rPr>
          <w:rFonts w:cstheme="minorHAnsi"/>
          <w:sz w:val="22"/>
          <w:szCs w:val="22"/>
        </w:rPr>
        <w:t>;</w:t>
      </w:r>
    </w:p>
    <w:p w14:paraId="1CB99102" w14:textId="1693EB78" w:rsidR="0020268B" w:rsidRPr="00431188" w:rsidRDefault="00F47CAF" w:rsidP="00073158">
      <w:pPr>
        <w:pStyle w:val="ListParagraph"/>
        <w:numPr>
          <w:ilvl w:val="0"/>
          <w:numId w:val="4"/>
        </w:numPr>
        <w:jc w:val="both"/>
        <w:rPr>
          <w:rFonts w:cstheme="minorHAnsi"/>
          <w:sz w:val="22"/>
          <w:szCs w:val="22"/>
        </w:rPr>
      </w:pPr>
      <w:r>
        <w:rPr>
          <w:rFonts w:cstheme="minorHAnsi"/>
          <w:sz w:val="22"/>
          <w:szCs w:val="22"/>
        </w:rPr>
        <w:t>H</w:t>
      </w:r>
      <w:r w:rsidR="0020268B">
        <w:rPr>
          <w:rFonts w:cstheme="minorHAnsi"/>
          <w:sz w:val="22"/>
          <w:szCs w:val="22"/>
        </w:rPr>
        <w:t>olding a series of s</w:t>
      </w:r>
      <w:r w:rsidR="0020268B" w:rsidRPr="00431188">
        <w:rPr>
          <w:rFonts w:cstheme="minorHAnsi"/>
          <w:sz w:val="22"/>
          <w:szCs w:val="22"/>
        </w:rPr>
        <w:t xml:space="preserve">tructured meetings with </w:t>
      </w:r>
      <w:r>
        <w:rPr>
          <w:rFonts w:cstheme="minorHAnsi"/>
          <w:sz w:val="22"/>
          <w:szCs w:val="22"/>
        </w:rPr>
        <w:t xml:space="preserve">relevant stakeholder </w:t>
      </w:r>
      <w:r w:rsidR="0020268B" w:rsidRPr="00431188">
        <w:rPr>
          <w:rFonts w:cstheme="minorHAnsi"/>
          <w:sz w:val="22"/>
          <w:szCs w:val="22"/>
        </w:rPr>
        <w:t>institutions</w:t>
      </w:r>
      <w:r>
        <w:rPr>
          <w:rFonts w:cstheme="minorHAnsi"/>
          <w:sz w:val="22"/>
          <w:szCs w:val="22"/>
        </w:rPr>
        <w:t xml:space="preserve"> </w:t>
      </w:r>
      <w:r w:rsidR="0020268B">
        <w:rPr>
          <w:rFonts w:cstheme="minorHAnsi"/>
          <w:sz w:val="22"/>
          <w:szCs w:val="22"/>
        </w:rPr>
        <w:t>in Türkiye</w:t>
      </w:r>
      <w:r w:rsidR="0020268B" w:rsidRPr="00431188">
        <w:rPr>
          <w:rFonts w:cstheme="minorHAnsi"/>
          <w:sz w:val="22"/>
          <w:szCs w:val="22"/>
        </w:rPr>
        <w:t>;</w:t>
      </w:r>
    </w:p>
    <w:p w14:paraId="6C4CC731" w14:textId="0F41EF9E" w:rsidR="00F47CAF" w:rsidRDefault="00F47CAF" w:rsidP="00073158">
      <w:pPr>
        <w:pStyle w:val="ListParagraph"/>
        <w:numPr>
          <w:ilvl w:val="0"/>
          <w:numId w:val="4"/>
        </w:numPr>
        <w:jc w:val="both"/>
        <w:rPr>
          <w:rFonts w:cstheme="minorHAnsi"/>
          <w:sz w:val="22"/>
          <w:szCs w:val="22"/>
        </w:rPr>
      </w:pPr>
      <w:r>
        <w:rPr>
          <w:rFonts w:cstheme="minorHAnsi"/>
          <w:sz w:val="22"/>
          <w:szCs w:val="22"/>
        </w:rPr>
        <w:t>De</w:t>
      </w:r>
      <w:r w:rsidR="0020268B">
        <w:rPr>
          <w:rFonts w:cstheme="minorHAnsi"/>
          <w:sz w:val="22"/>
          <w:szCs w:val="22"/>
        </w:rPr>
        <w:t>livering a Pre-Study</w:t>
      </w:r>
      <w:r w:rsidR="0020268B" w:rsidRPr="00431188">
        <w:rPr>
          <w:rFonts w:cstheme="minorHAnsi"/>
          <w:sz w:val="22"/>
          <w:szCs w:val="22"/>
        </w:rPr>
        <w:t xml:space="preserve"> Workshop </w:t>
      </w:r>
      <w:r w:rsidR="0020268B">
        <w:rPr>
          <w:rFonts w:cstheme="minorHAnsi"/>
          <w:sz w:val="22"/>
          <w:szCs w:val="22"/>
        </w:rPr>
        <w:t xml:space="preserve">during which </w:t>
      </w:r>
      <w:r w:rsidR="005634FF">
        <w:rPr>
          <w:rFonts w:cstheme="minorHAnsi"/>
          <w:sz w:val="22"/>
          <w:szCs w:val="22"/>
        </w:rPr>
        <w:t>51</w:t>
      </w:r>
      <w:r>
        <w:rPr>
          <w:rFonts w:cstheme="minorHAnsi"/>
          <w:sz w:val="22"/>
          <w:szCs w:val="22"/>
        </w:rPr>
        <w:t xml:space="preserve"> </w:t>
      </w:r>
      <w:r w:rsidR="0020268B" w:rsidRPr="00431188">
        <w:rPr>
          <w:rFonts w:cstheme="minorHAnsi"/>
          <w:sz w:val="22"/>
          <w:szCs w:val="22"/>
        </w:rPr>
        <w:t xml:space="preserve">representatives of the public and third sectors </w:t>
      </w:r>
      <w:r w:rsidR="0020268B">
        <w:rPr>
          <w:rFonts w:cstheme="minorHAnsi"/>
          <w:sz w:val="22"/>
          <w:szCs w:val="22"/>
        </w:rPr>
        <w:t xml:space="preserve">were encouraged to </w:t>
      </w:r>
      <w:r w:rsidR="0020268B" w:rsidRPr="00431188">
        <w:rPr>
          <w:rFonts w:cstheme="minorHAnsi"/>
          <w:sz w:val="22"/>
          <w:szCs w:val="22"/>
        </w:rPr>
        <w:t xml:space="preserve">formulate their views on how </w:t>
      </w:r>
      <w:r>
        <w:rPr>
          <w:rFonts w:cstheme="minorHAnsi"/>
          <w:sz w:val="22"/>
          <w:szCs w:val="22"/>
        </w:rPr>
        <w:t>Turkish legislation and practice were working and whether changes were required;</w:t>
      </w:r>
    </w:p>
    <w:p w14:paraId="15FCAD6C" w14:textId="6A56CD6D" w:rsidR="0020268B" w:rsidRDefault="00F47CAF" w:rsidP="00073158">
      <w:pPr>
        <w:pStyle w:val="ListParagraph"/>
        <w:numPr>
          <w:ilvl w:val="0"/>
          <w:numId w:val="4"/>
        </w:numPr>
        <w:jc w:val="both"/>
        <w:rPr>
          <w:rFonts w:cstheme="minorHAnsi"/>
          <w:sz w:val="22"/>
          <w:szCs w:val="22"/>
        </w:rPr>
      </w:pPr>
      <w:r>
        <w:rPr>
          <w:rFonts w:cstheme="minorHAnsi"/>
          <w:sz w:val="22"/>
          <w:szCs w:val="22"/>
        </w:rPr>
        <w:t xml:space="preserve">Undertaking a field study involving over 500 face-to-face interviews with employers and employees in 5 Turkish provinces (Adana, Ankara, Bursa, Istanbul and Izmir); </w:t>
      </w:r>
    </w:p>
    <w:p w14:paraId="1995B934" w14:textId="419C7C97" w:rsidR="0020268B" w:rsidRDefault="00F47CAF" w:rsidP="00073158">
      <w:pPr>
        <w:pStyle w:val="ListParagraph"/>
        <w:numPr>
          <w:ilvl w:val="0"/>
          <w:numId w:val="4"/>
        </w:numPr>
        <w:jc w:val="both"/>
        <w:rPr>
          <w:rFonts w:cstheme="minorHAnsi"/>
          <w:sz w:val="22"/>
          <w:szCs w:val="22"/>
        </w:rPr>
      </w:pPr>
      <w:r>
        <w:rPr>
          <w:rFonts w:cstheme="minorHAnsi"/>
          <w:sz w:val="22"/>
          <w:szCs w:val="22"/>
        </w:rPr>
        <w:t>D</w:t>
      </w:r>
      <w:r w:rsidR="0020268B">
        <w:rPr>
          <w:rFonts w:cstheme="minorHAnsi"/>
          <w:sz w:val="22"/>
          <w:szCs w:val="22"/>
        </w:rPr>
        <w:t>elivering a Post-Study</w:t>
      </w:r>
      <w:r w:rsidR="0020268B" w:rsidRPr="00431188">
        <w:rPr>
          <w:rFonts w:cstheme="minorHAnsi"/>
          <w:sz w:val="22"/>
          <w:szCs w:val="22"/>
        </w:rPr>
        <w:t xml:space="preserve"> Workshop </w:t>
      </w:r>
      <w:r w:rsidR="0020268B">
        <w:rPr>
          <w:rFonts w:cstheme="minorHAnsi"/>
          <w:sz w:val="22"/>
          <w:szCs w:val="22"/>
        </w:rPr>
        <w:t xml:space="preserve">during which </w:t>
      </w:r>
      <w:r w:rsidR="005634FF">
        <w:rPr>
          <w:rFonts w:cstheme="minorHAnsi"/>
          <w:sz w:val="22"/>
          <w:szCs w:val="22"/>
        </w:rPr>
        <w:t>110</w:t>
      </w:r>
      <w:r w:rsidR="0020268B" w:rsidRPr="00431188">
        <w:rPr>
          <w:rFonts w:cstheme="minorHAnsi"/>
          <w:sz w:val="22"/>
          <w:szCs w:val="22"/>
        </w:rPr>
        <w:t xml:space="preserve"> representatives of the public and third sectors </w:t>
      </w:r>
      <w:r w:rsidR="0020268B">
        <w:rPr>
          <w:rFonts w:cstheme="minorHAnsi"/>
          <w:sz w:val="22"/>
          <w:szCs w:val="22"/>
        </w:rPr>
        <w:t>provided feedback to draft Recommendations</w:t>
      </w:r>
      <w:r>
        <w:rPr>
          <w:rFonts w:cstheme="minorHAnsi"/>
          <w:sz w:val="22"/>
          <w:szCs w:val="22"/>
        </w:rPr>
        <w:t xml:space="preserve"> formulated from feedback in the preceding stages;</w:t>
      </w:r>
    </w:p>
    <w:p w14:paraId="5AC4F9F3" w14:textId="3443CAE6" w:rsidR="00F47CAF" w:rsidRPr="00AF708B" w:rsidRDefault="005C2626" w:rsidP="00073158">
      <w:pPr>
        <w:pStyle w:val="ListParagraph"/>
        <w:numPr>
          <w:ilvl w:val="0"/>
          <w:numId w:val="4"/>
        </w:numPr>
        <w:jc w:val="both"/>
        <w:rPr>
          <w:rFonts w:cstheme="minorHAnsi"/>
          <w:sz w:val="22"/>
          <w:szCs w:val="22"/>
        </w:rPr>
      </w:pPr>
      <w:r>
        <w:rPr>
          <w:rFonts w:cstheme="minorHAnsi"/>
          <w:sz w:val="22"/>
          <w:szCs w:val="22"/>
        </w:rPr>
        <w:t>Subjecting all feedback to a da</w:t>
      </w:r>
      <w:r w:rsidR="00F47CAF">
        <w:rPr>
          <w:rFonts w:cstheme="minorHAnsi"/>
          <w:sz w:val="22"/>
          <w:szCs w:val="22"/>
        </w:rPr>
        <w:t>ta analysis</w:t>
      </w:r>
      <w:r>
        <w:rPr>
          <w:rFonts w:cstheme="minorHAnsi"/>
          <w:sz w:val="22"/>
          <w:szCs w:val="22"/>
        </w:rPr>
        <w:t xml:space="preserve"> process</w:t>
      </w:r>
      <w:r w:rsidR="00F47CAF">
        <w:rPr>
          <w:rFonts w:cstheme="minorHAnsi"/>
          <w:sz w:val="22"/>
          <w:szCs w:val="22"/>
        </w:rPr>
        <w:t>.</w:t>
      </w:r>
    </w:p>
    <w:p w14:paraId="1FEEBB20" w14:textId="77777777" w:rsidR="0020268B" w:rsidRDefault="0020268B" w:rsidP="0020268B">
      <w:pPr>
        <w:jc w:val="both"/>
        <w:rPr>
          <w:rFonts w:cstheme="minorHAnsi"/>
          <w:sz w:val="22"/>
          <w:szCs w:val="22"/>
        </w:rPr>
      </w:pPr>
    </w:p>
    <w:p w14:paraId="248D7170" w14:textId="3D87E47D" w:rsidR="0020268B" w:rsidRDefault="0020268B" w:rsidP="0020268B">
      <w:pPr>
        <w:jc w:val="both"/>
        <w:rPr>
          <w:rFonts w:cstheme="minorHAnsi"/>
          <w:sz w:val="22"/>
          <w:szCs w:val="22"/>
        </w:rPr>
      </w:pPr>
      <w:r>
        <w:rPr>
          <w:rFonts w:cstheme="minorHAnsi"/>
          <w:sz w:val="22"/>
          <w:szCs w:val="22"/>
        </w:rPr>
        <w:lastRenderedPageBreak/>
        <w:t xml:space="preserve">The results of this assignment are summarised in this Report, the main outputs of which are a series of </w:t>
      </w:r>
      <w:r w:rsidR="005634FF">
        <w:rPr>
          <w:rFonts w:cstheme="minorHAnsi"/>
          <w:sz w:val="22"/>
          <w:szCs w:val="22"/>
        </w:rPr>
        <w:t>18</w:t>
      </w:r>
      <w:r w:rsidR="00BE1B2C">
        <w:rPr>
          <w:rFonts w:cstheme="minorHAnsi"/>
          <w:sz w:val="22"/>
          <w:szCs w:val="22"/>
        </w:rPr>
        <w:t xml:space="preserve"> </w:t>
      </w:r>
      <w:r>
        <w:rPr>
          <w:rFonts w:cstheme="minorHAnsi"/>
          <w:sz w:val="22"/>
          <w:szCs w:val="22"/>
        </w:rPr>
        <w:t xml:space="preserve">recommendations for </w:t>
      </w:r>
      <w:r w:rsidR="005C2626">
        <w:rPr>
          <w:rFonts w:cstheme="minorHAnsi"/>
          <w:sz w:val="22"/>
          <w:szCs w:val="22"/>
        </w:rPr>
        <w:t xml:space="preserve">legislative and </w:t>
      </w:r>
      <w:r>
        <w:rPr>
          <w:rFonts w:cstheme="minorHAnsi"/>
          <w:sz w:val="22"/>
          <w:szCs w:val="22"/>
        </w:rPr>
        <w:t xml:space="preserve">policy </w:t>
      </w:r>
      <w:r w:rsidR="005C2626">
        <w:rPr>
          <w:rFonts w:cstheme="minorHAnsi"/>
          <w:sz w:val="22"/>
          <w:szCs w:val="22"/>
        </w:rPr>
        <w:t xml:space="preserve">change </w:t>
      </w:r>
      <w:r>
        <w:rPr>
          <w:rFonts w:cstheme="minorHAnsi"/>
          <w:sz w:val="22"/>
          <w:szCs w:val="22"/>
        </w:rPr>
        <w:t xml:space="preserve">divided into the following </w:t>
      </w:r>
      <w:r w:rsidR="005634FF">
        <w:rPr>
          <w:rFonts w:cstheme="minorHAnsi"/>
          <w:sz w:val="22"/>
          <w:szCs w:val="22"/>
        </w:rPr>
        <w:t>10</w:t>
      </w:r>
      <w:r>
        <w:rPr>
          <w:rFonts w:cstheme="minorHAnsi"/>
          <w:sz w:val="22"/>
          <w:szCs w:val="22"/>
        </w:rPr>
        <w:t xml:space="preserve"> thematic</w:t>
      </w:r>
      <w:r w:rsidR="005634FF">
        <w:rPr>
          <w:rFonts w:cstheme="minorHAnsi"/>
          <w:sz w:val="22"/>
          <w:szCs w:val="22"/>
        </w:rPr>
        <w:t>/sub-thematic</w:t>
      </w:r>
      <w:r>
        <w:rPr>
          <w:rFonts w:cstheme="minorHAnsi"/>
          <w:sz w:val="22"/>
          <w:szCs w:val="22"/>
        </w:rPr>
        <w:t xml:space="preserve"> areas, each containing a range of specific policy recommendations:</w:t>
      </w:r>
    </w:p>
    <w:p w14:paraId="6145975C" w14:textId="77777777" w:rsidR="0020268B" w:rsidRDefault="0020268B" w:rsidP="0020268B">
      <w:pPr>
        <w:jc w:val="both"/>
        <w:rPr>
          <w:rFonts w:cstheme="minorHAnsi"/>
          <w:sz w:val="22"/>
          <w:szCs w:val="22"/>
        </w:rPr>
      </w:pPr>
    </w:p>
    <w:p w14:paraId="229C0CF6" w14:textId="253E7B37" w:rsidR="005634FF" w:rsidRPr="00C205EA" w:rsidRDefault="005634FF" w:rsidP="005634FF">
      <w:pPr>
        <w:pStyle w:val="ListParagraph"/>
        <w:numPr>
          <w:ilvl w:val="0"/>
          <w:numId w:val="43"/>
        </w:numPr>
        <w:spacing w:after="160" w:line="259" w:lineRule="auto"/>
        <w:rPr>
          <w:rFonts w:eastAsiaTheme="majorEastAsia"/>
          <w:sz w:val="22"/>
          <w:szCs w:val="22"/>
        </w:rPr>
      </w:pPr>
      <w:r w:rsidRPr="00C205EA">
        <w:rPr>
          <w:rFonts w:eastAsiaTheme="majorEastAsia"/>
          <w:sz w:val="22"/>
          <w:szCs w:val="22"/>
        </w:rPr>
        <w:t xml:space="preserve">Legislation that </w:t>
      </w:r>
      <w:r w:rsidR="00A4485A" w:rsidRPr="00C205EA">
        <w:rPr>
          <w:rFonts w:eastAsiaTheme="majorEastAsia"/>
          <w:sz w:val="22"/>
          <w:szCs w:val="22"/>
        </w:rPr>
        <w:t>promotes more gender equality and avoids enforcing the stereotype that women should have the main responsibility for family care</w:t>
      </w:r>
      <w:r w:rsidRPr="00C205EA">
        <w:rPr>
          <w:rFonts w:eastAsiaTheme="majorEastAsia"/>
          <w:sz w:val="22"/>
          <w:szCs w:val="22"/>
        </w:rPr>
        <w:t>;</w:t>
      </w:r>
    </w:p>
    <w:p w14:paraId="57AA063E" w14:textId="6C40E3BA" w:rsidR="005634FF" w:rsidRPr="00C205EA" w:rsidRDefault="005634FF" w:rsidP="005634FF">
      <w:pPr>
        <w:pStyle w:val="ListParagraph"/>
        <w:numPr>
          <w:ilvl w:val="0"/>
          <w:numId w:val="43"/>
        </w:numPr>
        <w:spacing w:after="160" w:line="259" w:lineRule="auto"/>
        <w:rPr>
          <w:rFonts w:eastAsiaTheme="majorEastAsia"/>
          <w:sz w:val="22"/>
          <w:szCs w:val="22"/>
        </w:rPr>
      </w:pPr>
      <w:r w:rsidRPr="00C205EA">
        <w:rPr>
          <w:rFonts w:eastAsiaTheme="majorEastAsia"/>
          <w:sz w:val="22"/>
          <w:szCs w:val="22"/>
        </w:rPr>
        <w:t xml:space="preserve">Suggested </w:t>
      </w:r>
      <w:r w:rsidR="00A4485A" w:rsidRPr="00C205EA">
        <w:rPr>
          <w:rFonts w:eastAsiaTheme="majorEastAsia"/>
          <w:sz w:val="22"/>
          <w:szCs w:val="22"/>
        </w:rPr>
        <w:t xml:space="preserve">improvements to the existing </w:t>
      </w:r>
      <w:r w:rsidRPr="00C205EA">
        <w:rPr>
          <w:rFonts w:eastAsiaTheme="majorEastAsia"/>
          <w:sz w:val="22"/>
          <w:szCs w:val="22"/>
        </w:rPr>
        <w:t>Labour Law:</w:t>
      </w:r>
    </w:p>
    <w:p w14:paraId="30BE604D" w14:textId="77777777" w:rsidR="005634FF" w:rsidRPr="00C205EA" w:rsidRDefault="005634FF" w:rsidP="005634FF">
      <w:pPr>
        <w:pStyle w:val="ListParagraph"/>
        <w:numPr>
          <w:ilvl w:val="1"/>
          <w:numId w:val="43"/>
        </w:numPr>
        <w:spacing w:after="160" w:line="259" w:lineRule="auto"/>
        <w:rPr>
          <w:rFonts w:eastAsiaTheme="majorEastAsia"/>
          <w:sz w:val="22"/>
          <w:szCs w:val="22"/>
        </w:rPr>
      </w:pPr>
      <w:r w:rsidRPr="00C205EA">
        <w:rPr>
          <w:rFonts w:eastAsiaTheme="majorEastAsia"/>
          <w:sz w:val="22"/>
          <w:szCs w:val="22"/>
        </w:rPr>
        <w:t>Paid and Unpaid Maternity Leave;</w:t>
      </w:r>
    </w:p>
    <w:p w14:paraId="12813368" w14:textId="77777777" w:rsidR="005634FF" w:rsidRPr="00C205EA" w:rsidRDefault="005634FF" w:rsidP="005634FF">
      <w:pPr>
        <w:pStyle w:val="ListParagraph"/>
        <w:numPr>
          <w:ilvl w:val="1"/>
          <w:numId w:val="43"/>
        </w:numPr>
        <w:spacing w:after="160" w:line="259" w:lineRule="auto"/>
        <w:rPr>
          <w:rFonts w:eastAsiaTheme="majorEastAsia"/>
          <w:sz w:val="22"/>
          <w:szCs w:val="22"/>
        </w:rPr>
      </w:pPr>
      <w:r w:rsidRPr="00C205EA">
        <w:rPr>
          <w:rFonts w:eastAsiaTheme="majorEastAsia"/>
          <w:sz w:val="22"/>
          <w:szCs w:val="22"/>
        </w:rPr>
        <w:t>Nursery Requirement for Workplaces;</w:t>
      </w:r>
    </w:p>
    <w:p w14:paraId="019DD090" w14:textId="77777777" w:rsidR="005634FF" w:rsidRPr="00C205EA" w:rsidRDefault="005634FF" w:rsidP="005634FF">
      <w:pPr>
        <w:pStyle w:val="ListParagraph"/>
        <w:numPr>
          <w:ilvl w:val="1"/>
          <w:numId w:val="43"/>
        </w:numPr>
        <w:spacing w:after="160" w:line="259" w:lineRule="auto"/>
        <w:rPr>
          <w:rFonts w:eastAsiaTheme="majorEastAsia"/>
          <w:sz w:val="22"/>
          <w:szCs w:val="22"/>
        </w:rPr>
      </w:pPr>
      <w:r w:rsidRPr="00C205EA">
        <w:rPr>
          <w:rFonts w:eastAsiaTheme="majorEastAsia"/>
          <w:sz w:val="22"/>
          <w:szCs w:val="22"/>
        </w:rPr>
        <w:t>Work after Maternity Leave;</w:t>
      </w:r>
    </w:p>
    <w:p w14:paraId="1E56C522" w14:textId="77777777" w:rsidR="005634FF" w:rsidRPr="00C205EA" w:rsidRDefault="005634FF" w:rsidP="005634FF">
      <w:pPr>
        <w:pStyle w:val="ListParagraph"/>
        <w:numPr>
          <w:ilvl w:val="1"/>
          <w:numId w:val="43"/>
        </w:numPr>
        <w:spacing w:after="160" w:line="259" w:lineRule="auto"/>
        <w:rPr>
          <w:rFonts w:eastAsiaTheme="majorEastAsia"/>
          <w:sz w:val="22"/>
          <w:szCs w:val="22"/>
        </w:rPr>
      </w:pPr>
      <w:r w:rsidRPr="00C205EA">
        <w:rPr>
          <w:rFonts w:eastAsiaTheme="majorEastAsia"/>
          <w:sz w:val="22"/>
          <w:szCs w:val="22"/>
        </w:rPr>
        <w:t>Equal Pay;</w:t>
      </w:r>
    </w:p>
    <w:p w14:paraId="01D57243" w14:textId="77777777" w:rsidR="005634FF" w:rsidRPr="00C205EA" w:rsidRDefault="005634FF" w:rsidP="005634FF">
      <w:pPr>
        <w:pStyle w:val="ListParagraph"/>
        <w:numPr>
          <w:ilvl w:val="1"/>
          <w:numId w:val="43"/>
        </w:numPr>
        <w:spacing w:after="160" w:line="259" w:lineRule="auto"/>
        <w:rPr>
          <w:rFonts w:eastAsiaTheme="majorEastAsia"/>
          <w:sz w:val="22"/>
          <w:szCs w:val="22"/>
        </w:rPr>
      </w:pPr>
      <w:r w:rsidRPr="00C205EA">
        <w:rPr>
          <w:rFonts w:eastAsiaTheme="majorEastAsia"/>
          <w:sz w:val="22"/>
          <w:szCs w:val="22"/>
        </w:rPr>
        <w:t>Care Work Provisions;</w:t>
      </w:r>
    </w:p>
    <w:p w14:paraId="748D2933" w14:textId="77777777" w:rsidR="005634FF" w:rsidRPr="00C205EA" w:rsidRDefault="005634FF" w:rsidP="005634FF">
      <w:pPr>
        <w:pStyle w:val="ListParagraph"/>
        <w:numPr>
          <w:ilvl w:val="1"/>
          <w:numId w:val="43"/>
        </w:numPr>
        <w:spacing w:after="160" w:line="259" w:lineRule="auto"/>
        <w:rPr>
          <w:rFonts w:eastAsiaTheme="majorEastAsia"/>
          <w:sz w:val="22"/>
          <w:szCs w:val="22"/>
        </w:rPr>
      </w:pPr>
      <w:r w:rsidRPr="00C205EA">
        <w:rPr>
          <w:rFonts w:eastAsiaTheme="majorEastAsia"/>
          <w:sz w:val="22"/>
          <w:szCs w:val="22"/>
        </w:rPr>
        <w:t>Care Incentives for Persons not Covered by the Existing Law;</w:t>
      </w:r>
    </w:p>
    <w:p w14:paraId="66727C35" w14:textId="77777777" w:rsidR="005634FF" w:rsidRPr="00C205EA" w:rsidRDefault="005634FF" w:rsidP="005634FF">
      <w:pPr>
        <w:pStyle w:val="ListParagraph"/>
        <w:numPr>
          <w:ilvl w:val="1"/>
          <w:numId w:val="43"/>
        </w:numPr>
        <w:spacing w:after="160" w:line="259" w:lineRule="auto"/>
        <w:rPr>
          <w:rFonts w:eastAsiaTheme="majorEastAsia"/>
          <w:sz w:val="22"/>
          <w:szCs w:val="22"/>
        </w:rPr>
      </w:pPr>
      <w:r w:rsidRPr="00C205EA">
        <w:rPr>
          <w:rFonts w:eastAsiaTheme="majorEastAsia"/>
          <w:sz w:val="22"/>
          <w:szCs w:val="22"/>
        </w:rPr>
        <w:t>Government Support to the Employment of Victims of Domestic Violence;</w:t>
      </w:r>
    </w:p>
    <w:p w14:paraId="5113DAFD" w14:textId="77777777" w:rsidR="005634FF" w:rsidRPr="00C205EA" w:rsidRDefault="005634FF" w:rsidP="005634FF">
      <w:pPr>
        <w:pStyle w:val="ListParagraph"/>
        <w:numPr>
          <w:ilvl w:val="0"/>
          <w:numId w:val="43"/>
        </w:numPr>
        <w:spacing w:after="160" w:line="259" w:lineRule="auto"/>
        <w:rPr>
          <w:rFonts w:eastAsiaTheme="majorEastAsia"/>
          <w:sz w:val="22"/>
          <w:szCs w:val="22"/>
        </w:rPr>
      </w:pPr>
      <w:r w:rsidRPr="00C205EA">
        <w:rPr>
          <w:rFonts w:eastAsiaTheme="majorEastAsia"/>
          <w:sz w:val="22"/>
          <w:szCs w:val="22"/>
        </w:rPr>
        <w:t>Other Recommendations.</w:t>
      </w:r>
    </w:p>
    <w:p w14:paraId="33F45F6B" w14:textId="48C733CE" w:rsidR="0020268B" w:rsidRDefault="005634FF" w:rsidP="0020268B">
      <w:pPr>
        <w:jc w:val="both"/>
        <w:rPr>
          <w:rFonts w:cstheme="minorHAnsi"/>
          <w:sz w:val="22"/>
          <w:szCs w:val="22"/>
        </w:rPr>
      </w:pPr>
      <w:r>
        <w:rPr>
          <w:rFonts w:cstheme="minorHAnsi"/>
          <w:sz w:val="22"/>
          <w:szCs w:val="22"/>
        </w:rPr>
        <w:t>Some of the recommendations in this Report are cross-reference</w:t>
      </w:r>
      <w:r w:rsidR="00A4485A">
        <w:rPr>
          <w:rFonts w:cstheme="minorHAnsi"/>
          <w:sz w:val="22"/>
          <w:szCs w:val="22"/>
        </w:rPr>
        <w:t>d</w:t>
      </w:r>
      <w:r>
        <w:rPr>
          <w:rFonts w:cstheme="minorHAnsi"/>
          <w:sz w:val="22"/>
          <w:szCs w:val="22"/>
        </w:rPr>
        <w:t xml:space="preserve"> with recommendations/ideas which emerged from a parallel study TAT undertook into 5 selected sectors in </w:t>
      </w:r>
      <w:r w:rsidR="00C862A7">
        <w:rPr>
          <w:sz w:val="22"/>
          <w:szCs w:val="22"/>
        </w:rPr>
        <w:t>Türkiye, for which a separate Executive Summary Report is available.</w:t>
      </w:r>
    </w:p>
    <w:p w14:paraId="40FD5C0B" w14:textId="77777777" w:rsidR="0020268B" w:rsidRDefault="0020268B" w:rsidP="0020268B">
      <w:pPr>
        <w:jc w:val="both"/>
        <w:rPr>
          <w:rFonts w:cstheme="minorHAnsi"/>
          <w:b/>
          <w:bCs/>
          <w:sz w:val="22"/>
          <w:szCs w:val="22"/>
        </w:rPr>
      </w:pPr>
    </w:p>
    <w:p w14:paraId="52C0F979" w14:textId="77777777" w:rsidR="0020268B" w:rsidRDefault="0020268B" w:rsidP="0020268B">
      <w:pPr>
        <w:jc w:val="both"/>
        <w:rPr>
          <w:rFonts w:cstheme="minorHAnsi"/>
          <w:sz w:val="22"/>
          <w:szCs w:val="22"/>
        </w:rPr>
      </w:pPr>
      <w:r w:rsidRPr="00F93E34">
        <w:rPr>
          <w:rFonts w:cstheme="minorHAnsi"/>
          <w:sz w:val="22"/>
          <w:szCs w:val="22"/>
        </w:rPr>
        <w:t xml:space="preserve">This Report is the result of a collaborative effort </w:t>
      </w:r>
      <w:r>
        <w:rPr>
          <w:rFonts w:cstheme="minorHAnsi"/>
          <w:sz w:val="22"/>
          <w:szCs w:val="22"/>
        </w:rPr>
        <w:t>to</w:t>
      </w:r>
      <w:r w:rsidRPr="00F93E34">
        <w:rPr>
          <w:rFonts w:cstheme="minorHAnsi"/>
          <w:sz w:val="22"/>
          <w:szCs w:val="22"/>
        </w:rPr>
        <w:t xml:space="preserve"> which many stakeholders</w:t>
      </w:r>
      <w:r>
        <w:rPr>
          <w:rFonts w:cstheme="minorHAnsi"/>
          <w:sz w:val="22"/>
          <w:szCs w:val="22"/>
        </w:rPr>
        <w:t xml:space="preserve"> have contributed with their time, ideas and comments. This has been greatly appreciated by the project team, who have been very impressed by the depth of knowledge and commitment they have encountered during the assignment.</w:t>
      </w:r>
    </w:p>
    <w:p w14:paraId="502F6AE0" w14:textId="77777777" w:rsidR="0020268B" w:rsidRDefault="0020268B" w:rsidP="0020268B">
      <w:pPr>
        <w:jc w:val="both"/>
        <w:rPr>
          <w:rFonts w:cstheme="minorHAnsi"/>
          <w:sz w:val="22"/>
          <w:szCs w:val="22"/>
        </w:rPr>
      </w:pPr>
    </w:p>
    <w:p w14:paraId="4623FDFF" w14:textId="77777777" w:rsidR="0020268B" w:rsidRDefault="0020268B" w:rsidP="0020268B">
      <w:pPr>
        <w:jc w:val="both"/>
        <w:rPr>
          <w:rFonts w:cstheme="minorHAnsi"/>
          <w:sz w:val="22"/>
          <w:szCs w:val="22"/>
        </w:rPr>
      </w:pPr>
    </w:p>
    <w:p w14:paraId="6DD40BAE" w14:textId="77777777" w:rsidR="0020268B" w:rsidRPr="00F93E34" w:rsidRDefault="0020268B" w:rsidP="0020268B">
      <w:pPr>
        <w:jc w:val="both"/>
        <w:rPr>
          <w:rFonts w:cstheme="minorHAnsi"/>
          <w:b/>
          <w:bCs/>
          <w:sz w:val="22"/>
          <w:szCs w:val="22"/>
        </w:rPr>
      </w:pPr>
      <w:r w:rsidRPr="00F93E34">
        <w:rPr>
          <w:rFonts w:cstheme="minorHAnsi"/>
          <w:b/>
          <w:bCs/>
          <w:sz w:val="22"/>
          <w:szCs w:val="22"/>
        </w:rPr>
        <w:t>FoW TAT</w:t>
      </w:r>
    </w:p>
    <w:p w14:paraId="7AD10F90" w14:textId="20240D3B" w:rsidR="0020268B" w:rsidRDefault="0020268B" w:rsidP="0020268B">
      <w:pPr>
        <w:jc w:val="both"/>
        <w:rPr>
          <w:rFonts w:cstheme="minorHAnsi"/>
          <w:b/>
          <w:bCs/>
          <w:sz w:val="22"/>
          <w:szCs w:val="22"/>
        </w:rPr>
      </w:pPr>
      <w:r>
        <w:rPr>
          <w:rFonts w:cstheme="minorHAnsi"/>
          <w:b/>
          <w:bCs/>
          <w:sz w:val="22"/>
          <w:szCs w:val="22"/>
        </w:rPr>
        <w:t>October</w:t>
      </w:r>
      <w:r w:rsidRPr="00F93E34">
        <w:rPr>
          <w:rFonts w:cstheme="minorHAnsi"/>
          <w:b/>
          <w:bCs/>
          <w:sz w:val="22"/>
          <w:szCs w:val="22"/>
        </w:rPr>
        <w:t xml:space="preserve"> 2022</w:t>
      </w:r>
    </w:p>
    <w:p w14:paraId="148F5AC2" w14:textId="366AF982" w:rsidR="0015658F" w:rsidRPr="0020268B" w:rsidRDefault="0020268B">
      <w:pPr>
        <w:rPr>
          <w:rFonts w:cstheme="minorHAnsi"/>
          <w:b/>
          <w:bCs/>
          <w:sz w:val="22"/>
          <w:szCs w:val="22"/>
        </w:rPr>
      </w:pPr>
      <w:r>
        <w:rPr>
          <w:rFonts w:cstheme="minorHAnsi"/>
          <w:b/>
          <w:bCs/>
          <w:sz w:val="22"/>
          <w:szCs w:val="22"/>
        </w:rPr>
        <w:br w:type="page"/>
      </w:r>
    </w:p>
    <w:p w14:paraId="4030ABFC" w14:textId="043B28B6" w:rsidR="0015658F" w:rsidRPr="00DD72BE" w:rsidRDefault="008654D3" w:rsidP="00DD72BE">
      <w:pPr>
        <w:pStyle w:val="Heading1"/>
      </w:pPr>
      <w:bookmarkStart w:id="4" w:name="_heading=h.1fob9te" w:colFirst="0" w:colLast="0"/>
      <w:bookmarkStart w:id="5" w:name="_Toc156562584"/>
      <w:bookmarkEnd w:id="4"/>
      <w:r w:rsidRPr="00DD72BE">
        <w:lastRenderedPageBreak/>
        <w:t xml:space="preserve">1. </w:t>
      </w:r>
      <w:r w:rsidR="006A3AF5" w:rsidRPr="00DD72BE">
        <w:t xml:space="preserve">INTRODUCTION </w:t>
      </w:r>
      <w:r w:rsidR="008923E4" w:rsidRPr="00DD72BE">
        <w:t>AND</w:t>
      </w:r>
      <w:r w:rsidR="006A3AF5" w:rsidRPr="00DD72BE">
        <w:t xml:space="preserve"> BACKGROUND OF THE STUDY</w:t>
      </w:r>
      <w:bookmarkEnd w:id="5"/>
    </w:p>
    <w:p w14:paraId="17020CE7" w14:textId="1478A29B" w:rsidR="00C56DBD" w:rsidRPr="00DD72BE" w:rsidRDefault="00C56DBD" w:rsidP="00DD72BE">
      <w:pPr>
        <w:pStyle w:val="Heading2"/>
      </w:pPr>
      <w:bookmarkStart w:id="6" w:name="_Toc156562585"/>
      <w:r w:rsidRPr="00DD72BE">
        <w:t>1.1 Aim</w:t>
      </w:r>
      <w:bookmarkEnd w:id="6"/>
    </w:p>
    <w:p w14:paraId="59512745" w14:textId="29B3236D" w:rsidR="009527C3" w:rsidRDefault="009527C3" w:rsidP="009527C3">
      <w:pPr>
        <w:jc w:val="both"/>
        <w:rPr>
          <w:sz w:val="22"/>
          <w:szCs w:val="22"/>
        </w:rPr>
      </w:pPr>
      <w:r>
        <w:rPr>
          <w:sz w:val="22"/>
          <w:szCs w:val="22"/>
        </w:rPr>
        <w:t xml:space="preserve">The primary aim of this </w:t>
      </w:r>
      <w:r w:rsidR="000675DB">
        <w:rPr>
          <w:sz w:val="22"/>
          <w:szCs w:val="22"/>
        </w:rPr>
        <w:t>R</w:t>
      </w:r>
      <w:r>
        <w:rPr>
          <w:sz w:val="22"/>
          <w:szCs w:val="22"/>
        </w:rPr>
        <w:t xml:space="preserve">eport, and the research it summarises was to </w:t>
      </w:r>
      <w:r w:rsidR="00A13260">
        <w:rPr>
          <w:sz w:val="22"/>
          <w:szCs w:val="22"/>
        </w:rPr>
        <w:t>assess the way in which current legislation on employees’ rights – in particular, the way in which the Labour Law was protecting women’s employment rights and promoting women’s employment -  was functioning at grass-roots level, and, thereby, to enable Turkish policy-makers to determine whether changes in the labour Law were necessary to strengthen the application of the labour Law.</w:t>
      </w:r>
    </w:p>
    <w:p w14:paraId="725263A1" w14:textId="5DC50AF4" w:rsidR="009527C3" w:rsidRDefault="009527C3" w:rsidP="009527C3">
      <w:pPr>
        <w:jc w:val="both"/>
        <w:rPr>
          <w:sz w:val="22"/>
          <w:szCs w:val="22"/>
        </w:rPr>
      </w:pPr>
    </w:p>
    <w:p w14:paraId="48FC1D2D" w14:textId="39C6A36F" w:rsidR="00C56DBD" w:rsidRPr="00DD72BE" w:rsidRDefault="00C56DBD" w:rsidP="00DD72BE">
      <w:pPr>
        <w:pStyle w:val="Heading2"/>
      </w:pPr>
      <w:bookmarkStart w:id="7" w:name="_Toc156562586"/>
      <w:r w:rsidRPr="00DD72BE">
        <w:t>1.2 Scope</w:t>
      </w:r>
      <w:bookmarkEnd w:id="7"/>
    </w:p>
    <w:p w14:paraId="6B420908" w14:textId="1C9725E9" w:rsidR="009527C3" w:rsidRPr="009527C3" w:rsidRDefault="009527C3" w:rsidP="009527C3">
      <w:pPr>
        <w:jc w:val="both"/>
        <w:rPr>
          <w:sz w:val="22"/>
          <w:szCs w:val="22"/>
        </w:rPr>
      </w:pPr>
      <w:r>
        <w:rPr>
          <w:sz w:val="22"/>
          <w:szCs w:val="22"/>
        </w:rPr>
        <w:t xml:space="preserve">The scope of the research was </w:t>
      </w:r>
      <w:r w:rsidR="00A13260">
        <w:rPr>
          <w:sz w:val="22"/>
          <w:szCs w:val="22"/>
        </w:rPr>
        <w:t xml:space="preserve">broad: Desk Research examined current Turkish and International legislation with regard to employment rights; a field study was conducted in 5 provinces (Adana, Ankara, Bursa, Istanbul and Izmir) involving over 500 stakeholders and including employers and employees; a Pre-Study Workshop </w:t>
      </w:r>
      <w:r w:rsidR="00A63488">
        <w:rPr>
          <w:sz w:val="22"/>
          <w:szCs w:val="22"/>
        </w:rPr>
        <w:t xml:space="preserve">provided stakeholder opinions which helped to refine the questionnaire for the field study; and  Post-Study Workshop enabled stakeholders to comment on draft recommendations before they were finalised. </w:t>
      </w:r>
    </w:p>
    <w:p w14:paraId="7CFD4731" w14:textId="71F7A85A" w:rsidR="009527C3" w:rsidRDefault="009527C3">
      <w:pPr>
        <w:jc w:val="both"/>
        <w:rPr>
          <w:sz w:val="22"/>
          <w:szCs w:val="22"/>
        </w:rPr>
      </w:pPr>
    </w:p>
    <w:p w14:paraId="16BBD53F" w14:textId="5B03BF16" w:rsidR="00C56DBD" w:rsidRPr="00333642" w:rsidRDefault="00C56DBD" w:rsidP="00333642">
      <w:pPr>
        <w:pStyle w:val="Heading2"/>
      </w:pPr>
      <w:bookmarkStart w:id="8" w:name="_Toc156562587"/>
      <w:r w:rsidRPr="000675DB">
        <w:t>1</w:t>
      </w:r>
      <w:r w:rsidRPr="00DD72BE">
        <w:t>.3 Commissioning the Work</w:t>
      </w:r>
      <w:bookmarkEnd w:id="8"/>
    </w:p>
    <w:p w14:paraId="475854AB" w14:textId="6ACE4E75" w:rsidR="009527C3" w:rsidRPr="0020268B" w:rsidRDefault="009527C3">
      <w:pPr>
        <w:jc w:val="both"/>
        <w:rPr>
          <w:bCs/>
          <w:sz w:val="22"/>
          <w:szCs w:val="22"/>
        </w:rPr>
      </w:pPr>
      <w:r>
        <w:rPr>
          <w:bCs/>
          <w:sz w:val="22"/>
          <w:szCs w:val="22"/>
        </w:rPr>
        <w:t xml:space="preserve">The Report was commissioned by the Turkish Ministry of Labour and Social Security (MoLSS)’s Department for Employment Policies, to examine the </w:t>
      </w:r>
      <w:r w:rsidR="00304C2F">
        <w:rPr>
          <w:bCs/>
          <w:sz w:val="22"/>
          <w:szCs w:val="22"/>
        </w:rPr>
        <w:t xml:space="preserve">effectiveness of Turkish legislation in protecting women’s working rights and in promoting greater participation by women in the Turkish labour force, and </w:t>
      </w:r>
      <w:r>
        <w:rPr>
          <w:bCs/>
          <w:sz w:val="22"/>
          <w:szCs w:val="22"/>
        </w:rPr>
        <w:t xml:space="preserve">to develop recommendations to </w:t>
      </w:r>
      <w:r w:rsidR="00304C2F">
        <w:rPr>
          <w:bCs/>
          <w:sz w:val="22"/>
          <w:szCs w:val="22"/>
        </w:rPr>
        <w:t xml:space="preserve">for improvements where necessary. </w:t>
      </w:r>
      <w:r>
        <w:rPr>
          <w:bCs/>
          <w:sz w:val="22"/>
          <w:szCs w:val="22"/>
        </w:rPr>
        <w:t xml:space="preserve">The Report was produced by a project team working within the EU-funded project ‘Technical Assistance for Promoting Decent Future of Work Approach with a Focus on Gender Equality’.  </w:t>
      </w:r>
      <w:r>
        <w:rPr>
          <w:sz w:val="22"/>
          <w:szCs w:val="22"/>
        </w:rPr>
        <w:t>The project</w:t>
      </w:r>
      <w:r w:rsidR="00C56DBD">
        <w:rPr>
          <w:sz w:val="22"/>
          <w:szCs w:val="22"/>
        </w:rPr>
        <w:t xml:space="preserve">’s Technical Assistance Team </w:t>
      </w:r>
      <w:r>
        <w:rPr>
          <w:sz w:val="22"/>
          <w:szCs w:val="22"/>
        </w:rPr>
        <w:t>contracted a research expert</w:t>
      </w:r>
      <w:r w:rsidR="00304C2F">
        <w:rPr>
          <w:sz w:val="22"/>
          <w:szCs w:val="22"/>
        </w:rPr>
        <w:t xml:space="preserve">, a legal expert and a gender expert to </w:t>
      </w:r>
      <w:r w:rsidR="0020268B">
        <w:rPr>
          <w:sz w:val="22"/>
          <w:szCs w:val="22"/>
        </w:rPr>
        <w:t xml:space="preserve">lead the study </w:t>
      </w:r>
      <w:r>
        <w:rPr>
          <w:sz w:val="22"/>
          <w:szCs w:val="22"/>
        </w:rPr>
        <w:t xml:space="preserve">and to contribute to the drafting of the recommendations and this </w:t>
      </w:r>
      <w:r w:rsidR="000675DB">
        <w:rPr>
          <w:sz w:val="22"/>
          <w:szCs w:val="22"/>
        </w:rPr>
        <w:t>R</w:t>
      </w:r>
      <w:r>
        <w:rPr>
          <w:sz w:val="22"/>
          <w:szCs w:val="22"/>
        </w:rPr>
        <w:t xml:space="preserve">eport. In all, </w:t>
      </w:r>
      <w:r w:rsidR="00304C2F">
        <w:rPr>
          <w:sz w:val="22"/>
          <w:szCs w:val="22"/>
        </w:rPr>
        <w:t>78</w:t>
      </w:r>
      <w:r w:rsidR="0020268B">
        <w:rPr>
          <w:sz w:val="22"/>
          <w:szCs w:val="22"/>
        </w:rPr>
        <w:t xml:space="preserve"> </w:t>
      </w:r>
      <w:r>
        <w:rPr>
          <w:sz w:val="22"/>
          <w:szCs w:val="22"/>
        </w:rPr>
        <w:t>expert days were deployed to this exercise, which began in April 2022 and was concluded in August 2023.</w:t>
      </w:r>
    </w:p>
    <w:p w14:paraId="758EDF74" w14:textId="051F4C2C" w:rsidR="00C56DBD" w:rsidRDefault="00C56DBD">
      <w:pPr>
        <w:jc w:val="both"/>
        <w:rPr>
          <w:sz w:val="22"/>
          <w:szCs w:val="22"/>
        </w:rPr>
      </w:pPr>
    </w:p>
    <w:p w14:paraId="52159670" w14:textId="00947972" w:rsidR="00C56DBD" w:rsidRPr="00DD72BE" w:rsidRDefault="00C56DBD" w:rsidP="00DD72BE">
      <w:pPr>
        <w:pStyle w:val="Heading2"/>
      </w:pPr>
      <w:bookmarkStart w:id="9" w:name="_Toc156562588"/>
      <w:r w:rsidRPr="00DD72BE">
        <w:t>1.4 Context</w:t>
      </w:r>
      <w:r w:rsidR="000675DB" w:rsidRPr="00DD72BE">
        <w:t xml:space="preserve"> and Focus</w:t>
      </w:r>
      <w:bookmarkEnd w:id="9"/>
    </w:p>
    <w:p w14:paraId="16EA8F51" w14:textId="6BBF4ACB" w:rsidR="000675DB" w:rsidRDefault="000675DB" w:rsidP="000675DB">
      <w:pPr>
        <w:jc w:val="both"/>
        <w:rPr>
          <w:sz w:val="22"/>
          <w:szCs w:val="22"/>
        </w:rPr>
      </w:pPr>
      <w:r>
        <w:rPr>
          <w:sz w:val="22"/>
          <w:szCs w:val="22"/>
        </w:rPr>
        <w:t xml:space="preserve">The project, </w:t>
      </w:r>
      <w:r w:rsidR="00B0130C">
        <w:rPr>
          <w:sz w:val="22"/>
          <w:szCs w:val="22"/>
        </w:rPr>
        <w:t>‘</w:t>
      </w:r>
      <w:r>
        <w:rPr>
          <w:bCs/>
          <w:sz w:val="22"/>
          <w:szCs w:val="22"/>
        </w:rPr>
        <w:t>Technical Assistance for Promoting Decent Future of Work Approach with a Focus on Gender Equality</w:t>
      </w:r>
      <w:r w:rsidR="00B0130C">
        <w:rPr>
          <w:bCs/>
          <w:sz w:val="22"/>
          <w:szCs w:val="22"/>
        </w:rPr>
        <w:t>’</w:t>
      </w:r>
      <w:r>
        <w:rPr>
          <w:bCs/>
          <w:sz w:val="22"/>
          <w:szCs w:val="22"/>
        </w:rPr>
        <w:t xml:space="preserve"> was given a </w:t>
      </w:r>
      <w:r>
        <w:rPr>
          <w:sz w:val="22"/>
          <w:szCs w:val="22"/>
        </w:rPr>
        <w:t>Terms of Reference (ToR) which set the following task for the Technical Assistance Team:</w:t>
      </w:r>
    </w:p>
    <w:p w14:paraId="3F88C482" w14:textId="77777777" w:rsidR="000675DB" w:rsidRDefault="000675DB" w:rsidP="000675DB">
      <w:pPr>
        <w:jc w:val="both"/>
        <w:rPr>
          <w:b/>
          <w:sz w:val="22"/>
          <w:szCs w:val="22"/>
        </w:rPr>
      </w:pPr>
      <w:r>
        <w:rPr>
          <w:b/>
          <w:sz w:val="22"/>
          <w:szCs w:val="22"/>
        </w:rPr>
        <w:t xml:space="preserve"> </w:t>
      </w:r>
    </w:p>
    <w:p w14:paraId="7585D4EA" w14:textId="77777777" w:rsidR="00304C2F" w:rsidRPr="00DB0C40" w:rsidRDefault="00304C2F" w:rsidP="00304C2F">
      <w:pPr>
        <w:jc w:val="both"/>
        <w:rPr>
          <w:i/>
          <w:sz w:val="22"/>
          <w:szCs w:val="22"/>
        </w:rPr>
      </w:pPr>
      <w:bookmarkStart w:id="10" w:name="_heading=h.3znysh7" w:colFirst="0" w:colLast="0"/>
      <w:bookmarkEnd w:id="10"/>
      <w:r w:rsidRPr="00DB0C40">
        <w:rPr>
          <w:i/>
          <w:sz w:val="22"/>
          <w:szCs w:val="22"/>
        </w:rPr>
        <w:t xml:space="preserve">“An impact assessment will be conducted concerning the latest legal arrangement for women employment such as maternity leave, paternity leave, part-time work, unpaid leave, registered/ unregistered employment, incentives for improving women employment, care facilities, remote working, etc. </w:t>
      </w:r>
    </w:p>
    <w:p w14:paraId="2A460327" w14:textId="77777777" w:rsidR="00304C2F" w:rsidRPr="00DB0C40" w:rsidRDefault="00304C2F" w:rsidP="00304C2F">
      <w:pPr>
        <w:jc w:val="both"/>
        <w:rPr>
          <w:i/>
          <w:sz w:val="22"/>
          <w:szCs w:val="22"/>
        </w:rPr>
      </w:pPr>
      <w:r w:rsidRPr="00DB0C40">
        <w:rPr>
          <w:i/>
          <w:sz w:val="22"/>
          <w:szCs w:val="22"/>
        </w:rPr>
        <w:t>The aim of the Impact Assessment is to identify the contribution of recent legislative arrangements to women's employment in order to support women's participation in the labour force and to determine the tendency to continue or change the policies implemented in this field.</w:t>
      </w:r>
    </w:p>
    <w:p w14:paraId="5AF3C99B" w14:textId="77777777" w:rsidR="00304C2F" w:rsidRPr="00DB0C40" w:rsidRDefault="00304C2F" w:rsidP="00304C2F">
      <w:pPr>
        <w:jc w:val="both"/>
        <w:rPr>
          <w:i/>
          <w:sz w:val="22"/>
          <w:szCs w:val="22"/>
        </w:rPr>
      </w:pPr>
      <w:r w:rsidRPr="00DB0C40">
        <w:rPr>
          <w:i/>
          <w:sz w:val="22"/>
          <w:szCs w:val="22"/>
        </w:rPr>
        <w:t xml:space="preserve">A detailed desk study of Turkish legislations, laws, directives, etc. will be conducted in Ankara and the subject study will be compared with the EU and ILO legislation, data, strategies, etc. </w:t>
      </w:r>
    </w:p>
    <w:p w14:paraId="558A225D" w14:textId="77777777" w:rsidR="00304C2F" w:rsidRPr="00DB0C40" w:rsidRDefault="00304C2F" w:rsidP="00304C2F">
      <w:pPr>
        <w:jc w:val="both"/>
        <w:rPr>
          <w:i/>
          <w:sz w:val="22"/>
          <w:szCs w:val="22"/>
        </w:rPr>
      </w:pPr>
      <w:r w:rsidRPr="00DB0C40">
        <w:rPr>
          <w:i/>
          <w:sz w:val="22"/>
          <w:szCs w:val="22"/>
        </w:rPr>
        <w:t xml:space="preserve">In addition to desk study, interviews with public institutions and organisations in Ankara that implement the relevant articles of Labour Law will be done accordingly. Moreover, Face-to-face interviews will cover also </w:t>
      </w:r>
      <w:r w:rsidRPr="00DB0C40">
        <w:rPr>
          <w:i/>
          <w:sz w:val="22"/>
          <w:szCs w:val="22"/>
        </w:rPr>
        <w:lastRenderedPageBreak/>
        <w:t xml:space="preserve">women employees and employers in the sectors where regulations are most effective and least effective in Ankara, Adana, Bursa, İstanbul and İzmir. </w:t>
      </w:r>
    </w:p>
    <w:p w14:paraId="2F552892" w14:textId="77777777" w:rsidR="00304C2F" w:rsidRPr="00DB0C40" w:rsidRDefault="00304C2F" w:rsidP="00304C2F">
      <w:pPr>
        <w:jc w:val="both"/>
        <w:rPr>
          <w:i/>
          <w:sz w:val="22"/>
          <w:szCs w:val="22"/>
        </w:rPr>
      </w:pPr>
      <w:r w:rsidRPr="00DB0C40">
        <w:rPr>
          <w:i/>
          <w:sz w:val="22"/>
          <w:szCs w:val="22"/>
        </w:rPr>
        <w:t xml:space="preserve">The face-to-face interviews will be conducted with a total of 500 persons, approximately 100 persons for each province. </w:t>
      </w:r>
    </w:p>
    <w:p w14:paraId="71023A42" w14:textId="77777777" w:rsidR="00304C2F" w:rsidRPr="00DB0C40" w:rsidRDefault="00304C2F" w:rsidP="00304C2F">
      <w:pPr>
        <w:jc w:val="both"/>
        <w:rPr>
          <w:i/>
          <w:sz w:val="22"/>
          <w:szCs w:val="22"/>
        </w:rPr>
      </w:pPr>
      <w:r w:rsidRPr="00DB0C40">
        <w:rPr>
          <w:i/>
          <w:sz w:val="22"/>
          <w:szCs w:val="22"/>
        </w:rPr>
        <w:t xml:space="preserve">The Report will be prepared in cooperation with the relevant institutions, NGOs, professional organisations and social partners. </w:t>
      </w:r>
    </w:p>
    <w:p w14:paraId="205498FE" w14:textId="093707C3" w:rsidR="00333642" w:rsidRDefault="00304C2F" w:rsidP="00304C2F">
      <w:pPr>
        <w:jc w:val="both"/>
        <w:rPr>
          <w:sz w:val="22"/>
          <w:szCs w:val="22"/>
        </w:rPr>
      </w:pPr>
      <w:r w:rsidRPr="00DB0C40">
        <w:rPr>
          <w:i/>
          <w:sz w:val="22"/>
          <w:szCs w:val="22"/>
        </w:rPr>
        <w:t>A recommendation report which will include analysis of finding of the research will be drafted in English with executive Turkish summary and it will be used to update relevant strategy plans and/or policies. The subject report will be officially disseminated by the Operation Beneficiary to relevant stakeholders such as relevant public institutions, NGOs, social partners</w:t>
      </w:r>
      <w:r>
        <w:rPr>
          <w:i/>
          <w:sz w:val="22"/>
          <w:szCs w:val="22"/>
        </w:rPr>
        <w:t>, etc.</w:t>
      </w:r>
      <w:r w:rsidRPr="00DB0C40">
        <w:rPr>
          <w:i/>
          <w:sz w:val="22"/>
          <w:szCs w:val="22"/>
        </w:rPr>
        <w:t>“</w:t>
      </w:r>
      <w:r>
        <w:rPr>
          <w:i/>
          <w:sz w:val="22"/>
          <w:szCs w:val="22"/>
        </w:rPr>
        <w:t>.</w:t>
      </w:r>
    </w:p>
    <w:p w14:paraId="63AA7F7B" w14:textId="687E08DC" w:rsidR="008654D3" w:rsidRPr="00DD72BE" w:rsidRDefault="008654D3" w:rsidP="00DD72BE">
      <w:pPr>
        <w:pStyle w:val="Heading1"/>
      </w:pPr>
      <w:bookmarkStart w:id="11" w:name="_Toc156562589"/>
      <w:r w:rsidRPr="00DD72BE">
        <w:t xml:space="preserve">2. </w:t>
      </w:r>
      <w:r w:rsidR="00CF6DEA" w:rsidRPr="00DD72BE">
        <w:t>RESEARCH METHODOLOGY AND APPROACH</w:t>
      </w:r>
      <w:bookmarkEnd w:id="11"/>
    </w:p>
    <w:p w14:paraId="7C9EB3F7" w14:textId="7C3E6422" w:rsidR="00CF6DEA" w:rsidRPr="00DD72BE" w:rsidRDefault="00CF6DEA" w:rsidP="00DD72BE">
      <w:pPr>
        <w:pStyle w:val="Heading2"/>
      </w:pPr>
      <w:bookmarkStart w:id="12" w:name="_Toc156562590"/>
      <w:r w:rsidRPr="00DD72BE">
        <w:t>2.1 Outline Methodology</w:t>
      </w:r>
      <w:bookmarkEnd w:id="12"/>
      <w:r w:rsidRPr="00DD72BE">
        <w:t xml:space="preserve"> </w:t>
      </w:r>
    </w:p>
    <w:p w14:paraId="6F6B0769" w14:textId="1E2E70F9" w:rsidR="00CF6DEA" w:rsidRDefault="00CF6DEA" w:rsidP="00CF6DEA">
      <w:pPr>
        <w:jc w:val="both"/>
        <w:rPr>
          <w:sz w:val="22"/>
          <w:szCs w:val="22"/>
        </w:rPr>
      </w:pPr>
      <w:r>
        <w:rPr>
          <w:sz w:val="22"/>
          <w:szCs w:val="22"/>
        </w:rPr>
        <w:t xml:space="preserve">The Project Technical Assistance Team, together with </w:t>
      </w:r>
      <w:r w:rsidR="00A63488">
        <w:rPr>
          <w:sz w:val="22"/>
          <w:szCs w:val="22"/>
        </w:rPr>
        <w:t xml:space="preserve">a team of </w:t>
      </w:r>
      <w:r>
        <w:rPr>
          <w:sz w:val="22"/>
          <w:szCs w:val="22"/>
        </w:rPr>
        <w:t>research expert</w:t>
      </w:r>
      <w:r w:rsidR="00A63488">
        <w:rPr>
          <w:sz w:val="22"/>
          <w:szCs w:val="22"/>
        </w:rPr>
        <w:t>s</w:t>
      </w:r>
      <w:r>
        <w:rPr>
          <w:sz w:val="22"/>
          <w:szCs w:val="22"/>
        </w:rPr>
        <w:t xml:space="preserve">, carried out </w:t>
      </w:r>
      <w:r w:rsidR="00304C2F">
        <w:rPr>
          <w:sz w:val="22"/>
          <w:szCs w:val="22"/>
        </w:rPr>
        <w:t>6</w:t>
      </w:r>
      <w:r>
        <w:rPr>
          <w:sz w:val="22"/>
          <w:szCs w:val="22"/>
        </w:rPr>
        <w:t xml:space="preserve"> levels of research into </w:t>
      </w:r>
      <w:r w:rsidR="00A63488">
        <w:rPr>
          <w:sz w:val="22"/>
          <w:szCs w:val="22"/>
        </w:rPr>
        <w:t>legislation and application of legislation concerning employment rights:</w:t>
      </w:r>
    </w:p>
    <w:p w14:paraId="78082A92" w14:textId="77777777" w:rsidR="00CF6DEA" w:rsidRDefault="00CF6DEA" w:rsidP="00CF6DEA">
      <w:pPr>
        <w:jc w:val="both"/>
        <w:rPr>
          <w:sz w:val="22"/>
          <w:szCs w:val="22"/>
        </w:rPr>
      </w:pPr>
    </w:p>
    <w:p w14:paraId="7E061EF6" w14:textId="77777777" w:rsidR="00304C2F" w:rsidRPr="00431188" w:rsidRDefault="00304C2F" w:rsidP="00304C2F">
      <w:pPr>
        <w:pStyle w:val="ListParagraph"/>
        <w:numPr>
          <w:ilvl w:val="0"/>
          <w:numId w:val="4"/>
        </w:numPr>
        <w:jc w:val="both"/>
        <w:rPr>
          <w:rFonts w:cstheme="minorHAnsi"/>
          <w:sz w:val="22"/>
          <w:szCs w:val="22"/>
        </w:rPr>
      </w:pPr>
      <w:r>
        <w:rPr>
          <w:rFonts w:cstheme="minorHAnsi"/>
          <w:sz w:val="22"/>
          <w:szCs w:val="22"/>
        </w:rPr>
        <w:t>Conducting e</w:t>
      </w:r>
      <w:r w:rsidRPr="00431188">
        <w:rPr>
          <w:rFonts w:cstheme="minorHAnsi"/>
          <w:sz w:val="22"/>
          <w:szCs w:val="22"/>
        </w:rPr>
        <w:t xml:space="preserve">xtensive desk research into international and Turkish </w:t>
      </w:r>
      <w:r>
        <w:rPr>
          <w:rFonts w:cstheme="minorHAnsi"/>
          <w:sz w:val="22"/>
          <w:szCs w:val="22"/>
        </w:rPr>
        <w:t xml:space="preserve">legislation and </w:t>
      </w:r>
      <w:r w:rsidRPr="00431188">
        <w:rPr>
          <w:rFonts w:cstheme="minorHAnsi"/>
          <w:sz w:val="22"/>
          <w:szCs w:val="22"/>
        </w:rPr>
        <w:t>approaches</w:t>
      </w:r>
      <w:r>
        <w:rPr>
          <w:rFonts w:cstheme="minorHAnsi"/>
          <w:sz w:val="22"/>
          <w:szCs w:val="22"/>
        </w:rPr>
        <w:t xml:space="preserve"> regarding women’s working rights</w:t>
      </w:r>
      <w:r w:rsidRPr="00431188">
        <w:rPr>
          <w:rFonts w:cstheme="minorHAnsi"/>
          <w:sz w:val="22"/>
          <w:szCs w:val="22"/>
        </w:rPr>
        <w:t>;</w:t>
      </w:r>
    </w:p>
    <w:p w14:paraId="4BDECE0F" w14:textId="77777777" w:rsidR="00304C2F" w:rsidRPr="00431188" w:rsidRDefault="00304C2F" w:rsidP="00304C2F">
      <w:pPr>
        <w:pStyle w:val="ListParagraph"/>
        <w:numPr>
          <w:ilvl w:val="0"/>
          <w:numId w:val="4"/>
        </w:numPr>
        <w:jc w:val="both"/>
        <w:rPr>
          <w:rFonts w:cstheme="minorHAnsi"/>
          <w:sz w:val="22"/>
          <w:szCs w:val="22"/>
        </w:rPr>
      </w:pPr>
      <w:r>
        <w:rPr>
          <w:rFonts w:cstheme="minorHAnsi"/>
          <w:sz w:val="22"/>
          <w:szCs w:val="22"/>
        </w:rPr>
        <w:t>Holding a series of s</w:t>
      </w:r>
      <w:r w:rsidRPr="00431188">
        <w:rPr>
          <w:rFonts w:cstheme="minorHAnsi"/>
          <w:sz w:val="22"/>
          <w:szCs w:val="22"/>
        </w:rPr>
        <w:t xml:space="preserve">tructured meetings with </w:t>
      </w:r>
      <w:r>
        <w:rPr>
          <w:rFonts w:cstheme="minorHAnsi"/>
          <w:sz w:val="22"/>
          <w:szCs w:val="22"/>
        </w:rPr>
        <w:t xml:space="preserve">relevant stakeholder </w:t>
      </w:r>
      <w:r w:rsidRPr="00431188">
        <w:rPr>
          <w:rFonts w:cstheme="minorHAnsi"/>
          <w:sz w:val="22"/>
          <w:szCs w:val="22"/>
        </w:rPr>
        <w:t>institutions</w:t>
      </w:r>
      <w:r>
        <w:rPr>
          <w:rFonts w:cstheme="minorHAnsi"/>
          <w:sz w:val="22"/>
          <w:szCs w:val="22"/>
        </w:rPr>
        <w:t xml:space="preserve"> in Türkiye</w:t>
      </w:r>
      <w:r w:rsidRPr="00431188">
        <w:rPr>
          <w:rFonts w:cstheme="minorHAnsi"/>
          <w:sz w:val="22"/>
          <w:szCs w:val="22"/>
        </w:rPr>
        <w:t>;</w:t>
      </w:r>
    </w:p>
    <w:p w14:paraId="3D93F7AE" w14:textId="5AE2D075" w:rsidR="00304C2F" w:rsidRDefault="00304C2F" w:rsidP="00304C2F">
      <w:pPr>
        <w:pStyle w:val="ListParagraph"/>
        <w:numPr>
          <w:ilvl w:val="0"/>
          <w:numId w:val="4"/>
        </w:numPr>
        <w:jc w:val="both"/>
        <w:rPr>
          <w:rFonts w:cstheme="minorHAnsi"/>
          <w:sz w:val="22"/>
          <w:szCs w:val="22"/>
        </w:rPr>
      </w:pPr>
      <w:r>
        <w:rPr>
          <w:rFonts w:cstheme="minorHAnsi"/>
          <w:sz w:val="22"/>
          <w:szCs w:val="22"/>
        </w:rPr>
        <w:t>Delivering a Pre-Study</w:t>
      </w:r>
      <w:r w:rsidRPr="00431188">
        <w:rPr>
          <w:rFonts w:cstheme="minorHAnsi"/>
          <w:sz w:val="22"/>
          <w:szCs w:val="22"/>
        </w:rPr>
        <w:t xml:space="preserve"> Workshop </w:t>
      </w:r>
      <w:r>
        <w:rPr>
          <w:rFonts w:cstheme="minorHAnsi"/>
          <w:sz w:val="22"/>
          <w:szCs w:val="22"/>
        </w:rPr>
        <w:t xml:space="preserve">during which </w:t>
      </w:r>
      <w:r w:rsidR="0078303C">
        <w:rPr>
          <w:rFonts w:cstheme="minorHAnsi"/>
          <w:sz w:val="22"/>
          <w:szCs w:val="22"/>
        </w:rPr>
        <w:t>51</w:t>
      </w:r>
      <w:r>
        <w:rPr>
          <w:rFonts w:cstheme="minorHAnsi"/>
          <w:sz w:val="22"/>
          <w:szCs w:val="22"/>
        </w:rPr>
        <w:t xml:space="preserve"> </w:t>
      </w:r>
      <w:r w:rsidRPr="00431188">
        <w:rPr>
          <w:rFonts w:cstheme="minorHAnsi"/>
          <w:sz w:val="22"/>
          <w:szCs w:val="22"/>
        </w:rPr>
        <w:t xml:space="preserve">representatives of the public and third sectors </w:t>
      </w:r>
      <w:r>
        <w:rPr>
          <w:rFonts w:cstheme="minorHAnsi"/>
          <w:sz w:val="22"/>
          <w:szCs w:val="22"/>
        </w:rPr>
        <w:t xml:space="preserve">were encouraged to </w:t>
      </w:r>
      <w:r w:rsidRPr="00431188">
        <w:rPr>
          <w:rFonts w:cstheme="minorHAnsi"/>
          <w:sz w:val="22"/>
          <w:szCs w:val="22"/>
        </w:rPr>
        <w:t xml:space="preserve">formulate their views on how </w:t>
      </w:r>
      <w:r>
        <w:rPr>
          <w:rFonts w:cstheme="minorHAnsi"/>
          <w:sz w:val="22"/>
          <w:szCs w:val="22"/>
        </w:rPr>
        <w:t>Turkish legislation and practice were working and whether changes were required;</w:t>
      </w:r>
    </w:p>
    <w:p w14:paraId="7091AD11" w14:textId="77777777" w:rsidR="00304C2F" w:rsidRDefault="00304C2F" w:rsidP="00304C2F">
      <w:pPr>
        <w:pStyle w:val="ListParagraph"/>
        <w:numPr>
          <w:ilvl w:val="0"/>
          <w:numId w:val="4"/>
        </w:numPr>
        <w:jc w:val="both"/>
        <w:rPr>
          <w:rFonts w:cstheme="minorHAnsi"/>
          <w:sz w:val="22"/>
          <w:szCs w:val="22"/>
        </w:rPr>
      </w:pPr>
      <w:r>
        <w:rPr>
          <w:rFonts w:cstheme="minorHAnsi"/>
          <w:sz w:val="22"/>
          <w:szCs w:val="22"/>
        </w:rPr>
        <w:t xml:space="preserve">Undertaking a field study involving over 500 face-to-face interviews with employers and employees in 5 Turkish provinces (Adana, Ankara, Bursa, Istanbul and Izmir); </w:t>
      </w:r>
    </w:p>
    <w:p w14:paraId="1FA963BB" w14:textId="2C7E73B2" w:rsidR="00304C2F" w:rsidRDefault="00304C2F" w:rsidP="00304C2F">
      <w:pPr>
        <w:pStyle w:val="ListParagraph"/>
        <w:numPr>
          <w:ilvl w:val="0"/>
          <w:numId w:val="4"/>
        </w:numPr>
        <w:jc w:val="both"/>
        <w:rPr>
          <w:rFonts w:cstheme="minorHAnsi"/>
          <w:sz w:val="22"/>
          <w:szCs w:val="22"/>
        </w:rPr>
      </w:pPr>
      <w:r>
        <w:rPr>
          <w:rFonts w:cstheme="minorHAnsi"/>
          <w:sz w:val="22"/>
          <w:szCs w:val="22"/>
        </w:rPr>
        <w:t>Delivering a Post-Study</w:t>
      </w:r>
      <w:r w:rsidRPr="00431188">
        <w:rPr>
          <w:rFonts w:cstheme="minorHAnsi"/>
          <w:sz w:val="22"/>
          <w:szCs w:val="22"/>
        </w:rPr>
        <w:t xml:space="preserve"> Workshop </w:t>
      </w:r>
      <w:r>
        <w:rPr>
          <w:rFonts w:cstheme="minorHAnsi"/>
          <w:sz w:val="22"/>
          <w:szCs w:val="22"/>
        </w:rPr>
        <w:t xml:space="preserve">during which </w:t>
      </w:r>
      <w:r w:rsidR="00822233">
        <w:rPr>
          <w:rFonts w:cstheme="minorHAnsi"/>
          <w:sz w:val="22"/>
          <w:szCs w:val="22"/>
        </w:rPr>
        <w:t>110</w:t>
      </w:r>
      <w:r w:rsidRPr="00431188">
        <w:rPr>
          <w:rFonts w:cstheme="minorHAnsi"/>
          <w:sz w:val="22"/>
          <w:szCs w:val="22"/>
        </w:rPr>
        <w:t xml:space="preserve"> representatives of the public and third sectors </w:t>
      </w:r>
      <w:r>
        <w:rPr>
          <w:rFonts w:cstheme="minorHAnsi"/>
          <w:sz w:val="22"/>
          <w:szCs w:val="22"/>
        </w:rPr>
        <w:t>provided feedback to draft Recommendations formulated from feedback in the preceding stages;</w:t>
      </w:r>
    </w:p>
    <w:p w14:paraId="4063CED5" w14:textId="77777777" w:rsidR="00304C2F" w:rsidRPr="00AF708B" w:rsidRDefault="00304C2F" w:rsidP="00304C2F">
      <w:pPr>
        <w:pStyle w:val="ListParagraph"/>
        <w:numPr>
          <w:ilvl w:val="0"/>
          <w:numId w:val="4"/>
        </w:numPr>
        <w:jc w:val="both"/>
        <w:rPr>
          <w:rFonts w:cstheme="minorHAnsi"/>
          <w:sz w:val="22"/>
          <w:szCs w:val="22"/>
        </w:rPr>
      </w:pPr>
      <w:r>
        <w:rPr>
          <w:rFonts w:cstheme="minorHAnsi"/>
          <w:sz w:val="22"/>
          <w:szCs w:val="22"/>
        </w:rPr>
        <w:t>Subjecting all feedback to a data analysis process.</w:t>
      </w:r>
    </w:p>
    <w:p w14:paraId="4F0A7F1A" w14:textId="77777777" w:rsidR="00CF6DEA" w:rsidRDefault="00CF6DEA" w:rsidP="00CF6DEA">
      <w:pPr>
        <w:jc w:val="both"/>
        <w:rPr>
          <w:sz w:val="22"/>
          <w:szCs w:val="22"/>
        </w:rPr>
      </w:pPr>
    </w:p>
    <w:p w14:paraId="78DC574A" w14:textId="7A5A5135" w:rsidR="00CF6DEA" w:rsidRPr="008654D3" w:rsidRDefault="00CF6DEA" w:rsidP="008654D3">
      <w:pPr>
        <w:jc w:val="both"/>
        <w:rPr>
          <w:sz w:val="22"/>
          <w:szCs w:val="22"/>
        </w:rPr>
      </w:pPr>
      <w:r>
        <w:rPr>
          <w:sz w:val="22"/>
          <w:szCs w:val="22"/>
        </w:rPr>
        <w:t xml:space="preserve">Each element is the summarised within its own sub-Section below, each is supported by an Annex containing a detailed report which provides all necessary information to support the </w:t>
      </w:r>
      <w:r w:rsidR="00304C2F">
        <w:rPr>
          <w:sz w:val="22"/>
          <w:szCs w:val="22"/>
        </w:rPr>
        <w:t>18</w:t>
      </w:r>
      <w:r>
        <w:rPr>
          <w:sz w:val="22"/>
          <w:szCs w:val="22"/>
        </w:rPr>
        <w:t xml:space="preserve"> evidence-based recommendations which conclude this Report. </w:t>
      </w:r>
    </w:p>
    <w:p w14:paraId="3E66C482" w14:textId="3E1BCE2F" w:rsidR="00CF6DEA" w:rsidRPr="00DD72BE" w:rsidRDefault="00CF6DEA" w:rsidP="00DD72BE">
      <w:pPr>
        <w:pStyle w:val="Heading3"/>
      </w:pPr>
      <w:bookmarkStart w:id="13" w:name="_Toc156562591"/>
      <w:r w:rsidRPr="00DD72BE">
        <w:t>2.</w:t>
      </w:r>
      <w:r w:rsidR="00A02D07" w:rsidRPr="00DD72BE">
        <w:t>1.</w:t>
      </w:r>
      <w:r w:rsidRPr="00DD72BE">
        <w:t>2 Desk Research (see Annex 1)</w:t>
      </w:r>
      <w:bookmarkEnd w:id="13"/>
    </w:p>
    <w:p w14:paraId="7A374272" w14:textId="58549EED" w:rsidR="00CF6DEA" w:rsidRPr="00DD72BE" w:rsidRDefault="00333642" w:rsidP="00DD72BE">
      <w:pPr>
        <w:jc w:val="both"/>
        <w:rPr>
          <w:sz w:val="22"/>
          <w:szCs w:val="22"/>
        </w:rPr>
      </w:pPr>
      <w:r w:rsidRPr="00DD72BE">
        <w:rPr>
          <w:sz w:val="22"/>
          <w:szCs w:val="22"/>
        </w:rPr>
        <w:t>D</w:t>
      </w:r>
      <w:r w:rsidR="00CF6DEA" w:rsidRPr="00DD72BE">
        <w:rPr>
          <w:sz w:val="22"/>
          <w:szCs w:val="22"/>
        </w:rPr>
        <w:t xml:space="preserve">esk research was conducted </w:t>
      </w:r>
      <w:r w:rsidR="00A02D07" w:rsidRPr="00DD72BE">
        <w:rPr>
          <w:sz w:val="22"/>
          <w:szCs w:val="22"/>
        </w:rPr>
        <w:t>as a first step</w:t>
      </w:r>
      <w:r w:rsidR="00CF6DEA" w:rsidRPr="00DD72BE">
        <w:rPr>
          <w:sz w:val="22"/>
          <w:szCs w:val="22"/>
        </w:rPr>
        <w:t>, in April-June 202</w:t>
      </w:r>
      <w:r w:rsidR="006A07B1" w:rsidRPr="00DD72BE">
        <w:rPr>
          <w:sz w:val="22"/>
          <w:szCs w:val="22"/>
        </w:rPr>
        <w:t>1</w:t>
      </w:r>
      <w:r w:rsidR="00CF6DEA" w:rsidRPr="00DD72BE">
        <w:rPr>
          <w:sz w:val="22"/>
          <w:szCs w:val="22"/>
        </w:rPr>
        <w:t>. It covered the following areas through a careful examination of official websites and research reports, and also presented a range of case studies from various EU member states to illustrate how different countries</w:t>
      </w:r>
      <w:r w:rsidR="002F2C10">
        <w:rPr>
          <w:sz w:val="22"/>
          <w:szCs w:val="22"/>
        </w:rPr>
        <w:t xml:space="preserve">. </w:t>
      </w:r>
      <w:r w:rsidR="00B0130C">
        <w:rPr>
          <w:sz w:val="22"/>
          <w:szCs w:val="22"/>
        </w:rPr>
        <w:t xml:space="preserve">In addition to the examination of documents, some qualitative research was undertaken, involving semi-structured interviews with a number of interested stakeholder organisations. </w:t>
      </w:r>
      <w:r w:rsidRPr="00DD72BE">
        <w:rPr>
          <w:sz w:val="22"/>
          <w:szCs w:val="22"/>
        </w:rPr>
        <w:t xml:space="preserve">The full Desk </w:t>
      </w:r>
      <w:r w:rsidR="00B0130C">
        <w:rPr>
          <w:sz w:val="22"/>
          <w:szCs w:val="22"/>
        </w:rPr>
        <w:t>R</w:t>
      </w:r>
      <w:r w:rsidRPr="00DD72BE">
        <w:rPr>
          <w:sz w:val="22"/>
          <w:szCs w:val="22"/>
        </w:rPr>
        <w:t>esearch Report may be seen at Annex 1.</w:t>
      </w:r>
    </w:p>
    <w:p w14:paraId="7D5F4567" w14:textId="6F787C1D" w:rsidR="00A02D07" w:rsidRPr="00DD72BE" w:rsidRDefault="00A02D07" w:rsidP="00DD72BE">
      <w:pPr>
        <w:pStyle w:val="Heading3"/>
      </w:pPr>
      <w:bookmarkStart w:id="14" w:name="_Toc156562592"/>
      <w:r w:rsidRPr="00DD72BE">
        <w:t>2.1.3 Structure of Desk Research Report</w:t>
      </w:r>
      <w:bookmarkEnd w:id="14"/>
    </w:p>
    <w:p w14:paraId="695BA897" w14:textId="1B278411" w:rsidR="00CF6DEA" w:rsidRDefault="001257B2" w:rsidP="00CF6DEA">
      <w:pPr>
        <w:rPr>
          <w:sz w:val="22"/>
          <w:szCs w:val="22"/>
        </w:rPr>
      </w:pPr>
      <w:r w:rsidRPr="001257B2">
        <w:rPr>
          <w:sz w:val="22"/>
          <w:szCs w:val="22"/>
        </w:rPr>
        <w:t>The desk research report includes the following main section headings:</w:t>
      </w:r>
    </w:p>
    <w:p w14:paraId="56023872" w14:textId="764BC2D6" w:rsidR="0070267A" w:rsidRDefault="0070267A" w:rsidP="00CF6DEA">
      <w:pPr>
        <w:rPr>
          <w:sz w:val="22"/>
          <w:szCs w:val="22"/>
        </w:rPr>
      </w:pPr>
    </w:p>
    <w:p w14:paraId="5AC09813" w14:textId="66970460" w:rsidR="0070267A" w:rsidRDefault="0070267A" w:rsidP="0070267A">
      <w:pPr>
        <w:pStyle w:val="ListParagraph"/>
        <w:numPr>
          <w:ilvl w:val="0"/>
          <w:numId w:val="48"/>
        </w:numPr>
        <w:spacing w:after="160" w:line="259" w:lineRule="auto"/>
        <w:rPr>
          <w:rFonts w:asciiTheme="minorHAnsi" w:eastAsiaTheme="minorHAnsi" w:hAnsiTheme="minorHAnsi" w:cstheme="minorHAnsi"/>
          <w:sz w:val="22"/>
          <w:szCs w:val="22"/>
        </w:rPr>
      </w:pPr>
      <w:r w:rsidRPr="0070267A">
        <w:rPr>
          <w:rFonts w:asciiTheme="minorHAnsi" w:eastAsiaTheme="minorHAnsi" w:hAnsiTheme="minorHAnsi" w:cstheme="minorHAnsi"/>
          <w:sz w:val="22"/>
          <w:szCs w:val="22"/>
        </w:rPr>
        <w:lastRenderedPageBreak/>
        <w:t>Impact of legislation on women’s participation in labour force and women’s employment</w:t>
      </w:r>
      <w:r>
        <w:rPr>
          <w:rFonts w:asciiTheme="minorHAnsi" w:eastAsiaTheme="minorHAnsi" w:hAnsiTheme="minorHAnsi" w:cstheme="minorHAnsi"/>
          <w:sz w:val="22"/>
          <w:szCs w:val="22"/>
        </w:rPr>
        <w:t>;</w:t>
      </w:r>
    </w:p>
    <w:p w14:paraId="2996EBB8" w14:textId="4E676B29" w:rsidR="0070267A" w:rsidRDefault="0070267A" w:rsidP="0070267A">
      <w:pPr>
        <w:pStyle w:val="ListParagraph"/>
        <w:numPr>
          <w:ilvl w:val="0"/>
          <w:numId w:val="48"/>
        </w:numPr>
        <w:spacing w:after="160" w:line="259" w:lineRule="auto"/>
        <w:rPr>
          <w:rFonts w:asciiTheme="minorHAnsi" w:eastAsiaTheme="minorHAnsi" w:hAnsiTheme="minorHAnsi" w:cstheme="minorHAnsi"/>
          <w:sz w:val="22"/>
          <w:szCs w:val="22"/>
        </w:rPr>
      </w:pPr>
      <w:r w:rsidRPr="0070267A">
        <w:rPr>
          <w:rFonts w:asciiTheme="minorHAnsi" w:eastAsiaTheme="minorHAnsi" w:hAnsiTheme="minorHAnsi" w:cstheme="minorHAnsi"/>
          <w:sz w:val="22"/>
          <w:szCs w:val="22"/>
        </w:rPr>
        <w:t>International Initiatives</w:t>
      </w:r>
      <w:r>
        <w:rPr>
          <w:rFonts w:asciiTheme="minorHAnsi" w:eastAsiaTheme="minorHAnsi" w:hAnsiTheme="minorHAnsi" w:cstheme="minorHAnsi"/>
          <w:sz w:val="22"/>
          <w:szCs w:val="22"/>
        </w:rPr>
        <w:t>;</w:t>
      </w:r>
    </w:p>
    <w:p w14:paraId="1DDDAB04" w14:textId="79F5A12B" w:rsidR="0070267A" w:rsidRDefault="0070267A" w:rsidP="0070267A">
      <w:pPr>
        <w:pStyle w:val="ListParagraph"/>
        <w:numPr>
          <w:ilvl w:val="0"/>
          <w:numId w:val="48"/>
        </w:numPr>
        <w:spacing w:after="160" w:line="259" w:lineRule="auto"/>
        <w:rPr>
          <w:rFonts w:asciiTheme="minorHAnsi" w:eastAsiaTheme="minorHAnsi" w:hAnsiTheme="minorHAnsi" w:cstheme="minorHAnsi"/>
          <w:sz w:val="22"/>
          <w:szCs w:val="22"/>
        </w:rPr>
      </w:pPr>
      <w:r w:rsidRPr="0070267A">
        <w:rPr>
          <w:rFonts w:asciiTheme="minorHAnsi" w:eastAsiaTheme="minorHAnsi" w:hAnsiTheme="minorHAnsi" w:cstheme="minorHAnsi"/>
          <w:sz w:val="22"/>
          <w:szCs w:val="22"/>
        </w:rPr>
        <w:t>G7 and EU policy frameworks</w:t>
      </w:r>
      <w:r>
        <w:rPr>
          <w:rFonts w:asciiTheme="minorHAnsi" w:eastAsiaTheme="minorHAnsi" w:hAnsiTheme="minorHAnsi" w:cstheme="minorHAnsi"/>
          <w:sz w:val="22"/>
          <w:szCs w:val="22"/>
        </w:rPr>
        <w:t>;</w:t>
      </w:r>
    </w:p>
    <w:p w14:paraId="5BF682A1" w14:textId="238A3E2D" w:rsidR="0070267A" w:rsidRDefault="0070267A" w:rsidP="0070267A">
      <w:pPr>
        <w:pStyle w:val="ListParagraph"/>
        <w:numPr>
          <w:ilvl w:val="0"/>
          <w:numId w:val="48"/>
        </w:numPr>
        <w:spacing w:after="160" w:line="259" w:lineRule="auto"/>
        <w:rPr>
          <w:rFonts w:asciiTheme="minorHAnsi" w:eastAsiaTheme="minorHAnsi" w:hAnsiTheme="minorHAnsi" w:cstheme="minorHAnsi"/>
          <w:sz w:val="22"/>
          <w:szCs w:val="22"/>
        </w:rPr>
      </w:pPr>
      <w:r w:rsidRPr="0070267A">
        <w:rPr>
          <w:rFonts w:asciiTheme="minorHAnsi" w:eastAsiaTheme="minorHAnsi" w:hAnsiTheme="minorHAnsi" w:cstheme="minorHAnsi"/>
          <w:sz w:val="22"/>
          <w:szCs w:val="22"/>
        </w:rPr>
        <w:t>Main Actions for Gender Equality in the World of Work</w:t>
      </w:r>
      <w:r>
        <w:rPr>
          <w:rFonts w:asciiTheme="minorHAnsi" w:eastAsiaTheme="minorHAnsi" w:hAnsiTheme="minorHAnsi" w:cstheme="minorHAnsi"/>
          <w:sz w:val="22"/>
          <w:szCs w:val="22"/>
        </w:rPr>
        <w:t>;</w:t>
      </w:r>
    </w:p>
    <w:p w14:paraId="1AFE53F3" w14:textId="60AE3443" w:rsidR="0070267A" w:rsidRPr="0070267A" w:rsidRDefault="0070267A" w:rsidP="0070267A">
      <w:pPr>
        <w:pStyle w:val="ListParagraph"/>
        <w:numPr>
          <w:ilvl w:val="0"/>
          <w:numId w:val="48"/>
        </w:numPr>
        <w:spacing w:after="160" w:line="259" w:lineRule="auto"/>
        <w:rPr>
          <w:rFonts w:asciiTheme="minorHAnsi" w:eastAsiaTheme="minorHAnsi" w:hAnsiTheme="minorHAnsi" w:cstheme="minorHAnsi"/>
          <w:sz w:val="22"/>
          <w:szCs w:val="22"/>
        </w:rPr>
      </w:pPr>
      <w:r w:rsidRPr="0070267A">
        <w:rPr>
          <w:rFonts w:asciiTheme="minorHAnsi" w:eastAsiaTheme="minorHAnsi" w:hAnsiTheme="minorHAnsi" w:cstheme="minorBidi"/>
          <w:sz w:val="22"/>
          <w:szCs w:val="22"/>
        </w:rPr>
        <w:t>Review of National Legislation in Türkiye in terms of Women Employment</w:t>
      </w:r>
      <w:r>
        <w:rPr>
          <w:rFonts w:asciiTheme="minorHAnsi" w:eastAsiaTheme="minorHAnsi" w:hAnsiTheme="minorHAnsi" w:cstheme="minorBidi"/>
          <w:sz w:val="22"/>
          <w:szCs w:val="22"/>
        </w:rPr>
        <w:t>;</w:t>
      </w:r>
    </w:p>
    <w:p w14:paraId="08158D7F" w14:textId="40AA6E23" w:rsidR="001257B2" w:rsidRPr="00F576CF" w:rsidRDefault="0070267A" w:rsidP="00CF6DEA">
      <w:pPr>
        <w:pStyle w:val="ListParagraph"/>
        <w:numPr>
          <w:ilvl w:val="0"/>
          <w:numId w:val="48"/>
        </w:numPr>
        <w:spacing w:after="160" w:line="259" w:lineRule="auto"/>
        <w:rPr>
          <w:rFonts w:asciiTheme="minorHAnsi" w:eastAsiaTheme="minorHAnsi" w:hAnsiTheme="minorHAnsi" w:cstheme="minorHAnsi"/>
          <w:sz w:val="22"/>
          <w:szCs w:val="22"/>
        </w:rPr>
      </w:pPr>
      <w:r w:rsidRPr="0070267A">
        <w:rPr>
          <w:rFonts w:asciiTheme="minorHAnsi" w:eastAsiaTheme="minorHAnsi" w:hAnsiTheme="minorHAnsi" w:cstheme="minorBidi"/>
          <w:sz w:val="22"/>
          <w:szCs w:val="22"/>
        </w:rPr>
        <w:t>A Comparison of Türkiye with Other Countries</w:t>
      </w:r>
      <w:r>
        <w:rPr>
          <w:rFonts w:asciiTheme="minorHAnsi" w:eastAsiaTheme="minorHAnsi" w:hAnsiTheme="minorHAnsi" w:cstheme="minorBidi"/>
          <w:sz w:val="22"/>
          <w:szCs w:val="22"/>
        </w:rPr>
        <w:t>.</w:t>
      </w:r>
    </w:p>
    <w:p w14:paraId="60B9DF40" w14:textId="5B50DB87" w:rsidR="002C7B26" w:rsidRPr="00333642" w:rsidRDefault="00A80B9D" w:rsidP="00333642">
      <w:pPr>
        <w:pStyle w:val="Heading3"/>
      </w:pPr>
      <w:bookmarkStart w:id="15" w:name="_Toc156562593"/>
      <w:r w:rsidRPr="008654D3">
        <w:t>2.</w:t>
      </w:r>
      <w:r w:rsidR="00A02D07" w:rsidRPr="008654D3">
        <w:t>1.</w:t>
      </w:r>
      <w:r w:rsidR="003B53D5">
        <w:t>4</w:t>
      </w:r>
      <w:r w:rsidRPr="008654D3">
        <w:t xml:space="preserve"> References</w:t>
      </w:r>
      <w:r w:rsidR="0052117F" w:rsidRPr="008654D3">
        <w:t xml:space="preserve"> Consulted for Desk Research</w:t>
      </w:r>
      <w:bookmarkEnd w:id="15"/>
    </w:p>
    <w:p w14:paraId="335DC287" w14:textId="238FA4EC" w:rsidR="006A07B1" w:rsidRDefault="00467BF6" w:rsidP="00467BF6">
      <w:pPr>
        <w:rPr>
          <w:sz w:val="22"/>
          <w:szCs w:val="22"/>
        </w:rPr>
      </w:pPr>
      <w:r>
        <w:rPr>
          <w:sz w:val="22"/>
          <w:szCs w:val="22"/>
        </w:rPr>
        <w:t xml:space="preserve">Please see the Bibliography in Section </w:t>
      </w:r>
      <w:r w:rsidR="00CE5CE1">
        <w:rPr>
          <w:sz w:val="22"/>
          <w:szCs w:val="22"/>
        </w:rPr>
        <w:t>5</w:t>
      </w:r>
      <w:r>
        <w:rPr>
          <w:sz w:val="22"/>
          <w:szCs w:val="22"/>
        </w:rPr>
        <w:t xml:space="preserve"> of this Report.</w:t>
      </w:r>
    </w:p>
    <w:p w14:paraId="700F45A6" w14:textId="06D97E5A" w:rsidR="00A03972" w:rsidRDefault="00A03972" w:rsidP="00CF6DEA"/>
    <w:p w14:paraId="0F030056" w14:textId="068B6C50" w:rsidR="00CF679D" w:rsidRDefault="00CF679D" w:rsidP="00CF6DEA">
      <w:pPr>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2.2 Qualitative Research</w:t>
      </w:r>
    </w:p>
    <w:p w14:paraId="3EE23039" w14:textId="20E5D6E1" w:rsidR="00CF679D" w:rsidRDefault="00CF679D" w:rsidP="00CF6DEA">
      <w:pPr>
        <w:rPr>
          <w:rFonts w:asciiTheme="majorHAnsi" w:eastAsiaTheme="majorEastAsia" w:hAnsiTheme="majorHAnsi" w:cstheme="majorBidi"/>
          <w:color w:val="2F5496" w:themeColor="accent1" w:themeShade="BF"/>
          <w:sz w:val="26"/>
          <w:szCs w:val="26"/>
        </w:rPr>
      </w:pPr>
    </w:p>
    <w:p w14:paraId="2C712B2A" w14:textId="320E2281" w:rsidR="00CF679D" w:rsidRPr="00CF679D" w:rsidRDefault="00CF679D" w:rsidP="00CF679D">
      <w:pPr>
        <w:jc w:val="both"/>
        <w:rPr>
          <w:sz w:val="22"/>
          <w:szCs w:val="22"/>
        </w:rPr>
      </w:pPr>
      <w:r w:rsidRPr="00807B42">
        <w:rPr>
          <w:sz w:val="22"/>
          <w:szCs w:val="22"/>
        </w:rPr>
        <w:t xml:space="preserve">The Technical Assistance Team conducted a range of meetings with relevant stakeholder organisations during the December 2021-February 2022 period. A short </w:t>
      </w:r>
      <w:r>
        <w:rPr>
          <w:sz w:val="22"/>
          <w:szCs w:val="22"/>
        </w:rPr>
        <w:t xml:space="preserve">Meeting Note </w:t>
      </w:r>
      <w:r w:rsidRPr="00807B42">
        <w:rPr>
          <w:sz w:val="22"/>
          <w:szCs w:val="22"/>
        </w:rPr>
        <w:t>summarising these meetings may be found at Annex 2.</w:t>
      </w:r>
    </w:p>
    <w:p w14:paraId="4C4B4537" w14:textId="77777777" w:rsidR="00CF679D" w:rsidRDefault="00CF679D" w:rsidP="00CF6DEA">
      <w:pPr>
        <w:rPr>
          <w:rFonts w:asciiTheme="majorHAnsi" w:eastAsiaTheme="majorEastAsia" w:hAnsiTheme="majorHAnsi" w:cstheme="majorBidi"/>
          <w:color w:val="2F5496" w:themeColor="accent1" w:themeShade="BF"/>
          <w:sz w:val="26"/>
          <w:szCs w:val="26"/>
        </w:rPr>
      </w:pPr>
    </w:p>
    <w:p w14:paraId="60D0EA08" w14:textId="5B632B92" w:rsidR="0078303C" w:rsidRDefault="0078303C" w:rsidP="00CF6DEA">
      <w:pPr>
        <w:rPr>
          <w:rFonts w:asciiTheme="majorHAnsi" w:eastAsiaTheme="majorEastAsia" w:hAnsiTheme="majorHAnsi" w:cstheme="majorBidi"/>
          <w:color w:val="2F5496" w:themeColor="accent1" w:themeShade="BF"/>
          <w:sz w:val="26"/>
          <w:szCs w:val="26"/>
        </w:rPr>
      </w:pPr>
      <w:r w:rsidRPr="0078303C">
        <w:rPr>
          <w:rFonts w:asciiTheme="majorHAnsi" w:eastAsiaTheme="majorEastAsia" w:hAnsiTheme="majorHAnsi" w:cstheme="majorBidi"/>
          <w:color w:val="2F5496" w:themeColor="accent1" w:themeShade="BF"/>
          <w:sz w:val="26"/>
          <w:szCs w:val="26"/>
        </w:rPr>
        <w:t>2.2</w:t>
      </w:r>
      <w:r w:rsidR="00CF679D">
        <w:rPr>
          <w:rFonts w:asciiTheme="majorHAnsi" w:eastAsiaTheme="majorEastAsia" w:hAnsiTheme="majorHAnsi" w:cstheme="majorBidi"/>
          <w:color w:val="2F5496" w:themeColor="accent1" w:themeShade="BF"/>
          <w:sz w:val="26"/>
          <w:szCs w:val="26"/>
        </w:rPr>
        <w:t>.1</w:t>
      </w:r>
      <w:r w:rsidRPr="0078303C">
        <w:rPr>
          <w:rFonts w:asciiTheme="majorHAnsi" w:eastAsiaTheme="majorEastAsia" w:hAnsiTheme="majorHAnsi" w:cstheme="majorBidi"/>
          <w:color w:val="2F5496" w:themeColor="accent1" w:themeShade="BF"/>
          <w:sz w:val="26"/>
          <w:szCs w:val="26"/>
        </w:rPr>
        <w:t xml:space="preserve"> Stakeholder Meetings (Annex 2)</w:t>
      </w:r>
    </w:p>
    <w:p w14:paraId="54690B5F" w14:textId="6FEECB3E" w:rsidR="0078303C" w:rsidRDefault="0078303C" w:rsidP="00CF6DEA">
      <w:pPr>
        <w:rPr>
          <w:rFonts w:asciiTheme="majorHAnsi" w:eastAsiaTheme="majorEastAsia" w:hAnsiTheme="majorHAnsi" w:cstheme="majorBidi"/>
          <w:color w:val="2F5496" w:themeColor="accent1" w:themeShade="BF"/>
          <w:sz w:val="26"/>
          <w:szCs w:val="26"/>
        </w:rPr>
      </w:pPr>
    </w:p>
    <w:p w14:paraId="13E85BEB" w14:textId="7045D896" w:rsidR="00A4485A" w:rsidRPr="00B60CA7" w:rsidRDefault="00A4485A" w:rsidP="00A4485A">
      <w:pPr>
        <w:shd w:val="clear" w:color="auto" w:fill="FFFFFF"/>
        <w:jc w:val="both"/>
        <w:textAlignment w:val="baseline"/>
        <w:rPr>
          <w:rFonts w:eastAsia="Times New Roman"/>
          <w:color w:val="000000"/>
          <w:sz w:val="22"/>
          <w:szCs w:val="22"/>
          <w:lang w:eastAsia="tr-TR"/>
        </w:rPr>
      </w:pPr>
      <w:r w:rsidRPr="00B60CA7">
        <w:rPr>
          <w:rFonts w:eastAsia="Times New Roman"/>
          <w:color w:val="000000"/>
          <w:sz w:val="22"/>
          <w:szCs w:val="22"/>
          <w:lang w:eastAsia="tr-TR"/>
        </w:rPr>
        <w:t>5 online stakeholder meetings were organised with the following institutions:</w:t>
      </w:r>
    </w:p>
    <w:p w14:paraId="541B0FA6" w14:textId="77777777" w:rsidR="00A4485A" w:rsidRPr="00B60CA7" w:rsidRDefault="00A4485A" w:rsidP="00A4485A">
      <w:pPr>
        <w:shd w:val="clear" w:color="auto" w:fill="FFFFFF"/>
        <w:jc w:val="both"/>
        <w:textAlignment w:val="baseline"/>
        <w:rPr>
          <w:rFonts w:eastAsia="Times New Roman"/>
          <w:color w:val="000000"/>
          <w:sz w:val="22"/>
          <w:szCs w:val="22"/>
          <w:lang w:eastAsia="tr-TR"/>
        </w:rPr>
      </w:pPr>
    </w:p>
    <w:p w14:paraId="2D3445DF" w14:textId="77777777" w:rsidR="00A4485A" w:rsidRPr="00B60CA7" w:rsidRDefault="00A4485A" w:rsidP="00A4485A">
      <w:pPr>
        <w:shd w:val="clear" w:color="auto" w:fill="FFFFFF"/>
        <w:ind w:left="720"/>
        <w:jc w:val="both"/>
        <w:textAlignment w:val="baseline"/>
        <w:rPr>
          <w:rFonts w:eastAsia="Times New Roman"/>
          <w:color w:val="000000"/>
          <w:sz w:val="22"/>
          <w:szCs w:val="22"/>
          <w:lang w:eastAsia="tr-TR"/>
        </w:rPr>
      </w:pPr>
      <w:r w:rsidRPr="00B60CA7">
        <w:rPr>
          <w:rFonts w:eastAsia="Times New Roman"/>
          <w:color w:val="000000"/>
          <w:sz w:val="22"/>
          <w:szCs w:val="22"/>
          <w:lang w:eastAsia="tr-TR"/>
        </w:rPr>
        <w:t>SSI</w:t>
      </w:r>
    </w:p>
    <w:p w14:paraId="49694B6F" w14:textId="77777777" w:rsidR="00A4485A" w:rsidRPr="00B60CA7" w:rsidRDefault="00A4485A" w:rsidP="00A4485A">
      <w:pPr>
        <w:shd w:val="clear" w:color="auto" w:fill="FFFFFF"/>
        <w:ind w:left="720"/>
        <w:jc w:val="both"/>
        <w:textAlignment w:val="baseline"/>
        <w:rPr>
          <w:rFonts w:eastAsia="Times New Roman"/>
          <w:color w:val="000000"/>
          <w:sz w:val="22"/>
          <w:szCs w:val="22"/>
          <w:lang w:eastAsia="tr-TR"/>
        </w:rPr>
      </w:pPr>
      <w:r w:rsidRPr="00B60CA7">
        <w:rPr>
          <w:rFonts w:eastAsia="Times New Roman"/>
          <w:color w:val="000000"/>
          <w:sz w:val="22"/>
          <w:szCs w:val="22"/>
          <w:lang w:eastAsia="tr-TR"/>
        </w:rPr>
        <w:t>ISKUR</w:t>
      </w:r>
    </w:p>
    <w:p w14:paraId="677FCFD7" w14:textId="77777777" w:rsidR="00A4485A" w:rsidRPr="00B60CA7" w:rsidRDefault="00A4485A" w:rsidP="00A4485A">
      <w:pPr>
        <w:shd w:val="clear" w:color="auto" w:fill="FFFFFF"/>
        <w:ind w:left="720"/>
        <w:jc w:val="both"/>
        <w:textAlignment w:val="baseline"/>
        <w:rPr>
          <w:rFonts w:eastAsia="Times New Roman"/>
          <w:color w:val="000000"/>
          <w:sz w:val="22"/>
          <w:szCs w:val="22"/>
          <w:lang w:eastAsia="tr-TR"/>
        </w:rPr>
      </w:pPr>
      <w:r w:rsidRPr="00B60CA7">
        <w:rPr>
          <w:rFonts w:eastAsia="Times New Roman"/>
          <w:color w:val="000000"/>
          <w:sz w:val="22"/>
          <w:szCs w:val="22"/>
          <w:lang w:eastAsia="tr-TR"/>
        </w:rPr>
        <w:t>TÜRK-İŞ (Confederation of Turkish Trade Unions)</w:t>
      </w:r>
    </w:p>
    <w:p w14:paraId="2D55683D" w14:textId="77777777" w:rsidR="00A4485A" w:rsidRPr="00B60CA7" w:rsidRDefault="00A4485A" w:rsidP="00A4485A">
      <w:pPr>
        <w:shd w:val="clear" w:color="auto" w:fill="FFFFFF"/>
        <w:ind w:left="720"/>
        <w:jc w:val="both"/>
        <w:textAlignment w:val="baseline"/>
        <w:rPr>
          <w:rFonts w:eastAsia="Times New Roman"/>
          <w:color w:val="000000"/>
          <w:sz w:val="22"/>
          <w:szCs w:val="22"/>
          <w:lang w:eastAsia="tr-TR"/>
        </w:rPr>
      </w:pPr>
      <w:r w:rsidRPr="00B60CA7">
        <w:rPr>
          <w:rFonts w:eastAsia="Times New Roman"/>
          <w:color w:val="000000"/>
          <w:sz w:val="22"/>
          <w:szCs w:val="22"/>
          <w:lang w:eastAsia="tr-TR"/>
        </w:rPr>
        <w:t>TİSK (Turkish Confederation of Employer Associations)</w:t>
      </w:r>
    </w:p>
    <w:p w14:paraId="408CACAC" w14:textId="77777777" w:rsidR="00A4485A" w:rsidRPr="00B60CA7" w:rsidRDefault="00A4485A" w:rsidP="00A4485A">
      <w:pPr>
        <w:shd w:val="clear" w:color="auto" w:fill="FFFFFF"/>
        <w:ind w:left="720"/>
        <w:jc w:val="both"/>
        <w:textAlignment w:val="baseline"/>
        <w:rPr>
          <w:rFonts w:eastAsia="Times New Roman"/>
          <w:color w:val="000000"/>
          <w:sz w:val="22"/>
          <w:szCs w:val="22"/>
          <w:lang w:eastAsia="tr-TR"/>
        </w:rPr>
      </w:pPr>
      <w:r w:rsidRPr="00B60CA7">
        <w:rPr>
          <w:rFonts w:eastAsia="Times New Roman"/>
          <w:color w:val="000000"/>
          <w:sz w:val="22"/>
          <w:szCs w:val="22"/>
          <w:lang w:eastAsia="tr-TR"/>
        </w:rPr>
        <w:t>TOBB (The Union of Chambers and Commodity Exchanges of Turkey)</w:t>
      </w:r>
    </w:p>
    <w:p w14:paraId="6FC92B62" w14:textId="77777777" w:rsidR="00A4485A" w:rsidRPr="00B60CA7" w:rsidRDefault="00A4485A" w:rsidP="00A4485A">
      <w:pPr>
        <w:shd w:val="clear" w:color="auto" w:fill="FFFFFF"/>
        <w:jc w:val="both"/>
        <w:textAlignment w:val="baseline"/>
        <w:rPr>
          <w:rFonts w:eastAsia="Times New Roman"/>
          <w:color w:val="000000"/>
          <w:sz w:val="22"/>
          <w:szCs w:val="22"/>
          <w:lang w:eastAsia="tr-TR"/>
        </w:rPr>
      </w:pPr>
    </w:p>
    <w:p w14:paraId="139233D5" w14:textId="44A1876B" w:rsidR="00A4485A" w:rsidRDefault="00A4485A" w:rsidP="00A4485A">
      <w:pPr>
        <w:shd w:val="clear" w:color="auto" w:fill="FFFFFF"/>
        <w:jc w:val="both"/>
        <w:textAlignment w:val="baseline"/>
        <w:rPr>
          <w:rFonts w:eastAsia="Times New Roman"/>
          <w:color w:val="000000"/>
          <w:sz w:val="22"/>
          <w:szCs w:val="22"/>
          <w:lang w:eastAsia="tr-TR"/>
        </w:rPr>
      </w:pPr>
      <w:r w:rsidRPr="00B60CA7">
        <w:rPr>
          <w:rFonts w:eastAsia="Times New Roman"/>
          <w:color w:val="000000"/>
          <w:sz w:val="22"/>
          <w:szCs w:val="22"/>
          <w:lang w:eastAsia="tr-TR"/>
        </w:rPr>
        <w:t xml:space="preserve">During the interviews, a semi-structured questionnaire </w:t>
      </w:r>
      <w:r w:rsidR="005C168C">
        <w:rPr>
          <w:rFonts w:eastAsia="Times New Roman"/>
          <w:color w:val="000000"/>
          <w:sz w:val="22"/>
          <w:szCs w:val="22"/>
          <w:lang w:eastAsia="tr-TR"/>
        </w:rPr>
        <w:t xml:space="preserve">was used to explore the current mechanism. </w:t>
      </w:r>
      <w:r w:rsidRPr="00B60CA7">
        <w:rPr>
          <w:rFonts w:eastAsia="Times New Roman"/>
          <w:color w:val="000000"/>
          <w:sz w:val="22"/>
          <w:szCs w:val="22"/>
          <w:lang w:eastAsia="tr-TR"/>
        </w:rPr>
        <w:t xml:space="preserve">Interviews lasted for 90 minutes </w:t>
      </w:r>
      <w:r>
        <w:rPr>
          <w:rFonts w:eastAsia="Times New Roman"/>
          <w:color w:val="000000"/>
          <w:sz w:val="22"/>
          <w:szCs w:val="22"/>
          <w:lang w:eastAsia="tr-TR"/>
        </w:rPr>
        <w:t>o</w:t>
      </w:r>
      <w:r w:rsidRPr="00B60CA7">
        <w:rPr>
          <w:rFonts w:eastAsia="Times New Roman"/>
          <w:color w:val="000000"/>
          <w:sz w:val="22"/>
          <w:szCs w:val="22"/>
          <w:lang w:eastAsia="tr-TR"/>
        </w:rPr>
        <w:t xml:space="preserve">n average. The questionnaire included questions on the provisions of Labour Law; on the implementation of employer obligations such as day care or breastfeeding facilities at the workplace; any recent lawsuit and data regarding labour disputes; suggestions of legislative improvements, and so on. </w:t>
      </w:r>
    </w:p>
    <w:p w14:paraId="7C6D2B5F" w14:textId="0325DF3D" w:rsidR="00A4485A" w:rsidRDefault="00A4485A" w:rsidP="00A4485A">
      <w:pPr>
        <w:shd w:val="clear" w:color="auto" w:fill="FFFFFF"/>
        <w:jc w:val="both"/>
        <w:textAlignment w:val="baseline"/>
        <w:rPr>
          <w:rFonts w:eastAsia="Times New Roman"/>
          <w:color w:val="000000"/>
          <w:sz w:val="22"/>
          <w:szCs w:val="22"/>
          <w:lang w:eastAsia="tr-TR"/>
        </w:rPr>
      </w:pPr>
    </w:p>
    <w:p w14:paraId="6ADB3523" w14:textId="405A3CC5" w:rsidR="00A4485A" w:rsidRPr="00B60CA7" w:rsidRDefault="00A4485A" w:rsidP="00A4485A">
      <w:pPr>
        <w:shd w:val="clear" w:color="auto" w:fill="FFFFFF"/>
        <w:jc w:val="both"/>
        <w:textAlignment w:val="baseline"/>
        <w:rPr>
          <w:rFonts w:eastAsia="Times New Roman"/>
          <w:color w:val="000000"/>
          <w:sz w:val="22"/>
          <w:szCs w:val="22"/>
          <w:lang w:eastAsia="tr-TR"/>
        </w:rPr>
      </w:pPr>
      <w:r>
        <w:rPr>
          <w:rFonts w:eastAsia="Times New Roman"/>
          <w:color w:val="000000"/>
          <w:sz w:val="22"/>
          <w:szCs w:val="22"/>
          <w:lang w:eastAsia="tr-TR"/>
        </w:rPr>
        <w:t>The main points to emerge included;</w:t>
      </w:r>
    </w:p>
    <w:p w14:paraId="6C5956AA" w14:textId="77777777" w:rsidR="00A4485A" w:rsidRPr="00B60CA7" w:rsidRDefault="00A4485A" w:rsidP="00A4485A">
      <w:pPr>
        <w:shd w:val="clear" w:color="auto" w:fill="FFFFFF"/>
        <w:jc w:val="both"/>
        <w:textAlignment w:val="baseline"/>
        <w:rPr>
          <w:rFonts w:eastAsia="Times New Roman"/>
          <w:b/>
          <w:color w:val="000000"/>
          <w:sz w:val="22"/>
          <w:szCs w:val="22"/>
          <w:lang w:eastAsia="tr-TR"/>
        </w:rPr>
      </w:pPr>
    </w:p>
    <w:p w14:paraId="3A5EBA0F" w14:textId="77777777" w:rsidR="00A4485A" w:rsidRPr="00B60CA7" w:rsidRDefault="00A4485A" w:rsidP="00A4485A">
      <w:pPr>
        <w:numPr>
          <w:ilvl w:val="0"/>
          <w:numId w:val="47"/>
        </w:numPr>
        <w:spacing w:after="160" w:line="259" w:lineRule="auto"/>
        <w:contextualSpacing/>
        <w:jc w:val="both"/>
        <w:rPr>
          <w:rFonts w:eastAsia="Times New Roman"/>
          <w:color w:val="000000"/>
          <w:sz w:val="22"/>
          <w:szCs w:val="22"/>
          <w:lang w:eastAsia="tr-TR"/>
        </w:rPr>
      </w:pPr>
      <w:r w:rsidRPr="00B60CA7">
        <w:rPr>
          <w:rFonts w:eastAsia="Times New Roman"/>
          <w:color w:val="000000"/>
          <w:sz w:val="22"/>
          <w:szCs w:val="22"/>
          <w:lang w:eastAsia="tr-TR"/>
        </w:rPr>
        <w:t>The most influential provisions of the Labour Law were stated as Articles 5, 72, 73, 74, and 104 which specifically refers to anti-discrimination, working leaves, maternity leaves, maternal insurance for 4/A workers.</w:t>
      </w:r>
    </w:p>
    <w:p w14:paraId="5F14A67E" w14:textId="77777777" w:rsidR="00A4485A" w:rsidRPr="00B60CA7" w:rsidRDefault="00A4485A" w:rsidP="00A4485A">
      <w:pPr>
        <w:numPr>
          <w:ilvl w:val="0"/>
          <w:numId w:val="47"/>
        </w:numPr>
        <w:spacing w:after="160" w:line="259" w:lineRule="auto"/>
        <w:contextualSpacing/>
        <w:jc w:val="both"/>
        <w:rPr>
          <w:rFonts w:eastAsia="Times New Roman"/>
          <w:color w:val="000000"/>
          <w:sz w:val="22"/>
          <w:szCs w:val="22"/>
          <w:lang w:eastAsia="tr-TR"/>
        </w:rPr>
      </w:pPr>
      <w:r w:rsidRPr="00B60CA7">
        <w:rPr>
          <w:rFonts w:eastAsia="Times New Roman"/>
          <w:color w:val="000000"/>
          <w:sz w:val="22"/>
          <w:szCs w:val="22"/>
          <w:lang w:eastAsia="tr-TR"/>
        </w:rPr>
        <w:t xml:space="preserve">There is lack of scientific research and data to determine the actual impact of the law in increasing women’s employment. </w:t>
      </w:r>
    </w:p>
    <w:p w14:paraId="36440FD5" w14:textId="77777777" w:rsidR="00A4485A" w:rsidRPr="00B60CA7" w:rsidRDefault="00A4485A" w:rsidP="00A4485A">
      <w:pPr>
        <w:numPr>
          <w:ilvl w:val="0"/>
          <w:numId w:val="47"/>
        </w:numPr>
        <w:spacing w:after="160" w:line="259" w:lineRule="auto"/>
        <w:contextualSpacing/>
        <w:jc w:val="both"/>
        <w:rPr>
          <w:rFonts w:eastAsia="Times New Roman"/>
          <w:color w:val="000000"/>
          <w:sz w:val="22"/>
          <w:szCs w:val="22"/>
          <w:lang w:eastAsia="tr-TR"/>
        </w:rPr>
      </w:pPr>
      <w:r w:rsidRPr="00B60CA7">
        <w:rPr>
          <w:rFonts w:eastAsia="Times New Roman"/>
          <w:color w:val="000000"/>
          <w:sz w:val="22"/>
          <w:szCs w:val="22"/>
          <w:lang w:eastAsia="tr-TR"/>
        </w:rPr>
        <w:t xml:space="preserve">The legislative provisions also created a burden on the demand side which should be shared by the government side to prevent a decrease in the demand for female labour force. </w:t>
      </w:r>
    </w:p>
    <w:p w14:paraId="6C2032F8" w14:textId="77777777" w:rsidR="00A4485A" w:rsidRPr="00B60CA7" w:rsidRDefault="00A4485A" w:rsidP="00A4485A">
      <w:pPr>
        <w:numPr>
          <w:ilvl w:val="0"/>
          <w:numId w:val="47"/>
        </w:numPr>
        <w:spacing w:after="160" w:line="259" w:lineRule="auto"/>
        <w:contextualSpacing/>
        <w:jc w:val="both"/>
        <w:rPr>
          <w:rFonts w:eastAsia="Times New Roman"/>
          <w:color w:val="000000"/>
          <w:sz w:val="22"/>
          <w:szCs w:val="22"/>
          <w:lang w:eastAsia="tr-TR"/>
        </w:rPr>
      </w:pPr>
      <w:r w:rsidRPr="00B60CA7">
        <w:rPr>
          <w:rFonts w:eastAsia="Times New Roman"/>
          <w:color w:val="000000"/>
          <w:sz w:val="22"/>
          <w:szCs w:val="22"/>
          <w:lang w:eastAsia="tr-TR"/>
        </w:rPr>
        <w:t xml:space="preserve">The discussion around flexible work seems to continue among the triple dialogue mechanisms. The unions, the employers, and the government view of flexicurity seems to differ from each other. </w:t>
      </w:r>
    </w:p>
    <w:p w14:paraId="01E4EE56" w14:textId="18023F00" w:rsidR="0078303C" w:rsidRPr="00A4485A" w:rsidRDefault="00A4485A" w:rsidP="00CF6DEA">
      <w:pPr>
        <w:numPr>
          <w:ilvl w:val="0"/>
          <w:numId w:val="47"/>
        </w:numPr>
        <w:spacing w:after="160" w:line="259" w:lineRule="auto"/>
        <w:contextualSpacing/>
        <w:jc w:val="both"/>
        <w:rPr>
          <w:rFonts w:eastAsia="Times New Roman"/>
          <w:color w:val="000000"/>
          <w:sz w:val="22"/>
          <w:szCs w:val="22"/>
          <w:lang w:eastAsia="tr-TR"/>
        </w:rPr>
      </w:pPr>
      <w:r w:rsidRPr="00B60CA7">
        <w:rPr>
          <w:rFonts w:eastAsia="Times New Roman"/>
          <w:color w:val="000000"/>
          <w:sz w:val="22"/>
          <w:szCs w:val="22"/>
          <w:lang w:eastAsia="tr-TR"/>
        </w:rPr>
        <w:lastRenderedPageBreak/>
        <w:t xml:space="preserve">In overall, care work is the most important factor that should be considered in the policies for increasing women’s employment. </w:t>
      </w:r>
    </w:p>
    <w:p w14:paraId="41A1C842" w14:textId="4970C8F0" w:rsidR="00A03972" w:rsidRPr="00DD72BE" w:rsidRDefault="00A03972" w:rsidP="00DD72BE">
      <w:pPr>
        <w:pStyle w:val="Heading2"/>
      </w:pPr>
      <w:bookmarkStart w:id="16" w:name="_Toc156562594"/>
      <w:r w:rsidRPr="00DD72BE">
        <w:t xml:space="preserve">2.3 Pre-Study Workshop (see Annex </w:t>
      </w:r>
      <w:r w:rsidR="0078303C">
        <w:t>3</w:t>
      </w:r>
      <w:r w:rsidRPr="00DD72BE">
        <w:t>)</w:t>
      </w:r>
      <w:bookmarkEnd w:id="16"/>
    </w:p>
    <w:p w14:paraId="1AF618D8" w14:textId="1905708F" w:rsidR="00B35E43" w:rsidRPr="00DD72BE" w:rsidRDefault="00B35E43" w:rsidP="00DD72BE">
      <w:pPr>
        <w:pStyle w:val="Heading3"/>
      </w:pPr>
      <w:bookmarkStart w:id="17" w:name="_Toc156562595"/>
      <w:r w:rsidRPr="00DD72BE">
        <w:t>2.3.1 Workshop Structure</w:t>
      </w:r>
      <w:bookmarkEnd w:id="17"/>
    </w:p>
    <w:p w14:paraId="5EEB5DEC" w14:textId="76B0C397" w:rsidR="00B35E43" w:rsidRDefault="00B35E43" w:rsidP="00B35E43">
      <w:pPr>
        <w:jc w:val="both"/>
        <w:rPr>
          <w:b/>
          <w:sz w:val="22"/>
          <w:szCs w:val="22"/>
        </w:rPr>
      </w:pPr>
      <w:r>
        <w:rPr>
          <w:sz w:val="22"/>
          <w:szCs w:val="22"/>
        </w:rPr>
        <w:t>A</w:t>
      </w:r>
      <w:r w:rsidR="0078303C">
        <w:rPr>
          <w:sz w:val="22"/>
          <w:szCs w:val="22"/>
        </w:rPr>
        <w:t>n online</w:t>
      </w:r>
      <w:r>
        <w:rPr>
          <w:sz w:val="22"/>
          <w:szCs w:val="22"/>
        </w:rPr>
        <w:t xml:space="preserve"> Pre-Study Workshop on </w:t>
      </w:r>
      <w:r w:rsidR="00A63488">
        <w:rPr>
          <w:sz w:val="22"/>
          <w:szCs w:val="22"/>
        </w:rPr>
        <w:t>Impact Assessment</w:t>
      </w:r>
      <w:r>
        <w:rPr>
          <w:sz w:val="22"/>
          <w:szCs w:val="22"/>
        </w:rPr>
        <w:t xml:space="preserve"> was held on 1</w:t>
      </w:r>
      <w:r w:rsidR="0078303C">
        <w:rPr>
          <w:sz w:val="22"/>
          <w:szCs w:val="22"/>
        </w:rPr>
        <w:t>7</w:t>
      </w:r>
      <w:r>
        <w:rPr>
          <w:sz w:val="22"/>
          <w:szCs w:val="22"/>
        </w:rPr>
        <w:t xml:space="preserve"> March 2022 online</w:t>
      </w:r>
      <w:r w:rsidR="006A07B1">
        <w:rPr>
          <w:sz w:val="22"/>
          <w:szCs w:val="22"/>
        </w:rPr>
        <w:t>:</w:t>
      </w:r>
      <w:r>
        <w:rPr>
          <w:sz w:val="22"/>
          <w:szCs w:val="22"/>
        </w:rPr>
        <w:t xml:space="preserve"> 5</w:t>
      </w:r>
      <w:r w:rsidR="0078303C">
        <w:rPr>
          <w:sz w:val="22"/>
          <w:szCs w:val="22"/>
        </w:rPr>
        <w:t>1</w:t>
      </w:r>
      <w:r>
        <w:rPr>
          <w:sz w:val="22"/>
          <w:szCs w:val="22"/>
        </w:rPr>
        <w:t xml:space="preserve"> stakeholders participated</w:t>
      </w:r>
      <w:r w:rsidR="008262AD">
        <w:rPr>
          <w:sz w:val="22"/>
          <w:szCs w:val="22"/>
        </w:rPr>
        <w:t xml:space="preserve">, </w:t>
      </w:r>
      <w:r>
        <w:rPr>
          <w:sz w:val="22"/>
          <w:szCs w:val="22"/>
        </w:rPr>
        <w:t xml:space="preserve">drawn from the public and third sectors. </w:t>
      </w:r>
      <w:r w:rsidR="00333642">
        <w:rPr>
          <w:sz w:val="22"/>
          <w:szCs w:val="22"/>
        </w:rPr>
        <w:t xml:space="preserve">An Evaluation Report may be seen at Annex </w:t>
      </w:r>
      <w:r w:rsidR="0078303C">
        <w:rPr>
          <w:sz w:val="22"/>
          <w:szCs w:val="22"/>
        </w:rPr>
        <w:t>3</w:t>
      </w:r>
      <w:r w:rsidR="00333642">
        <w:rPr>
          <w:sz w:val="22"/>
          <w:szCs w:val="22"/>
        </w:rPr>
        <w:t>.</w:t>
      </w:r>
    </w:p>
    <w:p w14:paraId="067F1DF3" w14:textId="77777777" w:rsidR="00B35E43" w:rsidRDefault="00B35E43" w:rsidP="00B35E43">
      <w:pPr>
        <w:jc w:val="both"/>
        <w:rPr>
          <w:sz w:val="22"/>
          <w:szCs w:val="22"/>
        </w:rPr>
      </w:pPr>
    </w:p>
    <w:p w14:paraId="55ACA661" w14:textId="4962CD19" w:rsidR="00B35E43" w:rsidRDefault="00B35E43" w:rsidP="00B35E43">
      <w:pPr>
        <w:jc w:val="both"/>
        <w:rPr>
          <w:sz w:val="22"/>
          <w:szCs w:val="22"/>
        </w:rPr>
      </w:pPr>
      <w:bookmarkStart w:id="18" w:name="_heading=h.z337ya" w:colFirst="0" w:colLast="0"/>
      <w:bookmarkEnd w:id="18"/>
      <w:r>
        <w:rPr>
          <w:sz w:val="22"/>
          <w:szCs w:val="22"/>
        </w:rPr>
        <w:t xml:space="preserve">The 1-day Workshop was, broadly, divided into 2 halves: the morning session comprised a series </w:t>
      </w:r>
      <w:r w:rsidR="004B4ABB">
        <w:rPr>
          <w:sz w:val="22"/>
          <w:szCs w:val="22"/>
        </w:rPr>
        <w:t xml:space="preserve">of </w:t>
      </w:r>
      <w:r>
        <w:rPr>
          <w:sz w:val="22"/>
          <w:szCs w:val="22"/>
        </w:rPr>
        <w:t>presentations from MoLSS, TAT and TAT’s experts aimed at establishing a Turkish and international context for subsequent stakeholder discussions</w:t>
      </w:r>
      <w:r w:rsidR="00056A3C">
        <w:rPr>
          <w:sz w:val="22"/>
          <w:szCs w:val="22"/>
        </w:rPr>
        <w:t xml:space="preserve">, which took place during the afternoon. </w:t>
      </w:r>
    </w:p>
    <w:p w14:paraId="4978D95F" w14:textId="48181837" w:rsidR="008262AD" w:rsidRDefault="00B35E43" w:rsidP="00DD72BE">
      <w:pPr>
        <w:pStyle w:val="Heading3"/>
      </w:pPr>
      <w:bookmarkStart w:id="19" w:name="_Toc156562596"/>
      <w:r w:rsidRPr="00DD72BE">
        <w:t>2.3.2 Summary of Main Findings</w:t>
      </w:r>
      <w:bookmarkEnd w:id="19"/>
    </w:p>
    <w:p w14:paraId="5F65E180" w14:textId="6EC39FEA" w:rsidR="00CE5CE1" w:rsidRPr="00CE5CE1" w:rsidRDefault="00CE5CE1" w:rsidP="00CE5CE1">
      <w:pPr>
        <w:rPr>
          <w:rFonts w:asciiTheme="majorHAnsi" w:eastAsiaTheme="majorEastAsia" w:hAnsiTheme="majorHAnsi" w:cstheme="majorBidi"/>
          <w:color w:val="1F3763" w:themeColor="accent1" w:themeShade="7F"/>
        </w:rPr>
      </w:pPr>
      <w:r w:rsidRPr="00CE5CE1">
        <w:rPr>
          <w:rFonts w:asciiTheme="majorHAnsi" w:eastAsiaTheme="majorEastAsia" w:hAnsiTheme="majorHAnsi" w:cstheme="majorBidi"/>
          <w:color w:val="1F3763" w:themeColor="accent1" w:themeShade="7F"/>
        </w:rPr>
        <w:t>2.3.3 Key Issues Raised</w:t>
      </w:r>
    </w:p>
    <w:p w14:paraId="61DACCB7" w14:textId="21EC7A4C" w:rsidR="00CE5CE1" w:rsidRDefault="00CE5CE1" w:rsidP="00CE5CE1"/>
    <w:p w14:paraId="44A1121B" w14:textId="4DAB4494" w:rsidR="00304C2F" w:rsidRPr="00EA2F64" w:rsidRDefault="0078303C" w:rsidP="00304C2F">
      <w:pPr>
        <w:jc w:val="both"/>
        <w:rPr>
          <w:rFonts w:cstheme="minorHAnsi"/>
          <w:sz w:val="22"/>
          <w:szCs w:val="22"/>
        </w:rPr>
      </w:pPr>
      <w:r>
        <w:rPr>
          <w:rFonts w:cstheme="minorHAnsi"/>
          <w:sz w:val="22"/>
          <w:szCs w:val="22"/>
        </w:rPr>
        <w:t>The following emerged as the key issues for the workshop participants:</w:t>
      </w:r>
    </w:p>
    <w:p w14:paraId="72407304" w14:textId="77777777" w:rsidR="00304C2F" w:rsidRPr="00EA2F64" w:rsidRDefault="00304C2F" w:rsidP="00304C2F">
      <w:pPr>
        <w:jc w:val="both"/>
        <w:rPr>
          <w:rFonts w:cstheme="minorHAnsi"/>
          <w:sz w:val="22"/>
          <w:szCs w:val="22"/>
        </w:rPr>
      </w:pPr>
    </w:p>
    <w:p w14:paraId="2D895F29" w14:textId="77777777" w:rsidR="00304C2F" w:rsidRDefault="00304C2F" w:rsidP="00304C2F">
      <w:pPr>
        <w:pStyle w:val="ListParagraph"/>
        <w:numPr>
          <w:ilvl w:val="0"/>
          <w:numId w:val="42"/>
        </w:numPr>
        <w:jc w:val="both"/>
        <w:rPr>
          <w:rFonts w:cstheme="minorHAnsi"/>
          <w:b/>
          <w:bCs/>
          <w:sz w:val="22"/>
          <w:szCs w:val="22"/>
        </w:rPr>
      </w:pPr>
      <w:r w:rsidRPr="00EA2F64">
        <w:rPr>
          <w:rFonts w:cstheme="minorHAnsi"/>
          <w:b/>
          <w:bCs/>
          <w:sz w:val="22"/>
          <w:szCs w:val="22"/>
        </w:rPr>
        <w:t xml:space="preserve">Structure of the legislation </w:t>
      </w:r>
    </w:p>
    <w:p w14:paraId="442784B7" w14:textId="77777777" w:rsidR="00304C2F" w:rsidRPr="0078303C" w:rsidRDefault="00304C2F" w:rsidP="0078303C">
      <w:pPr>
        <w:jc w:val="both"/>
        <w:rPr>
          <w:rFonts w:cstheme="minorHAnsi"/>
          <w:sz w:val="22"/>
          <w:szCs w:val="22"/>
          <w:lang w:val="en-US"/>
        </w:rPr>
      </w:pPr>
    </w:p>
    <w:p w14:paraId="21596DC7" w14:textId="6485912C" w:rsidR="00304C2F" w:rsidRPr="00C862A7" w:rsidRDefault="0078303C" w:rsidP="00A13260">
      <w:pPr>
        <w:pStyle w:val="ListParagraph"/>
        <w:numPr>
          <w:ilvl w:val="0"/>
          <w:numId w:val="41"/>
        </w:numPr>
        <w:jc w:val="both"/>
        <w:rPr>
          <w:rFonts w:cstheme="minorHAnsi"/>
          <w:sz w:val="22"/>
          <w:szCs w:val="22"/>
        </w:rPr>
      </w:pPr>
      <w:r w:rsidRPr="00C862A7">
        <w:rPr>
          <w:rFonts w:cstheme="minorHAnsi"/>
          <w:sz w:val="22"/>
          <w:szCs w:val="22"/>
        </w:rPr>
        <w:t>L</w:t>
      </w:r>
      <w:r w:rsidR="00304C2F" w:rsidRPr="00C862A7">
        <w:rPr>
          <w:rFonts w:cstheme="minorHAnsi"/>
          <w:sz w:val="22"/>
          <w:szCs w:val="22"/>
        </w:rPr>
        <w:t>egislation might promote gender equality and avoid emphasizing women have the main responsibility in taking family care. The language of the labour law might imply that women and men have equal responsibilities in their families and maternal leaves are the right of the child therefore father and mother should have the same responsibility.</w:t>
      </w:r>
    </w:p>
    <w:p w14:paraId="7ED53877" w14:textId="77777777" w:rsidR="00304C2F" w:rsidRPr="00EA2F64" w:rsidRDefault="00304C2F" w:rsidP="00304C2F">
      <w:pPr>
        <w:pStyle w:val="ListParagraph"/>
        <w:numPr>
          <w:ilvl w:val="0"/>
          <w:numId w:val="41"/>
        </w:numPr>
        <w:jc w:val="both"/>
        <w:rPr>
          <w:rFonts w:cstheme="minorHAnsi"/>
          <w:sz w:val="22"/>
          <w:szCs w:val="22"/>
        </w:rPr>
      </w:pPr>
      <w:r w:rsidRPr="00EA2F64">
        <w:rPr>
          <w:rFonts w:cstheme="minorHAnsi"/>
          <w:sz w:val="22"/>
          <w:szCs w:val="22"/>
        </w:rPr>
        <w:t xml:space="preserve">The differences between the Labour law and Public Servants Law No: 657 might be eliminated in terms of provisions related to women employees mainly breastfeeding and unpaid work leaves. </w:t>
      </w:r>
    </w:p>
    <w:p w14:paraId="54E430E1" w14:textId="77777777" w:rsidR="00304C2F" w:rsidRPr="00EA2F64" w:rsidRDefault="00304C2F" w:rsidP="00304C2F">
      <w:pPr>
        <w:jc w:val="both"/>
        <w:rPr>
          <w:rFonts w:cstheme="minorHAnsi"/>
          <w:sz w:val="22"/>
          <w:szCs w:val="22"/>
        </w:rPr>
      </w:pPr>
    </w:p>
    <w:p w14:paraId="540212DE" w14:textId="21A12981" w:rsidR="00304C2F" w:rsidRPr="0078303C" w:rsidRDefault="00304C2F" w:rsidP="0078303C">
      <w:pPr>
        <w:pStyle w:val="ListParagraph"/>
        <w:numPr>
          <w:ilvl w:val="0"/>
          <w:numId w:val="42"/>
        </w:numPr>
        <w:jc w:val="both"/>
        <w:rPr>
          <w:rFonts w:cstheme="minorHAnsi"/>
          <w:b/>
          <w:bCs/>
          <w:sz w:val="22"/>
          <w:szCs w:val="22"/>
        </w:rPr>
      </w:pPr>
      <w:r w:rsidRPr="00EA2F64">
        <w:rPr>
          <w:rFonts w:cstheme="minorHAnsi"/>
          <w:b/>
          <w:bCs/>
          <w:sz w:val="22"/>
          <w:szCs w:val="22"/>
        </w:rPr>
        <w:t xml:space="preserve">Areas where the participants suggested some improvement in the existing Labour Law  </w:t>
      </w:r>
    </w:p>
    <w:p w14:paraId="3E78127F" w14:textId="77777777" w:rsidR="00304C2F" w:rsidRPr="00EA2F64" w:rsidRDefault="00304C2F" w:rsidP="00304C2F">
      <w:pPr>
        <w:pStyle w:val="ListParagraph"/>
        <w:jc w:val="both"/>
        <w:rPr>
          <w:rFonts w:cstheme="minorHAnsi"/>
          <w:sz w:val="22"/>
          <w:szCs w:val="22"/>
        </w:rPr>
      </w:pPr>
    </w:p>
    <w:p w14:paraId="4FD731D6" w14:textId="78DFC10F" w:rsidR="00304C2F" w:rsidRPr="00C862A7" w:rsidRDefault="00304C2F" w:rsidP="00A13260">
      <w:pPr>
        <w:pStyle w:val="ListParagraph"/>
        <w:numPr>
          <w:ilvl w:val="0"/>
          <w:numId w:val="41"/>
        </w:numPr>
        <w:jc w:val="both"/>
        <w:rPr>
          <w:rFonts w:cstheme="minorHAnsi"/>
          <w:sz w:val="22"/>
          <w:szCs w:val="22"/>
        </w:rPr>
      </w:pPr>
      <w:r w:rsidRPr="00C862A7">
        <w:rPr>
          <w:rFonts w:cstheme="minorHAnsi"/>
          <w:sz w:val="22"/>
          <w:szCs w:val="22"/>
        </w:rPr>
        <w:t>Duration of maternal and unpaid work leaves is not sufficient. There is a demand from the employee side to extend the duration of these leaves by giving a right to postpartum leave to both men and women to enable them to look after their children.</w:t>
      </w:r>
    </w:p>
    <w:p w14:paraId="46D19743" w14:textId="5D93566D" w:rsidR="00304C2F" w:rsidRPr="00C862A7" w:rsidRDefault="00304C2F" w:rsidP="00A13260">
      <w:pPr>
        <w:pStyle w:val="ListParagraph"/>
        <w:numPr>
          <w:ilvl w:val="0"/>
          <w:numId w:val="41"/>
        </w:numPr>
        <w:jc w:val="both"/>
        <w:rPr>
          <w:rFonts w:cstheme="minorHAnsi"/>
          <w:sz w:val="22"/>
          <w:szCs w:val="22"/>
        </w:rPr>
      </w:pPr>
      <w:r w:rsidRPr="00C862A7">
        <w:rPr>
          <w:rFonts w:cstheme="minorHAnsi"/>
          <w:sz w:val="22"/>
          <w:szCs w:val="22"/>
        </w:rPr>
        <w:t>The sanction of a nursery requirement for workplaces employing 150 and more women is not effective in practice. This sanction might consider the total number of employees not only women.  In addition, the government might provide different modes of support to those establishments having more than 150 employees to fulfil their responsibilities.</w:t>
      </w:r>
    </w:p>
    <w:p w14:paraId="71A4BE47" w14:textId="77777777" w:rsidR="00304C2F" w:rsidRPr="00EA2F64" w:rsidRDefault="00304C2F" w:rsidP="00304C2F">
      <w:pPr>
        <w:pStyle w:val="ListParagraph"/>
        <w:numPr>
          <w:ilvl w:val="0"/>
          <w:numId w:val="41"/>
        </w:numPr>
        <w:jc w:val="both"/>
        <w:rPr>
          <w:rFonts w:cstheme="minorHAnsi"/>
          <w:sz w:val="22"/>
          <w:szCs w:val="22"/>
        </w:rPr>
      </w:pPr>
      <w:r>
        <w:rPr>
          <w:rFonts w:cstheme="minorHAnsi"/>
          <w:sz w:val="22"/>
          <w:szCs w:val="22"/>
        </w:rPr>
        <w:t>D</w:t>
      </w:r>
      <w:r w:rsidRPr="00EA2F64">
        <w:rPr>
          <w:rFonts w:cstheme="minorHAnsi"/>
          <w:sz w:val="22"/>
          <w:szCs w:val="22"/>
        </w:rPr>
        <w:t>ifferent weekly working times after maternity leaves by considering the number of children might be changed. Partial work for each child might be increased to 6 months.</w:t>
      </w:r>
    </w:p>
    <w:p w14:paraId="58249AEF" w14:textId="77777777" w:rsidR="00304C2F" w:rsidRPr="00EA2F64" w:rsidRDefault="00304C2F" w:rsidP="00304C2F">
      <w:pPr>
        <w:pStyle w:val="ListParagraph"/>
        <w:rPr>
          <w:rFonts w:cstheme="minorHAnsi"/>
          <w:sz w:val="22"/>
          <w:szCs w:val="22"/>
        </w:rPr>
      </w:pPr>
    </w:p>
    <w:p w14:paraId="0F58A775" w14:textId="655019CB" w:rsidR="00304C2F" w:rsidRDefault="00304C2F" w:rsidP="00304C2F">
      <w:pPr>
        <w:pStyle w:val="ListParagraph"/>
        <w:rPr>
          <w:rFonts w:cstheme="minorHAnsi"/>
          <w:sz w:val="22"/>
          <w:szCs w:val="22"/>
        </w:rPr>
      </w:pPr>
    </w:p>
    <w:p w14:paraId="4CFA5BDC" w14:textId="77777777" w:rsidR="00F576CF" w:rsidRPr="00EA2F64" w:rsidRDefault="00F576CF" w:rsidP="00304C2F">
      <w:pPr>
        <w:pStyle w:val="ListParagraph"/>
        <w:rPr>
          <w:rFonts w:cstheme="minorHAnsi"/>
          <w:sz w:val="22"/>
          <w:szCs w:val="22"/>
        </w:rPr>
      </w:pPr>
    </w:p>
    <w:p w14:paraId="571CE4CE" w14:textId="77777777" w:rsidR="00304C2F" w:rsidRPr="00EA2F64" w:rsidRDefault="00304C2F" w:rsidP="00304C2F">
      <w:pPr>
        <w:pStyle w:val="ListParagraph"/>
        <w:numPr>
          <w:ilvl w:val="0"/>
          <w:numId w:val="42"/>
        </w:numPr>
        <w:rPr>
          <w:rFonts w:cstheme="minorHAnsi"/>
          <w:b/>
          <w:bCs/>
          <w:sz w:val="22"/>
          <w:szCs w:val="22"/>
        </w:rPr>
      </w:pPr>
      <w:r w:rsidRPr="00EA2F64">
        <w:rPr>
          <w:rFonts w:cstheme="minorHAnsi"/>
          <w:b/>
          <w:bCs/>
          <w:sz w:val="22"/>
          <w:szCs w:val="22"/>
        </w:rPr>
        <w:t xml:space="preserve">New suggested areas of action  </w:t>
      </w:r>
    </w:p>
    <w:p w14:paraId="636DC09F" w14:textId="77777777" w:rsidR="00304C2F" w:rsidRPr="00EA2F64" w:rsidRDefault="00304C2F" w:rsidP="00304C2F">
      <w:pPr>
        <w:rPr>
          <w:rFonts w:cstheme="minorHAnsi"/>
          <w:sz w:val="22"/>
          <w:szCs w:val="22"/>
        </w:rPr>
      </w:pPr>
    </w:p>
    <w:p w14:paraId="42C28B17" w14:textId="2BCF42AF" w:rsidR="00304C2F" w:rsidRPr="00C862A7" w:rsidRDefault="00304C2F" w:rsidP="00A13260">
      <w:pPr>
        <w:pStyle w:val="ListParagraph"/>
        <w:numPr>
          <w:ilvl w:val="0"/>
          <w:numId w:val="41"/>
        </w:numPr>
        <w:jc w:val="both"/>
        <w:rPr>
          <w:rFonts w:cstheme="minorHAnsi"/>
          <w:sz w:val="22"/>
          <w:szCs w:val="22"/>
        </w:rPr>
      </w:pPr>
      <w:r w:rsidRPr="00C862A7">
        <w:rPr>
          <w:rFonts w:cstheme="minorHAnsi"/>
          <w:sz w:val="22"/>
          <w:szCs w:val="22"/>
        </w:rPr>
        <w:lastRenderedPageBreak/>
        <w:t>Care work provisions might cover the care for the elderly, patients, and disabled in addition to the childcare.</w:t>
      </w:r>
    </w:p>
    <w:p w14:paraId="1A4FFE3A" w14:textId="47534877" w:rsidR="00304C2F" w:rsidRPr="00C862A7" w:rsidRDefault="00304C2F" w:rsidP="00A13260">
      <w:pPr>
        <w:pStyle w:val="ListParagraph"/>
        <w:numPr>
          <w:ilvl w:val="0"/>
          <w:numId w:val="41"/>
        </w:numPr>
        <w:jc w:val="both"/>
        <w:rPr>
          <w:rFonts w:cstheme="minorHAnsi"/>
          <w:sz w:val="22"/>
          <w:szCs w:val="22"/>
        </w:rPr>
      </w:pPr>
      <w:r w:rsidRPr="00C862A7">
        <w:rPr>
          <w:rFonts w:cstheme="minorHAnsi"/>
          <w:sz w:val="22"/>
          <w:szCs w:val="22"/>
        </w:rPr>
        <w:t>Care incentives might be extended to include those groups which are not covered by the existing law including platform workers, atypical workers, freelancers etc.</w:t>
      </w:r>
    </w:p>
    <w:p w14:paraId="5C82FB72" w14:textId="638B95C5" w:rsidR="00304C2F" w:rsidRPr="00C862A7" w:rsidRDefault="00304C2F" w:rsidP="00A13260">
      <w:pPr>
        <w:pStyle w:val="ListParagraph"/>
        <w:numPr>
          <w:ilvl w:val="0"/>
          <w:numId w:val="41"/>
        </w:numPr>
        <w:jc w:val="both"/>
        <w:rPr>
          <w:rFonts w:cstheme="minorHAnsi"/>
          <w:sz w:val="22"/>
          <w:szCs w:val="22"/>
        </w:rPr>
      </w:pPr>
      <w:r w:rsidRPr="00C862A7">
        <w:rPr>
          <w:rFonts w:cstheme="minorHAnsi"/>
          <w:sz w:val="22"/>
          <w:szCs w:val="22"/>
        </w:rPr>
        <w:t>There is a need that women who are under threat of violence might be supported by the government including to receive severance pay, paid/unpaid leave, remote work, allowance, and income support etc.</w:t>
      </w:r>
    </w:p>
    <w:p w14:paraId="04C9B06E" w14:textId="6E9A05DD" w:rsidR="00304C2F" w:rsidRPr="00C862A7" w:rsidRDefault="00304C2F" w:rsidP="00A13260">
      <w:pPr>
        <w:pStyle w:val="ListParagraph"/>
        <w:numPr>
          <w:ilvl w:val="0"/>
          <w:numId w:val="41"/>
        </w:numPr>
        <w:jc w:val="both"/>
        <w:rPr>
          <w:rFonts w:cstheme="minorHAnsi"/>
          <w:sz w:val="22"/>
          <w:szCs w:val="22"/>
        </w:rPr>
      </w:pPr>
      <w:r w:rsidRPr="00C862A7">
        <w:rPr>
          <w:rFonts w:cstheme="minorHAnsi"/>
          <w:sz w:val="22"/>
          <w:szCs w:val="22"/>
        </w:rPr>
        <w:t>There is a need to establish some standards for home-based working conditions (remote working) including working hours, lunch breaks, and working rights by law.</w:t>
      </w:r>
    </w:p>
    <w:p w14:paraId="48822DBF" w14:textId="77777777" w:rsidR="00304C2F" w:rsidRPr="00EA2F64" w:rsidRDefault="00304C2F" w:rsidP="00304C2F">
      <w:pPr>
        <w:pStyle w:val="ListParagraph"/>
        <w:numPr>
          <w:ilvl w:val="0"/>
          <w:numId w:val="41"/>
        </w:numPr>
        <w:jc w:val="both"/>
        <w:rPr>
          <w:rFonts w:cstheme="minorHAnsi"/>
          <w:sz w:val="22"/>
          <w:szCs w:val="22"/>
          <w:lang w:val="en-US"/>
        </w:rPr>
      </w:pPr>
      <w:r w:rsidRPr="00EA2F64">
        <w:rPr>
          <w:rFonts w:cstheme="minorHAnsi"/>
          <w:sz w:val="22"/>
          <w:szCs w:val="22"/>
        </w:rPr>
        <w:t>Additional incentives can be provided to those establishments that employ a certain number of female employees as well as assigned women in management positions. This would be helpful not only to increase women employment but also to make it sustainable and increase the participation of women in decision-making processes</w:t>
      </w:r>
    </w:p>
    <w:p w14:paraId="4521E4A8" w14:textId="77777777" w:rsidR="00304C2F" w:rsidRPr="00F177E7" w:rsidRDefault="00304C2F" w:rsidP="00304C2F">
      <w:pPr>
        <w:pStyle w:val="ListParagraph"/>
        <w:rPr>
          <w:rFonts w:cstheme="minorHAnsi"/>
          <w:sz w:val="22"/>
          <w:szCs w:val="22"/>
        </w:rPr>
      </w:pPr>
    </w:p>
    <w:p w14:paraId="404DECEE" w14:textId="5662A1FE" w:rsidR="00304C2F" w:rsidRPr="003C6EC4" w:rsidRDefault="0078303C" w:rsidP="00304C2F">
      <w:pPr>
        <w:jc w:val="both"/>
        <w:rPr>
          <w:rFonts w:cstheme="minorHAnsi"/>
          <w:sz w:val="22"/>
          <w:szCs w:val="22"/>
        </w:rPr>
      </w:pPr>
      <w:r>
        <w:rPr>
          <w:rFonts w:cstheme="minorHAnsi"/>
          <w:sz w:val="22"/>
          <w:szCs w:val="22"/>
        </w:rPr>
        <w:t>There was also a general consensus that there was a nee</w:t>
      </w:r>
      <w:r w:rsidR="00304C2F" w:rsidRPr="003C6EC4">
        <w:rPr>
          <w:rFonts w:cstheme="minorHAnsi"/>
          <w:sz w:val="22"/>
          <w:szCs w:val="22"/>
        </w:rPr>
        <w:t xml:space="preserve">d </w:t>
      </w:r>
      <w:r>
        <w:rPr>
          <w:rFonts w:cstheme="minorHAnsi"/>
          <w:sz w:val="22"/>
          <w:szCs w:val="22"/>
        </w:rPr>
        <w:t>for</w:t>
      </w:r>
      <w:r w:rsidR="00304C2F" w:rsidRPr="003C6EC4">
        <w:rPr>
          <w:rFonts w:cstheme="minorHAnsi"/>
          <w:sz w:val="22"/>
          <w:szCs w:val="22"/>
        </w:rPr>
        <w:t xml:space="preserve"> </w:t>
      </w:r>
      <w:r w:rsidR="00304C2F">
        <w:rPr>
          <w:rFonts w:cstheme="minorHAnsi"/>
          <w:sz w:val="22"/>
          <w:szCs w:val="22"/>
        </w:rPr>
        <w:t>m</w:t>
      </w:r>
      <w:r w:rsidR="00304C2F" w:rsidRPr="003C6EC4">
        <w:rPr>
          <w:rFonts w:cstheme="minorHAnsi"/>
          <w:sz w:val="22"/>
          <w:szCs w:val="22"/>
        </w:rPr>
        <w:t xml:space="preserve">onitoring the implementation of </w:t>
      </w:r>
      <w:r>
        <w:rPr>
          <w:rFonts w:cstheme="minorHAnsi"/>
          <w:sz w:val="22"/>
          <w:szCs w:val="22"/>
        </w:rPr>
        <w:t xml:space="preserve">the </w:t>
      </w:r>
      <w:r w:rsidR="00304C2F" w:rsidRPr="003C6EC4">
        <w:rPr>
          <w:rFonts w:cstheme="minorHAnsi"/>
          <w:sz w:val="22"/>
          <w:szCs w:val="22"/>
        </w:rPr>
        <w:t xml:space="preserve">labour law </w:t>
      </w:r>
      <w:r w:rsidR="00304C2F">
        <w:rPr>
          <w:rFonts w:cstheme="minorHAnsi"/>
          <w:sz w:val="22"/>
          <w:szCs w:val="22"/>
        </w:rPr>
        <w:t xml:space="preserve">as </w:t>
      </w:r>
      <w:r w:rsidR="00304C2F" w:rsidRPr="003C6EC4">
        <w:rPr>
          <w:rFonts w:cstheme="minorHAnsi"/>
          <w:sz w:val="22"/>
          <w:szCs w:val="22"/>
        </w:rPr>
        <w:t>part of the policy</w:t>
      </w:r>
      <w:r>
        <w:rPr>
          <w:rFonts w:cstheme="minorHAnsi"/>
          <w:sz w:val="22"/>
          <w:szCs w:val="22"/>
        </w:rPr>
        <w:t xml:space="preserve">, with </w:t>
      </w:r>
      <w:r w:rsidR="00304C2F" w:rsidRPr="003C6EC4">
        <w:rPr>
          <w:rFonts w:cstheme="minorHAnsi"/>
          <w:sz w:val="22"/>
          <w:szCs w:val="22"/>
        </w:rPr>
        <w:t xml:space="preserve">regular reporting mechanism </w:t>
      </w:r>
      <w:r>
        <w:rPr>
          <w:rFonts w:cstheme="minorHAnsi"/>
          <w:sz w:val="22"/>
          <w:szCs w:val="22"/>
        </w:rPr>
        <w:t xml:space="preserve">being </w:t>
      </w:r>
      <w:r w:rsidR="00304C2F" w:rsidRPr="003C6EC4">
        <w:rPr>
          <w:rFonts w:cstheme="minorHAnsi"/>
          <w:sz w:val="22"/>
          <w:szCs w:val="22"/>
        </w:rPr>
        <w:t>developed.</w:t>
      </w:r>
      <w:r w:rsidR="00304C2F" w:rsidRPr="003C6EC4">
        <w:rPr>
          <w:rFonts w:ascii="Segoe UI" w:hAnsi="Segoe UI" w:cs="Segoe UI"/>
          <w:sz w:val="18"/>
          <w:szCs w:val="18"/>
          <w:shd w:val="clear" w:color="auto" w:fill="00FFFF"/>
        </w:rPr>
        <w:t xml:space="preserve"> </w:t>
      </w:r>
    </w:p>
    <w:p w14:paraId="12C4F5D1" w14:textId="44F0ABFD" w:rsidR="00F3678E" w:rsidRPr="00304C2F" w:rsidRDefault="00F3678E" w:rsidP="00304C2F">
      <w:pPr>
        <w:jc w:val="both"/>
        <w:rPr>
          <w:sz w:val="22"/>
          <w:szCs w:val="22"/>
        </w:rPr>
      </w:pPr>
    </w:p>
    <w:p w14:paraId="6A44FA32" w14:textId="4E959573" w:rsidR="0078303C" w:rsidRPr="001C1C3B" w:rsidRDefault="0078303C" w:rsidP="00250EE0">
      <w:pPr>
        <w:pStyle w:val="Heading2"/>
      </w:pPr>
      <w:bookmarkStart w:id="20" w:name="_Toc156562597"/>
      <w:r w:rsidRPr="0078303C">
        <w:t>2.4 Field Study</w:t>
      </w:r>
      <w:r>
        <w:t xml:space="preserve"> (see Annex 4)</w:t>
      </w:r>
      <w:bookmarkEnd w:id="20"/>
    </w:p>
    <w:p w14:paraId="4640D43C" w14:textId="77777777" w:rsidR="001C1C3B" w:rsidRPr="00DD72BE" w:rsidRDefault="001C1C3B" w:rsidP="001C1C3B">
      <w:pPr>
        <w:pStyle w:val="Heading3"/>
      </w:pPr>
      <w:bookmarkStart w:id="21" w:name="_Toc110844844"/>
      <w:bookmarkStart w:id="22" w:name="_Toc156562598"/>
      <w:r w:rsidRPr="00DD72BE">
        <w:t>2.4.1 Methodology</w:t>
      </w:r>
      <w:bookmarkEnd w:id="21"/>
      <w:bookmarkEnd w:id="22"/>
    </w:p>
    <w:p w14:paraId="401AEF31" w14:textId="5CD6DEEA" w:rsidR="001C1C3B" w:rsidRPr="008654D3" w:rsidRDefault="001C1C3B" w:rsidP="001C1C3B">
      <w:pPr>
        <w:jc w:val="both"/>
        <w:rPr>
          <w:bCs/>
          <w:sz w:val="22"/>
          <w:szCs w:val="22"/>
        </w:rPr>
      </w:pPr>
      <w:r>
        <w:rPr>
          <w:sz w:val="22"/>
          <w:szCs w:val="22"/>
        </w:rPr>
        <w:t xml:space="preserve">The field study was based on a semi-structured questionnaire containing </w:t>
      </w:r>
      <w:r w:rsidR="00F576CF">
        <w:rPr>
          <w:sz w:val="22"/>
          <w:szCs w:val="22"/>
        </w:rPr>
        <w:t>18</w:t>
      </w:r>
      <w:r>
        <w:rPr>
          <w:sz w:val="22"/>
          <w:szCs w:val="22"/>
        </w:rPr>
        <w:t xml:space="preserve"> questions </w:t>
      </w:r>
      <w:r w:rsidR="00F576CF">
        <w:rPr>
          <w:sz w:val="22"/>
          <w:szCs w:val="22"/>
        </w:rPr>
        <w:t xml:space="preserve">(some of which include sub-heading questions) </w:t>
      </w:r>
      <w:r>
        <w:rPr>
          <w:sz w:val="22"/>
          <w:szCs w:val="22"/>
        </w:rPr>
        <w:t xml:space="preserve">(for employees and for employers) which had been prepared and piloted in Ankara in February 2022 (the questionnaires are included as Annexes to the Field Study Report which may be seen at Annex 4). The field study itself took place in Adana, Ankara; Bursa, Istanbul and Izmir in March/April 2022 in Ankara. Over 500 face-to-face interviews were conducted </w:t>
      </w:r>
      <w:r>
        <w:rPr>
          <w:bCs/>
          <w:sz w:val="22"/>
          <w:szCs w:val="22"/>
        </w:rPr>
        <w:t xml:space="preserve">using </w:t>
      </w:r>
      <w:r w:rsidRPr="00751ADB">
        <w:rPr>
          <w:bCs/>
          <w:sz w:val="22"/>
          <w:szCs w:val="22"/>
        </w:rPr>
        <w:t xml:space="preserve">the semi-structured questionnaire. For each participant the procedure took approximately 20-25 minutes in average. </w:t>
      </w:r>
    </w:p>
    <w:p w14:paraId="64570C21" w14:textId="77777777" w:rsidR="001C1C3B" w:rsidRPr="00DD72BE" w:rsidRDefault="001C1C3B" w:rsidP="001C1C3B">
      <w:pPr>
        <w:pStyle w:val="Heading3"/>
      </w:pPr>
      <w:bookmarkStart w:id="23" w:name="_Toc110844845"/>
      <w:bookmarkStart w:id="24" w:name="_Toc156562599"/>
      <w:r w:rsidRPr="00DD72BE">
        <w:t>2.4.2 Focus of Questioning</w:t>
      </w:r>
      <w:bookmarkEnd w:id="23"/>
      <w:bookmarkEnd w:id="24"/>
    </w:p>
    <w:p w14:paraId="7A794C50" w14:textId="77777777" w:rsidR="001C1C3B" w:rsidRDefault="001C1C3B" w:rsidP="001C1C3B">
      <w:pPr>
        <w:rPr>
          <w:sz w:val="22"/>
          <w:szCs w:val="22"/>
        </w:rPr>
      </w:pPr>
      <w:r w:rsidRPr="002C7B26">
        <w:rPr>
          <w:sz w:val="22"/>
          <w:szCs w:val="22"/>
        </w:rPr>
        <w:t>Questions put to employers and employees were similar and conformed to the following main headings:</w:t>
      </w:r>
    </w:p>
    <w:p w14:paraId="1A71A2B5" w14:textId="7AA3BC23" w:rsidR="001C1C3B" w:rsidRDefault="001C1C3B" w:rsidP="001C1C3B">
      <w:pPr>
        <w:rPr>
          <w:sz w:val="22"/>
          <w:szCs w:val="22"/>
        </w:rPr>
      </w:pPr>
    </w:p>
    <w:p w14:paraId="221B4EC1" w14:textId="46292980" w:rsidR="00F576CF" w:rsidRDefault="00F576CF" w:rsidP="00F576CF">
      <w:pPr>
        <w:pStyle w:val="ListParagraph"/>
        <w:numPr>
          <w:ilvl w:val="0"/>
          <w:numId w:val="49"/>
        </w:numPr>
        <w:rPr>
          <w:sz w:val="22"/>
          <w:szCs w:val="22"/>
        </w:rPr>
      </w:pPr>
      <w:r w:rsidRPr="00F576CF">
        <w:rPr>
          <w:sz w:val="22"/>
          <w:szCs w:val="22"/>
        </w:rPr>
        <w:t>Information 0n Survey Respondent</w:t>
      </w:r>
      <w:r>
        <w:rPr>
          <w:sz w:val="22"/>
          <w:szCs w:val="22"/>
        </w:rPr>
        <w:t>;</w:t>
      </w:r>
    </w:p>
    <w:p w14:paraId="4A4CA33B" w14:textId="3ED3D60E" w:rsidR="00F576CF" w:rsidRDefault="00F576CF" w:rsidP="00F576CF">
      <w:pPr>
        <w:pStyle w:val="ListParagraph"/>
        <w:numPr>
          <w:ilvl w:val="0"/>
          <w:numId w:val="49"/>
        </w:numPr>
        <w:rPr>
          <w:sz w:val="22"/>
          <w:szCs w:val="22"/>
        </w:rPr>
      </w:pPr>
      <w:r w:rsidRPr="00F576CF">
        <w:rPr>
          <w:sz w:val="22"/>
          <w:szCs w:val="22"/>
        </w:rPr>
        <w:t xml:space="preserve">General Information </w:t>
      </w:r>
      <w:r>
        <w:rPr>
          <w:sz w:val="22"/>
          <w:szCs w:val="22"/>
        </w:rPr>
        <w:t>a</w:t>
      </w:r>
      <w:r w:rsidRPr="00F576CF">
        <w:rPr>
          <w:sz w:val="22"/>
          <w:szCs w:val="22"/>
        </w:rPr>
        <w:t>bout Labo</w:t>
      </w:r>
      <w:r>
        <w:rPr>
          <w:sz w:val="22"/>
          <w:szCs w:val="22"/>
        </w:rPr>
        <w:t>u</w:t>
      </w:r>
      <w:r w:rsidRPr="00F576CF">
        <w:rPr>
          <w:sz w:val="22"/>
          <w:szCs w:val="22"/>
        </w:rPr>
        <w:t xml:space="preserve">r Law </w:t>
      </w:r>
      <w:r>
        <w:rPr>
          <w:sz w:val="22"/>
          <w:szCs w:val="22"/>
        </w:rPr>
        <w:t>a</w:t>
      </w:r>
      <w:r w:rsidRPr="00F576CF">
        <w:rPr>
          <w:sz w:val="22"/>
          <w:szCs w:val="22"/>
        </w:rPr>
        <w:t xml:space="preserve">nd Related Regulations </w:t>
      </w:r>
      <w:r>
        <w:rPr>
          <w:sz w:val="22"/>
          <w:szCs w:val="22"/>
        </w:rPr>
        <w:t>a</w:t>
      </w:r>
      <w:r w:rsidRPr="00F576CF">
        <w:rPr>
          <w:sz w:val="22"/>
          <w:szCs w:val="22"/>
        </w:rPr>
        <w:t>nd Implementation Status</w:t>
      </w:r>
      <w:r>
        <w:rPr>
          <w:sz w:val="22"/>
          <w:szCs w:val="22"/>
        </w:rPr>
        <w:t>;</w:t>
      </w:r>
    </w:p>
    <w:p w14:paraId="76757988" w14:textId="46E8937F" w:rsidR="00F576CF" w:rsidRPr="00F576CF" w:rsidRDefault="00F576CF" w:rsidP="00F576CF">
      <w:pPr>
        <w:pStyle w:val="ListParagraph"/>
        <w:numPr>
          <w:ilvl w:val="0"/>
          <w:numId w:val="49"/>
        </w:numPr>
        <w:rPr>
          <w:sz w:val="22"/>
          <w:szCs w:val="22"/>
        </w:rPr>
      </w:pPr>
      <w:r w:rsidRPr="00F576CF">
        <w:rPr>
          <w:sz w:val="22"/>
          <w:szCs w:val="22"/>
        </w:rPr>
        <w:t>Future Recommendations</w:t>
      </w:r>
      <w:r>
        <w:rPr>
          <w:sz w:val="22"/>
          <w:szCs w:val="22"/>
        </w:rPr>
        <w:t>.</w:t>
      </w:r>
    </w:p>
    <w:p w14:paraId="3CDB2702" w14:textId="77777777" w:rsidR="001C1C3B" w:rsidRPr="00DD72BE" w:rsidRDefault="001C1C3B" w:rsidP="001C1C3B">
      <w:pPr>
        <w:pStyle w:val="Heading3"/>
      </w:pPr>
      <w:bookmarkStart w:id="25" w:name="_Toc110844846"/>
      <w:bookmarkStart w:id="26" w:name="_Toc156562600"/>
      <w:r w:rsidRPr="00DD72BE">
        <w:t>2.4.3 Data Analysis</w:t>
      </w:r>
      <w:bookmarkEnd w:id="25"/>
      <w:bookmarkEnd w:id="26"/>
    </w:p>
    <w:p w14:paraId="3E74577C" w14:textId="3F582343" w:rsidR="001C1C3B" w:rsidRPr="002C7B26" w:rsidRDefault="001C1C3B" w:rsidP="001C1C3B">
      <w:pPr>
        <w:jc w:val="both"/>
        <w:rPr>
          <w:sz w:val="22"/>
          <w:szCs w:val="22"/>
        </w:rPr>
      </w:pPr>
      <w:bookmarkStart w:id="27" w:name="_Hlk110847372"/>
      <w:r w:rsidRPr="002C7B26">
        <w:rPr>
          <w:sz w:val="22"/>
          <w:szCs w:val="22"/>
        </w:rPr>
        <w:t xml:space="preserve">The data derived from the responses was subjected to detailed analysis, using </w:t>
      </w:r>
      <w:r>
        <w:rPr>
          <w:sz w:val="22"/>
          <w:szCs w:val="22"/>
        </w:rPr>
        <w:t>the SPSS package program. Dues to the relatively small sampling size, data analysis was limited to descriptive analysis (i.e. frequency distribution and summary statistics (mean, standard deviation or proportion). In order to assess the impact of socio-demographic and project variables, stratified analyses were performed (gender, age, education level). High-rated responses were then discussed in the text.  The full analysis may be seen at Annex 4.</w:t>
      </w:r>
    </w:p>
    <w:bookmarkEnd w:id="27"/>
    <w:p w14:paraId="5B57AD2F" w14:textId="77777777" w:rsidR="0078303C" w:rsidRDefault="0078303C" w:rsidP="00CF6DEA"/>
    <w:p w14:paraId="7D7E8EEB" w14:textId="5B2B7076" w:rsidR="00A03972" w:rsidRPr="00DD72BE" w:rsidRDefault="00A03972" w:rsidP="00DD72BE">
      <w:pPr>
        <w:pStyle w:val="Heading2"/>
      </w:pPr>
      <w:bookmarkStart w:id="28" w:name="_Toc156562601"/>
      <w:r w:rsidRPr="00DD72BE">
        <w:lastRenderedPageBreak/>
        <w:t>2.</w:t>
      </w:r>
      <w:r w:rsidR="0078303C">
        <w:t>5</w:t>
      </w:r>
      <w:r w:rsidRPr="00DD72BE">
        <w:t xml:space="preserve"> Post-Study Workshop (see Annex </w:t>
      </w:r>
      <w:r w:rsidR="0078303C">
        <w:t>5</w:t>
      </w:r>
      <w:r w:rsidRPr="00DD72BE">
        <w:t>)</w:t>
      </w:r>
      <w:bookmarkEnd w:id="28"/>
    </w:p>
    <w:p w14:paraId="706DA4F8" w14:textId="584363E1" w:rsidR="00CA580E" w:rsidRPr="00E46322" w:rsidRDefault="00CA580E" w:rsidP="00262FEB">
      <w:pPr>
        <w:pStyle w:val="Heading3"/>
      </w:pPr>
      <w:bookmarkStart w:id="29" w:name="_Toc156562602"/>
      <w:r w:rsidRPr="00E46322">
        <w:t>2.5.1 Workshop Structure</w:t>
      </w:r>
      <w:bookmarkEnd w:id="29"/>
    </w:p>
    <w:p w14:paraId="5E7C8DFB" w14:textId="2E4DA4A3" w:rsidR="00CA580E" w:rsidRDefault="00CA580E" w:rsidP="00CF6DEA"/>
    <w:p w14:paraId="061CBD11" w14:textId="764C6E77" w:rsidR="00CA580E" w:rsidRDefault="00CA580E" w:rsidP="00CA580E">
      <w:pPr>
        <w:jc w:val="both"/>
        <w:rPr>
          <w:b/>
          <w:sz w:val="22"/>
          <w:szCs w:val="22"/>
        </w:rPr>
      </w:pPr>
      <w:r>
        <w:rPr>
          <w:sz w:val="22"/>
          <w:szCs w:val="22"/>
        </w:rPr>
        <w:t xml:space="preserve">A </w:t>
      </w:r>
      <w:r w:rsidR="0078303C">
        <w:rPr>
          <w:sz w:val="22"/>
          <w:szCs w:val="22"/>
        </w:rPr>
        <w:t xml:space="preserve">hybrid </w:t>
      </w:r>
      <w:r>
        <w:rPr>
          <w:sz w:val="22"/>
          <w:szCs w:val="22"/>
        </w:rPr>
        <w:t xml:space="preserve">Post-Study Workshop on </w:t>
      </w:r>
      <w:r w:rsidR="00A63488">
        <w:rPr>
          <w:sz w:val="22"/>
          <w:szCs w:val="22"/>
        </w:rPr>
        <w:t>Impact Assessment</w:t>
      </w:r>
      <w:r w:rsidR="00056A3C">
        <w:rPr>
          <w:sz w:val="22"/>
          <w:szCs w:val="22"/>
        </w:rPr>
        <w:t xml:space="preserve"> </w:t>
      </w:r>
      <w:r>
        <w:rPr>
          <w:sz w:val="22"/>
          <w:szCs w:val="22"/>
        </w:rPr>
        <w:t xml:space="preserve">was held on </w:t>
      </w:r>
      <w:r w:rsidR="0078303C">
        <w:rPr>
          <w:sz w:val="22"/>
          <w:szCs w:val="22"/>
        </w:rPr>
        <w:t>14 June</w:t>
      </w:r>
      <w:r w:rsidR="00CE5CE1">
        <w:rPr>
          <w:sz w:val="22"/>
          <w:szCs w:val="22"/>
        </w:rPr>
        <w:t xml:space="preserve"> </w:t>
      </w:r>
      <w:r>
        <w:rPr>
          <w:sz w:val="22"/>
          <w:szCs w:val="22"/>
        </w:rPr>
        <w:t>2022</w:t>
      </w:r>
      <w:r w:rsidR="006A07B1">
        <w:rPr>
          <w:sz w:val="22"/>
          <w:szCs w:val="22"/>
        </w:rPr>
        <w:t xml:space="preserve">: a </w:t>
      </w:r>
      <w:r w:rsidR="00E46322">
        <w:rPr>
          <w:sz w:val="22"/>
          <w:szCs w:val="22"/>
        </w:rPr>
        <w:t xml:space="preserve">total of </w:t>
      </w:r>
      <w:r w:rsidR="0078303C">
        <w:rPr>
          <w:sz w:val="22"/>
          <w:szCs w:val="22"/>
        </w:rPr>
        <w:t>110</w:t>
      </w:r>
      <w:r w:rsidR="00E46322">
        <w:rPr>
          <w:sz w:val="22"/>
          <w:szCs w:val="22"/>
        </w:rPr>
        <w:t xml:space="preserve"> participants were involved (</w:t>
      </w:r>
      <w:r w:rsidR="0078303C">
        <w:rPr>
          <w:sz w:val="22"/>
          <w:szCs w:val="22"/>
        </w:rPr>
        <w:t>8</w:t>
      </w:r>
      <w:r w:rsidR="00CE5CE1">
        <w:rPr>
          <w:sz w:val="22"/>
          <w:szCs w:val="22"/>
        </w:rPr>
        <w:t>5</w:t>
      </w:r>
      <w:r w:rsidR="00E46322">
        <w:rPr>
          <w:sz w:val="22"/>
          <w:szCs w:val="22"/>
        </w:rPr>
        <w:t xml:space="preserve"> online and 2</w:t>
      </w:r>
      <w:r w:rsidR="0078303C">
        <w:rPr>
          <w:sz w:val="22"/>
          <w:szCs w:val="22"/>
        </w:rPr>
        <w:t>5</w:t>
      </w:r>
      <w:r w:rsidR="00E46322">
        <w:rPr>
          <w:sz w:val="22"/>
          <w:szCs w:val="22"/>
        </w:rPr>
        <w:t xml:space="preserve"> in-person) </w:t>
      </w:r>
      <w:r>
        <w:rPr>
          <w:sz w:val="22"/>
          <w:szCs w:val="22"/>
        </w:rPr>
        <w:t xml:space="preserve">drawn from the public and third sectors. </w:t>
      </w:r>
      <w:r w:rsidR="00333642">
        <w:rPr>
          <w:sz w:val="22"/>
          <w:szCs w:val="22"/>
        </w:rPr>
        <w:t xml:space="preserve">An Evaluation Report may be seen at Annex </w:t>
      </w:r>
      <w:r w:rsidR="0078303C">
        <w:rPr>
          <w:sz w:val="22"/>
          <w:szCs w:val="22"/>
        </w:rPr>
        <w:t>5</w:t>
      </w:r>
      <w:r w:rsidR="00333642">
        <w:rPr>
          <w:sz w:val="22"/>
          <w:szCs w:val="22"/>
        </w:rPr>
        <w:t>.</w:t>
      </w:r>
    </w:p>
    <w:p w14:paraId="178DF4CB" w14:textId="77777777" w:rsidR="00CA580E" w:rsidRDefault="00CA580E" w:rsidP="00CA580E">
      <w:pPr>
        <w:jc w:val="both"/>
        <w:rPr>
          <w:sz w:val="22"/>
          <w:szCs w:val="22"/>
        </w:rPr>
      </w:pPr>
    </w:p>
    <w:p w14:paraId="51806162" w14:textId="2B6DB3D8" w:rsidR="00CA580E" w:rsidRDefault="00CA580E" w:rsidP="00333642">
      <w:pPr>
        <w:jc w:val="both"/>
      </w:pPr>
      <w:r>
        <w:rPr>
          <w:sz w:val="22"/>
          <w:szCs w:val="22"/>
        </w:rPr>
        <w:t xml:space="preserve">The 1-day </w:t>
      </w:r>
      <w:r w:rsidR="00F3678E">
        <w:rPr>
          <w:sz w:val="22"/>
          <w:szCs w:val="22"/>
        </w:rPr>
        <w:t>w</w:t>
      </w:r>
      <w:r>
        <w:rPr>
          <w:sz w:val="22"/>
          <w:szCs w:val="22"/>
        </w:rPr>
        <w:t>orkshop was</w:t>
      </w:r>
      <w:r w:rsidR="00E46322">
        <w:rPr>
          <w:sz w:val="22"/>
          <w:szCs w:val="22"/>
        </w:rPr>
        <w:t xml:space="preserve"> focused on the main (draft) recommendations which the Technical Assistance Team had developed, based on the preceding elements in this Report. Participants were invited to comment, amend, or reject any of the recommendations, and their views would be taken into account before formulating the final recommendations (</w:t>
      </w:r>
      <w:r w:rsidR="00C862A7">
        <w:rPr>
          <w:sz w:val="22"/>
          <w:szCs w:val="22"/>
        </w:rPr>
        <w:t>see</w:t>
      </w:r>
      <w:r w:rsidR="00E46322">
        <w:rPr>
          <w:sz w:val="22"/>
          <w:szCs w:val="22"/>
        </w:rPr>
        <w:t xml:space="preserve"> Section 3 of this Report</w:t>
      </w:r>
      <w:r w:rsidR="0078303C">
        <w:rPr>
          <w:sz w:val="22"/>
          <w:szCs w:val="22"/>
        </w:rPr>
        <w:t>).</w:t>
      </w:r>
    </w:p>
    <w:p w14:paraId="326A05DB" w14:textId="1327AB38" w:rsidR="00CA580E" w:rsidRDefault="00CA580E" w:rsidP="00262FEB">
      <w:pPr>
        <w:pStyle w:val="Heading3"/>
      </w:pPr>
      <w:bookmarkStart w:id="30" w:name="_Toc156562603"/>
      <w:r w:rsidRPr="00E46322">
        <w:t>2.5.2 Summary of Key Findings</w:t>
      </w:r>
      <w:bookmarkEnd w:id="30"/>
    </w:p>
    <w:p w14:paraId="2B6FF1A6" w14:textId="6F3CE855" w:rsidR="00A03972" w:rsidRDefault="00E46322" w:rsidP="00CF6DEA">
      <w:pPr>
        <w:rPr>
          <w:sz w:val="22"/>
          <w:szCs w:val="22"/>
        </w:rPr>
      </w:pPr>
      <w:r w:rsidRPr="00E46322">
        <w:rPr>
          <w:sz w:val="22"/>
          <w:szCs w:val="22"/>
        </w:rPr>
        <w:t>In fact, the recommendations listed in Section 3 have all taken account of the views expressed during the Post-Study Workshop. Suffice to say that, while there were animated di</w:t>
      </w:r>
      <w:r w:rsidR="006B2F74">
        <w:rPr>
          <w:sz w:val="22"/>
          <w:szCs w:val="22"/>
        </w:rPr>
        <w:t>s</w:t>
      </w:r>
      <w:r w:rsidRPr="00E46322">
        <w:rPr>
          <w:sz w:val="22"/>
          <w:szCs w:val="22"/>
        </w:rPr>
        <w:t>cussions during the workshop, very little was suggested which required any major changes to the original draft recommendations.</w:t>
      </w:r>
    </w:p>
    <w:p w14:paraId="20708566" w14:textId="6B83EF59" w:rsidR="00A03972" w:rsidRDefault="00A03972" w:rsidP="00CF6DEA"/>
    <w:p w14:paraId="05A5A470" w14:textId="5E91CD8C" w:rsidR="00D45D49" w:rsidRDefault="00A03972" w:rsidP="00073158">
      <w:pPr>
        <w:pStyle w:val="Heading1"/>
        <w:numPr>
          <w:ilvl w:val="0"/>
          <w:numId w:val="12"/>
        </w:numPr>
        <w:rPr>
          <w:color w:val="1F3864" w:themeColor="accent1" w:themeShade="80"/>
        </w:rPr>
      </w:pPr>
      <w:bookmarkStart w:id="31" w:name="_Toc156562604"/>
      <w:r w:rsidRPr="00DD72BE">
        <w:t>RECOMMENDAT</w:t>
      </w:r>
      <w:r w:rsidRPr="009C54EF">
        <w:rPr>
          <w:color w:val="1F3864" w:themeColor="accent1" w:themeShade="80"/>
        </w:rPr>
        <w:t>IONS</w:t>
      </w:r>
      <w:bookmarkEnd w:id="31"/>
    </w:p>
    <w:p w14:paraId="4C6FB306" w14:textId="77777777" w:rsidR="00C862A7" w:rsidRDefault="005C2626" w:rsidP="00C862A7">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These recommendations are based on the qualitative and quantitative information derived from the Desk Research, stakeholder meetings, the Pre-Study Workshops, the Field Study’s face-to-face interviews, and, where relevant, the Post-Study Workshop.</w:t>
      </w:r>
      <w:r w:rsidR="00C862A7">
        <w:rPr>
          <w:rFonts w:asciiTheme="minorHAnsi" w:eastAsiaTheme="minorHAnsi" w:hAnsiTheme="minorHAnsi" w:cstheme="minorBidi"/>
          <w:sz w:val="22"/>
          <w:szCs w:val="22"/>
        </w:rPr>
        <w:t xml:space="preserve"> A</w:t>
      </w:r>
      <w:r>
        <w:rPr>
          <w:rFonts w:asciiTheme="minorHAnsi" w:eastAsiaTheme="minorHAnsi" w:hAnsiTheme="minorHAnsi" w:cstheme="minorBidi"/>
          <w:sz w:val="22"/>
          <w:szCs w:val="22"/>
        </w:rPr>
        <w:t>lso</w:t>
      </w:r>
      <w:r w:rsidR="00A13DD5">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information from the Sector</w:t>
      </w:r>
      <w:r w:rsidR="00A13DD5">
        <w:rPr>
          <w:rFonts w:asciiTheme="minorHAnsi" w:eastAsiaTheme="minorHAnsi" w:hAnsiTheme="minorHAnsi" w:cstheme="minorBidi"/>
          <w:sz w:val="22"/>
          <w:szCs w:val="22"/>
        </w:rPr>
        <w:t xml:space="preserve"> Studies</w:t>
      </w:r>
      <w:r>
        <w:rPr>
          <w:rFonts w:asciiTheme="minorHAnsi" w:eastAsiaTheme="minorHAnsi" w:hAnsiTheme="minorHAnsi" w:cstheme="minorBidi"/>
          <w:sz w:val="22"/>
          <w:szCs w:val="22"/>
        </w:rPr>
        <w:t xml:space="preserve"> Report is considered to enhance these recommendations. </w:t>
      </w:r>
    </w:p>
    <w:p w14:paraId="0FAB3D35" w14:textId="5FA15CBD" w:rsidR="005C2626" w:rsidRDefault="005C2626" w:rsidP="00C862A7">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main recommendations of this Report are included in this section, but there are two other important general recommendations: </w:t>
      </w:r>
    </w:p>
    <w:p w14:paraId="3757DB84" w14:textId="77777777" w:rsidR="005C2626" w:rsidRPr="00CD2A61" w:rsidRDefault="005C2626" w:rsidP="005C2626">
      <w:pPr>
        <w:pStyle w:val="ListParagraph"/>
        <w:numPr>
          <w:ilvl w:val="0"/>
          <w:numId w:val="36"/>
        </w:numPr>
        <w:spacing w:after="160" w:line="259" w:lineRule="auto"/>
        <w:rPr>
          <w:rFonts w:asciiTheme="minorHAnsi" w:eastAsiaTheme="minorHAnsi" w:hAnsiTheme="minorHAnsi" w:cstheme="minorBidi"/>
          <w:i/>
          <w:iCs/>
          <w:sz w:val="22"/>
          <w:szCs w:val="22"/>
        </w:rPr>
      </w:pPr>
      <w:r>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Take measures to ensure and monitor female employees' participation in in-service training with equal opportunities</w:t>
      </w:r>
      <w:r>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w:t>
      </w:r>
    </w:p>
    <w:p w14:paraId="408D38CF" w14:textId="77777777" w:rsidR="005C2626" w:rsidRPr="00CD2A61" w:rsidRDefault="005C2626" w:rsidP="005C2626">
      <w:pPr>
        <w:pStyle w:val="ListParagraph"/>
        <w:numPr>
          <w:ilvl w:val="0"/>
          <w:numId w:val="36"/>
        </w:numPr>
        <w:spacing w:after="160" w:line="259" w:lineRule="auto"/>
        <w:rPr>
          <w:rFonts w:asciiTheme="minorHAnsi" w:eastAsiaTheme="minorHAnsi" w:hAnsiTheme="minorHAnsi" w:cstheme="minorBidi"/>
          <w:i/>
          <w:iCs/>
          <w:sz w:val="22"/>
          <w:szCs w:val="22"/>
        </w:rPr>
      </w:pPr>
      <w:r>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Monitor and support the professional development of female employees</w:t>
      </w:r>
      <w:r>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w:t>
      </w:r>
    </w:p>
    <w:p w14:paraId="04C93F96" w14:textId="77777777" w:rsidR="005C2626" w:rsidRPr="000F0267" w:rsidRDefault="005C2626" w:rsidP="005C2626">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For the </w:t>
      </w:r>
      <w:r w:rsidRPr="000F0267">
        <w:rPr>
          <w:rFonts w:asciiTheme="minorHAnsi" w:eastAsiaTheme="minorHAnsi" w:hAnsiTheme="minorHAnsi" w:cstheme="minorBidi"/>
          <w:sz w:val="22"/>
          <w:szCs w:val="22"/>
        </w:rPr>
        <w:t xml:space="preserve">Sectors in </w:t>
      </w:r>
      <w:r>
        <w:rPr>
          <w:rFonts w:asciiTheme="minorHAnsi" w:eastAsiaTheme="minorHAnsi" w:hAnsiTheme="minorHAnsi" w:cstheme="minorBidi"/>
          <w:sz w:val="22"/>
          <w:szCs w:val="22"/>
        </w:rPr>
        <w:t xml:space="preserve">general, there are also three important recommendations: </w:t>
      </w:r>
    </w:p>
    <w:p w14:paraId="3798FD90" w14:textId="77777777" w:rsidR="005C2626" w:rsidRPr="00CD2A61" w:rsidRDefault="005C2626" w:rsidP="005C2626">
      <w:pPr>
        <w:pStyle w:val="ListParagraph"/>
        <w:numPr>
          <w:ilvl w:val="0"/>
          <w:numId w:val="37"/>
        </w:numPr>
        <w:spacing w:after="160" w:line="259" w:lineRule="auto"/>
        <w:rPr>
          <w:rFonts w:asciiTheme="minorHAnsi" w:eastAsiaTheme="minorHAnsi" w:hAnsiTheme="minorHAnsi" w:cstheme="minorBidi"/>
          <w:i/>
          <w:iCs/>
          <w:sz w:val="22"/>
          <w:szCs w:val="22"/>
        </w:rPr>
      </w:pPr>
      <w:r>
        <w:rPr>
          <w:rFonts w:asciiTheme="minorHAnsi" w:eastAsiaTheme="minorHAnsi" w:hAnsiTheme="minorHAnsi" w:cstheme="minorBidi"/>
          <w:sz w:val="22"/>
          <w:szCs w:val="22"/>
        </w:rPr>
        <w:t>“</w:t>
      </w:r>
      <w:r w:rsidRPr="00CD2A61">
        <w:rPr>
          <w:rFonts w:asciiTheme="minorHAnsi" w:eastAsiaTheme="minorHAnsi" w:hAnsiTheme="minorHAnsi" w:cstheme="minorBidi"/>
          <w:i/>
          <w:iCs/>
          <w:sz w:val="22"/>
          <w:szCs w:val="22"/>
        </w:rPr>
        <w:t>Focus more on the education of girls and women in the renewable energy sector, science, technology, engineering, mathematics.</w:t>
      </w:r>
    </w:p>
    <w:p w14:paraId="03444D44" w14:textId="77777777" w:rsidR="005C2626" w:rsidRPr="00CD2A61" w:rsidRDefault="005C2626" w:rsidP="005C2626">
      <w:pPr>
        <w:pStyle w:val="ListParagraph"/>
        <w:numPr>
          <w:ilvl w:val="0"/>
          <w:numId w:val="37"/>
        </w:numPr>
        <w:spacing w:after="160" w:line="259" w:lineRule="auto"/>
        <w:rPr>
          <w:rFonts w:asciiTheme="minorHAnsi" w:eastAsiaTheme="minorHAnsi" w:hAnsiTheme="minorHAnsi" w:cstheme="minorBidi"/>
          <w:i/>
          <w:iCs/>
          <w:sz w:val="22"/>
          <w:szCs w:val="22"/>
        </w:rPr>
      </w:pPr>
      <w:r w:rsidRPr="00CD2A61">
        <w:rPr>
          <w:rFonts w:asciiTheme="minorHAnsi" w:eastAsiaTheme="minorHAnsi" w:hAnsiTheme="minorHAnsi" w:cstheme="minorBidi"/>
          <w:i/>
          <w:iCs/>
          <w:sz w:val="22"/>
          <w:szCs w:val="22"/>
        </w:rPr>
        <w:t>Regulate the working hours of female employees in sectors where flexible or remote working opportunities are not available (especially in the health sector).</w:t>
      </w:r>
    </w:p>
    <w:p w14:paraId="6E54D5E9" w14:textId="108ECB0C" w:rsidR="005C2626" w:rsidRPr="00AC290E" w:rsidRDefault="005C2626" w:rsidP="005C2626">
      <w:pPr>
        <w:pStyle w:val="ListParagraph"/>
        <w:numPr>
          <w:ilvl w:val="0"/>
          <w:numId w:val="37"/>
        </w:numPr>
        <w:spacing w:after="160" w:line="259" w:lineRule="auto"/>
        <w:rPr>
          <w:rFonts w:asciiTheme="minorHAnsi" w:eastAsiaTheme="minorHAnsi" w:hAnsiTheme="minorHAnsi" w:cstheme="minorBidi"/>
          <w:sz w:val="22"/>
          <w:szCs w:val="22"/>
        </w:rPr>
      </w:pPr>
      <w:r w:rsidRPr="00CD2A61">
        <w:rPr>
          <w:rFonts w:asciiTheme="minorHAnsi" w:eastAsiaTheme="minorHAnsi" w:hAnsiTheme="minorHAnsi" w:cstheme="minorBidi"/>
          <w:i/>
          <w:iCs/>
          <w:sz w:val="22"/>
          <w:szCs w:val="22"/>
        </w:rPr>
        <w:t>Increase the involvement of women in the renewable energy sector through improved workplace conditions, mentoring and professional development</w:t>
      </w:r>
      <w:r>
        <w:rPr>
          <w:rFonts w:asciiTheme="minorHAnsi" w:eastAsiaTheme="minorHAnsi" w:hAnsiTheme="minorHAnsi" w:cstheme="minorBidi"/>
          <w:i/>
          <w:iCs/>
          <w:sz w:val="22"/>
          <w:szCs w:val="22"/>
        </w:rPr>
        <w:t>”</w:t>
      </w:r>
      <w:r w:rsidRPr="00CD2A61">
        <w:rPr>
          <w:rFonts w:asciiTheme="minorHAnsi" w:eastAsiaTheme="minorHAnsi" w:hAnsiTheme="minorHAnsi" w:cstheme="minorBidi"/>
          <w:sz w:val="22"/>
          <w:szCs w:val="22"/>
        </w:rPr>
        <w:t>.</w:t>
      </w:r>
      <w:r w:rsidRPr="00AC290E">
        <w:rPr>
          <w:rFonts w:asciiTheme="minorHAnsi" w:eastAsiaTheme="minorHAnsi" w:hAnsiTheme="minorHAnsi" w:cstheme="minorBidi"/>
          <w:sz w:val="22"/>
          <w:szCs w:val="22"/>
        </w:rPr>
        <w:t xml:space="preserve"> </w:t>
      </w:r>
    </w:p>
    <w:p w14:paraId="479F2BEE"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p>
    <w:p w14:paraId="4065239A" w14:textId="06843572" w:rsidR="005C2626" w:rsidRPr="00CD2A61" w:rsidRDefault="005C2626" w:rsidP="005C2626">
      <w:pPr>
        <w:spacing w:after="160" w:line="259" w:lineRule="auto"/>
        <w:rPr>
          <w:rFonts w:asciiTheme="majorHAnsi" w:eastAsiaTheme="majorEastAsia" w:hAnsiTheme="majorHAnsi" w:cstheme="majorBidi"/>
          <w:color w:val="1F3763" w:themeColor="accent1" w:themeShade="7F"/>
        </w:rPr>
      </w:pPr>
      <w:bookmarkStart w:id="32" w:name="_Hlk118276390"/>
      <w:r>
        <w:rPr>
          <w:rFonts w:asciiTheme="majorHAnsi" w:eastAsiaTheme="majorEastAsia" w:hAnsiTheme="majorHAnsi" w:cstheme="majorBidi"/>
          <w:color w:val="1F3763" w:themeColor="accent1" w:themeShade="7F"/>
        </w:rPr>
        <w:lastRenderedPageBreak/>
        <w:t>3</w:t>
      </w:r>
      <w:r w:rsidRPr="00CD2A61">
        <w:rPr>
          <w:rFonts w:asciiTheme="majorHAnsi" w:eastAsiaTheme="majorEastAsia" w:hAnsiTheme="majorHAnsi" w:cstheme="majorBidi"/>
          <w:color w:val="1F3763" w:themeColor="accent1" w:themeShade="7F"/>
        </w:rPr>
        <w:t>.1 Legislation that Promotes More Gender Equality and Avoids Enforcing the Stereotype that Women should have the Main Responsibility for Family Care</w:t>
      </w:r>
    </w:p>
    <w:bookmarkEnd w:id="32"/>
    <w:p w14:paraId="03139222" w14:textId="1217D83D"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In Türkiye, the new Labour Act enacted in 2003 was an important step towards establishing the principle of anti-discrimination in employment and securing more equal rights between women and men. Article 5, the principle of equal treatment, clearly states that “No discrimination based on language, race, sex, political opinion, philosophical belief, religion and sex or similar reasons is permissible in the employment relationship.” </w:t>
      </w:r>
    </w:p>
    <w:p w14:paraId="20D9C4E5" w14:textId="10AAFB8B"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the conclusions of the Pre- Study Workshop, the participants suggested that “the legislation might promote gender equality and avoid reinforcing the idea that women have the main responsibility in taking care of the family. The language of the Labour Law should encourage the principle that women and men have equal responsibilities in their families and maternal and paternal leaves are of equal status.” </w:t>
      </w:r>
    </w:p>
    <w:p w14:paraId="5D6354EA" w14:textId="39D80981" w:rsidR="005C2626"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the Field Study, the majority of the employee participants stated that the current Labour Law is not sufficient/efficient in increasing women’s employment. Section C of the questionnaire was designed to encourage respondents to suggest specific improvements in the Law for increasing women’s employment: the most frequent answer was the duration of maternity leave. Almost 90% of the participants stated that the </w:t>
      </w:r>
      <w:r w:rsidRPr="00DB0C40">
        <w:rPr>
          <w:rFonts w:asciiTheme="minorHAnsi" w:eastAsiaTheme="minorHAnsi" w:hAnsiTheme="minorHAnsi" w:cstheme="minorBidi"/>
          <w:b/>
          <w:sz w:val="22"/>
          <w:szCs w:val="22"/>
        </w:rPr>
        <w:t>duration of maternity</w:t>
      </w:r>
      <w:r w:rsidRPr="00DB0C40">
        <w:rPr>
          <w:rFonts w:asciiTheme="minorHAnsi" w:eastAsiaTheme="minorHAnsi" w:hAnsiTheme="minorHAnsi" w:cstheme="minorBidi"/>
          <w:sz w:val="22"/>
          <w:szCs w:val="22"/>
        </w:rPr>
        <w:t xml:space="preserve"> leave should be longer (equal to government officers). It is also noteworthy that 82.4% indicated that </w:t>
      </w:r>
      <w:r w:rsidRPr="00DB0C40">
        <w:rPr>
          <w:rFonts w:asciiTheme="minorHAnsi" w:eastAsiaTheme="minorHAnsi" w:hAnsiTheme="minorHAnsi" w:cstheme="minorBidi"/>
          <w:b/>
          <w:sz w:val="22"/>
          <w:szCs w:val="22"/>
        </w:rPr>
        <w:t>elderly and patients care</w:t>
      </w:r>
      <w:r w:rsidRPr="00DB0C40">
        <w:rPr>
          <w:rFonts w:asciiTheme="minorHAnsi" w:eastAsiaTheme="minorHAnsi" w:hAnsiTheme="minorHAnsi" w:cstheme="minorBidi"/>
          <w:sz w:val="22"/>
          <w:szCs w:val="22"/>
        </w:rPr>
        <w:t xml:space="preserve"> facilities should be also covered by the Law. The third most frequent answer was “state support for workplace nurseries” with 82.17%. </w:t>
      </w:r>
    </w:p>
    <w:p w14:paraId="46BD900A" w14:textId="7B90C738" w:rsidR="005C2626" w:rsidRPr="000D0554" w:rsidRDefault="005C2626" w:rsidP="005C2626">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One of the main r</w:t>
      </w:r>
      <w:r w:rsidRPr="00E4703B">
        <w:rPr>
          <w:rFonts w:asciiTheme="minorHAnsi" w:eastAsiaTheme="minorHAnsi" w:hAnsiTheme="minorHAnsi" w:cstheme="minorBidi"/>
          <w:sz w:val="22"/>
          <w:szCs w:val="22"/>
        </w:rPr>
        <w:t>ecommendations</w:t>
      </w:r>
      <w:r>
        <w:rPr>
          <w:rFonts w:asciiTheme="minorHAnsi" w:eastAsiaTheme="minorHAnsi" w:hAnsiTheme="minorHAnsi" w:cstheme="minorBidi"/>
          <w:sz w:val="22"/>
          <w:szCs w:val="22"/>
        </w:rPr>
        <w:t xml:space="preserve"> of the Sectors Report </w:t>
      </w:r>
      <w:r w:rsidR="00575D4F">
        <w:rPr>
          <w:rFonts w:asciiTheme="minorHAnsi" w:eastAsiaTheme="minorHAnsi" w:hAnsiTheme="minorHAnsi" w:cstheme="minorBidi"/>
          <w:sz w:val="22"/>
          <w:szCs w:val="22"/>
        </w:rPr>
        <w:t>is:</w:t>
      </w:r>
      <w:r>
        <w:rPr>
          <w:rFonts w:asciiTheme="minorHAnsi" w:eastAsiaTheme="minorHAnsi" w:hAnsiTheme="minorHAnsi" w:cstheme="minorBidi"/>
          <w:sz w:val="22"/>
          <w:szCs w:val="22"/>
        </w:rPr>
        <w:t xml:space="preserve"> “</w:t>
      </w:r>
      <w:r w:rsidRPr="00CD2A61">
        <w:rPr>
          <w:rFonts w:asciiTheme="minorHAnsi" w:eastAsiaTheme="minorHAnsi" w:hAnsiTheme="minorHAnsi" w:cstheme="minorBidi"/>
          <w:i/>
          <w:iCs/>
          <w:sz w:val="22"/>
          <w:szCs w:val="22"/>
        </w:rPr>
        <w:t>to continue supporting women’s full and effective participation in the labour market with equal opportunities</w:t>
      </w:r>
      <w:r>
        <w:rPr>
          <w:rFonts w:asciiTheme="minorHAnsi" w:eastAsiaTheme="minorHAnsi" w:hAnsiTheme="minorHAnsi" w:cstheme="minorBidi"/>
          <w:sz w:val="22"/>
          <w:szCs w:val="22"/>
        </w:rPr>
        <w:t>”. This recommendation is related to others that look for “</w:t>
      </w:r>
      <w:r w:rsidRPr="00CD2A61">
        <w:rPr>
          <w:rFonts w:asciiTheme="minorHAnsi" w:eastAsiaTheme="minorHAnsi" w:hAnsiTheme="minorHAnsi" w:cstheme="minorBidi"/>
          <w:i/>
          <w:iCs/>
          <w:sz w:val="22"/>
          <w:szCs w:val="22"/>
        </w:rPr>
        <w:t>changing business models and the labour market, to ensure equal opportunity and to promote social cohesion. For this, it is recommended to support skills development for both men and women in the sector</w:t>
      </w:r>
      <w:r>
        <w:rPr>
          <w:rFonts w:asciiTheme="minorHAnsi" w:eastAsiaTheme="minorHAnsi" w:hAnsiTheme="minorHAnsi" w:cstheme="minorBidi"/>
          <w:sz w:val="22"/>
          <w:szCs w:val="22"/>
        </w:rPr>
        <w:t xml:space="preserve"> “ and to “</w:t>
      </w:r>
      <w:r w:rsidRPr="000F0267">
        <w:rPr>
          <w:rFonts w:asciiTheme="minorHAnsi" w:eastAsiaTheme="minorHAnsi" w:hAnsiTheme="minorHAnsi" w:cstheme="minorBidi"/>
          <w:sz w:val="22"/>
          <w:szCs w:val="22"/>
        </w:rPr>
        <w:t>Focus more on the education of girls and women in the renewable energy sector, science, technology, engineering, mathematics</w:t>
      </w:r>
      <w:r>
        <w:rPr>
          <w:rFonts w:asciiTheme="minorHAnsi" w:eastAsiaTheme="minorHAnsi" w:hAnsiTheme="minorHAnsi" w:cstheme="minorBidi"/>
          <w:sz w:val="22"/>
          <w:szCs w:val="22"/>
        </w:rPr>
        <w:t>” in order to increase  “</w:t>
      </w:r>
      <w:r w:rsidRPr="000D0554">
        <w:rPr>
          <w:rFonts w:asciiTheme="minorHAnsi" w:eastAsiaTheme="minorHAnsi" w:hAnsiTheme="minorHAnsi" w:cstheme="minorBidi"/>
          <w:sz w:val="22"/>
          <w:szCs w:val="22"/>
        </w:rPr>
        <w:t xml:space="preserve">the involvement of women in the </w:t>
      </w:r>
      <w:r>
        <w:rPr>
          <w:rFonts w:asciiTheme="minorHAnsi" w:eastAsiaTheme="minorHAnsi" w:hAnsiTheme="minorHAnsi" w:cstheme="minorBidi"/>
          <w:sz w:val="22"/>
          <w:szCs w:val="22"/>
        </w:rPr>
        <w:t xml:space="preserve">all the sectors as </w:t>
      </w:r>
      <w:r w:rsidRPr="000D0554">
        <w:rPr>
          <w:rFonts w:asciiTheme="minorHAnsi" w:eastAsiaTheme="minorHAnsi" w:hAnsiTheme="minorHAnsi" w:cstheme="minorBidi"/>
          <w:sz w:val="22"/>
          <w:szCs w:val="22"/>
        </w:rPr>
        <w:t>renewable energy through improved workplace conditions, mentoring and professional development</w:t>
      </w:r>
      <w:r>
        <w:rPr>
          <w:rFonts w:asciiTheme="minorHAnsi" w:eastAsiaTheme="minorHAnsi" w:hAnsiTheme="minorHAnsi" w:cstheme="minorBidi"/>
          <w:sz w:val="22"/>
          <w:szCs w:val="22"/>
        </w:rPr>
        <w:t>”</w:t>
      </w:r>
      <w:r w:rsidR="00A13DD5">
        <w:rPr>
          <w:rFonts w:asciiTheme="minorHAnsi" w:eastAsiaTheme="minorHAnsi" w:hAnsiTheme="minorHAnsi" w:cstheme="minorBidi"/>
          <w:sz w:val="22"/>
          <w:szCs w:val="22"/>
        </w:rPr>
        <w:t xml:space="preserve"> (see </w:t>
      </w:r>
      <w:r w:rsidRPr="000D0554">
        <w:rPr>
          <w:rFonts w:asciiTheme="minorHAnsi" w:eastAsiaTheme="minorHAnsi" w:hAnsiTheme="minorHAnsi" w:cstheme="minorBidi"/>
          <w:sz w:val="22"/>
          <w:szCs w:val="22"/>
        </w:rPr>
        <w:t>Sector</w:t>
      </w:r>
      <w:r w:rsidR="00A13DD5">
        <w:rPr>
          <w:rFonts w:asciiTheme="minorHAnsi" w:eastAsiaTheme="minorHAnsi" w:hAnsiTheme="minorHAnsi" w:cstheme="minorBidi"/>
          <w:sz w:val="22"/>
          <w:szCs w:val="22"/>
        </w:rPr>
        <w:t xml:space="preserve"> Studies</w:t>
      </w:r>
      <w:r w:rsidRPr="000D0554">
        <w:rPr>
          <w:rFonts w:asciiTheme="minorHAnsi" w:eastAsiaTheme="minorHAnsi" w:hAnsiTheme="minorHAnsi" w:cstheme="minorBidi"/>
          <w:sz w:val="22"/>
          <w:szCs w:val="22"/>
        </w:rPr>
        <w:t xml:space="preserve"> Report).</w:t>
      </w:r>
    </w:p>
    <w:p w14:paraId="714BB336" w14:textId="646806E3" w:rsidR="005C2626" w:rsidRPr="00A3796D" w:rsidRDefault="005C2626" w:rsidP="005C2626">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Also In the analysis of the conclusions for each sector,  the interviewees agreed that: In the </w:t>
      </w:r>
      <w:r w:rsidR="00A13DD5">
        <w:rPr>
          <w:rFonts w:asciiTheme="minorHAnsi" w:eastAsiaTheme="minorHAnsi" w:hAnsiTheme="minorHAnsi" w:cstheme="minorBidi"/>
          <w:b/>
          <w:bCs/>
          <w:sz w:val="22"/>
          <w:szCs w:val="22"/>
        </w:rPr>
        <w:t>E</w:t>
      </w:r>
      <w:r w:rsidRPr="00CD2A61">
        <w:rPr>
          <w:rFonts w:asciiTheme="minorHAnsi" w:eastAsiaTheme="minorHAnsi" w:hAnsiTheme="minorHAnsi" w:cstheme="minorBidi"/>
          <w:b/>
          <w:bCs/>
          <w:sz w:val="22"/>
          <w:szCs w:val="22"/>
        </w:rPr>
        <w:t>ducation sector</w:t>
      </w:r>
      <w:r>
        <w:rPr>
          <w:rFonts w:asciiTheme="minorHAnsi" w:eastAsiaTheme="minorHAnsi" w:hAnsiTheme="minorHAnsi" w:cstheme="minorBidi"/>
          <w:sz w:val="22"/>
          <w:szCs w:val="22"/>
        </w:rPr>
        <w:t>: Sector experts agreed in a 75% that “</w:t>
      </w:r>
      <w:r w:rsidRPr="00CD2A61">
        <w:rPr>
          <w:rFonts w:asciiTheme="minorHAnsi" w:eastAsiaTheme="minorHAnsi" w:hAnsiTheme="minorHAnsi" w:cstheme="minorBidi"/>
          <w:i/>
          <w:iCs/>
          <w:sz w:val="22"/>
          <w:szCs w:val="22"/>
        </w:rPr>
        <w:t>developing and increasing the use of new and digital technologies will facilitate women’s employment</w:t>
      </w:r>
      <w:r>
        <w:rPr>
          <w:rFonts w:asciiTheme="minorHAnsi" w:eastAsiaTheme="minorHAnsi" w:hAnsiTheme="minorHAnsi" w:cstheme="minorBidi"/>
          <w:sz w:val="22"/>
          <w:szCs w:val="22"/>
        </w:rPr>
        <w:t xml:space="preserve"> “and “</w:t>
      </w:r>
      <w:r w:rsidRPr="00CD2A61">
        <w:rPr>
          <w:rFonts w:asciiTheme="minorHAnsi" w:eastAsiaTheme="minorHAnsi" w:hAnsiTheme="minorHAnsi" w:cstheme="minorBidi"/>
          <w:i/>
          <w:iCs/>
          <w:sz w:val="22"/>
          <w:szCs w:val="22"/>
        </w:rPr>
        <w:t>Employees reported a 55.7% probability that a woman could be a manager in the education sector. Also</w:t>
      </w:r>
      <w:r w:rsidR="00A13DD5">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 xml:space="preserve"> according to sector experts and decision-makers, male-dominated culture in working life (56.0%), lack of role models (30.0%), long working hours (26.0%) and preference for being with family (22.0%) are the main barriers to a smaller number of women managers in the education sector</w:t>
      </w:r>
      <w:r w:rsidR="00A13DD5">
        <w:rPr>
          <w:rFonts w:asciiTheme="minorHAnsi" w:eastAsiaTheme="minorHAnsi" w:hAnsiTheme="minorHAnsi" w:cstheme="minorBidi"/>
          <w:i/>
          <w:iCs/>
          <w:sz w:val="22"/>
          <w:szCs w:val="22"/>
        </w:rPr>
        <w:t xml:space="preserve"> </w:t>
      </w:r>
      <w:r w:rsidR="00A13DD5" w:rsidRPr="00A13DD5">
        <w:rPr>
          <w:rFonts w:asciiTheme="minorHAnsi" w:eastAsiaTheme="minorHAnsi" w:hAnsiTheme="minorHAnsi" w:cstheme="minorBidi"/>
          <w:sz w:val="22"/>
          <w:szCs w:val="22"/>
        </w:rPr>
        <w:t>(see Sector Studies Report</w:t>
      </w:r>
      <w:r w:rsidRPr="00A13DD5">
        <w:rPr>
          <w:rFonts w:asciiTheme="minorHAnsi" w:eastAsiaTheme="minorHAnsi" w:hAnsiTheme="minorHAnsi" w:cstheme="minorBidi"/>
          <w:sz w:val="22"/>
          <w:szCs w:val="22"/>
        </w:rPr>
        <w:t>)</w:t>
      </w:r>
      <w:r w:rsidR="00A13DD5">
        <w:rPr>
          <w:rFonts w:asciiTheme="minorHAnsi" w:eastAsiaTheme="minorHAnsi" w:hAnsiTheme="minorHAnsi" w:cstheme="minorBidi"/>
          <w:sz w:val="22"/>
          <w:szCs w:val="22"/>
        </w:rPr>
        <w:t>.</w:t>
      </w:r>
    </w:p>
    <w:p w14:paraId="002707D2" w14:textId="35BCBCDE" w:rsidR="005C2626" w:rsidRPr="00A3796D" w:rsidRDefault="005C2626" w:rsidP="005C2626">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Also</w:t>
      </w:r>
      <w:r w:rsidR="00A13DD5">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in the </w:t>
      </w:r>
      <w:r w:rsidRPr="00CD2A61">
        <w:rPr>
          <w:rFonts w:asciiTheme="minorHAnsi" w:eastAsiaTheme="minorHAnsi" w:hAnsiTheme="minorHAnsi" w:cstheme="minorBidi"/>
          <w:b/>
          <w:bCs/>
          <w:sz w:val="22"/>
          <w:szCs w:val="22"/>
        </w:rPr>
        <w:t>Health Sector</w:t>
      </w:r>
      <w:r>
        <w:rPr>
          <w:rFonts w:asciiTheme="minorHAnsi" w:eastAsiaTheme="minorHAnsi" w:hAnsiTheme="minorHAnsi" w:cstheme="minorBidi"/>
          <w:sz w:val="22"/>
          <w:szCs w:val="22"/>
        </w:rPr>
        <w:t>, m</w:t>
      </w:r>
      <w:r w:rsidRPr="00A3796D">
        <w:rPr>
          <w:rFonts w:asciiTheme="minorHAnsi" w:eastAsiaTheme="minorHAnsi" w:hAnsiTheme="minorHAnsi" w:cstheme="minorBidi"/>
          <w:sz w:val="22"/>
          <w:szCs w:val="22"/>
        </w:rPr>
        <w:t xml:space="preserve">ore than one-third of the sector experts and decision (36.1%) makers believe that </w:t>
      </w:r>
      <w:r>
        <w:rPr>
          <w:rFonts w:asciiTheme="minorHAnsi" w:eastAsiaTheme="minorHAnsi" w:hAnsiTheme="minorHAnsi" w:cstheme="minorBidi"/>
          <w:sz w:val="22"/>
          <w:szCs w:val="22"/>
        </w:rPr>
        <w:t>“</w:t>
      </w:r>
      <w:r w:rsidRPr="00A3796D">
        <w:rPr>
          <w:rFonts w:asciiTheme="minorHAnsi" w:eastAsiaTheme="minorHAnsi" w:hAnsiTheme="minorHAnsi" w:cstheme="minorBidi"/>
          <w:sz w:val="22"/>
          <w:szCs w:val="22"/>
        </w:rPr>
        <w:t>the development and increase of new and digital technologies will facilitate women’s employment in the health sector</w:t>
      </w:r>
      <w:r>
        <w:rPr>
          <w:rFonts w:asciiTheme="minorHAnsi" w:eastAsiaTheme="minorHAnsi" w:hAnsiTheme="minorHAnsi" w:cstheme="minorBidi"/>
          <w:sz w:val="22"/>
          <w:szCs w:val="22"/>
        </w:rPr>
        <w:t xml:space="preserve">”. Same conclusion for the </w:t>
      </w:r>
      <w:r w:rsidRPr="00CD2A61">
        <w:rPr>
          <w:rFonts w:asciiTheme="minorHAnsi" w:eastAsiaTheme="minorHAnsi" w:hAnsiTheme="minorHAnsi" w:cstheme="minorBidi"/>
          <w:b/>
          <w:bCs/>
          <w:sz w:val="22"/>
          <w:szCs w:val="22"/>
        </w:rPr>
        <w:t>Energy</w:t>
      </w:r>
      <w:r>
        <w:rPr>
          <w:rFonts w:asciiTheme="minorHAnsi" w:eastAsiaTheme="minorHAnsi" w:hAnsiTheme="minorHAnsi" w:cstheme="minorBidi"/>
          <w:sz w:val="22"/>
          <w:szCs w:val="22"/>
        </w:rPr>
        <w:t xml:space="preserve"> (48.1% of the respondents), </w:t>
      </w:r>
      <w:r w:rsidRPr="00CD2A61">
        <w:rPr>
          <w:rFonts w:asciiTheme="minorHAnsi" w:eastAsiaTheme="minorHAnsi" w:hAnsiTheme="minorHAnsi" w:cstheme="minorBidi"/>
          <w:b/>
          <w:bCs/>
          <w:sz w:val="22"/>
          <w:szCs w:val="22"/>
        </w:rPr>
        <w:t>ICT</w:t>
      </w:r>
      <w:r>
        <w:rPr>
          <w:rFonts w:asciiTheme="minorHAnsi" w:eastAsiaTheme="minorHAnsi" w:hAnsiTheme="minorHAnsi" w:cstheme="minorBidi"/>
          <w:sz w:val="22"/>
          <w:szCs w:val="22"/>
        </w:rPr>
        <w:t xml:space="preserve"> (no number specified) and </w:t>
      </w:r>
      <w:r w:rsidRPr="00CD2A61">
        <w:rPr>
          <w:rFonts w:asciiTheme="minorHAnsi" w:eastAsiaTheme="minorHAnsi" w:hAnsiTheme="minorHAnsi" w:cstheme="minorBidi"/>
          <w:b/>
          <w:bCs/>
          <w:sz w:val="22"/>
          <w:szCs w:val="22"/>
        </w:rPr>
        <w:t>Banking and Finance</w:t>
      </w:r>
      <w:r>
        <w:rPr>
          <w:rFonts w:asciiTheme="minorHAnsi" w:eastAsiaTheme="minorHAnsi" w:hAnsiTheme="minorHAnsi" w:cstheme="minorBidi"/>
          <w:b/>
          <w:bCs/>
          <w:sz w:val="22"/>
          <w:szCs w:val="22"/>
        </w:rPr>
        <w:t xml:space="preserve"> </w:t>
      </w:r>
      <w:r w:rsidRPr="0002001C">
        <w:rPr>
          <w:rFonts w:asciiTheme="minorHAnsi" w:eastAsiaTheme="minorHAnsi" w:hAnsiTheme="minorHAnsi" w:cstheme="minorBidi"/>
          <w:sz w:val="22"/>
          <w:szCs w:val="22"/>
        </w:rPr>
        <w:t>(48.6%)</w:t>
      </w:r>
      <w:r>
        <w:rPr>
          <w:rFonts w:asciiTheme="minorHAnsi" w:eastAsiaTheme="minorHAnsi" w:hAnsiTheme="minorHAnsi" w:cstheme="minorBidi"/>
          <w:sz w:val="22"/>
          <w:szCs w:val="22"/>
        </w:rPr>
        <w:t xml:space="preserve">. </w:t>
      </w:r>
    </w:p>
    <w:p w14:paraId="5AA15FF7" w14:textId="77777777" w:rsidR="00A13DD5" w:rsidRDefault="005C2626" w:rsidP="005C2626">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In the general conclusions, for all the sectors, “</w:t>
      </w:r>
      <w:r w:rsidRPr="00CD2A61">
        <w:rPr>
          <w:rFonts w:asciiTheme="minorHAnsi" w:eastAsiaTheme="minorHAnsi" w:hAnsiTheme="minorHAnsi" w:cstheme="minorBidi"/>
          <w:i/>
          <w:iCs/>
          <w:sz w:val="22"/>
          <w:szCs w:val="22"/>
        </w:rPr>
        <w:t>according to all employees who responded to the survey, the probability of being a female manager in all sectors is 53.9%. The sectors with the highest likelihood of being a manager for women are the health sector (69.5%), the education sector (55.7%), and the finance and banking sector (52.7%), while the ICT sector (42.9%) is the lowest</w:t>
      </w:r>
      <w:r>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w:t>
      </w:r>
      <w:r>
        <w:rPr>
          <w:rFonts w:asciiTheme="minorHAnsi" w:eastAsiaTheme="minorHAnsi" w:hAnsiTheme="minorHAnsi" w:cstheme="minorBidi"/>
          <w:i/>
          <w:iCs/>
          <w:sz w:val="22"/>
          <w:szCs w:val="22"/>
        </w:rPr>
        <w:t xml:space="preserve"> “</w:t>
      </w:r>
      <w:r w:rsidRPr="00CD2A61">
        <w:rPr>
          <w:rFonts w:asciiTheme="minorHAnsi" w:eastAsiaTheme="minorHAnsi" w:hAnsiTheme="minorHAnsi" w:cstheme="minorBidi"/>
          <w:i/>
          <w:iCs/>
          <w:sz w:val="22"/>
          <w:szCs w:val="22"/>
        </w:rPr>
        <w:t>According to 54.2% of industry experts, the development and increase in the use of new technologies will positively affect the employment of women in the industry</w:t>
      </w:r>
      <w:r w:rsidRPr="00A3796D">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w:t>
      </w:r>
    </w:p>
    <w:p w14:paraId="3089CD53" w14:textId="216C8119"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recommendations</w:t>
      </w:r>
      <w:r w:rsidRPr="00DB0C40">
        <w:rPr>
          <w:rFonts w:asciiTheme="minorHAnsi" w:eastAsiaTheme="minorHAnsi" w:hAnsiTheme="minorHAnsi" w:cstheme="minorBidi"/>
          <w:sz w:val="22"/>
          <w:szCs w:val="22"/>
        </w:rPr>
        <w:t xml:space="preserve"> are:</w:t>
      </w:r>
    </w:p>
    <w:p w14:paraId="3196C5D7"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bookmarkStart w:id="33" w:name="_Hlk106792917"/>
      <w:r w:rsidRPr="00DB0C40">
        <w:rPr>
          <w:rFonts w:asciiTheme="minorHAnsi" w:eastAsiaTheme="minorHAnsi" w:hAnsiTheme="minorHAnsi" w:cstheme="minorBidi"/>
          <w:sz w:val="22"/>
          <w:szCs w:val="22"/>
        </w:rPr>
        <w:t xml:space="preserve">Amend the general framework for equal treatment in employment and occupation needs to ensure the implementation of the principle of equal opportunities and equal treatment of men and women in matters of employment and occupation. (Although equality is included in the Constitution and the law safeguards equal treatment for all, </w:t>
      </w:r>
      <w:r w:rsidRPr="00DB0C40">
        <w:rPr>
          <w:rFonts w:asciiTheme="minorHAnsi" w:eastAsiaTheme="minorHAnsi" w:hAnsiTheme="minorHAnsi" w:cstheme="minorBidi"/>
          <w:i/>
          <w:iCs/>
          <w:sz w:val="22"/>
          <w:szCs w:val="22"/>
        </w:rPr>
        <w:t>de facto</w:t>
      </w:r>
      <w:r w:rsidRPr="00DB0C40">
        <w:rPr>
          <w:rFonts w:asciiTheme="minorHAnsi" w:eastAsiaTheme="minorHAnsi" w:hAnsiTheme="minorHAnsi" w:cstheme="minorBidi"/>
          <w:sz w:val="22"/>
          <w:szCs w:val="22"/>
        </w:rPr>
        <w:t xml:space="preserve"> discrimination in the access to employment, including promotion, and vocational training; working conditions, including pay; occupational social security schemes need additional regulation for effective implementation).  </w:t>
      </w:r>
    </w:p>
    <w:bookmarkEnd w:id="33"/>
    <w:p w14:paraId="00309709" w14:textId="77777777" w:rsidR="005C2626" w:rsidRDefault="005C2626" w:rsidP="005C2626">
      <w:pPr>
        <w:spacing w:after="160" w:line="259" w:lineRule="auto"/>
        <w:jc w:val="both"/>
        <w:rPr>
          <w:rFonts w:asciiTheme="minorHAnsi" w:eastAsiaTheme="minorHAnsi" w:hAnsiTheme="minorHAnsi" w:cstheme="minorBidi"/>
          <w:sz w:val="22"/>
          <w:szCs w:val="22"/>
        </w:rPr>
      </w:pPr>
    </w:p>
    <w:p w14:paraId="631EE426"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During the Post-Study Workshop, the stakeholders agreed with the recommendation and stated that: </w:t>
      </w:r>
    </w:p>
    <w:p w14:paraId="33236245" w14:textId="77777777" w:rsidR="005C2626" w:rsidRPr="00DB0C40" w:rsidRDefault="005C2626" w:rsidP="005C2626">
      <w:pPr>
        <w:numPr>
          <w:ilvl w:val="0"/>
          <w:numId w:val="29"/>
        </w:num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Constitution of the Turkish Republic is defining the principles of equality and anti-discrimination between men and women and the basis for all legislative arrangements in this respect. But the question is how it is implemented in practice. Therefore, additional regulation is needed to describe its practical implementation in workplaces. </w:t>
      </w:r>
    </w:p>
    <w:p w14:paraId="6F7DB878" w14:textId="77777777" w:rsidR="005C2626" w:rsidRPr="00DB0C40" w:rsidRDefault="005C2626" w:rsidP="005C2626">
      <w:pPr>
        <w:numPr>
          <w:ilvl w:val="0"/>
          <w:numId w:val="29"/>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‘Protective family’ should be added to the legislation as a new parental definition (Recommendations 1-4).</w:t>
      </w:r>
    </w:p>
    <w:p w14:paraId="451AD7C4" w14:textId="77777777" w:rsidR="005C2626" w:rsidRPr="00DB0C40" w:rsidRDefault="005C2626" w:rsidP="005C2626">
      <w:pPr>
        <w:spacing w:after="160" w:line="259" w:lineRule="auto"/>
        <w:ind w:left="720"/>
        <w:contextualSpacing/>
        <w:jc w:val="both"/>
        <w:rPr>
          <w:rFonts w:asciiTheme="minorHAnsi" w:eastAsiaTheme="minorHAnsi" w:hAnsiTheme="minorHAnsi" w:cstheme="minorBidi"/>
          <w:sz w:val="22"/>
          <w:szCs w:val="22"/>
        </w:rPr>
      </w:pPr>
    </w:p>
    <w:p w14:paraId="31D463EE"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bookmarkStart w:id="34" w:name="_Hlk106792967"/>
      <w:r w:rsidRPr="00DB0C40">
        <w:rPr>
          <w:rFonts w:asciiTheme="minorHAnsi" w:eastAsiaTheme="minorHAnsi" w:hAnsiTheme="minorHAnsi" w:cstheme="minorBidi"/>
          <w:sz w:val="22"/>
          <w:szCs w:val="22"/>
        </w:rPr>
        <w:t>Reinforce the principle of equal treatment between persons irrespective of religion or belief, disability, or age inside and outside the labour market (including informal workers, etc.). The framework could contain provisions to ensure that such implementation is made more effective by the establishment of appropriate procedures and some examples of discrimination to clearer up the definition. (e.g. Provisions contrary to the principle of equal treatment might include those based on sex, either directly or indirectly, for: determining the persons who may participate in an occupational social security scheme; fixing the compulsory or optional nature of participation in an occupational social security scheme; laying down different rules as regards the age of entry into the scheme or the minimum period of employment or membership of the scheme required to obtain the benefits thereof).</w:t>
      </w:r>
    </w:p>
    <w:p w14:paraId="3C0A6040" w14:textId="77777777" w:rsidR="005C2626" w:rsidRPr="00DB0C40" w:rsidRDefault="005C2626" w:rsidP="005C2626">
      <w:pPr>
        <w:spacing w:after="160" w:line="259" w:lineRule="auto"/>
        <w:ind w:left="720"/>
        <w:contextualSpacing/>
        <w:jc w:val="both"/>
        <w:rPr>
          <w:rFonts w:asciiTheme="minorHAnsi" w:eastAsiaTheme="minorHAnsi" w:hAnsiTheme="minorHAnsi" w:cstheme="minorBidi"/>
          <w:sz w:val="22"/>
          <w:szCs w:val="22"/>
        </w:rPr>
      </w:pPr>
    </w:p>
    <w:p w14:paraId="751B5954"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Include into the equality framework a clause on the requirement for social dialogue to foster equal treatment, through the monitoring of workplace practices, collective agreements, codes of conduct and through research or exchange of experiences and good practices.  Strengthen the involvement of social partners, without prejudice to their autonomy, in collective bargaining arrangements aimed at establishing anti-discrimination rules.</w:t>
      </w:r>
    </w:p>
    <w:p w14:paraId="353EE2CD" w14:textId="77777777" w:rsidR="005C2626" w:rsidRPr="00DB0C40" w:rsidRDefault="005C2626" w:rsidP="005C2626">
      <w:pPr>
        <w:spacing w:line="259" w:lineRule="auto"/>
        <w:jc w:val="both"/>
        <w:rPr>
          <w:rFonts w:asciiTheme="minorHAnsi" w:eastAsiaTheme="minorHAnsi" w:hAnsiTheme="minorHAnsi" w:cstheme="minorBidi"/>
          <w:sz w:val="22"/>
          <w:szCs w:val="22"/>
        </w:rPr>
      </w:pPr>
    </w:p>
    <w:p w14:paraId="488FB2E8"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Ensure the application of the principle of equal treatment between men and women engaged in self-employment and home- based working.</w:t>
      </w:r>
    </w:p>
    <w:p w14:paraId="4BCF3F5A" w14:textId="77777777" w:rsidR="005C2626" w:rsidRPr="00DB0C40" w:rsidRDefault="005C2626" w:rsidP="005C2626">
      <w:pPr>
        <w:spacing w:after="160" w:line="259" w:lineRule="auto"/>
        <w:ind w:left="720"/>
        <w:contextualSpacing/>
        <w:jc w:val="both"/>
        <w:rPr>
          <w:rFonts w:asciiTheme="minorHAnsi" w:eastAsiaTheme="minorHAnsi" w:hAnsiTheme="minorHAnsi" w:cstheme="minorBidi"/>
          <w:sz w:val="22"/>
          <w:szCs w:val="22"/>
        </w:rPr>
      </w:pPr>
    </w:p>
    <w:p w14:paraId="68BE4E10" w14:textId="0E2EC3E2"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Eliminate differences between the Labour Law and Public Servants Law No: 657</w:t>
      </w:r>
      <w:r w:rsidRPr="00DB0C40">
        <w:rPr>
          <w:rFonts w:asciiTheme="minorHAnsi" w:eastAsiaTheme="minorHAnsi" w:hAnsiTheme="minorHAnsi" w:cstheme="minorBidi"/>
          <w:b/>
          <w:sz w:val="22"/>
          <w:szCs w:val="22"/>
        </w:rPr>
        <w:t xml:space="preserve"> </w:t>
      </w:r>
      <w:r w:rsidRPr="00DB0C40">
        <w:rPr>
          <w:rFonts w:asciiTheme="minorHAnsi" w:eastAsiaTheme="minorHAnsi" w:hAnsiTheme="minorHAnsi" w:cstheme="minorBidi"/>
          <w:sz w:val="22"/>
          <w:szCs w:val="22"/>
        </w:rPr>
        <w:t>in terms of provisions related to women employees mainly breastfeeding and unpaid work leaves.</w:t>
      </w:r>
    </w:p>
    <w:bookmarkEnd w:id="34"/>
    <w:p w14:paraId="67C5AB01" w14:textId="77777777" w:rsidR="005C2626" w:rsidRDefault="005C2626" w:rsidP="005C2626">
      <w:pPr>
        <w:spacing w:after="160" w:line="259" w:lineRule="auto"/>
        <w:jc w:val="both"/>
        <w:rPr>
          <w:rFonts w:asciiTheme="minorHAnsi" w:eastAsiaTheme="minorHAnsi" w:hAnsiTheme="minorHAnsi" w:cstheme="minorBidi"/>
          <w:sz w:val="22"/>
          <w:szCs w:val="22"/>
        </w:rPr>
      </w:pPr>
    </w:p>
    <w:p w14:paraId="253E347C"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During the Post-Study Workshop, the stakeholders stated that the elimination of differences between Labour Law No:4857 and Public Servants Law No: 657 may hinder the employment of women in the private sector. Some incentives should be given to enterprises to ensure the full implementation of the provisions of the law. </w:t>
      </w:r>
    </w:p>
    <w:p w14:paraId="5E703AD5" w14:textId="732C616A" w:rsidR="005C2626" w:rsidRPr="00CD2A61" w:rsidRDefault="005C2626" w:rsidP="005C2626">
      <w:pPr>
        <w:spacing w:after="160" w:line="259" w:lineRule="auto"/>
        <w:rPr>
          <w:rFonts w:asciiTheme="majorHAnsi" w:eastAsiaTheme="majorEastAsia" w:hAnsiTheme="majorHAnsi" w:cstheme="majorBidi"/>
          <w:color w:val="1F3763" w:themeColor="accent1" w:themeShade="7F"/>
        </w:rPr>
      </w:pPr>
      <w:bookmarkStart w:id="35" w:name="_Hlk118276434"/>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.2</w:t>
      </w:r>
      <w:bookmarkStart w:id="36" w:name="_Hlk107140663"/>
      <w:r w:rsidRPr="00CD2A61">
        <w:rPr>
          <w:rFonts w:asciiTheme="majorHAnsi" w:eastAsiaTheme="majorEastAsia" w:hAnsiTheme="majorHAnsi" w:cstheme="majorBidi"/>
          <w:color w:val="1F3763" w:themeColor="accent1" w:themeShade="7F"/>
        </w:rPr>
        <w:t xml:space="preserve">.       Suggested Improvements </w:t>
      </w:r>
      <w:r>
        <w:rPr>
          <w:rFonts w:asciiTheme="majorHAnsi" w:eastAsiaTheme="majorEastAsia" w:hAnsiTheme="majorHAnsi" w:cstheme="majorBidi"/>
          <w:color w:val="1F3763" w:themeColor="accent1" w:themeShade="7F"/>
        </w:rPr>
        <w:t>to</w:t>
      </w:r>
      <w:r w:rsidRPr="00CD2A61">
        <w:rPr>
          <w:rFonts w:asciiTheme="majorHAnsi" w:eastAsiaTheme="majorEastAsia" w:hAnsiTheme="majorHAnsi" w:cstheme="majorBidi"/>
          <w:color w:val="1F3763" w:themeColor="accent1" w:themeShade="7F"/>
        </w:rPr>
        <w:t xml:space="preserve"> the Existing Labour Law </w:t>
      </w:r>
    </w:p>
    <w:p w14:paraId="128DE9A7" w14:textId="4E487F35" w:rsidR="005C2626" w:rsidRPr="00CD2A61" w:rsidRDefault="005C2626" w:rsidP="005C2626">
      <w:pPr>
        <w:spacing w:after="160" w:line="259" w:lineRule="auto"/>
        <w:rPr>
          <w:rFonts w:asciiTheme="majorHAnsi" w:eastAsiaTheme="majorEastAsia" w:hAnsiTheme="majorHAnsi" w:cstheme="majorBidi"/>
          <w:color w:val="1F3763" w:themeColor="accent1" w:themeShade="7F"/>
        </w:rPr>
      </w:pPr>
      <w:bookmarkStart w:id="37" w:name="_Hlk151365450"/>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 xml:space="preserve">.2.1.  Paid and Unpaid Maternity Leave </w:t>
      </w:r>
      <w:bookmarkEnd w:id="35"/>
    </w:p>
    <w:bookmarkEnd w:id="36"/>
    <w:p w14:paraId="69497133" w14:textId="6ED2E1BE"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rights related to childbirth and adoptions under Labour Law No. 4857 underwent significant changes in 2016 and new types of rights and leaves were introduced for mothers, parents and child-adopters.</w:t>
      </w:r>
      <w:r w:rsidR="009A6D0A">
        <w:rPr>
          <w:rFonts w:asciiTheme="minorHAnsi" w:eastAsiaTheme="minorHAnsi" w:hAnsiTheme="minorHAnsi" w:cstheme="minorBidi"/>
          <w:sz w:val="22"/>
          <w:szCs w:val="22"/>
        </w:rPr>
        <w:t xml:space="preserve"> </w:t>
      </w:r>
      <w:r w:rsidR="009A6D0A" w:rsidRPr="002F2C10">
        <w:rPr>
          <w:rFonts w:asciiTheme="minorHAnsi" w:eastAsiaTheme="minorHAnsi" w:hAnsiTheme="minorHAnsi" w:cstheme="minorBidi"/>
          <w:sz w:val="22"/>
          <w:szCs w:val="22"/>
        </w:rPr>
        <w:t xml:space="preserve">Türkiye has </w:t>
      </w:r>
      <w:r w:rsidR="009A6D0A">
        <w:rPr>
          <w:rFonts w:asciiTheme="minorHAnsi" w:eastAsiaTheme="minorHAnsi" w:hAnsiTheme="minorHAnsi" w:cstheme="minorBidi"/>
          <w:sz w:val="22"/>
          <w:szCs w:val="22"/>
        </w:rPr>
        <w:t>adopted recommendations from ILO in this regard and taken them even further, however, stakeholders</w:t>
      </w:r>
      <w:r w:rsidR="00815D16">
        <w:rPr>
          <w:rFonts w:asciiTheme="minorHAnsi" w:eastAsiaTheme="minorHAnsi" w:hAnsiTheme="minorHAnsi" w:cstheme="minorBidi"/>
          <w:sz w:val="22"/>
          <w:szCs w:val="22"/>
        </w:rPr>
        <w:t xml:space="preserve"> during the field study</w:t>
      </w:r>
      <w:r w:rsidR="009A6D0A">
        <w:rPr>
          <w:rFonts w:asciiTheme="minorHAnsi" w:eastAsiaTheme="minorHAnsi" w:hAnsiTheme="minorHAnsi" w:cstheme="minorBidi"/>
          <w:sz w:val="22"/>
          <w:szCs w:val="22"/>
        </w:rPr>
        <w:t xml:space="preserve"> </w:t>
      </w:r>
      <w:r w:rsidR="00815D16">
        <w:rPr>
          <w:rFonts w:asciiTheme="minorHAnsi" w:eastAsiaTheme="minorHAnsi" w:hAnsiTheme="minorHAnsi" w:cstheme="minorBidi"/>
          <w:sz w:val="22"/>
          <w:szCs w:val="22"/>
        </w:rPr>
        <w:t xml:space="preserve">suggested </w:t>
      </w:r>
      <w:r w:rsidR="009A6D0A">
        <w:rPr>
          <w:rFonts w:asciiTheme="minorHAnsi" w:eastAsiaTheme="minorHAnsi" w:hAnsiTheme="minorHAnsi" w:cstheme="minorBidi"/>
          <w:sz w:val="22"/>
          <w:szCs w:val="22"/>
        </w:rPr>
        <w:t>a</w:t>
      </w:r>
      <w:r w:rsidR="009A6D0A" w:rsidRPr="002F2C10">
        <w:rPr>
          <w:rFonts w:asciiTheme="minorHAnsi" w:eastAsiaTheme="minorHAnsi" w:hAnsiTheme="minorHAnsi" w:cstheme="minorBidi"/>
          <w:sz w:val="22"/>
          <w:szCs w:val="22"/>
        </w:rPr>
        <w:t>dditional areas for improvement</w:t>
      </w:r>
      <w:r w:rsidR="00815D16">
        <w:rPr>
          <w:rFonts w:asciiTheme="minorHAnsi" w:eastAsiaTheme="minorHAnsi" w:hAnsiTheme="minorHAnsi" w:cstheme="minorBidi"/>
          <w:sz w:val="22"/>
          <w:szCs w:val="22"/>
        </w:rPr>
        <w:t xml:space="preserve">, as may be seen </w:t>
      </w:r>
      <w:r w:rsidR="009A6D0A" w:rsidRPr="002F2C10">
        <w:rPr>
          <w:rFonts w:asciiTheme="minorHAnsi" w:eastAsiaTheme="minorHAnsi" w:hAnsiTheme="minorHAnsi" w:cstheme="minorBidi"/>
          <w:sz w:val="22"/>
          <w:szCs w:val="22"/>
        </w:rPr>
        <w:t>below.</w:t>
      </w:r>
    </w:p>
    <w:p w14:paraId="4188A0F2" w14:textId="78A94EE4"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According to participants in the Pre-Study Workshop, the duration of maternal and unpaid work leaves is not sufficient. There is a demand from the employee side to extend the duration of these leaves by giving a right to postpartum leave to both men and women to enable them to look after their children.</w:t>
      </w:r>
    </w:p>
    <w:p w14:paraId="31934193" w14:textId="6D36B9BF"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the Field Study, the most widely-used provision was the maternity leave right  65.9% of the respondents with children had benefited from this right, in parallel to this 89</w:t>
      </w:r>
      <w:r w:rsidR="0077076F">
        <w:rPr>
          <w:rFonts w:asciiTheme="minorHAnsi" w:eastAsiaTheme="minorHAnsi" w:hAnsiTheme="minorHAnsi" w:cstheme="minorBidi"/>
          <w:sz w:val="22"/>
          <w:szCs w:val="22"/>
        </w:rPr>
        <w:t>.</w:t>
      </w:r>
      <w:r w:rsidRPr="00DB0C40">
        <w:rPr>
          <w:rFonts w:asciiTheme="minorHAnsi" w:eastAsiaTheme="minorHAnsi" w:hAnsiTheme="minorHAnsi" w:cstheme="minorBidi"/>
          <w:sz w:val="22"/>
          <w:szCs w:val="22"/>
        </w:rPr>
        <w:t xml:space="preserve">9% of the respondents mentioned that extension of the maternity leave period and should be equal to that of government officers is necessary to improve the conditions for female employees (ranked 1). </w:t>
      </w:r>
    </w:p>
    <w:p w14:paraId="79478030" w14:textId="4EFA460E"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From the perspectives of employees’ maternity leave, the right to have unpaid maternity leave (71.1%), paternity leave (42.9%) and the prohibition of discrimination by gender in terms of payment (41.6%) were the most effective provisions in practice. On the other hand, the right to have part-time work after maternity (9%), breastfeeding room (18.6%) and nursery obligation (19.9%) were stated as “not effective”.</w:t>
      </w:r>
    </w:p>
    <w:p w14:paraId="470D9ED5" w14:textId="354B3B0C"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employer respondents, 95% stated that their employees benefited from the maternity leave rights, 64% of the respondents selected paternity leave as the third most frequently used labour right by their employees (77%) and paternity leave (64%).  Crèche and breastfeeding room facilities were the least available among other legal provisions (11% and 14%, respectively). </w:t>
      </w:r>
    </w:p>
    <w:p w14:paraId="709332B5" w14:textId="404EE2E0"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Employer respondents were asked about their level of knowledge regarding the Labour Law, their opinion about its efficiency and their suggestions for improvement. Only 37% of the respondents knew the provisions of Labour Law related with women's employment; regarding their opinion about whether the law and provisions about female workers are understandable and clear only 34% of respondents said “yes” and 66% thought that provisions were not sufficiently clear.</w:t>
      </w:r>
    </w:p>
    <w:p w14:paraId="5A0D4815"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EU Legislation includes a right to two weeks' paternity leave, introduced in a new directive on work-life balance for parents and carers, which entered into force on 1 August 2019. The right to paternity leave is not subject to a period of work qualification or to a length of service qualification.</w:t>
      </w:r>
    </w:p>
    <w:p w14:paraId="753F1418" w14:textId="6D81CE03" w:rsidR="005C2626"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recommendations</w:t>
      </w:r>
      <w:r w:rsidRPr="00DB0C40">
        <w:rPr>
          <w:rFonts w:asciiTheme="minorHAnsi" w:eastAsiaTheme="minorHAnsi" w:hAnsiTheme="minorHAnsi" w:cstheme="minorBidi"/>
          <w:sz w:val="22"/>
          <w:szCs w:val="22"/>
        </w:rPr>
        <w:t xml:space="preserve"> are:</w:t>
      </w:r>
    </w:p>
    <w:p w14:paraId="72C47EE5" w14:textId="6780D19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the employee survey 89</w:t>
      </w:r>
      <w:r w:rsidR="00C862A7">
        <w:rPr>
          <w:rFonts w:asciiTheme="minorHAnsi" w:eastAsiaTheme="minorHAnsi" w:hAnsiTheme="minorHAnsi" w:cstheme="minorBidi"/>
          <w:sz w:val="22"/>
          <w:szCs w:val="22"/>
        </w:rPr>
        <w:t>.</w:t>
      </w:r>
      <w:r w:rsidRPr="00DB0C40">
        <w:rPr>
          <w:rFonts w:asciiTheme="minorHAnsi" w:eastAsiaTheme="minorHAnsi" w:hAnsiTheme="minorHAnsi" w:cstheme="minorBidi"/>
          <w:sz w:val="22"/>
          <w:szCs w:val="22"/>
        </w:rPr>
        <w:t>9% of the respondents mentioned that extension of the maternity leave period should be equal to that of government officers as the most preferred policy option for the future.The Stakeholders during the Post</w:t>
      </w:r>
      <w:r>
        <w:rPr>
          <w:rFonts w:asciiTheme="minorHAnsi" w:eastAsiaTheme="minorHAnsi" w:hAnsiTheme="minorHAnsi" w:cstheme="minorBidi"/>
          <w:sz w:val="22"/>
          <w:szCs w:val="22"/>
        </w:rPr>
        <w:t>-</w:t>
      </w:r>
      <w:r w:rsidRPr="00DB0C40">
        <w:rPr>
          <w:rFonts w:asciiTheme="minorHAnsi" w:eastAsiaTheme="minorHAnsi" w:hAnsiTheme="minorHAnsi" w:cstheme="minorBidi"/>
          <w:sz w:val="22"/>
          <w:szCs w:val="22"/>
        </w:rPr>
        <w:t>Study Workshop express</w:t>
      </w:r>
      <w:r w:rsidR="00C862A7">
        <w:rPr>
          <w:rFonts w:asciiTheme="minorHAnsi" w:eastAsiaTheme="minorHAnsi" w:hAnsiTheme="minorHAnsi" w:cstheme="minorBidi"/>
          <w:sz w:val="22"/>
          <w:szCs w:val="22"/>
        </w:rPr>
        <w:t>ed the following:</w:t>
      </w:r>
      <w:r w:rsidRPr="00DB0C40">
        <w:rPr>
          <w:rFonts w:asciiTheme="minorHAnsi" w:eastAsiaTheme="minorHAnsi" w:hAnsiTheme="minorHAnsi" w:cstheme="minorBidi"/>
          <w:sz w:val="22"/>
          <w:szCs w:val="22"/>
        </w:rPr>
        <w:t xml:space="preserve"> </w:t>
      </w:r>
    </w:p>
    <w:p w14:paraId="7745131F" w14:textId="77777777" w:rsidR="005C2626" w:rsidRPr="00DB0C40" w:rsidRDefault="005C2626" w:rsidP="005C2626">
      <w:pPr>
        <w:numPr>
          <w:ilvl w:val="0"/>
          <w:numId w:val="26"/>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Regulation is also needed for foster families as another parenting situation</w:t>
      </w:r>
    </w:p>
    <w:p w14:paraId="2FFB76E3" w14:textId="77777777" w:rsidR="005C2626" w:rsidRPr="00DB0C40" w:rsidRDefault="005C2626" w:rsidP="005C2626">
      <w:pPr>
        <w:numPr>
          <w:ilvl w:val="0"/>
          <w:numId w:val="26"/>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Female civil servants cannot benefit from the right to work part time because the necessary sub-regulations are not available. </w:t>
      </w:r>
    </w:p>
    <w:bookmarkEnd w:id="37"/>
    <w:p w14:paraId="5D0CA839" w14:textId="77777777" w:rsidR="005C2626" w:rsidRPr="00DB0C40" w:rsidRDefault="005C2626" w:rsidP="005C2626">
      <w:pPr>
        <w:spacing w:after="160" w:line="259" w:lineRule="auto"/>
        <w:ind w:left="720"/>
        <w:contextualSpacing/>
        <w:jc w:val="both"/>
        <w:rPr>
          <w:rFonts w:asciiTheme="minorHAnsi" w:eastAsiaTheme="minorHAnsi" w:hAnsiTheme="minorHAnsi" w:cstheme="minorBidi"/>
          <w:sz w:val="22"/>
          <w:szCs w:val="22"/>
        </w:rPr>
      </w:pPr>
    </w:p>
    <w:p w14:paraId="499E70AB"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bookmarkStart w:id="38" w:name="_Hlk106793059"/>
      <w:r w:rsidRPr="00DB0C40">
        <w:rPr>
          <w:rFonts w:asciiTheme="minorHAnsi" w:eastAsiaTheme="minorHAnsi" w:hAnsiTheme="minorHAnsi" w:cstheme="minorBidi"/>
          <w:sz w:val="22"/>
          <w:szCs w:val="22"/>
        </w:rPr>
        <w:t>Ensure that fathers have access to compulsory paid parental leave for a meaningful period and that a sizable amount of parental leave is reserved for the father, and cannot be transferred to the mother.</w:t>
      </w:r>
    </w:p>
    <w:p w14:paraId="5E55216B" w14:textId="77777777" w:rsidR="005C2626" w:rsidRDefault="005C2626" w:rsidP="005C2626">
      <w:pPr>
        <w:spacing w:after="160" w:line="259" w:lineRule="auto"/>
        <w:jc w:val="both"/>
        <w:rPr>
          <w:rFonts w:asciiTheme="minorHAnsi" w:eastAsiaTheme="minorHAnsi" w:hAnsiTheme="minorHAnsi" w:cstheme="minorBidi"/>
          <w:sz w:val="22"/>
          <w:szCs w:val="22"/>
        </w:rPr>
      </w:pPr>
    </w:p>
    <w:p w14:paraId="02EFE2C9"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More than 77% of respondents in the employee survey thought that extending paternity leave period is one of the most important measures to increase women’s employment. They also mentioned that taking care of a child is not the responsibility of the mother. Also, during the postpartum period it is very difficult for women if there is no elderly family member to support the mother. Additionally, 83% of respondents of the employer survey found extension of paternal leave will help to promote female employment. </w:t>
      </w:r>
    </w:p>
    <w:p w14:paraId="47DBF57D" w14:textId="7C232CA4"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During the Post-Study Workshop, the stakeholders </w:t>
      </w:r>
      <w:r w:rsidR="00C862A7">
        <w:rPr>
          <w:rFonts w:asciiTheme="minorHAnsi" w:eastAsiaTheme="minorHAnsi" w:hAnsiTheme="minorHAnsi" w:cstheme="minorBidi"/>
          <w:sz w:val="22"/>
          <w:szCs w:val="22"/>
        </w:rPr>
        <w:t>stated</w:t>
      </w:r>
      <w:r w:rsidRPr="00DB0C40">
        <w:rPr>
          <w:rFonts w:asciiTheme="minorHAnsi" w:eastAsiaTheme="minorHAnsi" w:hAnsiTheme="minorHAnsi" w:cstheme="minorBidi"/>
          <w:sz w:val="22"/>
          <w:szCs w:val="22"/>
        </w:rPr>
        <w:t xml:space="preserve"> that it will be important to have the possibility to choose if the leaves are at the same time or separately. </w:t>
      </w:r>
    </w:p>
    <w:p w14:paraId="5C65864A"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that other forms of leave, such as adoption leave or leave to care for disabled or sick children, adult, or older family members, are granted.</w:t>
      </w:r>
    </w:p>
    <w:p w14:paraId="3DDDB979" w14:textId="77777777" w:rsidR="005C2626" w:rsidRDefault="005C2626" w:rsidP="005C2626">
      <w:pPr>
        <w:spacing w:after="160" w:line="259" w:lineRule="auto"/>
        <w:jc w:val="both"/>
        <w:rPr>
          <w:rFonts w:asciiTheme="minorHAnsi" w:eastAsiaTheme="minorHAnsi" w:hAnsiTheme="minorHAnsi" w:cstheme="minorBidi"/>
          <w:sz w:val="22"/>
          <w:szCs w:val="22"/>
        </w:rPr>
      </w:pPr>
    </w:p>
    <w:p w14:paraId="7E2122B5"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Related to this recommendation, respondents in the employee survey commented that</w:t>
      </w:r>
      <w:r w:rsidRPr="00DB0C40">
        <w:rPr>
          <w:rFonts w:asciiTheme="minorHAnsi" w:eastAsiaTheme="minorHAnsi" w:hAnsiTheme="minorHAnsi" w:cstheme="minorBidi"/>
          <w:b/>
          <w:sz w:val="22"/>
          <w:szCs w:val="22"/>
        </w:rPr>
        <w:t xml:space="preserve"> </w:t>
      </w:r>
      <w:r w:rsidRPr="00DB0C40">
        <w:rPr>
          <w:rFonts w:asciiTheme="minorHAnsi" w:eastAsiaTheme="minorHAnsi" w:hAnsiTheme="minorHAnsi" w:cstheme="minorBidi"/>
          <w:sz w:val="22"/>
          <w:szCs w:val="22"/>
        </w:rPr>
        <w:t xml:space="preserve">childcare is not only the responsibility of women and the results of the survey show that there is a demand for extension of paternal leave period (77% of respondents). Stakeholders during the Post-Study Workshop stated: </w:t>
      </w:r>
    </w:p>
    <w:p w14:paraId="583D6C18" w14:textId="77777777" w:rsidR="005C2626" w:rsidRPr="00DB0C40" w:rsidRDefault="005C2626" w:rsidP="005C2626">
      <w:pPr>
        <w:numPr>
          <w:ilvl w:val="0"/>
          <w:numId w:val="27"/>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To have a common language between all the stakeholders on the different types of leaves</w:t>
      </w:r>
    </w:p>
    <w:p w14:paraId="4768B5C0" w14:textId="77777777" w:rsidR="005C2626" w:rsidRPr="00DB0C40" w:rsidRDefault="005C2626" w:rsidP="005C2626">
      <w:pPr>
        <w:numPr>
          <w:ilvl w:val="0"/>
          <w:numId w:val="27"/>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To include such provisions in the collective bargaining or individual employment contracts between employers and employees</w:t>
      </w:r>
    </w:p>
    <w:p w14:paraId="17116935" w14:textId="77777777" w:rsidR="005C2626" w:rsidRPr="00DB0C40" w:rsidRDefault="005C2626" w:rsidP="005C2626">
      <w:pPr>
        <w:numPr>
          <w:ilvl w:val="0"/>
          <w:numId w:val="27"/>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Leave dates should be increased for parents with disabled children</w:t>
      </w:r>
    </w:p>
    <w:p w14:paraId="11FDE3A8" w14:textId="77777777" w:rsidR="005C2626" w:rsidRPr="00DB0C40" w:rsidRDefault="005C2626" w:rsidP="005C2626">
      <w:pPr>
        <w:numPr>
          <w:ilvl w:val="0"/>
          <w:numId w:val="27"/>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There is a need to include special provisions for the parents who have disabled children in the legislation in addition to the elderly and patients care facilities; such as early retirement right.</w:t>
      </w:r>
    </w:p>
    <w:p w14:paraId="54136FDC" w14:textId="77777777" w:rsidR="005C2626" w:rsidRPr="00DB0C40" w:rsidRDefault="005C2626" w:rsidP="005C2626">
      <w:pPr>
        <w:spacing w:after="160" w:line="259" w:lineRule="auto"/>
        <w:ind w:left="720"/>
        <w:contextualSpacing/>
        <w:jc w:val="both"/>
        <w:rPr>
          <w:rFonts w:asciiTheme="minorHAnsi" w:eastAsiaTheme="minorHAnsi" w:hAnsiTheme="minorHAnsi" w:cstheme="minorBidi"/>
          <w:color w:val="4472C4" w:themeColor="accent1"/>
          <w:sz w:val="22"/>
          <w:szCs w:val="22"/>
        </w:rPr>
      </w:pPr>
    </w:p>
    <w:p w14:paraId="08B71DDF"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Ensure employment protection during leave and the guarantee of the right to return to the same position.</w:t>
      </w:r>
    </w:p>
    <w:p w14:paraId="7401AA68" w14:textId="77777777" w:rsidR="005C2626" w:rsidRDefault="005C2626" w:rsidP="005C2626">
      <w:pPr>
        <w:spacing w:after="160" w:line="259" w:lineRule="auto"/>
        <w:jc w:val="both"/>
        <w:rPr>
          <w:rFonts w:asciiTheme="minorHAnsi" w:eastAsiaTheme="minorHAnsi" w:hAnsiTheme="minorHAnsi" w:cstheme="minorBidi"/>
          <w:sz w:val="22"/>
          <w:szCs w:val="22"/>
        </w:rPr>
      </w:pPr>
    </w:p>
    <w:p w14:paraId="7EF35309" w14:textId="175EC71B"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the results from the </w:t>
      </w:r>
      <w:r w:rsidR="00C862A7">
        <w:rPr>
          <w:rFonts w:asciiTheme="minorHAnsi" w:eastAsiaTheme="minorHAnsi" w:hAnsiTheme="minorHAnsi" w:cstheme="minorBidi"/>
          <w:sz w:val="22"/>
          <w:szCs w:val="22"/>
        </w:rPr>
        <w:t>f</w:t>
      </w:r>
      <w:r w:rsidRPr="00DB0C40">
        <w:rPr>
          <w:rFonts w:asciiTheme="minorHAnsi" w:eastAsiaTheme="minorHAnsi" w:hAnsiTheme="minorHAnsi" w:cstheme="minorBidi"/>
          <w:sz w:val="22"/>
          <w:szCs w:val="22"/>
        </w:rPr>
        <w:t xml:space="preserve">ield </w:t>
      </w:r>
      <w:r w:rsidR="00C862A7">
        <w:rPr>
          <w:rFonts w:asciiTheme="minorHAnsi" w:eastAsiaTheme="minorHAnsi" w:hAnsiTheme="minorHAnsi" w:cstheme="minorBidi"/>
          <w:sz w:val="22"/>
          <w:szCs w:val="22"/>
        </w:rPr>
        <w:t>s</w:t>
      </w:r>
      <w:r w:rsidRPr="00DB0C40">
        <w:rPr>
          <w:rFonts w:asciiTheme="minorHAnsi" w:eastAsiaTheme="minorHAnsi" w:hAnsiTheme="minorHAnsi" w:cstheme="minorBidi"/>
          <w:sz w:val="22"/>
          <w:szCs w:val="22"/>
        </w:rPr>
        <w:t xml:space="preserve">tudy, 77% of respondents in the employer survey stated that their workers used unpaid leave after birth upon request. However, according to the results of the employee survey, the right to part-time work after maternity (9%) was the least implemented provision. In addition, some respondents in the </w:t>
      </w:r>
      <w:r w:rsidR="00C862A7">
        <w:rPr>
          <w:rFonts w:asciiTheme="minorHAnsi" w:eastAsiaTheme="minorHAnsi" w:hAnsiTheme="minorHAnsi" w:cstheme="minorBidi"/>
          <w:sz w:val="22"/>
          <w:szCs w:val="22"/>
        </w:rPr>
        <w:t>f</w:t>
      </w:r>
      <w:r w:rsidRPr="00DB0C40">
        <w:rPr>
          <w:rFonts w:asciiTheme="minorHAnsi" w:eastAsiaTheme="minorHAnsi" w:hAnsiTheme="minorHAnsi" w:cstheme="minorBidi"/>
          <w:sz w:val="22"/>
          <w:szCs w:val="22"/>
        </w:rPr>
        <w:t xml:space="preserve">ield </w:t>
      </w:r>
      <w:r w:rsidR="00C862A7">
        <w:rPr>
          <w:rFonts w:asciiTheme="minorHAnsi" w:eastAsiaTheme="minorHAnsi" w:hAnsiTheme="minorHAnsi" w:cstheme="minorBidi"/>
          <w:sz w:val="22"/>
          <w:szCs w:val="22"/>
        </w:rPr>
        <w:t>s</w:t>
      </w:r>
      <w:r w:rsidRPr="00DB0C40">
        <w:rPr>
          <w:rFonts w:asciiTheme="minorHAnsi" w:eastAsiaTheme="minorHAnsi" w:hAnsiTheme="minorHAnsi" w:cstheme="minorBidi"/>
          <w:sz w:val="22"/>
          <w:szCs w:val="22"/>
        </w:rPr>
        <w:t>tudy (women employees) stated that they hesitated to use their unpaid maternal leaves for fear of losing their jobs. In addition, unpaid leave means that they would lose a substantial amount of their income if they take unpaid leave.</w:t>
      </w:r>
      <w:r w:rsidR="00A13DD5">
        <w:rPr>
          <w:rFonts w:asciiTheme="minorHAnsi" w:eastAsiaTheme="minorHAnsi" w:hAnsiTheme="minorHAnsi" w:cstheme="minorBidi"/>
          <w:sz w:val="22"/>
          <w:szCs w:val="22"/>
        </w:rPr>
        <w:t xml:space="preserve"> </w:t>
      </w:r>
      <w:r w:rsidRPr="00DB0C40">
        <w:rPr>
          <w:rFonts w:asciiTheme="minorHAnsi" w:eastAsiaTheme="minorHAnsi" w:hAnsiTheme="minorHAnsi" w:cstheme="minorBidi"/>
          <w:sz w:val="22"/>
          <w:szCs w:val="22"/>
        </w:rPr>
        <w:t xml:space="preserve">During the Post-Study Workshop, stakeholders pointed out the following:  </w:t>
      </w:r>
    </w:p>
    <w:p w14:paraId="57C578D4" w14:textId="77777777" w:rsidR="005C2626" w:rsidRPr="00DB0C40" w:rsidRDefault="005C2626" w:rsidP="005C2626">
      <w:pPr>
        <w:numPr>
          <w:ilvl w:val="0"/>
          <w:numId w:val="30"/>
        </w:num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Civil Servants Law No. 657 has more provisions to facilitate women's employment compared to the Labour Law No. 4857. A new employment strategy can be prepared with concrete recommendations aiming to eliminate these differences and help to raise awareness about the difficulties faced by female employees in their workplaces. </w:t>
      </w:r>
    </w:p>
    <w:p w14:paraId="4DB940E5" w14:textId="77777777" w:rsidR="005C2626" w:rsidRPr="00DB0C40" w:rsidRDefault="005C2626" w:rsidP="005C2626">
      <w:pPr>
        <w:numPr>
          <w:ilvl w:val="0"/>
          <w:numId w:val="30"/>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Additionally, temporary employment can be a solution for the enterprises which have women employees on unpaid maternity leave to ensure the sustainability of the work and avoid any kind of productivity loss</w:t>
      </w:r>
    </w:p>
    <w:p w14:paraId="56FB6FE6" w14:textId="77777777" w:rsidR="005C2626" w:rsidRDefault="005C2626" w:rsidP="005C2626">
      <w:pPr>
        <w:numPr>
          <w:ilvl w:val="0"/>
          <w:numId w:val="30"/>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Informing and awareness practices should be carried out and increased among employees regarding their legal rights especially unpaid leave and return to work at the same position and with equal rights.</w:t>
      </w:r>
    </w:p>
    <w:p w14:paraId="0700BB2D" w14:textId="77777777" w:rsidR="005C2626" w:rsidRPr="00DB0C40" w:rsidRDefault="005C2626" w:rsidP="005C2626">
      <w:pPr>
        <w:spacing w:after="160" w:line="259" w:lineRule="auto"/>
        <w:ind w:left="720"/>
        <w:contextualSpacing/>
        <w:jc w:val="both"/>
        <w:rPr>
          <w:rFonts w:asciiTheme="minorHAnsi" w:eastAsiaTheme="minorHAnsi" w:hAnsiTheme="minorHAnsi" w:cstheme="minorBidi"/>
          <w:sz w:val="22"/>
          <w:szCs w:val="22"/>
        </w:rPr>
      </w:pPr>
    </w:p>
    <w:p w14:paraId="4219610C" w14:textId="44D6873F" w:rsidR="005C2626" w:rsidRPr="00CD2A61" w:rsidRDefault="005C2626" w:rsidP="005C2626">
      <w:pPr>
        <w:spacing w:after="160" w:line="259" w:lineRule="auto"/>
        <w:rPr>
          <w:rFonts w:asciiTheme="majorHAnsi" w:eastAsiaTheme="majorEastAsia" w:hAnsiTheme="majorHAnsi" w:cstheme="majorBidi"/>
          <w:color w:val="1F3763" w:themeColor="accent1" w:themeShade="7F"/>
        </w:rPr>
      </w:pPr>
      <w:bookmarkStart w:id="39" w:name="_Hlk118276455"/>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w:t>
      </w:r>
      <w:bookmarkStart w:id="40" w:name="_Hlk107140776"/>
      <w:r w:rsidRPr="00CD2A61">
        <w:rPr>
          <w:rFonts w:asciiTheme="majorHAnsi" w:eastAsiaTheme="majorEastAsia" w:hAnsiTheme="majorHAnsi" w:cstheme="majorBidi"/>
          <w:color w:val="1F3763" w:themeColor="accent1" w:themeShade="7F"/>
        </w:rPr>
        <w:t>2.2. Nursery Requirement for Workplaces</w:t>
      </w:r>
    </w:p>
    <w:bookmarkEnd w:id="39"/>
    <w:bookmarkEnd w:id="40"/>
    <w:p w14:paraId="62ACEFEF" w14:textId="381BDFB8" w:rsidR="005C2626"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According to participants in the Pre-Study Workshop, the sanction for not complying with the nursery provision requirement for workplaces employing 150 and more women was not effective in practice. This sanction might consider the total number of employees, not only women.  In addition, the government might provide different modes of support to those establishments having more than 150 employees to fulfil their responsibilities. In the Field Study, the establishment of a nursery with the support of the government’ with 87.4% was the most preferred policy option for the future to promote employment of women in the employer survey. On the employers’ side; 87.4% of the respondents mentioned that more support from the government to establish nurseries and improve the conditions of breastfeeding rooms and nurseries is expected in the future as the first priority</w:t>
      </w:r>
      <w:r w:rsidR="00A13DD5">
        <w:rPr>
          <w:rFonts w:asciiTheme="minorHAnsi" w:eastAsiaTheme="minorHAnsi" w:hAnsiTheme="minorHAnsi" w:cstheme="minorBidi"/>
          <w:sz w:val="22"/>
          <w:szCs w:val="22"/>
        </w:rPr>
        <w:t>.</w:t>
      </w:r>
      <w:r w:rsidRPr="00DB0C40">
        <w:rPr>
          <w:rFonts w:asciiTheme="minorHAnsi" w:eastAsiaTheme="minorHAnsi" w:hAnsiTheme="minorHAnsi" w:cstheme="minorBidi"/>
          <w:sz w:val="22"/>
          <w:szCs w:val="22"/>
        </w:rPr>
        <w:t xml:space="preserve"> Regarding employees; 82,1% of the respondents stated that the establishment of a nursery with the support of the government is necessary as one of the top priority areas. This was among the top three priority areas which needed to be developed in the future together with making the duration of maternity leave equal to that of government officers and inclusion of elderly and patient care. </w:t>
      </w:r>
    </w:p>
    <w:p w14:paraId="1F7D9737" w14:textId="087B47A8" w:rsidR="005C2626" w:rsidRDefault="005C2626" w:rsidP="005C2626">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In the Sector</w:t>
      </w:r>
      <w:r w:rsidR="00A13DD5">
        <w:rPr>
          <w:rFonts w:asciiTheme="minorHAnsi" w:eastAsiaTheme="minorHAnsi" w:hAnsiTheme="minorHAnsi" w:cstheme="minorBidi"/>
          <w:sz w:val="22"/>
          <w:szCs w:val="22"/>
        </w:rPr>
        <w:t xml:space="preserve"> Studies</w:t>
      </w:r>
      <w:r>
        <w:rPr>
          <w:rFonts w:asciiTheme="minorHAnsi" w:eastAsiaTheme="minorHAnsi" w:hAnsiTheme="minorHAnsi" w:cstheme="minorBidi"/>
          <w:sz w:val="22"/>
          <w:szCs w:val="22"/>
        </w:rPr>
        <w:t xml:space="preserve"> Report, there are interesting conclusions in the </w:t>
      </w:r>
      <w:r w:rsidR="00A13DD5">
        <w:rPr>
          <w:rFonts w:asciiTheme="minorHAnsi" w:eastAsiaTheme="minorHAnsi" w:hAnsiTheme="minorHAnsi" w:cstheme="minorBidi"/>
          <w:sz w:val="22"/>
          <w:szCs w:val="22"/>
        </w:rPr>
        <w:t>f</w:t>
      </w:r>
      <w:r>
        <w:rPr>
          <w:rFonts w:asciiTheme="minorHAnsi" w:eastAsiaTheme="minorHAnsi" w:hAnsiTheme="minorHAnsi" w:cstheme="minorBidi"/>
          <w:sz w:val="22"/>
          <w:szCs w:val="22"/>
        </w:rPr>
        <w:t xml:space="preserve">ield </w:t>
      </w:r>
      <w:r w:rsidR="00A13DD5">
        <w:rPr>
          <w:rFonts w:asciiTheme="minorHAnsi" w:eastAsiaTheme="minorHAnsi" w:hAnsiTheme="minorHAnsi" w:cstheme="minorBidi"/>
          <w:sz w:val="22"/>
          <w:szCs w:val="22"/>
        </w:rPr>
        <w:t>s</w:t>
      </w:r>
      <w:r>
        <w:rPr>
          <w:rFonts w:asciiTheme="minorHAnsi" w:eastAsiaTheme="minorHAnsi" w:hAnsiTheme="minorHAnsi" w:cstheme="minorBidi"/>
          <w:sz w:val="22"/>
          <w:szCs w:val="22"/>
        </w:rPr>
        <w:t>tudy</w:t>
      </w:r>
      <w:r w:rsidR="00A13DD5">
        <w:rPr>
          <w:rFonts w:asciiTheme="minorHAnsi" w:eastAsiaTheme="minorHAnsi" w:hAnsiTheme="minorHAnsi" w:cstheme="minorBidi"/>
          <w:sz w:val="22"/>
          <w:szCs w:val="22"/>
        </w:rPr>
        <w:t xml:space="preserve"> for that particular study</w:t>
      </w:r>
      <w:r>
        <w:rPr>
          <w:rFonts w:asciiTheme="minorHAnsi" w:eastAsiaTheme="minorHAnsi" w:hAnsiTheme="minorHAnsi" w:cstheme="minorBidi"/>
          <w:sz w:val="22"/>
          <w:szCs w:val="22"/>
        </w:rPr>
        <w:t>:</w:t>
      </w:r>
    </w:p>
    <w:p w14:paraId="301EE855" w14:textId="304C3809" w:rsidR="005C2626" w:rsidRDefault="005C2626" w:rsidP="005C2626">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 </w:t>
      </w:r>
      <w:r w:rsidR="00A13DD5">
        <w:rPr>
          <w:rFonts w:asciiTheme="minorHAnsi" w:eastAsiaTheme="minorHAnsi" w:hAnsiTheme="minorHAnsi" w:cstheme="minorBidi"/>
          <w:sz w:val="22"/>
          <w:szCs w:val="22"/>
        </w:rPr>
        <w:t xml:space="preserve">the </w:t>
      </w:r>
      <w:r>
        <w:rPr>
          <w:rFonts w:asciiTheme="minorHAnsi" w:eastAsiaTheme="minorHAnsi" w:hAnsiTheme="minorHAnsi" w:cstheme="minorBidi"/>
          <w:sz w:val="22"/>
          <w:szCs w:val="22"/>
        </w:rPr>
        <w:t>Education sector: “</w:t>
      </w:r>
      <w:r w:rsidRPr="00CD2A61">
        <w:rPr>
          <w:rFonts w:asciiTheme="minorHAnsi" w:eastAsiaTheme="minorHAnsi" w:hAnsiTheme="minorHAnsi" w:cstheme="minorBidi"/>
          <w:i/>
          <w:iCs/>
          <w:sz w:val="22"/>
          <w:szCs w:val="22"/>
        </w:rPr>
        <w:t xml:space="preserve">In order to increase the number of women managers in the education sector, more than half of the sector experts and decision-makers recommended increasing nursery facilities (59.1%), supporting postpartum part-time work opportunities (51.5%) and introducing role models (51.5%) to increase the number of women managers in the education sector. Provision of gender equality training (43.9%) and </w:t>
      </w:r>
      <w:r w:rsidRPr="00CD2A61">
        <w:rPr>
          <w:rFonts w:asciiTheme="minorHAnsi" w:eastAsiaTheme="minorHAnsi" w:hAnsiTheme="minorHAnsi" w:cstheme="minorBidi"/>
          <w:i/>
          <w:iCs/>
          <w:sz w:val="22"/>
          <w:szCs w:val="22"/>
        </w:rPr>
        <w:lastRenderedPageBreak/>
        <w:t>supporting female employees for socialization and networking (39.4%) were also recommended</w:t>
      </w:r>
      <w:r w:rsidR="00A13DD5">
        <w:rPr>
          <w:rFonts w:asciiTheme="minorHAnsi" w:eastAsiaTheme="minorHAnsi" w:hAnsiTheme="minorHAnsi" w:cstheme="minorBidi"/>
          <w:i/>
          <w:iCs/>
          <w:sz w:val="22"/>
          <w:szCs w:val="22"/>
        </w:rPr>
        <w:t xml:space="preserve"> (see</w:t>
      </w:r>
      <w:r>
        <w:rPr>
          <w:rFonts w:asciiTheme="minorHAnsi" w:eastAsiaTheme="minorHAnsi" w:hAnsiTheme="minorHAnsi" w:cstheme="minorBidi"/>
          <w:sz w:val="22"/>
          <w:szCs w:val="22"/>
        </w:rPr>
        <w:t xml:space="preserve"> Sector</w:t>
      </w:r>
      <w:r w:rsidR="00A13DD5">
        <w:rPr>
          <w:rFonts w:asciiTheme="minorHAnsi" w:eastAsiaTheme="minorHAnsi" w:hAnsiTheme="minorHAnsi" w:cstheme="minorBidi"/>
          <w:sz w:val="22"/>
          <w:szCs w:val="22"/>
        </w:rPr>
        <w:t xml:space="preserve"> Studies</w:t>
      </w:r>
      <w:r>
        <w:rPr>
          <w:rFonts w:asciiTheme="minorHAnsi" w:eastAsiaTheme="minorHAnsi" w:hAnsiTheme="minorHAnsi" w:cstheme="minorBidi"/>
          <w:sz w:val="22"/>
          <w:szCs w:val="22"/>
        </w:rPr>
        <w:t xml:space="preserve"> Report). </w:t>
      </w:r>
    </w:p>
    <w:p w14:paraId="2CC3C611" w14:textId="0CF1E27E" w:rsidR="005C2626" w:rsidRPr="00A3796D" w:rsidRDefault="005C2626" w:rsidP="005C2626">
      <w:pPr>
        <w:spacing w:after="160" w:line="259" w:lineRule="auto"/>
        <w:jc w:val="both"/>
        <w:rPr>
          <w:rFonts w:asciiTheme="minorHAnsi" w:eastAsiaTheme="minorHAnsi" w:hAnsiTheme="minorHAnsi" w:cstheme="minorBidi"/>
          <w:sz w:val="22"/>
          <w:szCs w:val="22"/>
        </w:rPr>
      </w:pPr>
      <w:r w:rsidRPr="00A3796D">
        <w:rPr>
          <w:rFonts w:asciiTheme="minorHAnsi" w:eastAsiaTheme="minorHAnsi" w:hAnsiTheme="minorHAnsi" w:cstheme="minorBidi"/>
          <w:sz w:val="22"/>
          <w:szCs w:val="22"/>
        </w:rPr>
        <w:t>In</w:t>
      </w:r>
      <w:r>
        <w:rPr>
          <w:rFonts w:asciiTheme="minorHAnsi" w:eastAsiaTheme="minorHAnsi" w:hAnsiTheme="minorHAnsi" w:cstheme="minorBidi"/>
          <w:sz w:val="22"/>
          <w:szCs w:val="22"/>
        </w:rPr>
        <w:t xml:space="preserve"> </w:t>
      </w:r>
      <w:r w:rsidR="00A13DD5">
        <w:rPr>
          <w:rFonts w:asciiTheme="minorHAnsi" w:eastAsiaTheme="minorHAnsi" w:hAnsiTheme="minorHAnsi" w:cstheme="minorBidi"/>
          <w:sz w:val="22"/>
          <w:szCs w:val="22"/>
        </w:rPr>
        <w:t xml:space="preserve">the </w:t>
      </w:r>
      <w:r>
        <w:rPr>
          <w:rFonts w:asciiTheme="minorHAnsi" w:eastAsiaTheme="minorHAnsi" w:hAnsiTheme="minorHAnsi" w:cstheme="minorBidi"/>
          <w:sz w:val="22"/>
          <w:szCs w:val="22"/>
        </w:rPr>
        <w:t xml:space="preserve">Health </w:t>
      </w:r>
      <w:r w:rsidR="00A13DD5">
        <w:rPr>
          <w:rFonts w:asciiTheme="minorHAnsi" w:eastAsiaTheme="minorHAnsi" w:hAnsiTheme="minorHAnsi" w:cstheme="minorBidi"/>
          <w:sz w:val="22"/>
          <w:szCs w:val="22"/>
        </w:rPr>
        <w:t>s</w:t>
      </w:r>
      <w:r>
        <w:rPr>
          <w:rFonts w:asciiTheme="minorHAnsi" w:eastAsiaTheme="minorHAnsi" w:hAnsiTheme="minorHAnsi" w:cstheme="minorBidi"/>
          <w:sz w:val="22"/>
          <w:szCs w:val="22"/>
        </w:rPr>
        <w:t xml:space="preserve">ector, also in </w:t>
      </w:r>
      <w:r w:rsidRPr="00A3796D">
        <w:rPr>
          <w:rFonts w:asciiTheme="minorHAnsi" w:eastAsiaTheme="minorHAnsi" w:hAnsiTheme="minorHAnsi" w:cstheme="minorBidi"/>
          <w:sz w:val="22"/>
          <w:szCs w:val="22"/>
        </w:rPr>
        <w:t xml:space="preserve">order to increase the number of women managers, </w:t>
      </w:r>
      <w:r>
        <w:rPr>
          <w:rFonts w:asciiTheme="minorHAnsi" w:eastAsiaTheme="minorHAnsi" w:hAnsiTheme="minorHAnsi" w:cstheme="minorBidi"/>
          <w:sz w:val="22"/>
          <w:szCs w:val="22"/>
        </w:rPr>
        <w:t>“</w:t>
      </w:r>
      <w:r w:rsidRPr="00CD2A61">
        <w:rPr>
          <w:rFonts w:asciiTheme="minorHAnsi" w:eastAsiaTheme="minorHAnsi" w:hAnsiTheme="minorHAnsi" w:cstheme="minorBidi"/>
          <w:i/>
          <w:iCs/>
          <w:sz w:val="22"/>
          <w:szCs w:val="22"/>
        </w:rPr>
        <w:t>close to half of the sector experts and decision makers recommend provision of gender training in the sector (42.9%) and increasing nursery facilities (40.5%)</w:t>
      </w:r>
      <w:r>
        <w:rPr>
          <w:rFonts w:asciiTheme="minorHAnsi" w:eastAsiaTheme="minorHAnsi" w:hAnsiTheme="minorHAnsi" w:cstheme="minorBidi"/>
          <w:i/>
          <w:iCs/>
          <w:sz w:val="22"/>
          <w:szCs w:val="22"/>
        </w:rPr>
        <w:t>”</w:t>
      </w:r>
      <w:r w:rsidR="00A13DD5">
        <w:rPr>
          <w:rFonts w:asciiTheme="minorHAnsi" w:eastAsiaTheme="minorHAnsi" w:hAnsiTheme="minorHAnsi" w:cstheme="minorBidi"/>
          <w:i/>
          <w:iCs/>
          <w:sz w:val="22"/>
          <w:szCs w:val="22"/>
        </w:rPr>
        <w:t xml:space="preserve"> (see </w:t>
      </w:r>
      <w:r>
        <w:rPr>
          <w:rFonts w:asciiTheme="minorHAnsi" w:eastAsiaTheme="minorHAnsi" w:hAnsiTheme="minorHAnsi" w:cstheme="minorBidi"/>
          <w:i/>
          <w:iCs/>
          <w:sz w:val="22"/>
          <w:szCs w:val="22"/>
        </w:rPr>
        <w:t>Sector</w:t>
      </w:r>
      <w:r w:rsidR="00A13DD5">
        <w:rPr>
          <w:rFonts w:asciiTheme="minorHAnsi" w:eastAsiaTheme="minorHAnsi" w:hAnsiTheme="minorHAnsi" w:cstheme="minorBidi"/>
          <w:i/>
          <w:iCs/>
          <w:sz w:val="22"/>
          <w:szCs w:val="22"/>
        </w:rPr>
        <w:t xml:space="preserve"> Studies</w:t>
      </w:r>
      <w:r>
        <w:rPr>
          <w:rFonts w:asciiTheme="minorHAnsi" w:eastAsiaTheme="minorHAnsi" w:hAnsiTheme="minorHAnsi" w:cstheme="minorBidi"/>
          <w:i/>
          <w:iCs/>
          <w:sz w:val="22"/>
          <w:szCs w:val="22"/>
        </w:rPr>
        <w:t xml:space="preserve"> Report). </w:t>
      </w:r>
      <w:r>
        <w:rPr>
          <w:rFonts w:asciiTheme="minorHAnsi" w:eastAsiaTheme="minorHAnsi" w:hAnsiTheme="minorHAnsi" w:cstheme="minorBidi"/>
          <w:sz w:val="22"/>
          <w:szCs w:val="22"/>
        </w:rPr>
        <w:t xml:space="preserve">The importance of Nurseries </w:t>
      </w:r>
      <w:r w:rsidRPr="000956A0">
        <w:rPr>
          <w:rFonts w:asciiTheme="minorHAnsi" w:eastAsiaTheme="minorHAnsi" w:hAnsiTheme="minorHAnsi" w:cstheme="minorBidi"/>
          <w:sz w:val="22"/>
          <w:szCs w:val="22"/>
        </w:rPr>
        <w:t>was also highlighted in</w:t>
      </w:r>
      <w:r>
        <w:rPr>
          <w:rFonts w:asciiTheme="minorHAnsi" w:eastAsiaTheme="minorHAnsi" w:hAnsiTheme="minorHAnsi" w:cstheme="minorBidi"/>
          <w:sz w:val="22"/>
          <w:szCs w:val="22"/>
        </w:rPr>
        <w:t xml:space="preserve"> the Energy sector (35</w:t>
      </w:r>
      <w:r w:rsidR="00A13DD5">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5% of the respondents). </w:t>
      </w:r>
      <w:r w:rsidRPr="00A3796D">
        <w:rPr>
          <w:rFonts w:asciiTheme="minorHAnsi" w:eastAsiaTheme="minorHAnsi" w:hAnsiTheme="minorHAnsi" w:cstheme="minorBidi"/>
          <w:sz w:val="22"/>
          <w:szCs w:val="22"/>
        </w:rPr>
        <w:t xml:space="preserve">In order to increase the number of women managers in the finance and banking sector, </w:t>
      </w:r>
      <w:r>
        <w:rPr>
          <w:rFonts w:asciiTheme="minorHAnsi" w:eastAsiaTheme="minorHAnsi" w:hAnsiTheme="minorHAnsi" w:cstheme="minorBidi"/>
          <w:sz w:val="22"/>
          <w:szCs w:val="22"/>
        </w:rPr>
        <w:t>“</w:t>
      </w:r>
      <w:r w:rsidRPr="00A3796D">
        <w:rPr>
          <w:rFonts w:asciiTheme="minorHAnsi" w:eastAsiaTheme="minorHAnsi" w:hAnsiTheme="minorHAnsi" w:cstheme="minorBidi"/>
          <w:sz w:val="22"/>
          <w:szCs w:val="22"/>
        </w:rPr>
        <w:t>more than half of the sector experts and decision makers proposed increasing nursery facilities (55.0%)</w:t>
      </w:r>
      <w:r>
        <w:rPr>
          <w:rFonts w:asciiTheme="minorHAnsi" w:eastAsiaTheme="minorHAnsi" w:hAnsiTheme="minorHAnsi" w:cstheme="minorBidi"/>
          <w:sz w:val="22"/>
          <w:szCs w:val="22"/>
        </w:rPr>
        <w:t>” (</w:t>
      </w:r>
      <w:r w:rsidR="00A13DD5">
        <w:rPr>
          <w:rFonts w:asciiTheme="minorHAnsi" w:eastAsiaTheme="minorHAnsi" w:hAnsiTheme="minorHAnsi" w:cstheme="minorBidi"/>
          <w:sz w:val="22"/>
          <w:szCs w:val="22"/>
        </w:rPr>
        <w:t xml:space="preserve">see </w:t>
      </w:r>
      <w:r>
        <w:rPr>
          <w:rFonts w:asciiTheme="minorHAnsi" w:eastAsiaTheme="minorHAnsi" w:hAnsiTheme="minorHAnsi" w:cstheme="minorBidi"/>
          <w:sz w:val="22"/>
          <w:szCs w:val="22"/>
        </w:rPr>
        <w:t>Sector</w:t>
      </w:r>
      <w:r w:rsidR="00A13DD5">
        <w:rPr>
          <w:rFonts w:asciiTheme="minorHAnsi" w:eastAsiaTheme="minorHAnsi" w:hAnsiTheme="minorHAnsi" w:cstheme="minorBidi"/>
          <w:sz w:val="22"/>
          <w:szCs w:val="22"/>
        </w:rPr>
        <w:t xml:space="preserve"> Studies</w:t>
      </w:r>
      <w:r>
        <w:rPr>
          <w:rFonts w:asciiTheme="minorHAnsi" w:eastAsiaTheme="minorHAnsi" w:hAnsiTheme="minorHAnsi" w:cstheme="minorBidi"/>
          <w:sz w:val="22"/>
          <w:szCs w:val="22"/>
        </w:rPr>
        <w:t xml:space="preserve"> Report)</w:t>
      </w:r>
      <w:r w:rsidRPr="00A3796D">
        <w:rPr>
          <w:rFonts w:asciiTheme="minorHAnsi" w:eastAsiaTheme="minorHAnsi" w:hAnsiTheme="minorHAnsi" w:cstheme="minorBidi"/>
          <w:sz w:val="22"/>
          <w:szCs w:val="22"/>
        </w:rPr>
        <w:t xml:space="preserve">. </w:t>
      </w:r>
    </w:p>
    <w:p w14:paraId="6D925510" w14:textId="77777777" w:rsidR="005C2626" w:rsidRPr="0002001C" w:rsidRDefault="005C2626" w:rsidP="005C2626">
      <w:pPr>
        <w:spacing w:after="160" w:line="259"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w:t>
      </w:r>
      <w:r w:rsidRPr="00CD2A61">
        <w:rPr>
          <w:rFonts w:asciiTheme="minorHAnsi" w:eastAsiaTheme="minorHAnsi" w:hAnsiTheme="minorHAnsi" w:cstheme="minorBidi"/>
          <w:i/>
          <w:iCs/>
          <w:sz w:val="22"/>
          <w:szCs w:val="22"/>
        </w:rPr>
        <w:t>When the most important reasons for the low number of female managers in all the sectors compared to the number of male managers were reported as the male-dominated culture in working life at 50.3%, the few female role models in the sector at 36.7% and long working hours at 27.6%</w:t>
      </w:r>
      <w:r>
        <w:rPr>
          <w:rFonts w:asciiTheme="minorHAnsi" w:eastAsiaTheme="minorHAnsi" w:hAnsiTheme="minorHAnsi" w:cstheme="minorBidi"/>
          <w:i/>
          <w:iCs/>
          <w:sz w:val="22"/>
          <w:szCs w:val="22"/>
        </w:rPr>
        <w:t>”</w:t>
      </w:r>
      <w:r w:rsidRPr="00CD2A61">
        <w:rPr>
          <w:rFonts w:asciiTheme="minorHAnsi" w:eastAsiaTheme="minorHAnsi" w:hAnsiTheme="minorHAnsi" w:cstheme="minorBidi"/>
          <w:i/>
          <w:iCs/>
          <w:sz w:val="22"/>
          <w:szCs w:val="22"/>
        </w:rPr>
        <w:t>.</w:t>
      </w:r>
      <w:r>
        <w:rPr>
          <w:rFonts w:asciiTheme="minorHAnsi" w:eastAsiaTheme="minorHAnsi" w:hAnsiTheme="minorHAnsi" w:cstheme="minorBidi"/>
          <w:sz w:val="22"/>
          <w:szCs w:val="22"/>
        </w:rPr>
        <w:t xml:space="preserve"> The main conclusion is that “</w:t>
      </w:r>
      <w:r w:rsidRPr="00CD2A61">
        <w:rPr>
          <w:rFonts w:asciiTheme="minorHAnsi" w:eastAsiaTheme="minorHAnsi" w:hAnsiTheme="minorHAnsi" w:cstheme="minorBidi"/>
          <w:i/>
          <w:iCs/>
          <w:sz w:val="22"/>
          <w:szCs w:val="22"/>
        </w:rPr>
        <w:t>In order to increase the number of female managers in the sector, it is necessary to increase nursery opportunities (46.4%), introduce role models (44.4%) and support postpartum part-time work opportunities (37.2%)”.(</w:t>
      </w:r>
      <w:r>
        <w:rPr>
          <w:rFonts w:asciiTheme="minorHAnsi" w:eastAsiaTheme="minorHAnsi" w:hAnsiTheme="minorHAnsi" w:cstheme="minorBidi"/>
          <w:sz w:val="22"/>
          <w:szCs w:val="22"/>
        </w:rPr>
        <w:t>p. 157 Sectors Report)</w:t>
      </w:r>
    </w:p>
    <w:p w14:paraId="21D62D51"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recommendations</w:t>
      </w:r>
      <w:r w:rsidRPr="00DB0C40">
        <w:rPr>
          <w:rFonts w:asciiTheme="minorHAnsi" w:eastAsiaTheme="minorHAnsi" w:hAnsiTheme="minorHAnsi" w:cstheme="minorBidi"/>
          <w:sz w:val="22"/>
          <w:szCs w:val="22"/>
        </w:rPr>
        <w:t xml:space="preserve"> are:</w:t>
      </w:r>
    </w:p>
    <w:p w14:paraId="3095427C"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Provide clarity on the rights of the mothers and breastfeeding mothers with regard to the qualifying period for nursing breaks and/or the reduction of daily hours of work permissible, including their number, the duration of nursing breaks and the procedures for the reduction of daily hours of work. And to ensure that nursing breaks and the reduction of daily hours of work are counted as working time and remunerated accordingly.</w:t>
      </w:r>
    </w:p>
    <w:p w14:paraId="69246284" w14:textId="77777777" w:rsidR="005C2626" w:rsidRDefault="005C2626" w:rsidP="005C2626">
      <w:pPr>
        <w:spacing w:after="160" w:line="259" w:lineRule="auto"/>
        <w:jc w:val="both"/>
        <w:rPr>
          <w:rFonts w:asciiTheme="minorHAnsi" w:eastAsiaTheme="minorHAnsi" w:hAnsiTheme="minorHAnsi" w:cstheme="minorBidi"/>
          <w:sz w:val="22"/>
          <w:szCs w:val="22"/>
        </w:rPr>
      </w:pPr>
    </w:p>
    <w:p w14:paraId="33E44921"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Stakeholders during the Post-Study Workshop stated that there was a problem in the actual implementation of the nursery obligation for those enterprises with more than 150 women employees. It imposed a real burden on the employers and most of the time the number of children who benefited from this service was significantly lower than expected. Instead, childcare payments could be made to parents who have children below age 6, and the government and employers could share this payment. SGK implemented a research project to provide support to the parents for childcare, the results of the project could be considered in formulating the relevant provisions of the law. Another important consideration posited was that employers could make a special agreement with the nurseries to pay for the children of their employees and this payment could be repaid to them by the government as a support to facilitate women's employment.</w:t>
      </w:r>
    </w:p>
    <w:p w14:paraId="57D65566" w14:textId="77777777" w:rsidR="005C2626"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Review the effectiveness of the policy requiring establishments with over 150 employees to provide nurseries, taking into account the full workforce and not only the women within it.</w:t>
      </w:r>
    </w:p>
    <w:p w14:paraId="5496FECC" w14:textId="77777777" w:rsidR="005C2626" w:rsidRPr="00CD2A61" w:rsidRDefault="005C2626" w:rsidP="005C2626">
      <w:pPr>
        <w:spacing w:after="160" w:line="259" w:lineRule="auto"/>
        <w:ind w:left="720"/>
        <w:contextualSpacing/>
        <w:jc w:val="both"/>
        <w:rPr>
          <w:rFonts w:asciiTheme="minorHAnsi" w:eastAsiaTheme="minorHAnsi" w:hAnsiTheme="minorHAnsi" w:cstheme="minorBidi"/>
          <w:sz w:val="22"/>
          <w:szCs w:val="22"/>
        </w:rPr>
      </w:pPr>
    </w:p>
    <w:p w14:paraId="3FB9C2A8" w14:textId="7A93962C"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This is a recommendation from stakeholders during the Pre-Study Workshop. According to the Field Study respondents (which targeted small and medium-sized companies), government might provide different modes of support to those establishments having more than 150 employees to fulfil their responsibilities. </w:t>
      </w:r>
      <w:r w:rsidRPr="00CD2A61">
        <w:rPr>
          <w:rFonts w:asciiTheme="minorHAnsi" w:eastAsiaTheme="minorHAnsi" w:hAnsiTheme="minorHAnsi" w:cstheme="minorBidi"/>
          <w:sz w:val="22"/>
          <w:szCs w:val="22"/>
        </w:rPr>
        <w:t>78.8.%</w:t>
      </w:r>
      <w:r w:rsidRPr="00DB0C40">
        <w:rPr>
          <w:rFonts w:asciiTheme="minorHAnsi" w:eastAsiaTheme="minorHAnsi" w:hAnsiTheme="minorHAnsi" w:cstheme="minorBidi"/>
          <w:sz w:val="22"/>
          <w:szCs w:val="22"/>
        </w:rPr>
        <w:t xml:space="preserve"> of employees in the survey stated that they had benefited from workplace creche and breastfeeding rooms. This </w:t>
      </w:r>
      <w:r w:rsidRPr="00DB0C40">
        <w:rPr>
          <w:rFonts w:asciiTheme="minorHAnsi" w:eastAsiaTheme="minorHAnsi" w:hAnsiTheme="minorHAnsi" w:cstheme="minorBidi"/>
          <w:sz w:val="22"/>
          <w:szCs w:val="22"/>
        </w:rPr>
        <w:lastRenderedPageBreak/>
        <w:t xml:space="preserve">suggests a fairly minimal implementation of this provision in practice since most women are not employed in larger companies with 150 or more women employees but in small and medium-sized companies. </w:t>
      </w:r>
    </w:p>
    <w:p w14:paraId="546D8C1C" w14:textId="66840752" w:rsidR="005C2626" w:rsidRPr="00CD2A61" w:rsidRDefault="005C2626" w:rsidP="005C2626">
      <w:pPr>
        <w:spacing w:after="160" w:line="259" w:lineRule="auto"/>
        <w:jc w:val="both"/>
        <w:rPr>
          <w:rFonts w:asciiTheme="majorHAnsi" w:eastAsiaTheme="majorEastAsia" w:hAnsiTheme="majorHAnsi" w:cstheme="majorBidi"/>
          <w:color w:val="1F3763" w:themeColor="accent1" w:themeShade="7F"/>
        </w:rPr>
      </w:pPr>
      <w:bookmarkStart w:id="41" w:name="_Hlk107140821"/>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.2.3.  Work after Maternity Leave</w:t>
      </w:r>
    </w:p>
    <w:bookmarkEnd w:id="41"/>
    <w:p w14:paraId="09A4E94A" w14:textId="248A47BA"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According to participants in the Pre-Study Workshop, different weekly working hours for women returning from maternity leave should be considered, taking into account the number of children, with the eligibility period for part-time work increased 6 months per child.</w:t>
      </w:r>
    </w:p>
    <w:p w14:paraId="16966A91" w14:textId="6C9A9B50"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In the Field Study, the right to part-time work after maternity leave was among the least effectively applied provisions of the Law, with only 17.9% considering it to be beneficial (p.34). Also in the Field Study, 86% of respondents (employees) stated that ‘government should make some payments during the period of unpaid maternity leave. </w:t>
      </w:r>
    </w:p>
    <w:p w14:paraId="2382F65F"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the open-ended questions</w:t>
      </w:r>
      <w:r w:rsidRPr="00DB0C40">
        <w:rPr>
          <w:rFonts w:asciiTheme="minorHAnsi" w:eastAsiaTheme="minorHAnsi" w:hAnsiTheme="minorHAnsi" w:cstheme="minorBidi"/>
          <w:b/>
          <w:sz w:val="22"/>
          <w:szCs w:val="22"/>
        </w:rPr>
        <w:t xml:space="preserve"> </w:t>
      </w:r>
      <w:r w:rsidRPr="00DB0C40">
        <w:rPr>
          <w:rFonts w:asciiTheme="minorHAnsi" w:eastAsiaTheme="minorHAnsi" w:hAnsiTheme="minorHAnsi" w:cstheme="minorBidi"/>
          <w:sz w:val="22"/>
          <w:szCs w:val="22"/>
        </w:rPr>
        <w:t xml:space="preserve">some respondents in the employee survey commented that after maternity leave, they did not use the breastfeeding leaves efficiently due to their heavy working conditions. </w:t>
      </w:r>
    </w:p>
    <w:p w14:paraId="72326F1A" w14:textId="60984F06"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the results of the employee survey, the right to part-time work after maternity leave or unpaid leave upon request (32.8%) was one of the least implemented provisions in their working place. Regarding the provisions from which respondents had benefited related to maternity leave: the right to part-time work after maternity leave or unpaid leave upon request was the least used one with 16.4%. Respondents commented that they hesitated to ask for part-time work after maternity and unpaid leave for fear of losing their jobs. </w:t>
      </w:r>
    </w:p>
    <w:p w14:paraId="13DD3B6C"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w:t>
      </w:r>
      <w:r w:rsidRPr="00DB0C40">
        <w:rPr>
          <w:rFonts w:asciiTheme="minorHAnsi" w:eastAsiaTheme="minorHAnsi" w:hAnsiTheme="minorHAnsi" w:cstheme="minorBidi"/>
          <w:sz w:val="22"/>
          <w:szCs w:val="22"/>
        </w:rPr>
        <w:t xml:space="preserve"> is:</w:t>
      </w:r>
    </w:p>
    <w:p w14:paraId="293D6531"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Provide the possibility to negotiate for flexible working arrangements after maternity leave.</w:t>
      </w:r>
    </w:p>
    <w:p w14:paraId="335FE32A"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Stakeholders during the Post-Study Workshop stated that flexible/part-time working after maternity leave was included in the Labour Law with the 2016 amendment, but the duration needed to be extended. Additionally, all arrangements in this context should be independent of the number of children and the duration of part-time work should be more for employees having a disabled child. </w:t>
      </w:r>
    </w:p>
    <w:p w14:paraId="009A9E59" w14:textId="612D070D" w:rsidR="005C2626" w:rsidRPr="00CD2A61" w:rsidRDefault="005C2626" w:rsidP="005C2626">
      <w:pPr>
        <w:spacing w:after="160" w:line="259" w:lineRule="auto"/>
        <w:jc w:val="both"/>
        <w:rPr>
          <w:rFonts w:asciiTheme="majorHAnsi" w:eastAsiaTheme="majorEastAsia" w:hAnsiTheme="majorHAnsi" w:cstheme="majorBidi"/>
          <w:color w:val="1F3763" w:themeColor="accent1" w:themeShade="7F"/>
        </w:rPr>
      </w:pPr>
      <w:bookmarkStart w:id="42" w:name="_Hlk118276486"/>
      <w:r w:rsidRPr="00CD2A61">
        <w:rPr>
          <w:rFonts w:asciiTheme="majorHAnsi" w:eastAsiaTheme="majorEastAsia" w:hAnsiTheme="majorHAnsi" w:cstheme="majorBidi"/>
          <w:color w:val="1F3763" w:themeColor="accent1" w:themeShade="7F"/>
        </w:rPr>
        <w:t xml:space="preserve"> </w:t>
      </w:r>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.2.4.   Equal Pay</w:t>
      </w:r>
    </w:p>
    <w:bookmarkEnd w:id="42"/>
    <w:p w14:paraId="46B978E0" w14:textId="439D9155" w:rsidR="005C2626"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 On the evaluation of the Gender pay in Türkiye, it seems that continued disparities between the wages of women and men underline the importance of equal pay provisions in legislation. Experience has shown that “equal pay for the same work” provides only limited protection as men and women generally do different types of work and female-dominated work is generally undervalued. Current efforts (and international agreements) thus focus on equal pay for work of equal value.</w:t>
      </w:r>
      <w:r>
        <w:rPr>
          <w:rFonts w:asciiTheme="minorHAnsi" w:eastAsiaTheme="minorHAnsi" w:hAnsiTheme="minorHAnsi" w:cstheme="minorBidi"/>
          <w:sz w:val="22"/>
          <w:szCs w:val="22"/>
        </w:rPr>
        <w:t xml:space="preserve"> </w:t>
      </w:r>
    </w:p>
    <w:p w14:paraId="545EFA39" w14:textId="2A575B77" w:rsidR="005C2626" w:rsidRPr="00CD2A61" w:rsidRDefault="00A13DD5" w:rsidP="005C2626">
      <w:pPr>
        <w:spacing w:after="160" w:line="259" w:lineRule="auto"/>
        <w:jc w:val="both"/>
        <w:rPr>
          <w:rFonts w:asciiTheme="minorHAnsi" w:eastAsiaTheme="minorHAnsi" w:hAnsiTheme="minorHAnsi" w:cstheme="minorBidi"/>
          <w:i/>
          <w:iCs/>
          <w:sz w:val="22"/>
          <w:szCs w:val="22"/>
        </w:rPr>
      </w:pPr>
      <w:r>
        <w:rPr>
          <w:rFonts w:asciiTheme="minorHAnsi" w:eastAsiaTheme="minorHAnsi" w:hAnsiTheme="minorHAnsi" w:cstheme="minorBidi"/>
          <w:sz w:val="22"/>
          <w:szCs w:val="22"/>
        </w:rPr>
        <w:t xml:space="preserve">Among </w:t>
      </w:r>
      <w:r w:rsidR="005C2626">
        <w:rPr>
          <w:rFonts w:asciiTheme="minorHAnsi" w:eastAsiaTheme="minorHAnsi" w:hAnsiTheme="minorHAnsi" w:cstheme="minorBidi"/>
          <w:sz w:val="22"/>
          <w:szCs w:val="22"/>
        </w:rPr>
        <w:t>the main recommendations of the Sector</w:t>
      </w:r>
      <w:r>
        <w:rPr>
          <w:rFonts w:asciiTheme="minorHAnsi" w:eastAsiaTheme="minorHAnsi" w:hAnsiTheme="minorHAnsi" w:cstheme="minorBidi"/>
          <w:sz w:val="22"/>
          <w:szCs w:val="22"/>
        </w:rPr>
        <w:t xml:space="preserve"> Studies</w:t>
      </w:r>
      <w:r w:rsidR="005C2626">
        <w:rPr>
          <w:rFonts w:asciiTheme="minorHAnsi" w:eastAsiaTheme="minorHAnsi" w:hAnsiTheme="minorHAnsi" w:cstheme="minorBidi"/>
          <w:sz w:val="22"/>
          <w:szCs w:val="22"/>
        </w:rPr>
        <w:t xml:space="preserve"> Report, it is mentioned that “</w:t>
      </w:r>
      <w:r w:rsidR="005C2626" w:rsidRPr="00CD2A61">
        <w:rPr>
          <w:rFonts w:asciiTheme="minorHAnsi" w:eastAsiaTheme="minorHAnsi" w:hAnsiTheme="minorHAnsi" w:cstheme="minorBidi"/>
          <w:i/>
          <w:iCs/>
          <w:sz w:val="22"/>
          <w:szCs w:val="22"/>
        </w:rPr>
        <w:t>the issue of “gender pay gap” should continue to be addressed</w:t>
      </w:r>
      <w:r w:rsidR="005C2626">
        <w:rPr>
          <w:rFonts w:asciiTheme="minorHAnsi" w:eastAsiaTheme="minorHAnsi" w:hAnsiTheme="minorHAnsi" w:cstheme="minorBidi"/>
          <w:i/>
          <w:iCs/>
          <w:sz w:val="22"/>
          <w:szCs w:val="22"/>
        </w:rPr>
        <w:t>”</w:t>
      </w:r>
      <w:r w:rsidR="005C2626" w:rsidRPr="00CD2A61">
        <w:rPr>
          <w:rFonts w:asciiTheme="minorHAnsi" w:eastAsiaTheme="minorHAnsi" w:hAnsiTheme="minorHAnsi" w:cstheme="minorBidi"/>
          <w:i/>
          <w:iCs/>
          <w:sz w:val="22"/>
          <w:szCs w:val="22"/>
        </w:rPr>
        <w:t>.</w:t>
      </w:r>
    </w:p>
    <w:p w14:paraId="5AB241A2"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main benefits of closing the gender pay gap are:</w:t>
      </w:r>
    </w:p>
    <w:p w14:paraId="038CD765" w14:textId="77777777" w:rsidR="005C2626" w:rsidRPr="00DB0C40" w:rsidRDefault="005C2626" w:rsidP="005C2626">
      <w:pPr>
        <w:numPr>
          <w:ilvl w:val="0"/>
          <w:numId w:val="34"/>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The benefits of women earning the same as men include an increase in their purchasing power which in turn helps stimulate consumer spending and the economy. This is also the case with more contributions to pension schemes and spending of pension incomes.</w:t>
      </w:r>
    </w:p>
    <w:p w14:paraId="4D2FF49D" w14:textId="77777777" w:rsidR="005C2626" w:rsidRPr="00DB0C40" w:rsidRDefault="005C2626" w:rsidP="005C2626">
      <w:pPr>
        <w:numPr>
          <w:ilvl w:val="0"/>
          <w:numId w:val="34"/>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Eliminating the gender pay gap can provide incentives for more women to be economically active, which would advance gender equality and create a virtuous circle.</w:t>
      </w:r>
    </w:p>
    <w:p w14:paraId="5BCF21FC" w14:textId="77777777" w:rsidR="00A13DD5" w:rsidRDefault="00A13DD5" w:rsidP="005C2626">
      <w:pPr>
        <w:spacing w:after="160" w:line="259" w:lineRule="auto"/>
        <w:jc w:val="both"/>
        <w:rPr>
          <w:rFonts w:asciiTheme="minorHAnsi" w:eastAsiaTheme="minorHAnsi" w:hAnsiTheme="minorHAnsi" w:cstheme="minorBidi"/>
          <w:sz w:val="22"/>
          <w:szCs w:val="22"/>
        </w:rPr>
      </w:pPr>
    </w:p>
    <w:p w14:paraId="43C80A58" w14:textId="4877E06D"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In the </w:t>
      </w:r>
      <w:r w:rsidR="00C862A7">
        <w:rPr>
          <w:rFonts w:asciiTheme="minorHAnsi" w:eastAsiaTheme="minorHAnsi" w:hAnsiTheme="minorHAnsi" w:cstheme="minorBidi"/>
          <w:sz w:val="22"/>
          <w:szCs w:val="22"/>
        </w:rPr>
        <w:t>f</w:t>
      </w:r>
      <w:r w:rsidRPr="00DB0C40">
        <w:rPr>
          <w:rFonts w:asciiTheme="minorHAnsi" w:eastAsiaTheme="minorHAnsi" w:hAnsiTheme="minorHAnsi" w:cstheme="minorBidi"/>
          <w:sz w:val="22"/>
          <w:szCs w:val="22"/>
        </w:rPr>
        <w:t xml:space="preserve">ield </w:t>
      </w:r>
      <w:r w:rsidR="00C862A7">
        <w:rPr>
          <w:rFonts w:asciiTheme="minorHAnsi" w:eastAsiaTheme="minorHAnsi" w:hAnsiTheme="minorHAnsi" w:cstheme="minorBidi"/>
          <w:sz w:val="22"/>
          <w:szCs w:val="22"/>
        </w:rPr>
        <w:t>s</w:t>
      </w:r>
      <w:r w:rsidRPr="00DB0C40">
        <w:rPr>
          <w:rFonts w:asciiTheme="minorHAnsi" w:eastAsiaTheme="minorHAnsi" w:hAnsiTheme="minorHAnsi" w:cstheme="minorBidi"/>
          <w:sz w:val="22"/>
          <w:szCs w:val="22"/>
        </w:rPr>
        <w:t>tudy, employees and employers were asked to make an assessment about whether women had equal wages, career, and vocational training opportunities with male employees. In the employee survey, 40% of respondents in the employer survey and 25% of respondents in the employee survey mentioned that there is a gap between men and women in terms of wage and career opportunities in their workplaces.</w:t>
      </w:r>
    </w:p>
    <w:p w14:paraId="6C41AD9B"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w:t>
      </w:r>
      <w:r w:rsidRPr="00DB0C40">
        <w:rPr>
          <w:rFonts w:asciiTheme="minorHAnsi" w:eastAsiaTheme="minorHAnsi" w:hAnsiTheme="minorHAnsi" w:cstheme="minorBidi"/>
          <w:sz w:val="22"/>
          <w:szCs w:val="22"/>
        </w:rPr>
        <w:t xml:space="preserve"> is: </w:t>
      </w:r>
    </w:p>
    <w:p w14:paraId="2EADF2C5" w14:textId="77777777" w:rsidR="005C2626" w:rsidRPr="00DB0C40" w:rsidRDefault="005C2626" w:rsidP="005C2626">
      <w:pPr>
        <w:numPr>
          <w:ilvl w:val="0"/>
          <w:numId w:val="33"/>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Conduct a transparent gender-based pay gap review among public and private structures to assess whether gender pay gap exists and to what extent, and to repeat the exercise on an annual/bi-annual basis.</w:t>
      </w:r>
    </w:p>
    <w:p w14:paraId="624732ED" w14:textId="77777777" w:rsidR="005C2626" w:rsidRPr="00DB0C40" w:rsidRDefault="005C2626" w:rsidP="005C2626">
      <w:pPr>
        <w:spacing w:after="160" w:line="259" w:lineRule="auto"/>
        <w:jc w:val="both"/>
        <w:rPr>
          <w:rFonts w:asciiTheme="minorHAnsi" w:eastAsiaTheme="minorHAnsi" w:hAnsiTheme="minorHAnsi" w:cstheme="minorBidi"/>
          <w:b/>
          <w:bCs/>
          <w:i/>
          <w:iCs/>
          <w:sz w:val="22"/>
          <w:szCs w:val="22"/>
        </w:rPr>
      </w:pPr>
      <w:r w:rsidRPr="00DB0C40">
        <w:rPr>
          <w:rFonts w:asciiTheme="minorHAnsi" w:eastAsiaTheme="minorHAnsi" w:hAnsiTheme="minorHAnsi" w:cstheme="minorBidi"/>
          <w:sz w:val="22"/>
          <w:szCs w:val="22"/>
        </w:rPr>
        <w:t xml:space="preserve">The main reference for this recommendation is related to the Article 2 of the ILO Convention No. 100: Equal Remuneration Convention (1951), that established that: </w:t>
      </w:r>
    </w:p>
    <w:p w14:paraId="60799340" w14:textId="77777777" w:rsidR="005C2626" w:rsidRPr="00DB0C40" w:rsidRDefault="005C2626" w:rsidP="005C2626">
      <w:pPr>
        <w:numPr>
          <w:ilvl w:val="0"/>
          <w:numId w:val="31"/>
        </w:numPr>
        <w:spacing w:after="160" w:line="259" w:lineRule="auto"/>
        <w:jc w:val="both"/>
        <w:rPr>
          <w:rFonts w:asciiTheme="minorHAnsi" w:eastAsiaTheme="minorHAnsi" w:hAnsiTheme="minorHAnsi" w:cstheme="minorBidi"/>
          <w:sz w:val="22"/>
          <w:szCs w:val="22"/>
        </w:rPr>
      </w:pPr>
      <w:bookmarkStart w:id="43" w:name="A2P1"/>
      <w:bookmarkEnd w:id="43"/>
      <w:r w:rsidRPr="00DB0C40">
        <w:rPr>
          <w:rFonts w:asciiTheme="minorHAnsi" w:eastAsiaTheme="minorHAnsi" w:hAnsiTheme="minorHAnsi" w:cstheme="minorBidi"/>
          <w:sz w:val="22"/>
          <w:szCs w:val="22"/>
        </w:rPr>
        <w:t>Each Member shall, by means appropriate to the methods in operation for determining rates of remuneration, promote and, in so far as is consistent with such methods, ensure the application to all workers of the principle of equal remuneration for men and women workers for work of equal value.</w:t>
      </w:r>
    </w:p>
    <w:p w14:paraId="3312E055" w14:textId="4D635A7B" w:rsidR="005C2626" w:rsidRPr="00DB0C40" w:rsidRDefault="005C2626" w:rsidP="005C2626">
      <w:pPr>
        <w:spacing w:after="160" w:line="259" w:lineRule="auto"/>
        <w:jc w:val="both"/>
        <w:rPr>
          <w:rFonts w:asciiTheme="minorHAnsi" w:eastAsiaTheme="minorHAnsi" w:hAnsiTheme="minorHAnsi" w:cstheme="minorBidi"/>
          <w:b/>
          <w:sz w:val="22"/>
          <w:szCs w:val="22"/>
        </w:rPr>
      </w:pPr>
      <w:bookmarkStart w:id="44" w:name="_Hlk118276501"/>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 xml:space="preserve">.2.5. </w:t>
      </w:r>
      <w:bookmarkStart w:id="45" w:name="_Hlk107140907"/>
      <w:r w:rsidRPr="00CD2A61">
        <w:rPr>
          <w:rFonts w:asciiTheme="majorHAnsi" w:eastAsiaTheme="majorEastAsia" w:hAnsiTheme="majorHAnsi" w:cstheme="majorBidi"/>
          <w:color w:val="1F3763" w:themeColor="accent1" w:themeShade="7F"/>
        </w:rPr>
        <w:t xml:space="preserve">Care </w:t>
      </w:r>
      <w:bookmarkEnd w:id="45"/>
      <w:r w:rsidR="008361AC">
        <w:rPr>
          <w:rFonts w:asciiTheme="majorHAnsi" w:eastAsiaTheme="majorEastAsia" w:hAnsiTheme="majorHAnsi" w:cstheme="majorBidi"/>
          <w:color w:val="1F3763" w:themeColor="accent1" w:themeShade="7F"/>
        </w:rPr>
        <w:t>Obl</w:t>
      </w:r>
      <w:r w:rsidR="003C511F">
        <w:rPr>
          <w:rFonts w:asciiTheme="majorHAnsi" w:eastAsiaTheme="majorEastAsia" w:hAnsiTheme="majorHAnsi" w:cstheme="majorBidi"/>
          <w:color w:val="1F3763" w:themeColor="accent1" w:themeShade="7F"/>
        </w:rPr>
        <w:t>igation</w:t>
      </w:r>
    </w:p>
    <w:bookmarkEnd w:id="44"/>
    <w:p w14:paraId="7634EDCC"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With longer life expectancies and the challenges posed by the COVID-19 pandemic, the demand for long-term care services for older persons and PwDs has been rising steeply. In-home, community and residential care services provide a spectrum of long-term care solutions, but legal frameworks and service supply seem to remain insufficient and inadequate (not only in Türkiye but globally). This can have a detrimental effect on women’s employment opportunities, but also on individual’s income security, health and wellbeing. The cost of care provision can be prohibitively high for lower earners, and therefore present a major barrier to employment, especially for women who are traditionally seen as the primary provider of care within families. </w:t>
      </w:r>
    </w:p>
    <w:p w14:paraId="6793B1E7" w14:textId="3AD988D3" w:rsidR="005C2626"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According to participants in the Pre-Study Workshop, care work provisions might cover the care for the elderly, patients, and disabled in addition to childcare. 82.4% of the employee survey respondents indicated that elderly and patient care facilities should be also covered by the law. </w:t>
      </w:r>
    </w:p>
    <w:p w14:paraId="281CE26E" w14:textId="5692D962" w:rsidR="005C2626" w:rsidRPr="00CD2A61" w:rsidRDefault="005C2626" w:rsidP="005C2626">
      <w:pPr>
        <w:spacing w:after="160" w:line="259" w:lineRule="auto"/>
        <w:jc w:val="both"/>
        <w:rPr>
          <w:rFonts w:asciiTheme="minorHAnsi" w:eastAsiaTheme="minorHAnsi" w:hAnsiTheme="minorHAnsi" w:cstheme="minorBidi"/>
          <w:i/>
          <w:iCs/>
          <w:sz w:val="22"/>
          <w:szCs w:val="22"/>
        </w:rPr>
      </w:pPr>
      <w:r w:rsidRPr="004B2FB8">
        <w:rPr>
          <w:rFonts w:asciiTheme="minorHAnsi" w:eastAsiaTheme="minorHAnsi" w:hAnsiTheme="minorHAnsi" w:cstheme="minorBidi"/>
          <w:sz w:val="22"/>
          <w:szCs w:val="22"/>
        </w:rPr>
        <w:t>One of the main recommendation</w:t>
      </w:r>
      <w:r>
        <w:rPr>
          <w:rFonts w:asciiTheme="minorHAnsi" w:eastAsiaTheme="minorHAnsi" w:hAnsiTheme="minorHAnsi" w:cstheme="minorBidi"/>
          <w:sz w:val="22"/>
          <w:szCs w:val="22"/>
        </w:rPr>
        <w:t>s</w:t>
      </w:r>
      <w:r w:rsidRPr="004B2FB8">
        <w:rPr>
          <w:rFonts w:asciiTheme="minorHAnsi" w:eastAsiaTheme="minorHAnsi" w:hAnsiTheme="minorHAnsi" w:cstheme="minorBidi"/>
          <w:sz w:val="22"/>
          <w:szCs w:val="22"/>
        </w:rPr>
        <w:t xml:space="preserve"> of th</w:t>
      </w:r>
      <w:r>
        <w:rPr>
          <w:rFonts w:asciiTheme="minorHAnsi" w:eastAsiaTheme="minorHAnsi" w:hAnsiTheme="minorHAnsi" w:cstheme="minorBidi"/>
          <w:sz w:val="22"/>
          <w:szCs w:val="22"/>
        </w:rPr>
        <w:t>e Sector</w:t>
      </w:r>
      <w:r w:rsidRPr="004B2FB8">
        <w:rPr>
          <w:rFonts w:asciiTheme="minorHAnsi" w:eastAsiaTheme="minorHAnsi" w:hAnsiTheme="minorHAnsi" w:cstheme="minorBidi"/>
          <w:sz w:val="22"/>
          <w:szCs w:val="22"/>
        </w:rPr>
        <w:t xml:space="preserve"> Report is to “</w:t>
      </w:r>
      <w:r w:rsidRPr="00CD2A61">
        <w:rPr>
          <w:rFonts w:asciiTheme="minorHAnsi" w:eastAsiaTheme="minorHAnsi" w:hAnsiTheme="minorHAnsi" w:cstheme="minorBidi"/>
          <w:i/>
          <w:iCs/>
          <w:sz w:val="22"/>
          <w:szCs w:val="22"/>
        </w:rPr>
        <w:t>Increase the care services that will facilitate the participation of working women in digital transformation and to facilitate the use of these services by women.</w:t>
      </w:r>
      <w:r>
        <w:rPr>
          <w:rFonts w:asciiTheme="minorHAnsi" w:eastAsiaTheme="minorHAnsi" w:hAnsiTheme="minorHAnsi" w:cstheme="minorBidi"/>
          <w:i/>
          <w:iCs/>
          <w:sz w:val="22"/>
          <w:szCs w:val="22"/>
        </w:rPr>
        <w:t>” (p. 168 Sectors Report)</w:t>
      </w:r>
    </w:p>
    <w:p w14:paraId="772764EF"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w:t>
      </w:r>
      <w:r w:rsidRPr="00DB0C40">
        <w:rPr>
          <w:rFonts w:asciiTheme="minorHAnsi" w:eastAsiaTheme="minorHAnsi" w:hAnsiTheme="minorHAnsi" w:cstheme="minorBidi"/>
          <w:sz w:val="22"/>
          <w:szCs w:val="22"/>
        </w:rPr>
        <w:t xml:space="preserve"> is:</w:t>
      </w:r>
    </w:p>
    <w:p w14:paraId="3D580FE6" w14:textId="5F70F251" w:rsidR="005C2626" w:rsidRPr="00DB0C40" w:rsidRDefault="005C2626" w:rsidP="005C2626">
      <w:pPr>
        <w:spacing w:after="160" w:line="259" w:lineRule="auto"/>
        <w:ind w:left="720"/>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14. Develop approaches to progressively achieve universal access to transformative and nationally-designed care policy packages that include a combination of time (leave), benefits (income security), services, and the right to care and be cared for. And to establish a statutory universal and free (or substantially subsidised) long-term care policy and service.</w:t>
      </w:r>
    </w:p>
    <w:p w14:paraId="7666B3C2" w14:textId="638C2064" w:rsidR="005C2626" w:rsidRPr="00DB0C40" w:rsidRDefault="005C2626" w:rsidP="005C2626">
      <w:pPr>
        <w:spacing w:after="160" w:line="259" w:lineRule="auto"/>
        <w:jc w:val="both"/>
        <w:rPr>
          <w:rFonts w:asciiTheme="minorHAnsi" w:eastAsiaTheme="minorHAnsi" w:hAnsiTheme="minorHAnsi" w:cstheme="minorBidi"/>
          <w:b/>
          <w:sz w:val="22"/>
          <w:szCs w:val="22"/>
        </w:rPr>
      </w:pPr>
      <w:bookmarkStart w:id="46" w:name="_Hlk107140955"/>
      <w:r w:rsidRPr="00DB0C40">
        <w:rPr>
          <w:rFonts w:asciiTheme="minorHAnsi" w:eastAsiaTheme="minorHAnsi" w:hAnsiTheme="minorHAnsi" w:cstheme="minorBidi"/>
          <w:sz w:val="22"/>
          <w:szCs w:val="22"/>
        </w:rPr>
        <w:t xml:space="preserve"> </w:t>
      </w:r>
      <w:bookmarkStart w:id="47" w:name="_Hlk118276514"/>
      <w:r>
        <w:rPr>
          <w:rFonts w:asciiTheme="majorHAnsi" w:eastAsiaTheme="majorEastAsia" w:hAnsiTheme="majorHAnsi" w:cstheme="majorBidi"/>
          <w:color w:val="1F3763" w:themeColor="accent1" w:themeShade="7F"/>
        </w:rPr>
        <w:t>3</w:t>
      </w:r>
      <w:r w:rsidR="00314E6B">
        <w:rPr>
          <w:rFonts w:asciiTheme="majorHAnsi" w:eastAsiaTheme="majorEastAsia" w:hAnsiTheme="majorHAnsi" w:cstheme="majorBidi"/>
          <w:color w:val="1F3763" w:themeColor="accent1" w:themeShade="7F"/>
        </w:rPr>
        <w:t xml:space="preserve">.2.6. </w:t>
      </w:r>
      <w:r w:rsidRPr="00CD2A61">
        <w:rPr>
          <w:rFonts w:asciiTheme="majorHAnsi" w:eastAsiaTheme="majorEastAsia" w:hAnsiTheme="majorHAnsi" w:cstheme="majorBidi"/>
          <w:color w:val="1F3763" w:themeColor="accent1" w:themeShade="7F"/>
        </w:rPr>
        <w:t>Care Incentives for Persons not Covered by the Existing Law</w:t>
      </w:r>
    </w:p>
    <w:bookmarkEnd w:id="46"/>
    <w:bookmarkEnd w:id="47"/>
    <w:p w14:paraId="5D0B0512" w14:textId="5BA524E2"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In the Pre-Study Workshop, one suggestion was that care incentives might be extended to include those groups which are not covered by the existing law including platform workers, atypical workers, freelancers etc. </w:t>
      </w:r>
    </w:p>
    <w:p w14:paraId="0ACE7D73"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development of digital technologies and new business models has contributed to the rise of online platforms and the emergence of platform-mediated work, such as “crowd work”, “gig work”, and other forms of on-demand labour. Most of such work is carried out as some form of non-standard employment or self-employment, and in particular by own-account workers, who also need care incentives.</w:t>
      </w:r>
    </w:p>
    <w:p w14:paraId="2EAF6C8F"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The main recommendation is:</w:t>
      </w:r>
    </w:p>
    <w:p w14:paraId="1AE4843E" w14:textId="77777777" w:rsidR="005C2626" w:rsidRPr="00DB0C40" w:rsidRDefault="005C2626" w:rsidP="005C2626">
      <w:pPr>
        <w:numPr>
          <w:ilvl w:val="0"/>
          <w:numId w:val="35"/>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Review labour standards legislation affecting part-time and temporary workers, platform workers, and particularly domestic and care workers (where women predominate) with a view to improving terms and conditions of employment including rights to social benefits, including also Care incentives for them.  </w:t>
      </w:r>
    </w:p>
    <w:p w14:paraId="4BB1ED47" w14:textId="77777777" w:rsidR="005C2626" w:rsidRDefault="005C2626" w:rsidP="005C2626">
      <w:pPr>
        <w:spacing w:after="160" w:line="259" w:lineRule="auto"/>
        <w:jc w:val="both"/>
        <w:rPr>
          <w:rFonts w:asciiTheme="minorHAnsi" w:eastAsiaTheme="minorHAnsi" w:hAnsiTheme="minorHAnsi" w:cstheme="minorBidi"/>
          <w:sz w:val="22"/>
          <w:szCs w:val="22"/>
        </w:rPr>
      </w:pPr>
    </w:p>
    <w:p w14:paraId="03E8A3D3"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Related to this Recommendation, stakeholders in the Post-Study Workshop stated that: </w:t>
      </w:r>
    </w:p>
    <w:p w14:paraId="0EE17FC4" w14:textId="557110A9" w:rsidR="005C2626" w:rsidRPr="00DB0C40" w:rsidRDefault="005C2626" w:rsidP="005C2626">
      <w:pPr>
        <w:numPr>
          <w:ilvl w:val="0"/>
          <w:numId w:val="2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It is important to make a consideration of </w:t>
      </w:r>
      <w:r w:rsidR="00C862A7">
        <w:rPr>
          <w:rFonts w:asciiTheme="minorHAnsi" w:eastAsiaTheme="minorHAnsi" w:hAnsiTheme="minorHAnsi" w:cstheme="minorBidi"/>
          <w:sz w:val="22"/>
          <w:szCs w:val="22"/>
        </w:rPr>
        <w:t>i</w:t>
      </w:r>
      <w:r w:rsidRPr="00DB0C40">
        <w:rPr>
          <w:rFonts w:asciiTheme="minorHAnsi" w:eastAsiaTheme="minorHAnsi" w:hAnsiTheme="minorHAnsi" w:cstheme="minorBidi"/>
          <w:sz w:val="22"/>
          <w:szCs w:val="22"/>
        </w:rPr>
        <w:t>nformal workers, particularly in some sectors (</w:t>
      </w:r>
      <w:r w:rsidR="00C862A7">
        <w:rPr>
          <w:rFonts w:asciiTheme="minorHAnsi" w:eastAsiaTheme="minorHAnsi" w:hAnsiTheme="minorHAnsi" w:cstheme="minorBidi"/>
          <w:sz w:val="22"/>
          <w:szCs w:val="22"/>
        </w:rPr>
        <w:t>e.g. g</w:t>
      </w:r>
      <w:r w:rsidRPr="00DB0C40">
        <w:rPr>
          <w:rFonts w:asciiTheme="minorHAnsi" w:eastAsiaTheme="minorHAnsi" w:hAnsiTheme="minorHAnsi" w:cstheme="minorBidi"/>
          <w:sz w:val="22"/>
          <w:szCs w:val="22"/>
        </w:rPr>
        <w:t>ig workers)</w:t>
      </w:r>
      <w:r w:rsidR="00C862A7">
        <w:rPr>
          <w:rFonts w:asciiTheme="minorHAnsi" w:eastAsiaTheme="minorHAnsi" w:hAnsiTheme="minorHAnsi" w:cstheme="minorBidi"/>
          <w:sz w:val="22"/>
          <w:szCs w:val="22"/>
        </w:rPr>
        <w:t xml:space="preserve"> and to </w:t>
      </w:r>
      <w:r w:rsidRPr="00DB0C40">
        <w:rPr>
          <w:rFonts w:asciiTheme="minorHAnsi" w:eastAsiaTheme="minorHAnsi" w:hAnsiTheme="minorHAnsi" w:cstheme="minorBidi"/>
          <w:sz w:val="22"/>
          <w:szCs w:val="22"/>
        </w:rPr>
        <w:t xml:space="preserve">differentiate from freelance workers </w:t>
      </w:r>
    </w:p>
    <w:p w14:paraId="7BEF38D3" w14:textId="77777777" w:rsidR="005C2626" w:rsidRPr="00DB0C40" w:rsidRDefault="005C2626" w:rsidP="005C2626">
      <w:pPr>
        <w:numPr>
          <w:ilvl w:val="0"/>
          <w:numId w:val="2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Platform workers, care workers, domestic workers, and internet marketing are all unregistered and informal workers. There is a need to make special arrangements to make them registered workers</w:t>
      </w:r>
    </w:p>
    <w:p w14:paraId="2363E074" w14:textId="77777777" w:rsidR="005C2626" w:rsidRPr="00DB0C40" w:rsidRDefault="005C2626" w:rsidP="005C2626">
      <w:pPr>
        <w:numPr>
          <w:ilvl w:val="0"/>
          <w:numId w:val="28"/>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Since it is the way of working of the future, it is necessary to set up the working conditions of the platform employees from the beginning, in order not to have problems especially in the integration of women.</w:t>
      </w:r>
    </w:p>
    <w:p w14:paraId="49A687E6" w14:textId="7FACA9BF" w:rsidR="005C2626" w:rsidRPr="00CD2A61" w:rsidRDefault="005C2626" w:rsidP="005C2626">
      <w:pPr>
        <w:spacing w:after="160" w:line="259" w:lineRule="auto"/>
        <w:jc w:val="both"/>
        <w:rPr>
          <w:rFonts w:asciiTheme="majorHAnsi" w:eastAsiaTheme="majorEastAsia" w:hAnsiTheme="majorHAnsi" w:cstheme="majorBidi"/>
          <w:color w:val="1F3763" w:themeColor="accent1" w:themeShade="7F"/>
        </w:rPr>
      </w:pPr>
      <w:bookmarkStart w:id="48" w:name="_Hlk118276527"/>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.2.7</w:t>
      </w:r>
      <w:bookmarkStart w:id="49" w:name="_Hlk107140991"/>
      <w:r w:rsidR="00314E6B">
        <w:rPr>
          <w:rFonts w:asciiTheme="majorHAnsi" w:eastAsiaTheme="majorEastAsia" w:hAnsiTheme="majorHAnsi" w:cstheme="majorBidi"/>
          <w:color w:val="1F3763" w:themeColor="accent1" w:themeShade="7F"/>
        </w:rPr>
        <w:t xml:space="preserve">. </w:t>
      </w:r>
      <w:r w:rsidRPr="00CD2A61">
        <w:rPr>
          <w:rFonts w:asciiTheme="majorHAnsi" w:eastAsiaTheme="majorEastAsia" w:hAnsiTheme="majorHAnsi" w:cstheme="majorBidi"/>
          <w:color w:val="1F3763" w:themeColor="accent1" w:themeShade="7F"/>
        </w:rPr>
        <w:t>Government Support to the Employment of Victims of Domestic Violence</w:t>
      </w:r>
      <w:bookmarkEnd w:id="49"/>
    </w:p>
    <w:bookmarkEnd w:id="48"/>
    <w:p w14:paraId="14B86085" w14:textId="7777777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Participants in the Pre-Study Workshop suggested that there was a need for women who are under threat of domestic violence to be supported by the government, including the receipt of severance pay, paid/unpaid leave, finding employment, remote work, allowance, and income support, etc. to enable them to better cope with their predicament (p.22).</w:t>
      </w:r>
    </w:p>
    <w:p w14:paraId="005B7941" w14:textId="008847E7"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The </w:t>
      </w:r>
      <w:r w:rsidRPr="00DB0C40">
        <w:rPr>
          <w:rFonts w:asciiTheme="minorHAnsi" w:eastAsiaTheme="minorHAnsi" w:hAnsiTheme="minorHAnsi" w:cstheme="minorBidi"/>
          <w:b/>
          <w:bCs/>
          <w:sz w:val="22"/>
          <w:szCs w:val="22"/>
        </w:rPr>
        <w:t>main recommendation</w:t>
      </w:r>
      <w:r w:rsidRPr="00DB0C40">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is</w:t>
      </w:r>
      <w:r w:rsidRPr="00DB0C40">
        <w:rPr>
          <w:rFonts w:asciiTheme="minorHAnsi" w:eastAsiaTheme="minorHAnsi" w:hAnsiTheme="minorHAnsi" w:cstheme="minorBidi"/>
          <w:sz w:val="22"/>
          <w:szCs w:val="22"/>
        </w:rPr>
        <w:t>:</w:t>
      </w:r>
    </w:p>
    <w:p w14:paraId="50476929" w14:textId="77777777" w:rsidR="005C2626" w:rsidRPr="00DB0C40" w:rsidRDefault="005C2626" w:rsidP="005C2626">
      <w:pPr>
        <w:numPr>
          <w:ilvl w:val="0"/>
          <w:numId w:val="35"/>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Adopt an inclusive, integrated and gender-responsive approach to prevent and address violence towards women in the world of work and also to provide support for employment of women who are exposed to violence.</w:t>
      </w:r>
    </w:p>
    <w:p w14:paraId="211EE58F" w14:textId="77777777" w:rsidR="00A13DD5" w:rsidRDefault="00A13DD5" w:rsidP="005C2626">
      <w:pPr>
        <w:spacing w:after="160" w:line="259" w:lineRule="auto"/>
        <w:jc w:val="both"/>
        <w:rPr>
          <w:rFonts w:asciiTheme="minorHAnsi" w:eastAsiaTheme="minorHAnsi" w:hAnsiTheme="minorHAnsi" w:cstheme="minorBidi"/>
          <w:sz w:val="22"/>
          <w:szCs w:val="22"/>
        </w:rPr>
      </w:pPr>
    </w:p>
    <w:p w14:paraId="5E9A2CBA" w14:textId="45C13BC6" w:rsidR="005C2626" w:rsidRPr="00DB0C40" w:rsidRDefault="005C2626" w:rsidP="005C2626">
      <w:p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lastRenderedPageBreak/>
        <w:t xml:space="preserve">During the Post-Study Workshop, the stakeholders stated: </w:t>
      </w:r>
    </w:p>
    <w:p w14:paraId="5BB2B3D6" w14:textId="77777777" w:rsidR="005C2626" w:rsidRPr="00DB0C40" w:rsidRDefault="005C2626" w:rsidP="005C2626">
      <w:pPr>
        <w:numPr>
          <w:ilvl w:val="0"/>
          <w:numId w:val="28"/>
        </w:numPr>
        <w:spacing w:after="160" w:line="259" w:lineRule="auto"/>
        <w:jc w:val="both"/>
        <w:rPr>
          <w:rFonts w:asciiTheme="minorHAnsi" w:eastAsiaTheme="minorHAnsi" w:hAnsiTheme="minorHAnsi" w:cstheme="minorBidi"/>
          <w:color w:val="4472C4" w:themeColor="accent1"/>
          <w:sz w:val="22"/>
          <w:szCs w:val="22"/>
        </w:rPr>
      </w:pPr>
      <w:r w:rsidRPr="00DB0C40">
        <w:rPr>
          <w:rFonts w:asciiTheme="minorHAnsi" w:eastAsiaTheme="minorHAnsi" w:hAnsiTheme="minorHAnsi" w:cstheme="minorBidi"/>
          <w:sz w:val="22"/>
          <w:szCs w:val="22"/>
        </w:rPr>
        <w:t>Government support is needed for women victims of domestic violence in the form of workplace change or job placement for economic empowerment of victims of violence</w:t>
      </w:r>
      <w:r w:rsidRPr="00DB0C40">
        <w:rPr>
          <w:rFonts w:asciiTheme="minorHAnsi" w:eastAsiaTheme="minorHAnsi" w:hAnsiTheme="minorHAnsi" w:cstheme="minorBidi"/>
          <w:color w:val="4472C4" w:themeColor="accent1"/>
          <w:sz w:val="22"/>
          <w:szCs w:val="22"/>
        </w:rPr>
        <w:t xml:space="preserve">. </w:t>
      </w:r>
    </w:p>
    <w:p w14:paraId="71A9F188" w14:textId="02415A6B" w:rsidR="005C2626" w:rsidRPr="00CD2A61" w:rsidRDefault="005C2626" w:rsidP="005C2626">
      <w:pPr>
        <w:spacing w:after="160" w:line="259" w:lineRule="auto"/>
        <w:jc w:val="both"/>
        <w:rPr>
          <w:rFonts w:asciiTheme="majorHAnsi" w:eastAsiaTheme="majorEastAsia" w:hAnsiTheme="majorHAnsi" w:cstheme="majorBidi"/>
          <w:color w:val="1F3763" w:themeColor="accent1" w:themeShade="7F"/>
        </w:rPr>
      </w:pPr>
      <w:bookmarkStart w:id="50" w:name="_Hlk118276540"/>
      <w:r>
        <w:rPr>
          <w:rFonts w:asciiTheme="majorHAnsi" w:eastAsiaTheme="majorEastAsia" w:hAnsiTheme="majorHAnsi" w:cstheme="majorBidi"/>
          <w:color w:val="1F3763" w:themeColor="accent1" w:themeShade="7F"/>
        </w:rPr>
        <w:t>3</w:t>
      </w:r>
      <w:r w:rsidRPr="00CD2A61">
        <w:rPr>
          <w:rFonts w:asciiTheme="majorHAnsi" w:eastAsiaTheme="majorEastAsia" w:hAnsiTheme="majorHAnsi" w:cstheme="majorBidi"/>
          <w:color w:val="1F3763" w:themeColor="accent1" w:themeShade="7F"/>
        </w:rPr>
        <w:t xml:space="preserve">.2.8. </w:t>
      </w:r>
      <w:bookmarkStart w:id="51" w:name="_Hlk107141023"/>
      <w:r w:rsidRPr="00CD2A61">
        <w:rPr>
          <w:rFonts w:asciiTheme="majorHAnsi" w:eastAsiaTheme="majorEastAsia" w:hAnsiTheme="majorHAnsi" w:cstheme="majorBidi"/>
          <w:color w:val="1F3763" w:themeColor="accent1" w:themeShade="7F"/>
        </w:rPr>
        <w:t>Other Recommendations</w:t>
      </w:r>
      <w:bookmarkEnd w:id="51"/>
    </w:p>
    <w:bookmarkEnd w:id="50"/>
    <w:p w14:paraId="1FA3D19D" w14:textId="77777777" w:rsidR="005C2626" w:rsidRPr="00DB0C40" w:rsidRDefault="005C2626" w:rsidP="005C2626">
      <w:pPr>
        <w:spacing w:after="160" w:line="259" w:lineRule="auto"/>
        <w:jc w:val="both"/>
        <w:rPr>
          <w:rFonts w:asciiTheme="minorHAnsi" w:eastAsiaTheme="minorHAnsi" w:hAnsiTheme="minorHAnsi" w:cstheme="minorBidi"/>
          <w:color w:val="4472C4" w:themeColor="accent1"/>
          <w:sz w:val="22"/>
          <w:szCs w:val="22"/>
        </w:rPr>
      </w:pPr>
      <w:r w:rsidRPr="00DB0C40">
        <w:rPr>
          <w:rFonts w:asciiTheme="minorHAnsi" w:eastAsiaTheme="minorHAnsi" w:hAnsiTheme="minorHAnsi" w:cstheme="minorBidi"/>
          <w:sz w:val="22"/>
          <w:szCs w:val="22"/>
        </w:rPr>
        <w:t xml:space="preserve">Stakeholders in the Post-Study Workshop proposed two further recommendations: </w:t>
      </w:r>
      <w:r w:rsidRPr="00DB0C40">
        <w:rPr>
          <w:rFonts w:asciiTheme="minorHAnsi" w:eastAsiaTheme="minorHAnsi" w:hAnsiTheme="minorHAnsi" w:cstheme="minorBidi"/>
          <w:color w:val="4472C4" w:themeColor="accent1"/>
          <w:sz w:val="22"/>
          <w:szCs w:val="22"/>
        </w:rPr>
        <w:t xml:space="preserve"> </w:t>
      </w:r>
    </w:p>
    <w:p w14:paraId="6AAD3A64" w14:textId="77777777" w:rsidR="005C2626" w:rsidRPr="00DB0C40" w:rsidRDefault="005C2626" w:rsidP="005C2626">
      <w:pPr>
        <w:numPr>
          <w:ilvl w:val="0"/>
          <w:numId w:val="35"/>
        </w:numPr>
        <w:spacing w:after="160" w:line="259" w:lineRule="auto"/>
        <w:contextualSpacing/>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 xml:space="preserve">Establish an independent inspection/control system/body comprising representatives of government, employees, and employers to ensure self-control of the labour market as well as to monitor the implementation of labour law. </w:t>
      </w:r>
    </w:p>
    <w:p w14:paraId="4CC43346" w14:textId="328FD699" w:rsidR="006F2D9A" w:rsidRPr="005C2626" w:rsidRDefault="005C2626" w:rsidP="006F2D9A">
      <w:pPr>
        <w:numPr>
          <w:ilvl w:val="0"/>
          <w:numId w:val="35"/>
        </w:numPr>
        <w:spacing w:after="160" w:line="259" w:lineRule="auto"/>
        <w:jc w:val="both"/>
        <w:rPr>
          <w:rFonts w:asciiTheme="minorHAnsi" w:eastAsiaTheme="minorHAnsi" w:hAnsiTheme="minorHAnsi" w:cstheme="minorBidi"/>
          <w:sz w:val="22"/>
          <w:szCs w:val="22"/>
        </w:rPr>
      </w:pPr>
      <w:r w:rsidRPr="00DB0C40">
        <w:rPr>
          <w:rFonts w:asciiTheme="minorHAnsi" w:eastAsiaTheme="minorHAnsi" w:hAnsiTheme="minorHAnsi" w:cstheme="minorBidi"/>
          <w:sz w:val="22"/>
          <w:szCs w:val="22"/>
        </w:rPr>
        <w:t>In order for the worker and the employer not to come face to face, punishment should be avoided, and the method of self-control and incentives should be applied.</w:t>
      </w:r>
      <w:bookmarkEnd w:id="38"/>
    </w:p>
    <w:p w14:paraId="23EE2361" w14:textId="7DE0AD84" w:rsidR="006B2F74" w:rsidRPr="00F56809" w:rsidRDefault="006B2F74" w:rsidP="00073158">
      <w:pPr>
        <w:pStyle w:val="Heading1"/>
        <w:numPr>
          <w:ilvl w:val="0"/>
          <w:numId w:val="12"/>
        </w:numPr>
      </w:pPr>
      <w:bookmarkStart w:id="52" w:name="_Toc156562605"/>
      <w:r w:rsidRPr="00F56809">
        <w:t>CONCLUSIONS</w:t>
      </w:r>
      <w:bookmarkEnd w:id="52"/>
    </w:p>
    <w:p w14:paraId="01CFF5BE" w14:textId="77777777" w:rsidR="006B2F74" w:rsidRDefault="006B2F74" w:rsidP="006B2F74">
      <w:pPr>
        <w:pStyle w:val="ListParagraph"/>
        <w:jc w:val="both"/>
        <w:rPr>
          <w:bCs/>
          <w:sz w:val="22"/>
          <w:szCs w:val="22"/>
        </w:rPr>
      </w:pPr>
    </w:p>
    <w:p w14:paraId="006B4843" w14:textId="5C46BF1B" w:rsidR="005C2626" w:rsidRPr="00DB0C40" w:rsidRDefault="005C2626" w:rsidP="005C2626">
      <w:pPr>
        <w:pStyle w:val="ListParagraph"/>
        <w:numPr>
          <w:ilvl w:val="0"/>
          <w:numId w:val="38"/>
        </w:numPr>
        <w:spacing w:before="240" w:after="240"/>
        <w:jc w:val="both"/>
        <w:rPr>
          <w:sz w:val="22"/>
          <w:szCs w:val="22"/>
        </w:rPr>
      </w:pPr>
      <w:r>
        <w:rPr>
          <w:sz w:val="22"/>
          <w:szCs w:val="22"/>
        </w:rPr>
        <w:t>Türkiye</w:t>
      </w:r>
      <w:r w:rsidRPr="00DB0C40">
        <w:rPr>
          <w:sz w:val="22"/>
          <w:szCs w:val="22"/>
        </w:rPr>
        <w:t xml:space="preserve"> has the goal of increasing women's employment included in all </w:t>
      </w:r>
      <w:r>
        <w:rPr>
          <w:sz w:val="22"/>
          <w:szCs w:val="22"/>
        </w:rPr>
        <w:t>Türkiye</w:t>
      </w:r>
      <w:r w:rsidRPr="00DB0C40">
        <w:rPr>
          <w:sz w:val="22"/>
          <w:szCs w:val="22"/>
        </w:rPr>
        <w:t xml:space="preserve"> Development Plans (particularly in 10</w:t>
      </w:r>
      <w:r w:rsidRPr="00DB0C40">
        <w:rPr>
          <w:sz w:val="22"/>
          <w:szCs w:val="22"/>
          <w:vertAlign w:val="superscript"/>
        </w:rPr>
        <w:t>th</w:t>
      </w:r>
      <w:r w:rsidRPr="00DB0C40">
        <w:rPr>
          <w:sz w:val="22"/>
          <w:szCs w:val="22"/>
        </w:rPr>
        <w:t xml:space="preserve"> Development Plan 2014 – 2018 and 11</w:t>
      </w:r>
      <w:r w:rsidRPr="00DB0C40">
        <w:rPr>
          <w:sz w:val="22"/>
          <w:szCs w:val="22"/>
          <w:vertAlign w:val="superscript"/>
        </w:rPr>
        <w:t>th</w:t>
      </w:r>
      <w:r w:rsidRPr="00DB0C40">
        <w:rPr>
          <w:sz w:val="22"/>
          <w:szCs w:val="22"/>
        </w:rPr>
        <w:t xml:space="preserve"> Development Plan 2019 – 2023), National Employment Strategies and National Plans for Gender Equality. At the same time, in the negotiations in the EU membership process, female employment rate is constantly emphasised as one of the macro indicators </w:t>
      </w:r>
      <w:r w:rsidR="00822233">
        <w:rPr>
          <w:sz w:val="22"/>
          <w:szCs w:val="22"/>
        </w:rPr>
        <w:t xml:space="preserve">on which </w:t>
      </w:r>
      <w:r>
        <w:rPr>
          <w:sz w:val="22"/>
          <w:szCs w:val="22"/>
        </w:rPr>
        <w:t>Türkiye</w:t>
      </w:r>
      <w:r w:rsidRPr="00DB0C40">
        <w:rPr>
          <w:sz w:val="22"/>
          <w:szCs w:val="22"/>
        </w:rPr>
        <w:t xml:space="preserve"> should make progress. In this context, there have been considerable legislative amendments and also some regulations were introduced in </w:t>
      </w:r>
      <w:r>
        <w:rPr>
          <w:sz w:val="22"/>
          <w:szCs w:val="22"/>
        </w:rPr>
        <w:t>Türkiye</w:t>
      </w:r>
      <w:r w:rsidRPr="00DB0C40">
        <w:rPr>
          <w:sz w:val="22"/>
          <w:szCs w:val="22"/>
        </w:rPr>
        <w:t xml:space="preserve"> in the last two decades, particularly on gender equality at work.</w:t>
      </w:r>
    </w:p>
    <w:p w14:paraId="2EBFF075" w14:textId="77777777" w:rsidR="005C2626" w:rsidRPr="00DB0C40" w:rsidRDefault="005C2626" w:rsidP="005C2626">
      <w:pPr>
        <w:pStyle w:val="ListParagraph"/>
        <w:numPr>
          <w:ilvl w:val="0"/>
          <w:numId w:val="38"/>
        </w:numPr>
        <w:spacing w:before="240" w:after="240"/>
        <w:jc w:val="both"/>
        <w:rPr>
          <w:sz w:val="22"/>
          <w:szCs w:val="22"/>
        </w:rPr>
      </w:pPr>
      <w:r w:rsidRPr="00DB0C40">
        <w:rPr>
          <w:sz w:val="22"/>
          <w:szCs w:val="22"/>
        </w:rPr>
        <w:t>During the Interviews done, the interviewees agreed that the most influential provisions of the Labour Law are Articles 5, 72, 73, 74, and 104 which specifically refers to anti-discrimination, working leaves, maternity leaves, maternal insurance for women workers. They also pointed out an existing need to have more support from the State to the employers to fulfil the responsibilities given to them like the day care centre and breastfeeding room obligation. They also pointed out that existing legislation needs to be actualised to cover non-standard work and care facilities.</w:t>
      </w:r>
    </w:p>
    <w:p w14:paraId="1478823D" w14:textId="211E6905" w:rsidR="005C2626" w:rsidRPr="00DB0C40" w:rsidRDefault="005C2626" w:rsidP="005C2626">
      <w:pPr>
        <w:pStyle w:val="ListParagraph"/>
        <w:numPr>
          <w:ilvl w:val="0"/>
          <w:numId w:val="38"/>
        </w:numPr>
        <w:spacing w:before="240" w:after="240"/>
        <w:jc w:val="both"/>
        <w:rPr>
          <w:sz w:val="22"/>
          <w:szCs w:val="22"/>
        </w:rPr>
      </w:pPr>
      <w:r w:rsidRPr="00DB0C40">
        <w:rPr>
          <w:sz w:val="22"/>
          <w:szCs w:val="22"/>
        </w:rPr>
        <w:t>The main conclusions of the Pre</w:t>
      </w:r>
      <w:r w:rsidR="00C862A7">
        <w:rPr>
          <w:sz w:val="22"/>
          <w:szCs w:val="22"/>
        </w:rPr>
        <w:t>-</w:t>
      </w:r>
      <w:r w:rsidRPr="00DB0C40">
        <w:rPr>
          <w:sz w:val="22"/>
          <w:szCs w:val="22"/>
        </w:rPr>
        <w:t>Study Workshop to promote women’s employment were categorised in three different groups) a) general structure of the legislation b) suggested areas that need improvement in the existing labour law, and c) suggested new areas of action. On the first, the changes on legislation to increase the promotion of gender equality was the more relevant with an equalisation between the Labour law and Public Servants Law No: 657 in terms of provisions related to women employees mainly breastfeeding and unpaid work leaves. In the second category, it appears duration of maternity and unpaid work leave, the sanction of a nursery requirement for workplaces employing 150 and more women, and different weekly working times after maternity leaves by considering the number of children. On the third category, the stakeholders consider care work, care incentives, violence at work, new conditions for home-based working conditions (remote working)</w:t>
      </w:r>
    </w:p>
    <w:p w14:paraId="692ADA3F" w14:textId="2BCC60CF" w:rsidR="00D45D49" w:rsidRPr="00314E6B" w:rsidRDefault="005C2626" w:rsidP="00314E6B">
      <w:pPr>
        <w:pStyle w:val="ListParagraph"/>
        <w:numPr>
          <w:ilvl w:val="0"/>
          <w:numId w:val="38"/>
        </w:numPr>
        <w:spacing w:before="240" w:after="240"/>
        <w:jc w:val="both"/>
        <w:rPr>
          <w:sz w:val="22"/>
          <w:szCs w:val="22"/>
        </w:rPr>
      </w:pPr>
      <w:r w:rsidRPr="00DB0C40">
        <w:rPr>
          <w:sz w:val="22"/>
          <w:szCs w:val="22"/>
        </w:rPr>
        <w:t xml:space="preserve">The findings from the field study on employee´s answers indicate that “maternity leave”, “breastfeeding leave”, and “anti-discrimination” provisions of the law are the most effective and widely used at the enterprises. However, the findings also suggest that there is room for improvement for the law by including elderly and patient care within the scope of the law and by levelling up the duration </w:t>
      </w:r>
      <w:r w:rsidRPr="00DB0C40">
        <w:rPr>
          <w:sz w:val="22"/>
          <w:szCs w:val="22"/>
        </w:rPr>
        <w:lastRenderedPageBreak/>
        <w:t>of maternity in the private sector. In addition, state support for more and better crèches/nurseries are widely suggested by the respondents in the study.</w:t>
      </w:r>
    </w:p>
    <w:p w14:paraId="33915C42" w14:textId="2E50E22E" w:rsidR="00467BF6" w:rsidRPr="003C5FB1" w:rsidRDefault="003C5FB1" w:rsidP="003C5FB1">
      <w:pPr>
        <w:pStyle w:val="Heading1"/>
      </w:pPr>
      <w:bookmarkStart w:id="53" w:name="_Toc156562606"/>
      <w:r>
        <w:t xml:space="preserve">5. </w:t>
      </w:r>
      <w:r w:rsidR="00467BF6" w:rsidRPr="003C5FB1">
        <w:t>BIB</w:t>
      </w:r>
      <w:r w:rsidR="001F5B4F" w:rsidRPr="003C5FB1">
        <w:t>L</w:t>
      </w:r>
      <w:r w:rsidR="00467BF6" w:rsidRPr="003C5FB1">
        <w:t>IOGRAPHY</w:t>
      </w:r>
      <w:bookmarkEnd w:id="53"/>
    </w:p>
    <w:p w14:paraId="7ED6064A" w14:textId="34A932A8" w:rsidR="00467BF6" w:rsidRPr="00467BF6" w:rsidRDefault="00467BF6" w:rsidP="00DD72BE">
      <w:pPr>
        <w:pStyle w:val="Heading2"/>
      </w:pPr>
      <w:bookmarkStart w:id="54" w:name="_Toc156562607"/>
      <w:r w:rsidRPr="00467BF6">
        <w:t xml:space="preserve">References </w:t>
      </w:r>
      <w:r>
        <w:t>E</w:t>
      </w:r>
      <w:r w:rsidRPr="00467BF6">
        <w:t>xamined during Desk Research</w:t>
      </w:r>
      <w:bookmarkEnd w:id="54"/>
    </w:p>
    <w:p w14:paraId="73BC3D24" w14:textId="77777777" w:rsidR="00467BF6" w:rsidRPr="00A80B9D" w:rsidRDefault="00467BF6" w:rsidP="00467BF6">
      <w:pPr>
        <w:rPr>
          <w:sz w:val="22"/>
          <w:szCs w:val="22"/>
        </w:rPr>
      </w:pPr>
    </w:p>
    <w:p w14:paraId="4773666C"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Arenas-Arroyo, E.; Fernandez-Kranz, D.; Nollenberger, N., ‘Can’t Leave You Now! Intimate Partner Violence under Forced Coexistence and Economic Uncertainty,’ IZA Institute of Labour Economics, Discussion Paper Series No.13570, 2020. Available at </w:t>
      </w:r>
      <w:hyperlink r:id="rId13" w:history="1">
        <w:r w:rsidRPr="00E07BEB">
          <w:rPr>
            <w:rFonts w:asciiTheme="minorHAnsi" w:eastAsiaTheme="minorHAnsi" w:hAnsiTheme="minorHAnsi" w:cstheme="minorBidi"/>
            <w:color w:val="0563C1" w:themeColor="hyperlink"/>
            <w:sz w:val="22"/>
            <w:szCs w:val="22"/>
            <w:u w:val="single"/>
          </w:rPr>
          <w:t>https://covid-19.iza.org/publications/dp13570/</w:t>
        </w:r>
      </w:hyperlink>
    </w:p>
    <w:p w14:paraId="312D204A"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Deloitte Global Centre for Corporate Governance (2017) Women in the boardroom: A global perspective, 5</w:t>
      </w:r>
      <w:r w:rsidRPr="00E07BEB">
        <w:rPr>
          <w:rFonts w:asciiTheme="minorHAnsi" w:eastAsiaTheme="minorHAnsi" w:hAnsiTheme="minorHAnsi" w:cstheme="minorBidi"/>
          <w:sz w:val="22"/>
          <w:szCs w:val="22"/>
          <w:vertAlign w:val="superscript"/>
        </w:rPr>
        <w:t>th</w:t>
      </w:r>
      <w:r w:rsidRPr="00E07BEB">
        <w:rPr>
          <w:rFonts w:asciiTheme="minorHAnsi" w:eastAsiaTheme="minorHAnsi" w:hAnsiTheme="minorHAnsi" w:cstheme="minorBidi"/>
          <w:sz w:val="22"/>
          <w:szCs w:val="22"/>
        </w:rPr>
        <w:t xml:space="preserve"> Edition, available at: </w:t>
      </w:r>
      <w:hyperlink r:id="rId14" w:history="1">
        <w:r w:rsidRPr="00E07BEB">
          <w:rPr>
            <w:rFonts w:asciiTheme="minorHAnsi" w:eastAsiaTheme="minorHAnsi" w:hAnsiTheme="minorHAnsi" w:cstheme="minorBidi"/>
            <w:color w:val="0563C1" w:themeColor="hyperlink"/>
            <w:sz w:val="22"/>
            <w:szCs w:val="22"/>
            <w:u w:val="single"/>
          </w:rPr>
          <w:t>https://www2.deloitte.com/content/dam/Deloitte/cz/Documents/about-deloitte/cz-women-in-the-boardroom-5th-edition.pdf</w:t>
        </w:r>
      </w:hyperlink>
    </w:p>
    <w:p w14:paraId="2B3C95AB" w14:textId="7E312CCB"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Edin, P., and M. Gustavsson (2008) “Time out of Work and Skill Depreciation.” Industrial and Labour Relations </w:t>
      </w:r>
      <w:r w:rsidR="00575D4F" w:rsidRPr="00E07BEB">
        <w:rPr>
          <w:rFonts w:asciiTheme="minorHAnsi" w:eastAsiaTheme="minorHAnsi" w:hAnsiTheme="minorHAnsi" w:cstheme="minorBidi"/>
          <w:sz w:val="22"/>
          <w:szCs w:val="22"/>
        </w:rPr>
        <w:t>Review 61</w:t>
      </w:r>
      <w:r w:rsidRPr="00E07BEB">
        <w:rPr>
          <w:rFonts w:asciiTheme="minorHAnsi" w:eastAsiaTheme="minorHAnsi" w:hAnsiTheme="minorHAnsi" w:cstheme="minorBidi"/>
          <w:sz w:val="22"/>
          <w:szCs w:val="22"/>
        </w:rPr>
        <w:t xml:space="preserve"> (2): 163–80.</w:t>
      </w:r>
    </w:p>
    <w:p w14:paraId="4E469258"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European Commission (2019) 2019 Report on equality between women and men in the EU, Brussels available at: </w:t>
      </w:r>
      <w:hyperlink r:id="rId15" w:tgtFrame="_blank" w:history="1">
        <w:r w:rsidRPr="00E07BEB">
          <w:rPr>
            <w:rFonts w:asciiTheme="minorHAnsi" w:eastAsiaTheme="minorHAnsi" w:hAnsiTheme="minorHAnsi" w:cstheme="minorBidi"/>
            <w:color w:val="0563C1" w:themeColor="hyperlink"/>
            <w:sz w:val="22"/>
            <w:szCs w:val="22"/>
            <w:u w:val="single"/>
          </w:rPr>
          <w:t>https://op.europa.eu/en/publication-detail/-/publication/f3dd1274-7788-11e9-9f05-01aa75ed71a1/</w:t>
        </w:r>
      </w:hyperlink>
    </w:p>
    <w:p w14:paraId="04690FEA"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European Commission (2021) 2021 report on gender equality in the EU, available at: </w:t>
      </w:r>
      <w:hyperlink r:id="rId16" w:tgtFrame="_blank" w:history="1">
        <w:r w:rsidRPr="00E07BEB">
          <w:rPr>
            <w:rFonts w:asciiTheme="minorHAnsi" w:eastAsiaTheme="minorHAnsi" w:hAnsiTheme="minorHAnsi" w:cstheme="minorBidi"/>
            <w:color w:val="0563C1" w:themeColor="hyperlink"/>
            <w:sz w:val="22"/>
            <w:szCs w:val="22"/>
            <w:u w:val="single"/>
          </w:rPr>
          <w:t>https://op.europa.eu/en/publication-detail/-/publication/11d9cab1-fa52-11eb-b520-01aa75ed71a1</w:t>
        </w:r>
      </w:hyperlink>
    </w:p>
    <w:p w14:paraId="4D944498"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European Parliament (2012) Gender equality in </w:t>
      </w:r>
      <w:r>
        <w:rPr>
          <w:rFonts w:asciiTheme="minorHAnsi" w:eastAsiaTheme="minorHAnsi" w:hAnsiTheme="minorHAnsi" w:cstheme="minorBidi"/>
          <w:sz w:val="22"/>
          <w:szCs w:val="22"/>
        </w:rPr>
        <w:t>Türkiye</w:t>
      </w:r>
      <w:r w:rsidRPr="00E07BEB">
        <w:rPr>
          <w:rFonts w:asciiTheme="minorHAnsi" w:eastAsiaTheme="minorHAnsi" w:hAnsiTheme="minorHAnsi" w:cstheme="minorBidi"/>
          <w:sz w:val="22"/>
          <w:szCs w:val="22"/>
        </w:rPr>
        <w:t xml:space="preserve">, available in </w:t>
      </w:r>
      <w:hyperlink r:id="rId17" w:history="1">
        <w:r w:rsidRPr="00E07BEB">
          <w:rPr>
            <w:rFonts w:asciiTheme="minorHAnsi" w:eastAsiaTheme="minorHAnsi" w:hAnsiTheme="minorHAnsi" w:cstheme="minorBidi"/>
            <w:color w:val="0563C1" w:themeColor="hyperlink"/>
            <w:sz w:val="22"/>
            <w:szCs w:val="22"/>
            <w:u w:val="single"/>
          </w:rPr>
          <w:t>https://www.europarl.europa.eu/RegData/etudes/note/join/2012/462428/IPOL-FEMM_NT(2012)462428_EN.pdf</w:t>
        </w:r>
      </w:hyperlink>
    </w:p>
    <w:p w14:paraId="4C186B16"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Ghani, E., W. Kerr, and S. O’Connell (2013) “Promoting Women’s Economic Participation in India.” Economic Premise No. 107</w:t>
      </w:r>
    </w:p>
    <w:p w14:paraId="5FD10C19" w14:textId="22AE5E7E"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Gong, X., R. Breunig, and A. </w:t>
      </w:r>
      <w:r w:rsidR="00575D4F" w:rsidRPr="00E07BEB">
        <w:rPr>
          <w:rFonts w:asciiTheme="minorHAnsi" w:eastAsiaTheme="minorHAnsi" w:hAnsiTheme="minorHAnsi" w:cstheme="minorBidi"/>
          <w:sz w:val="22"/>
          <w:szCs w:val="22"/>
        </w:rPr>
        <w:t>King (</w:t>
      </w:r>
      <w:r w:rsidRPr="00E07BEB">
        <w:rPr>
          <w:rFonts w:asciiTheme="minorHAnsi" w:eastAsiaTheme="minorHAnsi" w:hAnsiTheme="minorHAnsi" w:cstheme="minorBidi"/>
          <w:sz w:val="22"/>
          <w:szCs w:val="22"/>
        </w:rPr>
        <w:t>2010) “How Responsive is Female Labour Supply to Child Care Costs? New Australian Estimates.” IZA Discussion Paper No. 5119, Institute for the Study of Labour, Bonn.</w:t>
      </w:r>
    </w:p>
    <w:p w14:paraId="71CA0481"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(2016) Women at work: Trends 2016 (Geneva), available at: </w:t>
      </w:r>
      <w:hyperlink r:id="rId18" w:tgtFrame="_blank" w:history="1">
        <w:r w:rsidRPr="00E07BEB">
          <w:rPr>
            <w:rFonts w:asciiTheme="minorHAnsi" w:eastAsiaTheme="minorHAnsi" w:hAnsiTheme="minorHAnsi" w:cstheme="minorBidi"/>
            <w:color w:val="0563C1" w:themeColor="hyperlink"/>
            <w:sz w:val="22"/>
            <w:szCs w:val="22"/>
            <w:u w:val="single"/>
          </w:rPr>
          <w:t>https://www.ilo.org/gender/Informationresources/Publications/WCMS_457317/lang--en/index.htm</w:t>
        </w:r>
      </w:hyperlink>
    </w:p>
    <w:p w14:paraId="6E1BB881"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ILO (2019) A quantum leap for gender equality: For a better future of work for all, Geneva, available at: </w:t>
      </w:r>
      <w:hyperlink r:id="rId19" w:tgtFrame="_blank" w:history="1">
        <w:r w:rsidRPr="00E07BEB">
          <w:rPr>
            <w:rFonts w:asciiTheme="minorHAnsi" w:eastAsiaTheme="minorHAnsi" w:hAnsiTheme="minorHAnsi" w:cstheme="minorBidi"/>
            <w:color w:val="0563C1" w:themeColor="hyperlink"/>
            <w:sz w:val="22"/>
            <w:szCs w:val="22"/>
            <w:u w:val="single"/>
          </w:rPr>
          <w:t>https://www.ilo.org/global/publications/books/WCMS_674831/lang--en/index.htm</w:t>
        </w:r>
      </w:hyperlink>
    </w:p>
    <w:p w14:paraId="38821F94"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(2019) Understanding the Gender Pay Gap, available at:  </w:t>
      </w:r>
      <w:hyperlink r:id="rId20" w:history="1">
        <w:r w:rsidRPr="00E07BEB">
          <w:rPr>
            <w:rFonts w:asciiTheme="minorHAnsi" w:eastAsiaTheme="minorHAnsi" w:hAnsiTheme="minorHAnsi" w:cstheme="minorBidi"/>
            <w:color w:val="0563C1" w:themeColor="hyperlink"/>
            <w:sz w:val="22"/>
            <w:szCs w:val="22"/>
            <w:u w:val="single"/>
            <w:lang w:val="en-US"/>
          </w:rPr>
          <w:t>https://www.ilo.org/wcmsp5/groups/public/---europe/---ro-geneva/---ilo-ankara/documents/publication/wcms_707580.pdf</w:t>
        </w:r>
      </w:hyperlink>
    </w:p>
    <w:p w14:paraId="73024E33"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ILO (2019) Women in Business and Management: The business case for change, Geneva available at: </w:t>
      </w:r>
      <w:hyperlink r:id="rId21" w:tgtFrame="_blank" w:history="1">
        <w:r w:rsidRPr="00E07BEB">
          <w:rPr>
            <w:rFonts w:asciiTheme="minorHAnsi" w:eastAsiaTheme="minorHAnsi" w:hAnsiTheme="minorHAnsi" w:cstheme="minorBidi"/>
            <w:color w:val="0563C1" w:themeColor="hyperlink"/>
            <w:sz w:val="22"/>
            <w:szCs w:val="22"/>
            <w:u w:val="single"/>
          </w:rPr>
          <w:t>https://www.ilo.org/wcmsp5/groups/public/---dgreports/---dcomm/---publ/documents/publication/wcms_700953.pdf</w:t>
        </w:r>
      </w:hyperlink>
    </w:p>
    <w:p w14:paraId="3A7EE7C6"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ILO and Eurofound (2019) Working conditions in a global perspective, available at: https://www.ilo.org/wcmsp5/groups/public/---dgreports/---dcomm/---publ/documents/publication/wcms_696174.pdf</w:t>
      </w:r>
    </w:p>
    <w:p w14:paraId="318E6A7A"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lastRenderedPageBreak/>
        <w:t xml:space="preserve">ILO and UN Women (2021) Rethinking gender-responsive procurement: Enabling an ecosystem for women’s economic empowerment, available at: </w:t>
      </w:r>
      <w:hyperlink r:id="rId22" w:history="1">
        <w:r w:rsidRPr="00E07BEB">
          <w:rPr>
            <w:rFonts w:asciiTheme="minorHAnsi" w:eastAsiaTheme="minorHAnsi" w:hAnsiTheme="minorHAnsi" w:cstheme="minorBidi"/>
            <w:color w:val="0563C1" w:themeColor="hyperlink"/>
            <w:sz w:val="22"/>
            <w:szCs w:val="22"/>
            <w:u w:val="single"/>
            <w:lang w:val="en-US"/>
          </w:rPr>
          <w:t>https://www.unwomen.org/en/digital-library/publications/2021/07/rethinking-gender-responsive-procurement</w:t>
        </w:r>
      </w:hyperlink>
    </w:p>
    <w:p w14:paraId="3F97921A"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ILO, Measuring the gender wage gap. Türkiye case, available at: </w:t>
      </w:r>
      <w:hyperlink r:id="rId23" w:history="1">
        <w:r w:rsidRPr="00E07BEB">
          <w:rPr>
            <w:rFonts w:asciiTheme="minorHAnsi" w:eastAsiaTheme="minorHAnsi" w:hAnsiTheme="minorHAnsi" w:cstheme="minorBidi"/>
            <w:color w:val="0563C1" w:themeColor="hyperlink"/>
            <w:sz w:val="22"/>
            <w:szCs w:val="22"/>
            <w:u w:val="single"/>
          </w:rPr>
          <w:t>https://www.ilo.org/ankara/publications/WCMS_756660/lang--en/index.htm</w:t>
        </w:r>
      </w:hyperlink>
    </w:p>
    <w:p w14:paraId="34CCC9BC"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u w:val="single"/>
        </w:rPr>
      </w:pPr>
      <w:r w:rsidRPr="00E07BEB">
        <w:rPr>
          <w:rFonts w:asciiTheme="minorHAnsi" w:eastAsiaTheme="minorHAnsi" w:hAnsiTheme="minorHAnsi" w:cstheme="minorBidi"/>
          <w:sz w:val="22"/>
          <w:szCs w:val="22"/>
          <w:lang w:val="en-US"/>
        </w:rPr>
        <w:t xml:space="preserve">ILO, undated. Fact Sheet: Sexual Harassment at Work, Geneva, available at: </w:t>
      </w:r>
      <w:r w:rsidRPr="00E07BEB">
        <w:rPr>
          <w:rFonts w:asciiTheme="minorHAnsi" w:eastAsiaTheme="minorHAnsi" w:hAnsiTheme="minorHAnsi" w:cstheme="minorBidi"/>
          <w:sz w:val="22"/>
          <w:szCs w:val="22"/>
        </w:rPr>
        <w:br/>
      </w:r>
      <w:hyperlink r:id="rId24" w:history="1">
        <w:r w:rsidRPr="00E07BEB">
          <w:rPr>
            <w:rFonts w:asciiTheme="minorHAnsi" w:eastAsiaTheme="minorHAnsi" w:hAnsiTheme="minorHAnsi" w:cstheme="minorBidi"/>
            <w:color w:val="0563C1" w:themeColor="hyperlink"/>
            <w:sz w:val="22"/>
            <w:szCs w:val="22"/>
            <w:u w:val="single"/>
          </w:rPr>
          <w:t>https://www.ilo.org/wcmsp5/groups/public/---ed_norm/---declaration/documents/publication/wcms_decl_fs_96_en.pdf</w:t>
        </w:r>
      </w:hyperlink>
    </w:p>
    <w:p w14:paraId="2F64066B"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IMF (2013) “Women, Work, and the Economy: Macroeconomic Gains from Gender Equity,” IMF Staff Discussion Note, SDN/13/10.</w:t>
      </w:r>
    </w:p>
    <w:p w14:paraId="2B56F789"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IMF, Fair Play: More Equal Laws Boost Female Labour Force Participation, available at: </w:t>
      </w:r>
      <w:hyperlink r:id="rId25" w:tgtFrame="_blank" w:history="1">
        <w:r w:rsidRPr="00E07BEB">
          <w:rPr>
            <w:rFonts w:asciiTheme="minorHAnsi" w:eastAsiaTheme="minorHAnsi" w:hAnsiTheme="minorHAnsi" w:cstheme="minorBidi"/>
            <w:color w:val="0563C1" w:themeColor="hyperlink"/>
            <w:sz w:val="22"/>
            <w:szCs w:val="22"/>
            <w:u w:val="single"/>
          </w:rPr>
          <w:t>https://www.imf.org/en/Publications/Staff-Discussion-Notes/Issues/2016/12/31/Fair-Play-More-Equal-Laws-Boost-Female-Labor-Force-Participation-42721</w:t>
        </w:r>
      </w:hyperlink>
    </w:p>
    <w:p w14:paraId="4263133E"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Klugman, J., and S. Twigg (2012) “The Role of Laws and Institutions in Expanding Women’s Voice, Agency, and Empowerment.” In The World Bank Legal Review: Legal Innovation and Empowerment for Development, edited by Cisse H., S. Muller, C. Thomas, and W. Chenguang. Washington: World Bank</w:t>
      </w:r>
    </w:p>
    <w:p w14:paraId="6DE60E82"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Lee, S.; McCann, D.M. and Messenger, J.C. (2007) Working time around the world: Trends in working hours, laws and policies in a global comparative perspective, Routledge Studies in the Modern World Economy (Geneva, ILO).</w:t>
      </w:r>
    </w:p>
    <w:p w14:paraId="2DC77B07"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OECD (2016), ‘Women entrepreneurship Key findings: Türkiye Who wants to be an entrepreneur?’, March 2016, http://www.oecd.org/sdd/business-stats/EaG-Türkiye-Eng.pdf</w:t>
      </w:r>
    </w:p>
    <w:p w14:paraId="58C7814D"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OECD and ILO (2019) </w:t>
      </w:r>
      <w:r w:rsidRPr="00E07BEB">
        <w:rPr>
          <w:rFonts w:asciiTheme="minorHAnsi" w:eastAsiaTheme="minorHAnsi" w:hAnsiTheme="minorHAnsi" w:cstheme="minorBidi"/>
          <w:bCs/>
          <w:sz w:val="22"/>
          <w:szCs w:val="22"/>
          <w:lang w:val="en-US"/>
        </w:rPr>
        <w:t xml:space="preserve">Women at Work in G20 countries: Progress and policy action, available at: </w:t>
      </w:r>
      <w:hyperlink r:id="rId26" w:tgtFrame="_blank" w:history="1">
        <w:r w:rsidRPr="00E07BEB">
          <w:rPr>
            <w:rFonts w:asciiTheme="minorHAnsi" w:eastAsiaTheme="minorHAnsi" w:hAnsiTheme="minorHAnsi" w:cstheme="minorBidi"/>
            <w:bCs/>
            <w:color w:val="0563C1" w:themeColor="hyperlink"/>
            <w:sz w:val="22"/>
            <w:szCs w:val="22"/>
            <w:u w:val="single"/>
          </w:rPr>
          <w:t>https://www.ilo.org/wcmsp5/groups/public/---dgreports/---cabinet/documents/publication/wcms_756334.pdf</w:t>
        </w:r>
      </w:hyperlink>
    </w:p>
    <w:p w14:paraId="78B844EE"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Ozar, S. (2016), ‘Women Entrepreneurs in Türkiye: Obstacles, Potentials, and Prospects’ in Chamlou, N. and Karshenas, M. (eds.) Women, Work and Welfare in the Middle East and North Africa, World Scientific</w:t>
      </w:r>
    </w:p>
    <w:p w14:paraId="5039561F"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Sen, A. (2001) “Many Faces of Gender Inequality.” </w:t>
      </w:r>
      <w:r w:rsidRPr="00E07BEB">
        <w:rPr>
          <w:rFonts w:asciiTheme="minorHAnsi" w:eastAsiaTheme="minorHAnsi" w:hAnsiTheme="minorHAnsi" w:cstheme="minorBidi"/>
          <w:sz w:val="22"/>
          <w:szCs w:val="22"/>
          <w:lang w:val="en-US"/>
        </w:rPr>
        <w:t xml:space="preserve">Frontline 18 (22) available at:  http://www.frontline.in/static/html/fl1822/18220040.htm </w:t>
      </w:r>
    </w:p>
    <w:p w14:paraId="42A9C03F"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rPr>
        <w:t xml:space="preserve">Thévenon and Solaz. 2013. “Labour Market Effect of Parental Leave Policies in OECD Countries.” OECD Social, Employment and Migration Working Paper No. 141. OECD Publishing, Paris.  </w:t>
      </w:r>
    </w:p>
    <w:p w14:paraId="05411AB0"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lang w:val="en-US"/>
        </w:rPr>
        <w:t xml:space="preserve">Thévenon, Olivier. </w:t>
      </w:r>
      <w:r w:rsidRPr="00E07BEB">
        <w:rPr>
          <w:rFonts w:asciiTheme="minorHAnsi" w:eastAsiaTheme="minorHAnsi" w:hAnsiTheme="minorHAnsi" w:cstheme="minorBidi"/>
          <w:sz w:val="22"/>
          <w:szCs w:val="22"/>
        </w:rPr>
        <w:t xml:space="preserve">2013. “Drivers of Female Labour Force Participation in the OECD.” OECD Social, Employment and Migration Working Paper No. 145. OECD Publishing, Paris. http://dx.doi.org/10.1787/5k46cvrgnms6-en . </w:t>
      </w:r>
    </w:p>
    <w:p w14:paraId="2DA997B2"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lang w:val="en-US"/>
        </w:rPr>
      </w:pPr>
      <w:r w:rsidRPr="00E07BEB">
        <w:rPr>
          <w:rFonts w:asciiTheme="minorHAnsi" w:eastAsiaTheme="minorHAnsi" w:hAnsiTheme="minorHAnsi" w:cstheme="minorBidi"/>
          <w:sz w:val="22"/>
          <w:szCs w:val="22"/>
          <w:lang w:val="en-US"/>
        </w:rPr>
        <w:t xml:space="preserve">UNDP (2020)  COVID-19 will widen poverty gap between women and men, new UN Women and UNDP data shows, New York, available at: </w:t>
      </w:r>
      <w:hyperlink r:id="rId27" w:tgtFrame="_blank" w:history="1">
        <w:r w:rsidRPr="00E07BEB">
          <w:rPr>
            <w:rFonts w:asciiTheme="minorHAnsi" w:eastAsiaTheme="minorHAnsi" w:hAnsiTheme="minorHAnsi" w:cstheme="minorBidi"/>
            <w:color w:val="0563C1" w:themeColor="hyperlink"/>
            <w:sz w:val="22"/>
            <w:szCs w:val="22"/>
            <w:u w:val="single"/>
          </w:rPr>
          <w:t>https://www.undp.org/press-releases/covid-19-will-widen-poverty-gap-between-women-and-men-new-un-women-and-undp-data</w:t>
        </w:r>
      </w:hyperlink>
    </w:p>
    <w:p w14:paraId="5E2D659F"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United Nations (2020) WHO warns of surge of domestic violence as COVID-19 cases decrease in Europe, UN Regional Informational Centre for Western Europe, available at: </w:t>
      </w:r>
      <w:hyperlink r:id="rId28" w:history="1">
        <w:r w:rsidRPr="00E07BEB">
          <w:rPr>
            <w:rFonts w:asciiTheme="minorHAnsi" w:eastAsiaTheme="minorHAnsi" w:hAnsiTheme="minorHAnsi" w:cstheme="minorBidi"/>
            <w:color w:val="0563C1" w:themeColor="hyperlink"/>
            <w:sz w:val="22"/>
            <w:szCs w:val="22"/>
            <w:u w:val="single"/>
          </w:rPr>
          <w:t>https://unric.org/en/who-warns-of-surge-ofdomestic-violence-as-covid-19-cases-decrease-in-europe/</w:t>
        </w:r>
      </w:hyperlink>
    </w:p>
    <w:p w14:paraId="0EA07C6D"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u w:val="single"/>
        </w:rPr>
      </w:pPr>
      <w:r w:rsidRPr="00E07BEB">
        <w:rPr>
          <w:rFonts w:asciiTheme="minorHAnsi" w:eastAsiaTheme="minorHAnsi" w:hAnsiTheme="minorHAnsi" w:cstheme="minorBidi"/>
          <w:sz w:val="22"/>
          <w:szCs w:val="22"/>
        </w:rPr>
        <w:lastRenderedPageBreak/>
        <w:t xml:space="preserve">World Bank. World Development Report 2013:  Jobs. Washington: World Bank, available at: </w:t>
      </w:r>
      <w:r w:rsidRPr="00E07BEB">
        <w:rPr>
          <w:rFonts w:asciiTheme="minorHAnsi" w:eastAsiaTheme="minorHAnsi" w:hAnsiTheme="minorHAnsi" w:cstheme="minorBidi"/>
          <w:sz w:val="22"/>
          <w:szCs w:val="22"/>
        </w:rPr>
        <w:br/>
      </w:r>
      <w:hyperlink r:id="rId29" w:history="1">
        <w:r w:rsidRPr="00E07BEB">
          <w:rPr>
            <w:rFonts w:asciiTheme="minorHAnsi" w:eastAsiaTheme="minorHAnsi" w:hAnsiTheme="minorHAnsi" w:cstheme="minorBidi"/>
            <w:color w:val="0563C1" w:themeColor="hyperlink"/>
            <w:sz w:val="22"/>
            <w:szCs w:val="22"/>
            <w:u w:val="single"/>
          </w:rPr>
          <w:t>https://openknowledge.worldbank.org/handle/10986/11843</w:t>
        </w:r>
      </w:hyperlink>
    </w:p>
    <w:p w14:paraId="3DD21825" w14:textId="77777777" w:rsidR="005C2626" w:rsidRPr="00E07BEB" w:rsidRDefault="005C2626" w:rsidP="005C2626">
      <w:pPr>
        <w:numPr>
          <w:ilvl w:val="0"/>
          <w:numId w:val="39"/>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World Health Organization (2020) the rise and rise of interpersonal violence – an unintended impact of the COVID-19 response on families. Available at: </w:t>
      </w:r>
      <w:hyperlink r:id="rId30" w:history="1">
        <w:r w:rsidRPr="00E07BEB">
          <w:rPr>
            <w:rFonts w:asciiTheme="minorHAnsi" w:eastAsiaTheme="minorHAnsi" w:hAnsiTheme="minorHAnsi" w:cstheme="minorBidi"/>
            <w:color w:val="0563C1" w:themeColor="hyperlink"/>
            <w:sz w:val="22"/>
            <w:szCs w:val="22"/>
            <w:u w:val="single"/>
          </w:rPr>
          <w:t>https://www.euro.who.int/en/health-topics/diseaseprevention/violence-and-injuries/news/news/2020/6/the-rise-and-rise-of-interpersonal-violence-anunintended-impact-of-the-covid-19-response-on-families</w:t>
        </w:r>
      </w:hyperlink>
      <w:r w:rsidRPr="00E07BEB">
        <w:rPr>
          <w:rFonts w:asciiTheme="minorHAnsi" w:eastAsiaTheme="minorHAnsi" w:hAnsiTheme="minorHAnsi" w:cstheme="minorBidi"/>
          <w:sz w:val="22"/>
          <w:szCs w:val="22"/>
        </w:rPr>
        <w:t>.</w:t>
      </w:r>
    </w:p>
    <w:p w14:paraId="3FF52646" w14:textId="77777777" w:rsidR="005C2626" w:rsidRPr="00E07BEB" w:rsidRDefault="005C2626" w:rsidP="005C2626">
      <w:pPr>
        <w:spacing w:after="160" w:line="259" w:lineRule="auto"/>
        <w:jc w:val="both"/>
        <w:rPr>
          <w:rFonts w:asciiTheme="minorHAnsi" w:eastAsiaTheme="minorHAnsi" w:hAnsiTheme="minorHAnsi" w:cstheme="minorBidi"/>
          <w:sz w:val="22"/>
          <w:szCs w:val="22"/>
        </w:rPr>
      </w:pPr>
    </w:p>
    <w:p w14:paraId="3ACA154F" w14:textId="77777777" w:rsidR="005C2626" w:rsidRPr="00E07BEB" w:rsidRDefault="005C2626" w:rsidP="005C2626">
      <w:pPr>
        <w:spacing w:after="160" w:line="259" w:lineRule="auto"/>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Links: </w:t>
      </w:r>
    </w:p>
    <w:p w14:paraId="75A05548" w14:textId="77777777" w:rsidR="005C2626" w:rsidRPr="00E07BEB" w:rsidRDefault="005C2626" w:rsidP="005C2626">
      <w:pPr>
        <w:numPr>
          <w:ilvl w:val="0"/>
          <w:numId w:val="40"/>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Council of Europe, Istanbul Convention: </w:t>
      </w:r>
      <w:hyperlink r:id="rId31" w:history="1">
        <w:r w:rsidRPr="00E07BEB">
          <w:rPr>
            <w:rFonts w:asciiTheme="minorHAnsi" w:eastAsiaTheme="minorHAnsi" w:hAnsiTheme="minorHAnsi" w:cstheme="minorBidi"/>
            <w:color w:val="0563C1" w:themeColor="hyperlink"/>
            <w:sz w:val="22"/>
            <w:szCs w:val="22"/>
            <w:u w:val="single"/>
          </w:rPr>
          <w:t>https://www.coe.int/en/web/istanbul-convention/text-of-the-convention</w:t>
        </w:r>
      </w:hyperlink>
    </w:p>
    <w:p w14:paraId="22F4A657" w14:textId="77777777" w:rsidR="005C2626" w:rsidRPr="00E07BEB" w:rsidRDefault="005C2626" w:rsidP="005C2626">
      <w:pPr>
        <w:numPr>
          <w:ilvl w:val="0"/>
          <w:numId w:val="40"/>
        </w:numPr>
        <w:spacing w:after="160" w:line="259" w:lineRule="auto"/>
        <w:contextualSpacing/>
        <w:jc w:val="both"/>
        <w:rPr>
          <w:rFonts w:asciiTheme="minorHAnsi" w:eastAsiaTheme="minorHAnsi" w:hAnsiTheme="minorHAnsi" w:cstheme="minorBidi"/>
          <w:sz w:val="22"/>
          <w:szCs w:val="22"/>
          <w:lang w:val="es-AR"/>
        </w:rPr>
      </w:pPr>
      <w:r w:rsidRPr="00E07BEB">
        <w:rPr>
          <w:rFonts w:asciiTheme="minorHAnsi" w:eastAsiaTheme="minorHAnsi" w:hAnsiTheme="minorHAnsi" w:cstheme="minorBidi"/>
          <w:sz w:val="22"/>
          <w:szCs w:val="22"/>
          <w:lang w:val="es-AR"/>
        </w:rPr>
        <w:t xml:space="preserve">Gobierno de España, 2020. Real Decreto Legislativo 2/2015, de 23 de octubre, available at: </w:t>
      </w:r>
      <w:hyperlink r:id="rId32" w:tgtFrame="_blank" w:history="1">
        <w:r w:rsidRPr="00E07BEB">
          <w:rPr>
            <w:rFonts w:asciiTheme="minorHAnsi" w:eastAsiaTheme="minorHAnsi" w:hAnsiTheme="minorHAnsi" w:cstheme="minorBidi"/>
            <w:color w:val="0563C1" w:themeColor="hyperlink"/>
            <w:sz w:val="22"/>
            <w:szCs w:val="22"/>
            <w:u w:val="single"/>
            <w:lang w:val="es-AR"/>
          </w:rPr>
          <w:t>https://www.boe.es/buscar/act.php?id=BOE-A-2015-11430</w:t>
        </w:r>
      </w:hyperlink>
    </w:p>
    <w:p w14:paraId="1E9E22C3" w14:textId="77777777" w:rsidR="005C2626" w:rsidRPr="00E07BEB" w:rsidRDefault="00DA05A4" w:rsidP="005C2626">
      <w:pPr>
        <w:numPr>
          <w:ilvl w:val="0"/>
          <w:numId w:val="40"/>
        </w:numPr>
        <w:spacing w:after="160" w:line="259" w:lineRule="auto"/>
        <w:contextualSpacing/>
        <w:jc w:val="both"/>
        <w:rPr>
          <w:rFonts w:asciiTheme="minorHAnsi" w:eastAsiaTheme="minorHAnsi" w:hAnsiTheme="minorHAnsi" w:cstheme="minorBidi"/>
          <w:sz w:val="22"/>
          <w:szCs w:val="22"/>
          <w:lang w:val="es-AR"/>
        </w:rPr>
      </w:pPr>
      <w:hyperlink r:id="rId33" w:history="1">
        <w:r w:rsidR="005C2626" w:rsidRPr="00E07BEB">
          <w:rPr>
            <w:rFonts w:asciiTheme="minorHAnsi" w:eastAsiaTheme="minorHAnsi" w:hAnsiTheme="minorHAnsi" w:cstheme="minorBidi"/>
            <w:color w:val="0563C1" w:themeColor="hyperlink"/>
            <w:sz w:val="22"/>
            <w:szCs w:val="22"/>
            <w:u w:val="single"/>
            <w:lang w:val="es-AR"/>
          </w:rPr>
          <w:t>https://wbl.worldbank.org/en/wbl</w:t>
        </w:r>
      </w:hyperlink>
    </w:p>
    <w:p w14:paraId="33A84D6F" w14:textId="77777777" w:rsidR="005C2626" w:rsidRPr="00E07BEB" w:rsidRDefault="00DA05A4" w:rsidP="005C2626">
      <w:pPr>
        <w:numPr>
          <w:ilvl w:val="0"/>
          <w:numId w:val="40"/>
        </w:numPr>
        <w:spacing w:after="160" w:line="259" w:lineRule="auto"/>
        <w:contextualSpacing/>
        <w:jc w:val="both"/>
        <w:rPr>
          <w:rFonts w:asciiTheme="minorHAnsi" w:eastAsiaTheme="minorHAnsi" w:hAnsiTheme="minorHAnsi" w:cstheme="minorBidi"/>
          <w:sz w:val="22"/>
          <w:szCs w:val="22"/>
          <w:lang w:val="es-AR"/>
        </w:rPr>
      </w:pPr>
      <w:hyperlink r:id="rId34" w:history="1">
        <w:r w:rsidR="005C2626" w:rsidRPr="00E07BEB">
          <w:rPr>
            <w:rFonts w:asciiTheme="minorHAnsi" w:eastAsiaTheme="minorHAnsi" w:hAnsiTheme="minorHAnsi" w:cstheme="minorBidi"/>
            <w:color w:val="0563C1" w:themeColor="hyperlink"/>
            <w:sz w:val="22"/>
            <w:szCs w:val="22"/>
            <w:u w:val="single"/>
            <w:lang w:val="es-AR"/>
          </w:rPr>
          <w:t>https://www.aile.gov.tr/ksgm</w:t>
        </w:r>
      </w:hyperlink>
    </w:p>
    <w:p w14:paraId="5AAF76CF" w14:textId="77777777" w:rsidR="005C2626" w:rsidRPr="00E07BEB" w:rsidRDefault="005C2626" w:rsidP="005C2626">
      <w:pPr>
        <w:numPr>
          <w:ilvl w:val="0"/>
          <w:numId w:val="40"/>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 xml:space="preserve">National Employment Strategy (2014 – 2023); </w:t>
      </w:r>
      <w:hyperlink r:id="rId35">
        <w:r w:rsidRPr="00E07BEB">
          <w:rPr>
            <w:rFonts w:asciiTheme="minorHAnsi" w:eastAsiaTheme="minorHAnsi" w:hAnsiTheme="minorHAnsi" w:cstheme="minorBidi"/>
            <w:color w:val="0563C1" w:themeColor="hyperlink"/>
            <w:sz w:val="22"/>
            <w:szCs w:val="22"/>
            <w:u w:val="single"/>
          </w:rPr>
          <w:t>http://extwprlegs</w:t>
        </w:r>
      </w:hyperlink>
      <w:r w:rsidRPr="00E07BEB">
        <w:rPr>
          <w:rFonts w:asciiTheme="minorHAnsi" w:eastAsiaTheme="minorHAnsi" w:hAnsiTheme="minorHAnsi" w:cstheme="minorBidi"/>
          <w:sz w:val="22"/>
          <w:szCs w:val="22"/>
        </w:rPr>
        <w:t>1.fao.org/docs/pdf/tur175309.pdf</w:t>
      </w:r>
    </w:p>
    <w:p w14:paraId="186DDB16" w14:textId="77777777" w:rsidR="005C2626" w:rsidRPr="00E07BEB" w:rsidRDefault="005C2626" w:rsidP="005C2626">
      <w:pPr>
        <w:numPr>
          <w:ilvl w:val="0"/>
          <w:numId w:val="40"/>
        </w:numPr>
        <w:spacing w:after="160" w:line="259" w:lineRule="auto"/>
        <w:contextualSpacing/>
        <w:jc w:val="both"/>
        <w:rPr>
          <w:rFonts w:asciiTheme="minorHAnsi" w:eastAsiaTheme="minorHAnsi" w:hAnsiTheme="minorHAnsi" w:cstheme="minorBidi"/>
          <w:sz w:val="22"/>
          <w:szCs w:val="22"/>
        </w:rPr>
      </w:pPr>
      <w:r w:rsidRPr="00E07BEB">
        <w:rPr>
          <w:rFonts w:asciiTheme="minorHAnsi" w:eastAsiaTheme="minorHAnsi" w:hAnsiTheme="minorHAnsi" w:cstheme="minorBidi"/>
          <w:sz w:val="22"/>
          <w:szCs w:val="22"/>
        </w:rPr>
        <w:t>The 11</w:t>
      </w:r>
      <w:r w:rsidRPr="00E07BEB">
        <w:rPr>
          <w:rFonts w:asciiTheme="minorHAnsi" w:eastAsiaTheme="minorHAnsi" w:hAnsiTheme="minorHAnsi" w:cstheme="minorBidi"/>
          <w:sz w:val="22"/>
          <w:szCs w:val="22"/>
          <w:vertAlign w:val="superscript"/>
        </w:rPr>
        <w:t>th</w:t>
      </w:r>
      <w:r w:rsidRPr="00E07BEB">
        <w:rPr>
          <w:rFonts w:asciiTheme="minorHAnsi" w:eastAsiaTheme="minorHAnsi" w:hAnsiTheme="minorHAnsi" w:cstheme="minorBidi"/>
          <w:sz w:val="22"/>
          <w:szCs w:val="22"/>
        </w:rPr>
        <w:t xml:space="preserve"> Development Plan: </w:t>
      </w:r>
      <w:hyperlink r:id="rId36" w:history="1">
        <w:r w:rsidRPr="00E07BEB">
          <w:rPr>
            <w:rFonts w:asciiTheme="minorHAnsi" w:eastAsiaTheme="minorHAnsi" w:hAnsiTheme="minorHAnsi" w:cstheme="minorBidi"/>
            <w:color w:val="0563C1" w:themeColor="hyperlink"/>
            <w:sz w:val="22"/>
            <w:szCs w:val="22"/>
            <w:u w:val="single"/>
          </w:rPr>
          <w:t>https://www.sbb.gov.tr/wp-content/uploads/2021/12/Eleventh_Development_Plan_2019-2023.pdf</w:t>
        </w:r>
      </w:hyperlink>
    </w:p>
    <w:p w14:paraId="497AA672" w14:textId="77777777" w:rsidR="005C2626" w:rsidRPr="00E07BEB" w:rsidRDefault="005C2626" w:rsidP="005C2626">
      <w:pPr>
        <w:numPr>
          <w:ilvl w:val="0"/>
          <w:numId w:val="40"/>
        </w:num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TurkStat</w:t>
      </w:r>
      <w:r w:rsidRPr="00E07BEB">
        <w:rPr>
          <w:rFonts w:asciiTheme="minorHAnsi" w:eastAsiaTheme="minorHAnsi" w:hAnsiTheme="minorHAnsi" w:cstheme="minorBidi"/>
          <w:sz w:val="22"/>
          <w:szCs w:val="22"/>
        </w:rPr>
        <w:t xml:space="preserve"> (2020) ‘Women in Statistics 2019’, press release 6 March 2020, available at: https://tuikweb.tuik.gov.tr/PreHaberBultenleri.do?id=33732#:~:text=T%C3%BCrkiye%20%C4%B0statisti k%20Kurumu%2C%20%C4%B0statistiklerle%20Kad%C4%B1n%2C%202019&amp;text=Adrese%20Dayal%C4 %B1%20N%C3%BCfus%20Kay%C4%B1t%20Sistemi,2'sini%20ise%20erkekler%20olu%C5%9Fturdu</w:t>
      </w:r>
    </w:p>
    <w:p w14:paraId="015039E3" w14:textId="77777777" w:rsidR="005C2626" w:rsidRPr="00E07BEB" w:rsidRDefault="005C2626" w:rsidP="005C2626">
      <w:pPr>
        <w:numPr>
          <w:ilvl w:val="0"/>
          <w:numId w:val="40"/>
        </w:numPr>
        <w:spacing w:after="160" w:line="259" w:lineRule="auto"/>
        <w:contextualSpacing/>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TurkStat</w:t>
      </w:r>
      <w:r w:rsidRPr="00E07BEB">
        <w:rPr>
          <w:rFonts w:asciiTheme="minorHAnsi" w:eastAsiaTheme="minorHAnsi" w:hAnsiTheme="minorHAnsi" w:cstheme="minorBidi"/>
          <w:sz w:val="22"/>
          <w:szCs w:val="22"/>
        </w:rPr>
        <w:t xml:space="preserve"> (2021) Women in Statistics, available at: </w:t>
      </w:r>
      <w:hyperlink r:id="rId37" w:anchor=":~:text=The%20rate%20of%20women%20working,females%20and%209.3%25%20for%20males" w:history="1">
        <w:r w:rsidRPr="00E07BEB">
          <w:rPr>
            <w:rFonts w:asciiTheme="minorHAnsi" w:eastAsiaTheme="minorHAnsi" w:hAnsiTheme="minorHAnsi" w:cstheme="minorBidi"/>
            <w:color w:val="0563C1" w:themeColor="hyperlink"/>
            <w:sz w:val="22"/>
            <w:szCs w:val="22"/>
            <w:u w:val="single"/>
          </w:rPr>
          <w:t>https://data.tuik.gov.tr/Bulten/Index?p=Istatistiklerle-Kadin-2021-45635&amp;dil=2#:~:text=The%20rate%20of%20women%20working,females%20and%209.3%25%20for%20males</w:t>
        </w:r>
      </w:hyperlink>
    </w:p>
    <w:p w14:paraId="7DC95E1A" w14:textId="77777777" w:rsidR="005C2626" w:rsidRPr="00E07BEB" w:rsidRDefault="00DA05A4" w:rsidP="005C2626">
      <w:pPr>
        <w:numPr>
          <w:ilvl w:val="0"/>
          <w:numId w:val="40"/>
        </w:numPr>
        <w:spacing w:after="160" w:line="259" w:lineRule="auto"/>
        <w:contextualSpacing/>
        <w:jc w:val="both"/>
        <w:rPr>
          <w:rFonts w:asciiTheme="minorHAnsi" w:eastAsiaTheme="minorHAnsi" w:hAnsiTheme="minorHAnsi" w:cstheme="minorBidi"/>
          <w:sz w:val="22"/>
          <w:szCs w:val="22"/>
        </w:rPr>
      </w:pPr>
      <w:hyperlink r:id="rId38" w:history="1">
        <w:r w:rsidR="005C2626" w:rsidRPr="00E07BEB">
          <w:rPr>
            <w:rFonts w:asciiTheme="minorHAnsi" w:eastAsiaTheme="minorHAnsi" w:hAnsiTheme="minorHAnsi" w:cstheme="minorBidi"/>
            <w:color w:val="0563C1" w:themeColor="hyperlink"/>
            <w:sz w:val="22"/>
            <w:szCs w:val="22"/>
            <w:u w:val="single"/>
          </w:rPr>
          <w:t>www.data.tuik.gov.tr</w:t>
        </w:r>
      </w:hyperlink>
    </w:p>
    <w:p w14:paraId="7F925FCA" w14:textId="66006B44" w:rsidR="0015658F" w:rsidRDefault="0015658F">
      <w:pPr>
        <w:rPr>
          <w:b/>
          <w:sz w:val="22"/>
          <w:szCs w:val="22"/>
        </w:rPr>
      </w:pPr>
    </w:p>
    <w:p w14:paraId="481DC0CB" w14:textId="3184EEC9" w:rsidR="001F5353" w:rsidRDefault="009C54EF">
      <w:pPr>
        <w:spacing w:after="160" w:line="259" w:lineRule="auto"/>
        <w:jc w:val="both"/>
        <w:rPr>
          <w:sz w:val="22"/>
          <w:szCs w:val="22"/>
        </w:rPr>
      </w:pPr>
      <w:bookmarkStart w:id="55" w:name="_heading=h.26in1rg" w:colFirst="0" w:colLast="0"/>
      <w:bookmarkEnd w:id="55"/>
      <w:r>
        <w:rPr>
          <w:sz w:val="22"/>
          <w:szCs w:val="22"/>
        </w:rPr>
        <w:t>Attached to this Report:</w:t>
      </w:r>
    </w:p>
    <w:p w14:paraId="6915F679" w14:textId="7E014F9C" w:rsidR="00807B42" w:rsidRDefault="002A11FD" w:rsidP="005C2626">
      <w:pPr>
        <w:spacing w:after="160"/>
        <w:ind w:left="720"/>
        <w:jc w:val="both"/>
        <w:rPr>
          <w:sz w:val="22"/>
          <w:szCs w:val="22"/>
        </w:rPr>
      </w:pPr>
      <w:r>
        <w:rPr>
          <w:sz w:val="22"/>
          <w:szCs w:val="22"/>
        </w:rPr>
        <w:t>Annex 1: Desk Research Report;</w:t>
      </w:r>
    </w:p>
    <w:p w14:paraId="21FDA161" w14:textId="05B457A4" w:rsidR="005C2626" w:rsidRDefault="002A11FD" w:rsidP="005C2626">
      <w:pPr>
        <w:spacing w:after="160"/>
        <w:ind w:left="720"/>
        <w:jc w:val="both"/>
        <w:rPr>
          <w:sz w:val="22"/>
          <w:szCs w:val="22"/>
        </w:rPr>
      </w:pPr>
      <w:r>
        <w:rPr>
          <w:sz w:val="22"/>
          <w:szCs w:val="22"/>
        </w:rPr>
        <w:t xml:space="preserve">Annex </w:t>
      </w:r>
      <w:r w:rsidR="00056A3C">
        <w:rPr>
          <w:sz w:val="22"/>
          <w:szCs w:val="22"/>
        </w:rPr>
        <w:t>2</w:t>
      </w:r>
      <w:r>
        <w:rPr>
          <w:sz w:val="22"/>
          <w:szCs w:val="22"/>
        </w:rPr>
        <w:t xml:space="preserve">: </w:t>
      </w:r>
      <w:r w:rsidR="005C2626">
        <w:rPr>
          <w:sz w:val="22"/>
          <w:szCs w:val="22"/>
        </w:rPr>
        <w:t>Note of Stakeholder Meetings;</w:t>
      </w:r>
    </w:p>
    <w:p w14:paraId="1B950057" w14:textId="5286231D" w:rsidR="002A11FD" w:rsidRDefault="005C2626" w:rsidP="005C2626">
      <w:pPr>
        <w:spacing w:after="160"/>
        <w:ind w:left="720"/>
        <w:jc w:val="both"/>
        <w:rPr>
          <w:sz w:val="22"/>
          <w:szCs w:val="22"/>
        </w:rPr>
      </w:pPr>
      <w:r>
        <w:rPr>
          <w:sz w:val="22"/>
          <w:szCs w:val="22"/>
        </w:rPr>
        <w:t xml:space="preserve">Annex 3: </w:t>
      </w:r>
      <w:r w:rsidR="002A11FD">
        <w:rPr>
          <w:sz w:val="22"/>
          <w:szCs w:val="22"/>
        </w:rPr>
        <w:t>Evaluation Report on Pre-Study Workshop;</w:t>
      </w:r>
    </w:p>
    <w:p w14:paraId="7EFDEA92" w14:textId="6AA3E9F9" w:rsidR="005C2626" w:rsidRDefault="005C2626" w:rsidP="005C2626">
      <w:pPr>
        <w:spacing w:after="160"/>
        <w:ind w:left="720"/>
        <w:jc w:val="both"/>
        <w:rPr>
          <w:sz w:val="22"/>
          <w:szCs w:val="22"/>
        </w:rPr>
      </w:pPr>
      <w:r>
        <w:rPr>
          <w:sz w:val="22"/>
          <w:szCs w:val="22"/>
        </w:rPr>
        <w:t>Annex 4: Field Study Report;</w:t>
      </w:r>
    </w:p>
    <w:p w14:paraId="52652EF4" w14:textId="6485FF5B" w:rsidR="00807B42" w:rsidRDefault="002A11FD" w:rsidP="00314E6B">
      <w:pPr>
        <w:spacing w:after="160"/>
        <w:ind w:left="720"/>
        <w:jc w:val="both"/>
        <w:rPr>
          <w:sz w:val="22"/>
          <w:szCs w:val="22"/>
        </w:rPr>
      </w:pPr>
      <w:r>
        <w:rPr>
          <w:sz w:val="22"/>
          <w:szCs w:val="22"/>
        </w:rPr>
        <w:t xml:space="preserve">Annex </w:t>
      </w:r>
      <w:r w:rsidR="005C2626">
        <w:rPr>
          <w:sz w:val="22"/>
          <w:szCs w:val="22"/>
        </w:rPr>
        <w:t>5</w:t>
      </w:r>
      <w:r>
        <w:rPr>
          <w:sz w:val="22"/>
          <w:szCs w:val="22"/>
        </w:rPr>
        <w:t>: Evaluation Report on Post-Study Workshop.</w:t>
      </w:r>
    </w:p>
    <w:p w14:paraId="5D8425AE" w14:textId="202E4E1C" w:rsidR="0015658F" w:rsidRDefault="006B2F74">
      <w:pPr>
        <w:jc w:val="both"/>
        <w:rPr>
          <w:b/>
          <w:sz w:val="22"/>
          <w:szCs w:val="22"/>
        </w:rPr>
      </w:pPr>
      <w:bookmarkStart w:id="56" w:name="_heading=h.44sinio" w:colFirst="0" w:colLast="0"/>
      <w:bookmarkEnd w:id="56"/>
      <w:r>
        <w:rPr>
          <w:b/>
          <w:sz w:val="22"/>
          <w:szCs w:val="22"/>
        </w:rPr>
        <w:t>Fo</w:t>
      </w:r>
      <w:r w:rsidR="006A3AF5">
        <w:rPr>
          <w:b/>
          <w:sz w:val="22"/>
          <w:szCs w:val="22"/>
        </w:rPr>
        <w:t>W TAT</w:t>
      </w:r>
    </w:p>
    <w:p w14:paraId="2D671A29" w14:textId="2E4B913F" w:rsidR="0095333C" w:rsidRDefault="009C54EF">
      <w:pPr>
        <w:jc w:val="both"/>
        <w:rPr>
          <w:b/>
          <w:sz w:val="22"/>
          <w:szCs w:val="22"/>
        </w:rPr>
      </w:pPr>
      <w:r>
        <w:rPr>
          <w:b/>
          <w:sz w:val="22"/>
          <w:szCs w:val="22"/>
        </w:rPr>
        <w:t>October</w:t>
      </w:r>
      <w:r w:rsidR="006B2F74">
        <w:rPr>
          <w:b/>
          <w:sz w:val="22"/>
          <w:szCs w:val="22"/>
        </w:rPr>
        <w:t xml:space="preserve"> </w:t>
      </w:r>
      <w:r w:rsidR="00314E6B">
        <w:rPr>
          <w:b/>
          <w:sz w:val="22"/>
          <w:szCs w:val="22"/>
        </w:rPr>
        <w:t>2022</w:t>
      </w:r>
    </w:p>
    <w:p w14:paraId="599D85EC" w14:textId="0726AF3F" w:rsidR="0023103C" w:rsidRDefault="0023103C">
      <w:pPr>
        <w:rPr>
          <w:sz w:val="22"/>
          <w:szCs w:val="22"/>
        </w:rPr>
      </w:pPr>
      <w:r>
        <w:rPr>
          <w:sz w:val="22"/>
          <w:szCs w:val="22"/>
        </w:rPr>
        <w:br w:type="page"/>
      </w:r>
    </w:p>
    <w:p w14:paraId="0E6063DE" w14:textId="0308E205" w:rsidR="0015658F" w:rsidRDefault="00EB3532">
      <w:pPr>
        <w:rPr>
          <w:sz w:val="22"/>
          <w:szCs w:val="22"/>
        </w:rPr>
      </w:pPr>
      <w:r>
        <w:rPr>
          <w:noProof/>
          <w:lang w:eastAsia="en-GB"/>
        </w:rPr>
        <w:lastRenderedPageBreak/>
        <mc:AlternateContent>
          <mc:Choice Requires="wps">
            <w:drawing>
              <wp:anchor distT="0" distB="0" distL="114300" distR="114300" simplePos="0" relativeHeight="251664384" behindDoc="0" locked="0" layoutInCell="1" hidden="0" allowOverlap="1" wp14:anchorId="7A32BC69" wp14:editId="772BDD51">
                <wp:simplePos x="0" y="0"/>
                <wp:positionH relativeFrom="page">
                  <wp:align>center</wp:align>
                </wp:positionH>
                <wp:positionV relativeFrom="paragraph">
                  <wp:posOffset>7622135</wp:posOffset>
                </wp:positionV>
                <wp:extent cx="7179945" cy="611505"/>
                <wp:effectExtent l="0" t="0" r="1905" b="17145"/>
                <wp:wrapNone/>
                <wp:docPr id="31" name="Rectangle 31"/>
                <wp:cNvGraphicFramePr/>
                <a:graphic xmlns:a="http://schemas.openxmlformats.org/drawingml/2006/main">
                  <a:graphicData uri="http://schemas.microsoft.com/office/word/2010/wordprocessingShape">
                    <wps:wsp>
                      <wps:cNvSpPr/>
                      <wps:spPr>
                        <a:xfrm>
                          <a:off x="0" y="0"/>
                          <a:ext cx="7179945" cy="611505"/>
                        </a:xfrm>
                        <a:prstGeom prst="rect">
                          <a:avLst/>
                        </a:prstGeom>
                        <a:noFill/>
                        <a:ln>
                          <a:noFill/>
                        </a:ln>
                      </wps:spPr>
                      <wps:txbx>
                        <w:txbxContent>
                          <w:p w14:paraId="4C395050" w14:textId="4DA1F136" w:rsidR="009A6D0A" w:rsidRDefault="009A6D0A">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wps:txbx>
                      <wps:bodyPr spcFirstLastPara="1" wrap="square" lIns="0" tIns="0" rIns="0" bIns="0" anchor="t" anchorCtr="0">
                        <a:noAutofit/>
                      </wps:bodyPr>
                    </wps:wsp>
                  </a:graphicData>
                </a:graphic>
              </wp:anchor>
            </w:drawing>
          </mc:Choice>
          <mc:Fallback>
            <w:pict>
              <v:rect w14:anchorId="7A32BC69" id="Rectangle 31" o:spid="_x0000_s1027" style="position:absolute;margin-left:0;margin-top:600.15pt;width:565.35pt;height:48.15pt;z-index:25166438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" filled="f" stroked="f">
                <v:textbox inset="0,0,0,0">
                  <w:txbxContent>
                    <w:p w14:paraId="4C395050" w14:textId="4DA1F136" w:rsidR="009A6D0A" w:rsidRDefault="009A6D0A">
                      <w:pPr>
                        <w:spacing w:line="288" w:lineRule="auto"/>
                        <w:jc w:val="both"/>
                        <w:textDirection w:val="btLr"/>
                      </w:pPr>
                      <w:r>
                        <w:rPr>
                          <w:color w:val="002060"/>
                          <w:sz w:val="20"/>
                        </w:rPr>
                        <w:t>This publication was produced with the financial support of the European Union and the Republic of Türkiye. Its contents are the sole responsibility of the consortium led by WEglobal A.Ş. in consortium with WEglobal Italy, Archidata Srl, and Federation of Trentina Cooperatives (FTC) and do not necessarily reflect the views of the European Union and the Republic of Türkiye.</w:t>
                      </w:r>
                    </w:p>
                  </w:txbxContent>
                </v:textbox>
                <w10:wrap anchorx="page"/>
              </v:rect>
            </w:pict>
          </mc:Fallback>
        </mc:AlternateContent>
      </w:r>
      <w:r>
        <w:rPr>
          <w:noProof/>
          <w:sz w:val="22"/>
          <w:szCs w:val="22"/>
          <w:lang w:eastAsia="en-GB"/>
        </w:rPr>
        <w:drawing>
          <wp:anchor distT="0" distB="0" distL="0" distR="0" simplePos="0" relativeHeight="251663360" behindDoc="1" locked="0" layoutInCell="1" hidden="0" allowOverlap="1" wp14:anchorId="73CD6CB0" wp14:editId="7372B4AC">
            <wp:simplePos x="0" y="0"/>
            <wp:positionH relativeFrom="page">
              <wp:align>center</wp:align>
            </wp:positionH>
            <wp:positionV relativeFrom="page">
              <wp:align>top</wp:align>
            </wp:positionV>
            <wp:extent cx="7560000" cy="10699200"/>
            <wp:effectExtent l="0" t="0" r="3175" b="6985"/>
            <wp:wrapNone/>
            <wp:docPr id="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9"/>
                    <a:srcRect/>
                    <a:stretch>
                      <a:fillRect/>
                    </a:stretch>
                  </pic:blipFill>
                  <pic:spPr>
                    <a:xfrm>
                      <a:off x="0" y="0"/>
                      <a:ext cx="7560000" cy="10699200"/>
                    </a:xfrm>
                    <a:prstGeom prst="rect">
                      <a:avLst/>
                    </a:prstGeom>
                    <a:ln/>
                  </pic:spPr>
                </pic:pic>
              </a:graphicData>
            </a:graphic>
            <wp14:sizeRelH relativeFrom="margin">
              <wp14:pctWidth>0</wp14:pctWidth>
            </wp14:sizeRelH>
          </wp:anchor>
        </w:drawing>
      </w:r>
    </w:p>
    <w:sectPr w:rsidR="0015658F">
      <w:headerReference w:type="default" r:id="rId40"/>
      <w:footerReference w:type="default" r:id="rId41"/>
      <w:pgSz w:w="12240" w:h="15840"/>
      <w:pgMar w:top="1985" w:right="985" w:bottom="1843" w:left="1418" w:header="709" w:footer="98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A53B3" w16cex:dateUtc="2022-07-26T08:51:00Z"/>
  <w16cex:commentExtensible w16cex:durableId="268A5409" w16cex:dateUtc="2022-07-26T08:52:00Z"/>
  <w16cex:commentExtensible w16cex:durableId="268A56E7" w16cex:dateUtc="2022-07-26T09:04:00Z"/>
  <w16cex:commentExtensible w16cex:durableId="268A5492" w16cex:dateUtc="2022-07-26T08:54:00Z"/>
  <w16cex:commentExtensible w16cex:durableId="268A556C" w16cex:dateUtc="2022-07-26T08:58:00Z"/>
  <w16cex:commentExtensible w16cex:durableId="268A5588" w16cex:dateUtc="2022-07-26T08:59:00Z"/>
  <w16cex:commentExtensible w16cex:durableId="268A5759" w16cex:dateUtc="2022-07-26T09:0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2B6C69" w14:textId="77777777" w:rsidR="00DA05A4" w:rsidRDefault="00DA05A4">
      <w:r>
        <w:separator/>
      </w:r>
    </w:p>
  </w:endnote>
  <w:endnote w:type="continuationSeparator" w:id="0">
    <w:p w14:paraId="05A3EEF9" w14:textId="77777777" w:rsidR="00DA05A4" w:rsidRDefault="00DA0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26DB1" w14:textId="404AF8D3" w:rsidR="009A6D0A" w:rsidRDefault="009A6D0A">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F3163F">
      <w:rPr>
        <w:noProof/>
        <w:color w:val="000000"/>
      </w:rPr>
      <w:t>4</w:t>
    </w:r>
    <w:r>
      <w:rPr>
        <w:color w:val="000000"/>
      </w:rPr>
      <w:fldChar w:fldCharType="end"/>
    </w:r>
    <w:r>
      <w:rPr>
        <w:noProof/>
        <w:lang w:eastAsia="en-GB"/>
      </w:rPr>
      <w:drawing>
        <wp:anchor distT="0" distB="0" distL="0" distR="0" simplePos="0" relativeHeight="251661312" behindDoc="1" locked="0" layoutInCell="1" hidden="0" allowOverlap="1" wp14:anchorId="3EEA71FB" wp14:editId="432378A2">
          <wp:simplePos x="0" y="0"/>
          <wp:positionH relativeFrom="column">
            <wp:posOffset>-900429</wp:posOffset>
          </wp:positionH>
          <wp:positionV relativeFrom="paragraph">
            <wp:posOffset>0</wp:posOffset>
          </wp:positionV>
          <wp:extent cx="7556400" cy="896400"/>
          <wp:effectExtent l="0" t="0" r="0" b="0"/>
          <wp:wrapNone/>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400" cy="896400"/>
                  </a:xfrm>
                  <a:prstGeom prst="rect">
                    <a:avLst/>
                  </a:prstGeom>
                  <a:ln/>
                </pic:spPr>
              </pic:pic>
            </a:graphicData>
          </a:graphic>
        </wp:anchor>
      </w:drawing>
    </w:r>
  </w:p>
  <w:p w14:paraId="02A6EBBB" w14:textId="77777777" w:rsidR="009A6D0A" w:rsidRDefault="009A6D0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3BACF" w14:textId="77777777" w:rsidR="00DA05A4" w:rsidRDefault="00DA05A4">
      <w:r>
        <w:separator/>
      </w:r>
    </w:p>
  </w:footnote>
  <w:footnote w:type="continuationSeparator" w:id="0">
    <w:p w14:paraId="0BC5688B" w14:textId="77777777" w:rsidR="00DA05A4" w:rsidRDefault="00DA0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4ABB3" w14:textId="77777777" w:rsidR="009A6D0A" w:rsidRDefault="009A6D0A">
    <w:pPr>
      <w:pBdr>
        <w:top w:val="nil"/>
        <w:left w:val="nil"/>
        <w:bottom w:val="nil"/>
        <w:right w:val="nil"/>
        <w:between w:val="nil"/>
      </w:pBdr>
      <w:tabs>
        <w:tab w:val="center" w:pos="4680"/>
        <w:tab w:val="right" w:pos="9360"/>
      </w:tabs>
      <w:rPr>
        <w:color w:val="000000"/>
      </w:rPr>
    </w:pPr>
    <w:r>
      <w:rPr>
        <w:noProof/>
        <w:color w:val="000000"/>
        <w:lang w:eastAsia="en-GB"/>
      </w:rPr>
      <w:drawing>
        <wp:anchor distT="0" distB="0" distL="0" distR="0" simplePos="0" relativeHeight="251660288" behindDoc="1" locked="0" layoutInCell="1" hidden="0" allowOverlap="1" wp14:anchorId="6576D625" wp14:editId="1B023651">
          <wp:simplePos x="0" y="0"/>
          <wp:positionH relativeFrom="page">
            <wp:align>center</wp:align>
          </wp:positionH>
          <wp:positionV relativeFrom="page">
            <wp:align>top</wp:align>
          </wp:positionV>
          <wp:extent cx="6480000" cy="1256400"/>
          <wp:effectExtent l="0" t="0" r="0" b="0"/>
          <wp:wrapNone/>
          <wp:docPr id="33" name="image7.png" descr="A picture containing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application&#10;&#10;Description automatically generated"/>
                  <pic:cNvPicPr preferRelativeResize="0"/>
                </pic:nvPicPr>
                <pic:blipFill>
                  <a:blip r:embed="rId1"/>
                  <a:srcRect/>
                  <a:stretch>
                    <a:fillRect/>
                  </a:stretch>
                </pic:blipFill>
                <pic:spPr>
                  <a:xfrm>
                    <a:off x="0" y="0"/>
                    <a:ext cx="6480000" cy="1256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9D8177"/>
    <w:multiLevelType w:val="hybridMultilevel"/>
    <w:tmpl w:val="6436CD10"/>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5549B"/>
    <w:multiLevelType w:val="hybridMultilevel"/>
    <w:tmpl w:val="456A53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B450F8"/>
    <w:multiLevelType w:val="hybridMultilevel"/>
    <w:tmpl w:val="C82842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BD63C72"/>
    <w:multiLevelType w:val="hybridMultilevel"/>
    <w:tmpl w:val="3C308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91623A"/>
    <w:multiLevelType w:val="hybridMultilevel"/>
    <w:tmpl w:val="20AA9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C65809"/>
    <w:multiLevelType w:val="hybridMultilevel"/>
    <w:tmpl w:val="943AEC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9E2DDE"/>
    <w:multiLevelType w:val="hybridMultilevel"/>
    <w:tmpl w:val="AF1898C8"/>
    <w:lvl w:ilvl="0" w:tplc="FFFFFFFF">
      <w:start w:val="1"/>
      <w:numFmt w:val="bullet"/>
      <w:lvlText w:val=""/>
      <w:lvlJc w:val="left"/>
      <w:pPr>
        <w:ind w:left="720" w:hanging="360"/>
      </w:pPr>
      <w:rPr>
        <w:rFonts w:ascii="Symbol" w:hAnsi="Symbol" w:hint="default"/>
      </w:rPr>
    </w:lvl>
    <w:lvl w:ilvl="1" w:tplc="97D68F04">
      <w:start w:val="5"/>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036E86"/>
    <w:multiLevelType w:val="hybridMultilevel"/>
    <w:tmpl w:val="2340BC3C"/>
    <w:lvl w:ilvl="0" w:tplc="C0340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25E9F"/>
    <w:multiLevelType w:val="hybridMultilevel"/>
    <w:tmpl w:val="71FE7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6A09D2"/>
    <w:multiLevelType w:val="hybridMultilevel"/>
    <w:tmpl w:val="241822AE"/>
    <w:lvl w:ilvl="0" w:tplc="41CC9DC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F17C9"/>
    <w:multiLevelType w:val="hybridMultilevel"/>
    <w:tmpl w:val="434E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3872E7F"/>
    <w:multiLevelType w:val="hybridMultilevel"/>
    <w:tmpl w:val="FA74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386572"/>
    <w:multiLevelType w:val="hybridMultilevel"/>
    <w:tmpl w:val="26366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230B0F"/>
    <w:multiLevelType w:val="hybridMultilevel"/>
    <w:tmpl w:val="94A8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71F35"/>
    <w:multiLevelType w:val="hybridMultilevel"/>
    <w:tmpl w:val="BDDC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E1CAB"/>
    <w:multiLevelType w:val="hybridMultilevel"/>
    <w:tmpl w:val="E370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6D1D95"/>
    <w:multiLevelType w:val="hybridMultilevel"/>
    <w:tmpl w:val="350EAE8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2D7CB1"/>
    <w:multiLevelType w:val="hybridMultilevel"/>
    <w:tmpl w:val="D17AE9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653A02"/>
    <w:multiLevelType w:val="multilevel"/>
    <w:tmpl w:val="DA1E5886"/>
    <w:lvl w:ilvl="0">
      <w:start w:val="1"/>
      <w:numFmt w:val="bullet"/>
      <w:pStyle w:val="TOC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58F63C1"/>
    <w:multiLevelType w:val="hybridMultilevel"/>
    <w:tmpl w:val="E8BAC238"/>
    <w:lvl w:ilvl="0" w:tplc="FFFFFFFF">
      <w:start w:val="1"/>
      <w:numFmt w:val="decimal"/>
      <w:lvlText w:val=""/>
      <w:lvlJc w:val="left"/>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6EF1DE7"/>
    <w:multiLevelType w:val="multilevel"/>
    <w:tmpl w:val="C226C48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1" w15:restartNumberingAfterBreak="0">
    <w:nsid w:val="3CAC49E5"/>
    <w:multiLevelType w:val="hybridMultilevel"/>
    <w:tmpl w:val="E2380150"/>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3251B15"/>
    <w:multiLevelType w:val="hybridMultilevel"/>
    <w:tmpl w:val="55806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0553BF"/>
    <w:multiLevelType w:val="hybridMultilevel"/>
    <w:tmpl w:val="21643994"/>
    <w:lvl w:ilvl="0" w:tplc="4460A8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EC6D4F"/>
    <w:multiLevelType w:val="hybridMultilevel"/>
    <w:tmpl w:val="64D487E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5" w15:restartNumberingAfterBreak="0">
    <w:nsid w:val="4C9709ED"/>
    <w:multiLevelType w:val="hybridMultilevel"/>
    <w:tmpl w:val="E7C64494"/>
    <w:lvl w:ilvl="0" w:tplc="DA56A6B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5D21C6"/>
    <w:multiLevelType w:val="hybridMultilevel"/>
    <w:tmpl w:val="17522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5F6FC1"/>
    <w:multiLevelType w:val="hybridMultilevel"/>
    <w:tmpl w:val="41BAE0D6"/>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8" w15:restartNumberingAfterBreak="0">
    <w:nsid w:val="52804D22"/>
    <w:multiLevelType w:val="multilevel"/>
    <w:tmpl w:val="9196CB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3320A"/>
    <w:multiLevelType w:val="hybridMultilevel"/>
    <w:tmpl w:val="B9EABFBE"/>
    <w:lvl w:ilvl="0" w:tplc="97D68F04">
      <w:start w:val="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7C85200"/>
    <w:multiLevelType w:val="multilevel"/>
    <w:tmpl w:val="B7F24856"/>
    <w:lvl w:ilvl="0">
      <w:start w:val="1"/>
      <w:numFmt w:val="lowerRoman"/>
      <w:lvlText w:val="%1)"/>
      <w:lvlJc w:val="left"/>
      <w:pPr>
        <w:ind w:left="720" w:hanging="360"/>
      </w:pPr>
      <w:rPr>
        <w:rFonts w:asciiTheme="minorHAnsi" w:eastAsiaTheme="minorHAnsi" w:hAnsiTheme="minorHAnsi" w:cstheme="minorHAnsi"/>
      </w:r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31" w15:restartNumberingAfterBreak="0">
    <w:nsid w:val="58DF1D8D"/>
    <w:multiLevelType w:val="hybridMultilevel"/>
    <w:tmpl w:val="B742E59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8346B5"/>
    <w:multiLevelType w:val="hybridMultilevel"/>
    <w:tmpl w:val="A07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741F2"/>
    <w:multiLevelType w:val="hybridMultilevel"/>
    <w:tmpl w:val="32507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341014F"/>
    <w:multiLevelType w:val="hybridMultilevel"/>
    <w:tmpl w:val="B510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521543"/>
    <w:multiLevelType w:val="hybridMultilevel"/>
    <w:tmpl w:val="9A8E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5B1B07"/>
    <w:multiLevelType w:val="hybridMultilevel"/>
    <w:tmpl w:val="47028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3E6E06"/>
    <w:multiLevelType w:val="hybridMultilevel"/>
    <w:tmpl w:val="4184BB7C"/>
    <w:lvl w:ilvl="0" w:tplc="F61A059E">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6B4E6C45"/>
    <w:multiLevelType w:val="hybridMultilevel"/>
    <w:tmpl w:val="B922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C12B15"/>
    <w:multiLevelType w:val="hybridMultilevel"/>
    <w:tmpl w:val="E488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8447C3"/>
    <w:multiLevelType w:val="hybridMultilevel"/>
    <w:tmpl w:val="8306F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E5872BD"/>
    <w:multiLevelType w:val="hybridMultilevel"/>
    <w:tmpl w:val="14206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9526FD"/>
    <w:multiLevelType w:val="hybridMultilevel"/>
    <w:tmpl w:val="A754C126"/>
    <w:lvl w:ilvl="0" w:tplc="D55479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3E4426"/>
    <w:multiLevelType w:val="hybridMultilevel"/>
    <w:tmpl w:val="1D6E770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17F719E"/>
    <w:multiLevelType w:val="hybridMultilevel"/>
    <w:tmpl w:val="262E12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57D094C"/>
    <w:multiLevelType w:val="hybridMultilevel"/>
    <w:tmpl w:val="03E6DE38"/>
    <w:lvl w:ilvl="0" w:tplc="97D68F04">
      <w:start w:val="5"/>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7CC0CC0"/>
    <w:multiLevelType w:val="multilevel"/>
    <w:tmpl w:val="832492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7" w15:restartNumberingAfterBreak="0">
    <w:nsid w:val="789843DF"/>
    <w:multiLevelType w:val="hybridMultilevel"/>
    <w:tmpl w:val="03BC96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AFF5AAB"/>
    <w:multiLevelType w:val="hybridMultilevel"/>
    <w:tmpl w:val="AE82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42"/>
  </w:num>
  <w:num w:numId="4">
    <w:abstractNumId w:val="27"/>
  </w:num>
  <w:num w:numId="5">
    <w:abstractNumId w:val="4"/>
  </w:num>
  <w:num w:numId="6">
    <w:abstractNumId w:val="6"/>
  </w:num>
  <w:num w:numId="7">
    <w:abstractNumId w:val="29"/>
  </w:num>
  <w:num w:numId="8">
    <w:abstractNumId w:val="37"/>
  </w:num>
  <w:num w:numId="9">
    <w:abstractNumId w:val="2"/>
  </w:num>
  <w:num w:numId="10">
    <w:abstractNumId w:val="24"/>
  </w:num>
  <w:num w:numId="11">
    <w:abstractNumId w:val="33"/>
  </w:num>
  <w:num w:numId="12">
    <w:abstractNumId w:val="16"/>
  </w:num>
  <w:num w:numId="13">
    <w:abstractNumId w:val="0"/>
  </w:num>
  <w:num w:numId="14">
    <w:abstractNumId w:val="48"/>
  </w:num>
  <w:num w:numId="15">
    <w:abstractNumId w:val="19"/>
  </w:num>
  <w:num w:numId="16">
    <w:abstractNumId w:val="8"/>
  </w:num>
  <w:num w:numId="17">
    <w:abstractNumId w:val="22"/>
  </w:num>
  <w:num w:numId="18">
    <w:abstractNumId w:val="39"/>
  </w:num>
  <w:num w:numId="19">
    <w:abstractNumId w:val="15"/>
  </w:num>
  <w:num w:numId="20">
    <w:abstractNumId w:val="34"/>
  </w:num>
  <w:num w:numId="21">
    <w:abstractNumId w:val="41"/>
  </w:num>
  <w:num w:numId="22">
    <w:abstractNumId w:val="3"/>
  </w:num>
  <w:num w:numId="23">
    <w:abstractNumId w:val="9"/>
  </w:num>
  <w:num w:numId="24">
    <w:abstractNumId w:val="36"/>
  </w:num>
  <w:num w:numId="25">
    <w:abstractNumId w:val="12"/>
  </w:num>
  <w:num w:numId="26">
    <w:abstractNumId w:val="32"/>
  </w:num>
  <w:num w:numId="27">
    <w:abstractNumId w:val="13"/>
  </w:num>
  <w:num w:numId="28">
    <w:abstractNumId w:val="23"/>
  </w:num>
  <w:num w:numId="29">
    <w:abstractNumId w:val="5"/>
  </w:num>
  <w:num w:numId="30">
    <w:abstractNumId w:val="35"/>
  </w:num>
  <w:num w:numId="31">
    <w:abstractNumId w:val="28"/>
  </w:num>
  <w:num w:numId="32">
    <w:abstractNumId w:val="7"/>
  </w:num>
  <w:num w:numId="33">
    <w:abstractNumId w:val="26"/>
  </w:num>
  <w:num w:numId="34">
    <w:abstractNumId w:val="11"/>
  </w:num>
  <w:num w:numId="35">
    <w:abstractNumId w:val="31"/>
  </w:num>
  <w:num w:numId="36">
    <w:abstractNumId w:val="10"/>
  </w:num>
  <w:num w:numId="37">
    <w:abstractNumId w:val="47"/>
  </w:num>
  <w:num w:numId="38">
    <w:abstractNumId w:val="14"/>
  </w:num>
  <w:num w:numId="39">
    <w:abstractNumId w:val="21"/>
  </w:num>
  <w:num w:numId="40">
    <w:abstractNumId w:val="45"/>
  </w:num>
  <w:num w:numId="41">
    <w:abstractNumId w:val="1"/>
  </w:num>
  <w:num w:numId="42">
    <w:abstractNumId w:val="43"/>
  </w:num>
  <w:num w:numId="43">
    <w:abstractNumId w:val="44"/>
  </w:num>
  <w:num w:numId="44">
    <w:abstractNumId w:val="40"/>
  </w:num>
  <w:num w:numId="45">
    <w:abstractNumId w:val="46"/>
  </w:num>
  <w:num w:numId="46">
    <w:abstractNumId w:val="38"/>
  </w:num>
  <w:num w:numId="47">
    <w:abstractNumId w:val="17"/>
  </w:num>
  <w:num w:numId="48">
    <w:abstractNumId w:val="30"/>
  </w:num>
  <w:num w:numId="49">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s-AR" w:vendorID="64" w:dllVersion="4096" w:nlCheck="1" w:checkStyle="0"/>
  <w:activeWritingStyle w:appName="MSWord" w:lang="es-AR"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es-AR" w:vendorID="64" w:dllVersion="131078" w:nlCheck="1" w:checkStyle="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58F"/>
    <w:rsid w:val="0000707B"/>
    <w:rsid w:val="00012AEC"/>
    <w:rsid w:val="00014A54"/>
    <w:rsid w:val="00015C7A"/>
    <w:rsid w:val="00023E9E"/>
    <w:rsid w:val="000249EA"/>
    <w:rsid w:val="000367CB"/>
    <w:rsid w:val="0005213C"/>
    <w:rsid w:val="00056A3C"/>
    <w:rsid w:val="00064266"/>
    <w:rsid w:val="000675DB"/>
    <w:rsid w:val="00073158"/>
    <w:rsid w:val="00081D52"/>
    <w:rsid w:val="00094BF3"/>
    <w:rsid w:val="000A045D"/>
    <w:rsid w:val="000A587E"/>
    <w:rsid w:val="000B129E"/>
    <w:rsid w:val="000B2EF2"/>
    <w:rsid w:val="000D7797"/>
    <w:rsid w:val="000E731B"/>
    <w:rsid w:val="000F0042"/>
    <w:rsid w:val="00101CEC"/>
    <w:rsid w:val="00106800"/>
    <w:rsid w:val="001102D7"/>
    <w:rsid w:val="00116461"/>
    <w:rsid w:val="00122B5B"/>
    <w:rsid w:val="001257B2"/>
    <w:rsid w:val="0015658F"/>
    <w:rsid w:val="00156E1B"/>
    <w:rsid w:val="00162059"/>
    <w:rsid w:val="00165F90"/>
    <w:rsid w:val="00166256"/>
    <w:rsid w:val="0018502D"/>
    <w:rsid w:val="001C1C3B"/>
    <w:rsid w:val="001D1FB4"/>
    <w:rsid w:val="001D4DD9"/>
    <w:rsid w:val="001E5ACA"/>
    <w:rsid w:val="001F3B55"/>
    <w:rsid w:val="001F5353"/>
    <w:rsid w:val="001F5B4F"/>
    <w:rsid w:val="0020268B"/>
    <w:rsid w:val="00210268"/>
    <w:rsid w:val="00210E60"/>
    <w:rsid w:val="00212A3B"/>
    <w:rsid w:val="00215907"/>
    <w:rsid w:val="0022335D"/>
    <w:rsid w:val="00225142"/>
    <w:rsid w:val="0023103C"/>
    <w:rsid w:val="00232633"/>
    <w:rsid w:val="00233C10"/>
    <w:rsid w:val="00234B36"/>
    <w:rsid w:val="00250EE0"/>
    <w:rsid w:val="00251AD6"/>
    <w:rsid w:val="00257DD6"/>
    <w:rsid w:val="00262FEB"/>
    <w:rsid w:val="0026422F"/>
    <w:rsid w:val="002710B6"/>
    <w:rsid w:val="00284A67"/>
    <w:rsid w:val="00295606"/>
    <w:rsid w:val="002A112B"/>
    <w:rsid w:val="002A11FD"/>
    <w:rsid w:val="002A242B"/>
    <w:rsid w:val="002A2767"/>
    <w:rsid w:val="002A2FE4"/>
    <w:rsid w:val="002B4FB2"/>
    <w:rsid w:val="002C7B26"/>
    <w:rsid w:val="002D5970"/>
    <w:rsid w:val="002E01C1"/>
    <w:rsid w:val="002E6409"/>
    <w:rsid w:val="002E6728"/>
    <w:rsid w:val="002F2C10"/>
    <w:rsid w:val="0030050D"/>
    <w:rsid w:val="003021FF"/>
    <w:rsid w:val="00304C2F"/>
    <w:rsid w:val="00305331"/>
    <w:rsid w:val="00314E6B"/>
    <w:rsid w:val="00333642"/>
    <w:rsid w:val="00346BC9"/>
    <w:rsid w:val="00353E78"/>
    <w:rsid w:val="00360B91"/>
    <w:rsid w:val="0036203D"/>
    <w:rsid w:val="003731AC"/>
    <w:rsid w:val="0037442C"/>
    <w:rsid w:val="00377AF0"/>
    <w:rsid w:val="0038263B"/>
    <w:rsid w:val="0039017D"/>
    <w:rsid w:val="003A73E3"/>
    <w:rsid w:val="003A7785"/>
    <w:rsid w:val="003A797E"/>
    <w:rsid w:val="003B14DB"/>
    <w:rsid w:val="003B53D5"/>
    <w:rsid w:val="003B73E0"/>
    <w:rsid w:val="003C511F"/>
    <w:rsid w:val="003C5FB1"/>
    <w:rsid w:val="003E6881"/>
    <w:rsid w:val="003F2490"/>
    <w:rsid w:val="0040732E"/>
    <w:rsid w:val="004110F4"/>
    <w:rsid w:val="00411A3B"/>
    <w:rsid w:val="00416064"/>
    <w:rsid w:val="0041740B"/>
    <w:rsid w:val="0042322A"/>
    <w:rsid w:val="004249A1"/>
    <w:rsid w:val="00427701"/>
    <w:rsid w:val="004337DC"/>
    <w:rsid w:val="004439DB"/>
    <w:rsid w:val="00447473"/>
    <w:rsid w:val="00454C77"/>
    <w:rsid w:val="00463DEA"/>
    <w:rsid w:val="00467BF6"/>
    <w:rsid w:val="004749AA"/>
    <w:rsid w:val="004846FD"/>
    <w:rsid w:val="004906BD"/>
    <w:rsid w:val="004A7890"/>
    <w:rsid w:val="004B4ABB"/>
    <w:rsid w:val="004B594B"/>
    <w:rsid w:val="004B5EEC"/>
    <w:rsid w:val="004C244C"/>
    <w:rsid w:val="004C32A5"/>
    <w:rsid w:val="004E4825"/>
    <w:rsid w:val="00517636"/>
    <w:rsid w:val="0052117F"/>
    <w:rsid w:val="00522E8B"/>
    <w:rsid w:val="00523BE3"/>
    <w:rsid w:val="005468E2"/>
    <w:rsid w:val="00547073"/>
    <w:rsid w:val="0056099E"/>
    <w:rsid w:val="005634FF"/>
    <w:rsid w:val="00573AA0"/>
    <w:rsid w:val="00575D4F"/>
    <w:rsid w:val="005804E8"/>
    <w:rsid w:val="005C168C"/>
    <w:rsid w:val="005C2626"/>
    <w:rsid w:val="005C49A4"/>
    <w:rsid w:val="005C6F02"/>
    <w:rsid w:val="005C7079"/>
    <w:rsid w:val="005D5A8E"/>
    <w:rsid w:val="005E4950"/>
    <w:rsid w:val="00605A7B"/>
    <w:rsid w:val="0060746D"/>
    <w:rsid w:val="00611D0E"/>
    <w:rsid w:val="006144F3"/>
    <w:rsid w:val="00614803"/>
    <w:rsid w:val="00635C58"/>
    <w:rsid w:val="006431CC"/>
    <w:rsid w:val="00657456"/>
    <w:rsid w:val="00663778"/>
    <w:rsid w:val="00667929"/>
    <w:rsid w:val="006778C9"/>
    <w:rsid w:val="00681F18"/>
    <w:rsid w:val="006935BA"/>
    <w:rsid w:val="006A07B1"/>
    <w:rsid w:val="006A3AF5"/>
    <w:rsid w:val="006B1AFC"/>
    <w:rsid w:val="006B2F74"/>
    <w:rsid w:val="006B7990"/>
    <w:rsid w:val="006B7B7A"/>
    <w:rsid w:val="006C7389"/>
    <w:rsid w:val="006D15E3"/>
    <w:rsid w:val="006E3D3C"/>
    <w:rsid w:val="006E5AB4"/>
    <w:rsid w:val="006F2D9A"/>
    <w:rsid w:val="006F577D"/>
    <w:rsid w:val="0070267A"/>
    <w:rsid w:val="00705020"/>
    <w:rsid w:val="00714C98"/>
    <w:rsid w:val="00716AD6"/>
    <w:rsid w:val="00720320"/>
    <w:rsid w:val="007364ED"/>
    <w:rsid w:val="00736EB0"/>
    <w:rsid w:val="0074741E"/>
    <w:rsid w:val="00751ADB"/>
    <w:rsid w:val="007532E9"/>
    <w:rsid w:val="00760235"/>
    <w:rsid w:val="00761C7B"/>
    <w:rsid w:val="00767B38"/>
    <w:rsid w:val="0077076F"/>
    <w:rsid w:val="00773438"/>
    <w:rsid w:val="00775ED9"/>
    <w:rsid w:val="0078303C"/>
    <w:rsid w:val="00792DA7"/>
    <w:rsid w:val="00795D6B"/>
    <w:rsid w:val="007A5887"/>
    <w:rsid w:val="007B4233"/>
    <w:rsid w:val="007B5A4C"/>
    <w:rsid w:val="007C18A5"/>
    <w:rsid w:val="007D4635"/>
    <w:rsid w:val="007D6993"/>
    <w:rsid w:val="007E5146"/>
    <w:rsid w:val="007E5279"/>
    <w:rsid w:val="007E6C41"/>
    <w:rsid w:val="007F5AE2"/>
    <w:rsid w:val="0080278C"/>
    <w:rsid w:val="00807B42"/>
    <w:rsid w:val="00815D16"/>
    <w:rsid w:val="008178F7"/>
    <w:rsid w:val="00821B86"/>
    <w:rsid w:val="00822233"/>
    <w:rsid w:val="00823120"/>
    <w:rsid w:val="008262AD"/>
    <w:rsid w:val="008361AC"/>
    <w:rsid w:val="0083651D"/>
    <w:rsid w:val="00836715"/>
    <w:rsid w:val="00840602"/>
    <w:rsid w:val="008604A0"/>
    <w:rsid w:val="00863D29"/>
    <w:rsid w:val="008654D3"/>
    <w:rsid w:val="008673EF"/>
    <w:rsid w:val="008804D5"/>
    <w:rsid w:val="00881E8B"/>
    <w:rsid w:val="008838A1"/>
    <w:rsid w:val="00891E70"/>
    <w:rsid w:val="008923E4"/>
    <w:rsid w:val="008B7FA9"/>
    <w:rsid w:val="008E1AED"/>
    <w:rsid w:val="00901DF5"/>
    <w:rsid w:val="009063EF"/>
    <w:rsid w:val="00926815"/>
    <w:rsid w:val="009309DC"/>
    <w:rsid w:val="00930F83"/>
    <w:rsid w:val="00931782"/>
    <w:rsid w:val="009426A6"/>
    <w:rsid w:val="0094686B"/>
    <w:rsid w:val="00950724"/>
    <w:rsid w:val="009527C3"/>
    <w:rsid w:val="0095333C"/>
    <w:rsid w:val="009649DA"/>
    <w:rsid w:val="00966FCB"/>
    <w:rsid w:val="00976C61"/>
    <w:rsid w:val="009827D6"/>
    <w:rsid w:val="009872E0"/>
    <w:rsid w:val="00987F9A"/>
    <w:rsid w:val="00996F1A"/>
    <w:rsid w:val="00997D3E"/>
    <w:rsid w:val="009A121E"/>
    <w:rsid w:val="009A22E4"/>
    <w:rsid w:val="009A6D0A"/>
    <w:rsid w:val="009B0ADC"/>
    <w:rsid w:val="009B3DAC"/>
    <w:rsid w:val="009C0986"/>
    <w:rsid w:val="009C1F0E"/>
    <w:rsid w:val="009C2BE4"/>
    <w:rsid w:val="009C54EF"/>
    <w:rsid w:val="009D08C5"/>
    <w:rsid w:val="009D1D66"/>
    <w:rsid w:val="009D753B"/>
    <w:rsid w:val="009D7CE4"/>
    <w:rsid w:val="009E02A9"/>
    <w:rsid w:val="009E2CDB"/>
    <w:rsid w:val="009E5B12"/>
    <w:rsid w:val="009E76CB"/>
    <w:rsid w:val="009F44D3"/>
    <w:rsid w:val="00A02B4F"/>
    <w:rsid w:val="00A02D07"/>
    <w:rsid w:val="00A03972"/>
    <w:rsid w:val="00A11E4B"/>
    <w:rsid w:val="00A1307E"/>
    <w:rsid w:val="00A13260"/>
    <w:rsid w:val="00A13DD5"/>
    <w:rsid w:val="00A168F7"/>
    <w:rsid w:val="00A276A8"/>
    <w:rsid w:val="00A4485A"/>
    <w:rsid w:val="00A456AB"/>
    <w:rsid w:val="00A558DE"/>
    <w:rsid w:val="00A63488"/>
    <w:rsid w:val="00A64B20"/>
    <w:rsid w:val="00A729B8"/>
    <w:rsid w:val="00A73588"/>
    <w:rsid w:val="00A80B9D"/>
    <w:rsid w:val="00A8501B"/>
    <w:rsid w:val="00A8525C"/>
    <w:rsid w:val="00AA71D2"/>
    <w:rsid w:val="00AD7D12"/>
    <w:rsid w:val="00AE06AA"/>
    <w:rsid w:val="00AE45A3"/>
    <w:rsid w:val="00AF7119"/>
    <w:rsid w:val="00B0130C"/>
    <w:rsid w:val="00B11E96"/>
    <w:rsid w:val="00B30379"/>
    <w:rsid w:val="00B34FAE"/>
    <w:rsid w:val="00B35E43"/>
    <w:rsid w:val="00B52DDD"/>
    <w:rsid w:val="00B53955"/>
    <w:rsid w:val="00B81B66"/>
    <w:rsid w:val="00B83A53"/>
    <w:rsid w:val="00B85D11"/>
    <w:rsid w:val="00B95CB0"/>
    <w:rsid w:val="00B97D14"/>
    <w:rsid w:val="00BB106E"/>
    <w:rsid w:val="00BB4317"/>
    <w:rsid w:val="00BC250A"/>
    <w:rsid w:val="00BC2AB0"/>
    <w:rsid w:val="00BC6E84"/>
    <w:rsid w:val="00BC7202"/>
    <w:rsid w:val="00BD0068"/>
    <w:rsid w:val="00BE1B2C"/>
    <w:rsid w:val="00BF2E4E"/>
    <w:rsid w:val="00C06DD1"/>
    <w:rsid w:val="00C11339"/>
    <w:rsid w:val="00C17363"/>
    <w:rsid w:val="00C2101B"/>
    <w:rsid w:val="00C247D3"/>
    <w:rsid w:val="00C24D1F"/>
    <w:rsid w:val="00C26A4A"/>
    <w:rsid w:val="00C31C50"/>
    <w:rsid w:val="00C5454B"/>
    <w:rsid w:val="00C5633A"/>
    <w:rsid w:val="00C56DBD"/>
    <w:rsid w:val="00C65A88"/>
    <w:rsid w:val="00C862A7"/>
    <w:rsid w:val="00C9458A"/>
    <w:rsid w:val="00C96923"/>
    <w:rsid w:val="00CA580E"/>
    <w:rsid w:val="00CA5874"/>
    <w:rsid w:val="00CB3E04"/>
    <w:rsid w:val="00CE328D"/>
    <w:rsid w:val="00CE5CE1"/>
    <w:rsid w:val="00CF1BC5"/>
    <w:rsid w:val="00CF2C7E"/>
    <w:rsid w:val="00CF679D"/>
    <w:rsid w:val="00CF6DEA"/>
    <w:rsid w:val="00CF7CAD"/>
    <w:rsid w:val="00CF7FAE"/>
    <w:rsid w:val="00D105E4"/>
    <w:rsid w:val="00D157CD"/>
    <w:rsid w:val="00D17275"/>
    <w:rsid w:val="00D34768"/>
    <w:rsid w:val="00D40021"/>
    <w:rsid w:val="00D45D49"/>
    <w:rsid w:val="00D47FE9"/>
    <w:rsid w:val="00D5023C"/>
    <w:rsid w:val="00D6680B"/>
    <w:rsid w:val="00D66E63"/>
    <w:rsid w:val="00D876E7"/>
    <w:rsid w:val="00D9335A"/>
    <w:rsid w:val="00DA05A4"/>
    <w:rsid w:val="00DA09F6"/>
    <w:rsid w:val="00DA359C"/>
    <w:rsid w:val="00DA4FA2"/>
    <w:rsid w:val="00DB08BA"/>
    <w:rsid w:val="00DB76EC"/>
    <w:rsid w:val="00DC1158"/>
    <w:rsid w:val="00DD4D36"/>
    <w:rsid w:val="00DD72BE"/>
    <w:rsid w:val="00DF2475"/>
    <w:rsid w:val="00DF4F8F"/>
    <w:rsid w:val="00DF619A"/>
    <w:rsid w:val="00E06198"/>
    <w:rsid w:val="00E169CC"/>
    <w:rsid w:val="00E216C1"/>
    <w:rsid w:val="00E36DB6"/>
    <w:rsid w:val="00E46322"/>
    <w:rsid w:val="00E57177"/>
    <w:rsid w:val="00E57D09"/>
    <w:rsid w:val="00E645B6"/>
    <w:rsid w:val="00E72608"/>
    <w:rsid w:val="00E77105"/>
    <w:rsid w:val="00E77B40"/>
    <w:rsid w:val="00E96632"/>
    <w:rsid w:val="00EA665D"/>
    <w:rsid w:val="00EB3532"/>
    <w:rsid w:val="00ED2561"/>
    <w:rsid w:val="00EE19B1"/>
    <w:rsid w:val="00EE3A74"/>
    <w:rsid w:val="00EE3FF0"/>
    <w:rsid w:val="00EF12CF"/>
    <w:rsid w:val="00F12C3E"/>
    <w:rsid w:val="00F13044"/>
    <w:rsid w:val="00F17749"/>
    <w:rsid w:val="00F21EC1"/>
    <w:rsid w:val="00F22636"/>
    <w:rsid w:val="00F3093C"/>
    <w:rsid w:val="00F3163F"/>
    <w:rsid w:val="00F34812"/>
    <w:rsid w:val="00F3678E"/>
    <w:rsid w:val="00F47CAF"/>
    <w:rsid w:val="00F56809"/>
    <w:rsid w:val="00F576CF"/>
    <w:rsid w:val="00F66BCB"/>
    <w:rsid w:val="00F67DF3"/>
    <w:rsid w:val="00F71376"/>
    <w:rsid w:val="00F808C4"/>
    <w:rsid w:val="00F85B39"/>
    <w:rsid w:val="00F878AB"/>
    <w:rsid w:val="00F92FA5"/>
    <w:rsid w:val="00F936D0"/>
    <w:rsid w:val="00FA0FF1"/>
    <w:rsid w:val="00FA7D1E"/>
    <w:rsid w:val="00FB49A9"/>
    <w:rsid w:val="00FC545C"/>
    <w:rsid w:val="00FE0F0F"/>
    <w:rsid w:val="00FE6676"/>
    <w:rsid w:val="00FE755C"/>
    <w:rsid w:val="00FF22E1"/>
    <w:rsid w:val="00FF4A61"/>
    <w:rsid w:val="00FF5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A9005"/>
  <w15:docId w15:val="{5D8EB2A8-EC12-4526-9851-BED9D10A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DD6"/>
  </w:style>
  <w:style w:type="paragraph" w:styleId="Heading1">
    <w:name w:val="heading 1"/>
    <w:basedOn w:val="Normal"/>
    <w:next w:val="Normal"/>
    <w:link w:val="Heading1Char"/>
    <w:uiPriority w:val="9"/>
    <w:qFormat/>
    <w:rsid w:val="00492ACD"/>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5E1"/>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5E1"/>
    <w:pPr>
      <w:keepNext/>
      <w:keepLines/>
      <w:spacing w:before="240" w:after="12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A26F1"/>
    <w:pPr>
      <w:tabs>
        <w:tab w:val="center" w:pos="4680"/>
        <w:tab w:val="right" w:pos="9360"/>
      </w:tabs>
    </w:pPr>
  </w:style>
  <w:style w:type="character" w:customStyle="1" w:styleId="HeaderChar">
    <w:name w:val="Header Char"/>
    <w:basedOn w:val="DefaultParagraphFont"/>
    <w:link w:val="Header"/>
    <w:uiPriority w:val="99"/>
    <w:rsid w:val="001A26F1"/>
  </w:style>
  <w:style w:type="paragraph" w:styleId="Footer">
    <w:name w:val="footer"/>
    <w:basedOn w:val="Normal"/>
    <w:link w:val="FooterChar"/>
    <w:uiPriority w:val="99"/>
    <w:unhideWhenUsed/>
    <w:rsid w:val="001A26F1"/>
    <w:pPr>
      <w:tabs>
        <w:tab w:val="center" w:pos="4680"/>
        <w:tab w:val="right" w:pos="9360"/>
      </w:tabs>
    </w:pPr>
  </w:style>
  <w:style w:type="character" w:customStyle="1" w:styleId="FooterChar">
    <w:name w:val="Footer Char"/>
    <w:basedOn w:val="DefaultParagraphFont"/>
    <w:link w:val="Footer"/>
    <w:uiPriority w:val="99"/>
    <w:rsid w:val="001A26F1"/>
  </w:style>
  <w:style w:type="paragraph" w:styleId="FootnoteText">
    <w:name w:val="footnote text"/>
    <w:basedOn w:val="Normal"/>
    <w:link w:val="FootnoteTextChar"/>
    <w:uiPriority w:val="99"/>
    <w:unhideWhenUsed/>
    <w:rsid w:val="009548B8"/>
    <w:rPr>
      <w:sz w:val="20"/>
      <w:szCs w:val="20"/>
    </w:rPr>
  </w:style>
  <w:style w:type="character" w:customStyle="1" w:styleId="FootnoteTextChar">
    <w:name w:val="Footnote Text Char"/>
    <w:basedOn w:val="DefaultParagraphFont"/>
    <w:link w:val="FootnoteText"/>
    <w:uiPriority w:val="99"/>
    <w:rsid w:val="009548B8"/>
    <w:rPr>
      <w:sz w:val="20"/>
      <w:szCs w:val="20"/>
    </w:rPr>
  </w:style>
  <w:style w:type="character" w:styleId="FootnoteReference">
    <w:name w:val="footnote reference"/>
    <w:aliases w:val="Überschrift 4 Zchn1,Título 4 Car Zchn,Heading 4 Char1 Car Zchn,no vale 2 Zchn,no vale 2 Car Zchn,Footnote Reference Superscript"/>
    <w:uiPriority w:val="99"/>
    <w:rsid w:val="009548B8"/>
    <w:rPr>
      <w:rFonts w:ascii="TimesNewRomanPS" w:hAnsi="TimesNewRomanPS"/>
      <w:position w:val="6"/>
      <w:sz w:val="16"/>
    </w:rPr>
  </w:style>
  <w:style w:type="paragraph" w:styleId="EndnoteText">
    <w:name w:val="endnote text"/>
    <w:basedOn w:val="Normal"/>
    <w:link w:val="EndnoteTextChar"/>
    <w:uiPriority w:val="99"/>
    <w:semiHidden/>
    <w:unhideWhenUsed/>
    <w:rsid w:val="009548B8"/>
    <w:rPr>
      <w:sz w:val="20"/>
      <w:szCs w:val="20"/>
    </w:rPr>
  </w:style>
  <w:style w:type="character" w:customStyle="1" w:styleId="EndnoteTextChar">
    <w:name w:val="Endnote Text Char"/>
    <w:basedOn w:val="DefaultParagraphFont"/>
    <w:link w:val="EndnoteText"/>
    <w:uiPriority w:val="99"/>
    <w:semiHidden/>
    <w:rsid w:val="009548B8"/>
    <w:rPr>
      <w:sz w:val="20"/>
      <w:szCs w:val="20"/>
      <w:lang w:val="en-GB"/>
    </w:rPr>
  </w:style>
  <w:style w:type="character" w:styleId="EndnoteReference">
    <w:name w:val="endnote reference"/>
    <w:basedOn w:val="DefaultParagraphFont"/>
    <w:uiPriority w:val="99"/>
    <w:semiHidden/>
    <w:unhideWhenUsed/>
    <w:rsid w:val="009548B8"/>
    <w:rPr>
      <w:vertAlign w:val="superscript"/>
    </w:rPr>
  </w:style>
  <w:style w:type="character" w:styleId="CommentReference">
    <w:name w:val="annotation reference"/>
    <w:basedOn w:val="DefaultParagraphFont"/>
    <w:uiPriority w:val="99"/>
    <w:semiHidden/>
    <w:unhideWhenUsed/>
    <w:rsid w:val="00FF1F29"/>
    <w:rPr>
      <w:sz w:val="16"/>
      <w:szCs w:val="16"/>
    </w:rPr>
  </w:style>
  <w:style w:type="paragraph" w:styleId="CommentText">
    <w:name w:val="annotation text"/>
    <w:basedOn w:val="Normal"/>
    <w:link w:val="CommentTextChar"/>
    <w:uiPriority w:val="99"/>
    <w:unhideWhenUsed/>
    <w:rsid w:val="00FF1F29"/>
    <w:rPr>
      <w:sz w:val="20"/>
      <w:szCs w:val="20"/>
    </w:rPr>
  </w:style>
  <w:style w:type="character" w:customStyle="1" w:styleId="CommentTextChar">
    <w:name w:val="Comment Text Char"/>
    <w:basedOn w:val="DefaultParagraphFont"/>
    <w:link w:val="CommentText"/>
    <w:uiPriority w:val="99"/>
    <w:rsid w:val="00FF1F29"/>
    <w:rPr>
      <w:sz w:val="20"/>
      <w:szCs w:val="20"/>
    </w:rPr>
  </w:style>
  <w:style w:type="paragraph" w:styleId="CommentSubject">
    <w:name w:val="annotation subject"/>
    <w:basedOn w:val="CommentText"/>
    <w:next w:val="CommentText"/>
    <w:link w:val="CommentSubjectChar"/>
    <w:uiPriority w:val="99"/>
    <w:semiHidden/>
    <w:unhideWhenUsed/>
    <w:rsid w:val="00FF1F29"/>
    <w:rPr>
      <w:b/>
      <w:bCs/>
    </w:rPr>
  </w:style>
  <w:style w:type="character" w:customStyle="1" w:styleId="CommentSubjectChar">
    <w:name w:val="Comment Subject Char"/>
    <w:basedOn w:val="CommentTextChar"/>
    <w:link w:val="CommentSubject"/>
    <w:uiPriority w:val="99"/>
    <w:semiHidden/>
    <w:rsid w:val="00FF1F29"/>
    <w:rPr>
      <w:b/>
      <w:bCs/>
      <w:sz w:val="20"/>
      <w:szCs w:val="20"/>
    </w:rPr>
  </w:style>
  <w:style w:type="paragraph" w:styleId="BalloonText">
    <w:name w:val="Balloon Text"/>
    <w:basedOn w:val="Normal"/>
    <w:link w:val="BalloonTextChar"/>
    <w:uiPriority w:val="99"/>
    <w:semiHidden/>
    <w:unhideWhenUsed/>
    <w:rsid w:val="00FF1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F29"/>
    <w:rPr>
      <w:rFonts w:ascii="Segoe UI" w:hAnsi="Segoe UI" w:cs="Segoe UI"/>
      <w:sz w:val="18"/>
      <w:szCs w:val="18"/>
    </w:rPr>
  </w:style>
  <w:style w:type="character" w:customStyle="1" w:styleId="Heading1Char">
    <w:name w:val="Heading 1 Char"/>
    <w:basedOn w:val="DefaultParagraphFont"/>
    <w:link w:val="Heading1"/>
    <w:uiPriority w:val="9"/>
    <w:rsid w:val="00492ACD"/>
    <w:rPr>
      <w:rFonts w:asciiTheme="majorHAnsi" w:eastAsiaTheme="majorEastAsia" w:hAnsiTheme="majorHAnsi" w:cstheme="majorBidi"/>
      <w:color w:val="2F5496" w:themeColor="accent1" w:themeShade="BF"/>
      <w:sz w:val="32"/>
      <w:szCs w:val="32"/>
    </w:rPr>
  </w:style>
  <w:style w:type="paragraph" w:styleId="ListParagraph">
    <w:name w:val="List Paragraph"/>
    <w:aliases w:val="Bullet Points,Listenabsatz1,Llista Nivell1,Lista de nivel 1,Paragraphe de liste PBLH,Normal bullet 2,Graph &amp; Table tite,Table of contents numbered,Bullet list,Liststycke SKL,List Paragraph2,Foot note,UEDAŞ Bullet"/>
    <w:basedOn w:val="Normal"/>
    <w:link w:val="ListParagraphChar"/>
    <w:uiPriority w:val="34"/>
    <w:qFormat/>
    <w:rsid w:val="002F2BFB"/>
    <w:pPr>
      <w:ind w:left="720"/>
      <w:contextualSpacing/>
    </w:pPr>
  </w:style>
  <w:style w:type="table" w:customStyle="1" w:styleId="Tablaconcuadrcula1">
    <w:name w:val="Tabla con cuadrícula1"/>
    <w:basedOn w:val="TableNormal"/>
    <w:next w:val="TableGrid"/>
    <w:uiPriority w:val="39"/>
    <w:rsid w:val="00CF5370"/>
    <w:rPr>
      <w:sz w:val="22"/>
      <w:szCs w:val="22"/>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F5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530"/>
    <w:rPr>
      <w:color w:val="0563C1" w:themeColor="hyperlink"/>
      <w:u w:val="single"/>
    </w:rPr>
  </w:style>
  <w:style w:type="table" w:customStyle="1" w:styleId="TableNormal2">
    <w:name w:val="Table Normal2"/>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B3530"/>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AA35E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C55470"/>
    <w:pPr>
      <w:spacing w:line="259" w:lineRule="auto"/>
      <w:outlineLvl w:val="9"/>
    </w:pPr>
    <w:rPr>
      <w:lang w:val="en-US"/>
    </w:rPr>
  </w:style>
  <w:style w:type="paragraph" w:styleId="TOC1">
    <w:name w:val="toc 1"/>
    <w:basedOn w:val="Normal"/>
    <w:next w:val="Normal"/>
    <w:autoRedefine/>
    <w:uiPriority w:val="39"/>
    <w:unhideWhenUsed/>
    <w:rsid w:val="009E5B12"/>
    <w:pPr>
      <w:numPr>
        <w:numId w:val="2"/>
      </w:numPr>
      <w:tabs>
        <w:tab w:val="left" w:pos="480"/>
        <w:tab w:val="right" w:leader="dot" w:pos="9487"/>
      </w:tabs>
      <w:spacing w:before="360"/>
    </w:pPr>
    <w:rPr>
      <w:rFonts w:cstheme="minorHAnsi"/>
      <w:b/>
      <w:bCs/>
      <w:caps/>
      <w:noProof/>
      <w:sz w:val="22"/>
      <w:szCs w:val="22"/>
    </w:rPr>
  </w:style>
  <w:style w:type="paragraph" w:styleId="TOC2">
    <w:name w:val="toc 2"/>
    <w:basedOn w:val="Normal"/>
    <w:next w:val="Normal"/>
    <w:autoRedefine/>
    <w:uiPriority w:val="39"/>
    <w:unhideWhenUsed/>
    <w:rsid w:val="002A2FE4"/>
    <w:pPr>
      <w:tabs>
        <w:tab w:val="right" w:leader="dot" w:pos="9350"/>
      </w:tabs>
      <w:spacing w:before="240"/>
    </w:pPr>
    <w:rPr>
      <w:rFonts w:cstheme="minorHAnsi"/>
      <w:b/>
      <w:bCs/>
      <w:sz w:val="20"/>
      <w:szCs w:val="20"/>
    </w:rPr>
  </w:style>
  <w:style w:type="character" w:customStyle="1" w:styleId="Heading3Char">
    <w:name w:val="Heading 3 Char"/>
    <w:basedOn w:val="DefaultParagraphFont"/>
    <w:link w:val="Heading3"/>
    <w:uiPriority w:val="9"/>
    <w:rsid w:val="00AA35E1"/>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492ACD"/>
    <w:pPr>
      <w:ind w:left="240"/>
    </w:pPr>
    <w:rPr>
      <w:rFonts w:cstheme="minorHAnsi"/>
      <w:sz w:val="20"/>
      <w:szCs w:val="20"/>
    </w:rPr>
  </w:style>
  <w:style w:type="paragraph" w:styleId="TOC4">
    <w:name w:val="toc 4"/>
    <w:basedOn w:val="Normal"/>
    <w:next w:val="Normal"/>
    <w:autoRedefine/>
    <w:uiPriority w:val="39"/>
    <w:unhideWhenUsed/>
    <w:rsid w:val="00492ACD"/>
    <w:pPr>
      <w:ind w:left="480"/>
    </w:pPr>
    <w:rPr>
      <w:rFonts w:cstheme="minorHAnsi"/>
      <w:sz w:val="20"/>
      <w:szCs w:val="20"/>
    </w:rPr>
  </w:style>
  <w:style w:type="paragraph" w:styleId="TOC5">
    <w:name w:val="toc 5"/>
    <w:basedOn w:val="Normal"/>
    <w:next w:val="Normal"/>
    <w:autoRedefine/>
    <w:uiPriority w:val="39"/>
    <w:unhideWhenUsed/>
    <w:rsid w:val="00492ACD"/>
    <w:pPr>
      <w:ind w:left="720"/>
    </w:pPr>
    <w:rPr>
      <w:rFonts w:cstheme="minorHAnsi"/>
      <w:sz w:val="20"/>
      <w:szCs w:val="20"/>
    </w:rPr>
  </w:style>
  <w:style w:type="paragraph" w:styleId="TOC6">
    <w:name w:val="toc 6"/>
    <w:basedOn w:val="Normal"/>
    <w:next w:val="Normal"/>
    <w:autoRedefine/>
    <w:uiPriority w:val="39"/>
    <w:unhideWhenUsed/>
    <w:rsid w:val="00492ACD"/>
    <w:pPr>
      <w:ind w:left="960"/>
    </w:pPr>
    <w:rPr>
      <w:rFonts w:cstheme="minorHAnsi"/>
      <w:sz w:val="20"/>
      <w:szCs w:val="20"/>
    </w:rPr>
  </w:style>
  <w:style w:type="paragraph" w:styleId="TOC7">
    <w:name w:val="toc 7"/>
    <w:basedOn w:val="Normal"/>
    <w:next w:val="Normal"/>
    <w:autoRedefine/>
    <w:uiPriority w:val="39"/>
    <w:unhideWhenUsed/>
    <w:rsid w:val="00492ACD"/>
    <w:pPr>
      <w:ind w:left="1200"/>
    </w:pPr>
    <w:rPr>
      <w:rFonts w:cstheme="minorHAnsi"/>
      <w:sz w:val="20"/>
      <w:szCs w:val="20"/>
    </w:rPr>
  </w:style>
  <w:style w:type="paragraph" w:styleId="TOC8">
    <w:name w:val="toc 8"/>
    <w:basedOn w:val="Normal"/>
    <w:next w:val="Normal"/>
    <w:autoRedefine/>
    <w:uiPriority w:val="39"/>
    <w:unhideWhenUsed/>
    <w:rsid w:val="00492ACD"/>
    <w:pPr>
      <w:ind w:left="1440"/>
    </w:pPr>
    <w:rPr>
      <w:rFonts w:cstheme="minorHAnsi"/>
      <w:sz w:val="20"/>
      <w:szCs w:val="20"/>
    </w:rPr>
  </w:style>
  <w:style w:type="paragraph" w:styleId="TOC9">
    <w:name w:val="toc 9"/>
    <w:basedOn w:val="Normal"/>
    <w:next w:val="Normal"/>
    <w:autoRedefine/>
    <w:uiPriority w:val="39"/>
    <w:unhideWhenUsed/>
    <w:rsid w:val="00492ACD"/>
    <w:pPr>
      <w:ind w:left="1680"/>
    </w:pPr>
    <w:rPr>
      <w:rFonts w:cstheme="minorHAnsi"/>
      <w:sz w:val="20"/>
      <w:szCs w:val="20"/>
    </w:rPr>
  </w:style>
  <w:style w:type="character" w:styleId="PageNumber">
    <w:name w:val="page number"/>
    <w:basedOn w:val="DefaultParagraphFont"/>
    <w:uiPriority w:val="99"/>
    <w:semiHidden/>
    <w:unhideWhenUsed/>
    <w:rsid w:val="00DF55E9"/>
  </w:style>
  <w:style w:type="character" w:customStyle="1" w:styleId="UnresolvedMention1">
    <w:name w:val="Unresolved Mention1"/>
    <w:basedOn w:val="DefaultParagraphFont"/>
    <w:uiPriority w:val="99"/>
    <w:semiHidden/>
    <w:unhideWhenUsed/>
    <w:rsid w:val="004B20FB"/>
    <w:rPr>
      <w:color w:val="605E5C"/>
      <w:shd w:val="clear" w:color="auto" w:fill="E1DFDD"/>
    </w:rPr>
  </w:style>
  <w:style w:type="paragraph" w:styleId="NormalWeb">
    <w:name w:val="Normal (Web)"/>
    <w:basedOn w:val="Normal"/>
    <w:uiPriority w:val="99"/>
    <w:unhideWhenUsed/>
    <w:rsid w:val="003E50F9"/>
    <w:rPr>
      <w:rFonts w:ascii="Times New Roman" w:hAnsi="Times New Roman" w:cs="Times New Roman"/>
    </w:rPr>
  </w:style>
  <w:style w:type="table" w:customStyle="1" w:styleId="TableGrid1">
    <w:name w:val="Table Grid1"/>
    <w:basedOn w:val="TableNormal"/>
    <w:next w:val="TableGrid"/>
    <w:uiPriority w:val="39"/>
    <w:rsid w:val="00860EB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37BE"/>
  </w:style>
  <w:style w:type="character" w:customStyle="1" w:styleId="UnresolvedMention2">
    <w:name w:val="Unresolved Mention2"/>
    <w:basedOn w:val="DefaultParagraphFont"/>
    <w:uiPriority w:val="99"/>
    <w:semiHidden/>
    <w:unhideWhenUsed/>
    <w:rsid w:val="007135B7"/>
    <w:rPr>
      <w:color w:val="605E5C"/>
      <w:shd w:val="clear" w:color="auto" w:fill="E1DFDD"/>
    </w:rPr>
  </w:style>
  <w:style w:type="paragraph" w:customStyle="1" w:styleId="Default">
    <w:name w:val="Default"/>
    <w:rsid w:val="006C68A7"/>
    <w:pPr>
      <w:autoSpaceDE w:val="0"/>
      <w:autoSpaceDN w:val="0"/>
      <w:adjustRightInd w:val="0"/>
    </w:pPr>
    <w:rPr>
      <w:rFonts w:ascii="Segoe UI" w:hAnsi="Segoe UI" w:cs="Segoe UI"/>
      <w:color w:val="000000"/>
      <w:lang w:val="en-US"/>
    </w:rPr>
  </w:style>
  <w:style w:type="paragraph" w:customStyle="1" w:styleId="Pa3">
    <w:name w:val="Pa3"/>
    <w:basedOn w:val="Default"/>
    <w:next w:val="Default"/>
    <w:uiPriority w:val="99"/>
    <w:rsid w:val="006C68A7"/>
    <w:pPr>
      <w:spacing w:line="201" w:lineRule="atLeast"/>
    </w:pPr>
    <w:rPr>
      <w:color w:val="auto"/>
    </w:rPr>
  </w:style>
  <w:style w:type="character" w:customStyle="1" w:styleId="UnresolvedMention3">
    <w:name w:val="Unresolved Mention3"/>
    <w:basedOn w:val="DefaultParagraphFont"/>
    <w:uiPriority w:val="99"/>
    <w:semiHidden/>
    <w:unhideWhenUsed/>
    <w:rsid w:val="00B8285A"/>
    <w:rPr>
      <w:color w:val="605E5C"/>
      <w:shd w:val="clear" w:color="auto" w:fill="E1DFDD"/>
    </w:rPr>
  </w:style>
  <w:style w:type="paragraph" w:styleId="HTMLPreformatted">
    <w:name w:val="HTML Preformatted"/>
    <w:basedOn w:val="Normal"/>
    <w:link w:val="HTMLPreformattedChar"/>
    <w:uiPriority w:val="99"/>
    <w:semiHidden/>
    <w:unhideWhenUsed/>
    <w:rsid w:val="00142C66"/>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2C66"/>
    <w:rPr>
      <w:rFonts w:ascii="Consolas" w:hAnsi="Consolas"/>
      <w:sz w:val="20"/>
      <w:szCs w:val="20"/>
      <w:lang w:val="en-GB"/>
    </w:rPr>
  </w:style>
  <w:style w:type="character" w:styleId="FollowedHyperlink">
    <w:name w:val="FollowedHyperlink"/>
    <w:basedOn w:val="DefaultParagraphFont"/>
    <w:uiPriority w:val="99"/>
    <w:semiHidden/>
    <w:unhideWhenUsed/>
    <w:rsid w:val="00142C66"/>
    <w:rPr>
      <w:color w:val="954F72" w:themeColor="followedHyperlink"/>
      <w:u w:val="single"/>
    </w:rPr>
  </w:style>
  <w:style w:type="character" w:customStyle="1" w:styleId="UnresolvedMention4">
    <w:name w:val="Unresolved Mention4"/>
    <w:basedOn w:val="DefaultParagraphFont"/>
    <w:uiPriority w:val="99"/>
    <w:semiHidden/>
    <w:unhideWhenUsed/>
    <w:rsid w:val="0092728A"/>
    <w:rPr>
      <w:color w:val="605E5C"/>
      <w:shd w:val="clear" w:color="auto" w:fill="E1DFDD"/>
    </w:rPr>
  </w:style>
  <w:style w:type="table" w:customStyle="1" w:styleId="TableNormal11">
    <w:name w:val="Table Normal11"/>
    <w:uiPriority w:val="2"/>
    <w:semiHidden/>
    <w:unhideWhenUsed/>
    <w:qFormat/>
    <w:rsid w:val="0048330A"/>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2">
    <w:name w:val="Table Grid2"/>
    <w:basedOn w:val="TableNormal"/>
    <w:next w:val="TableGrid"/>
    <w:uiPriority w:val="39"/>
    <w:rsid w:val="00AC1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6E76C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customStyle="1" w:styleId="TableGrid3">
    <w:name w:val="Table Grid3"/>
    <w:basedOn w:val="TableNormal"/>
    <w:next w:val="TableGrid"/>
    <w:uiPriority w:val="39"/>
    <w:rsid w:val="00C84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8C49B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pPr>
    <w:rPr>
      <w:sz w:val="22"/>
      <w:szCs w:val="22"/>
    </w:rPr>
    <w:tblPr>
      <w:tblStyleRowBandSize w:val="1"/>
      <w:tblStyleColBandSize w:val="1"/>
      <w:tblCellMar>
        <w:left w:w="0" w:type="dxa"/>
        <w:right w:w="0" w:type="dxa"/>
      </w:tblCellMar>
    </w:tblPr>
  </w:style>
  <w:style w:type="table" w:customStyle="1" w:styleId="a1">
    <w:basedOn w:val="TableNormal"/>
    <w:rPr>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character" w:customStyle="1" w:styleId="UnresolvedMention6">
    <w:name w:val="Unresolved Mention6"/>
    <w:basedOn w:val="DefaultParagraphFont"/>
    <w:uiPriority w:val="99"/>
    <w:semiHidden/>
    <w:unhideWhenUsed/>
    <w:rsid w:val="007D6993"/>
    <w:rPr>
      <w:color w:val="605E5C"/>
      <w:shd w:val="clear" w:color="auto" w:fill="E1DFDD"/>
    </w:rPr>
  </w:style>
  <w:style w:type="character" w:customStyle="1" w:styleId="UnresolvedMention7">
    <w:name w:val="Unresolved Mention7"/>
    <w:basedOn w:val="DefaultParagraphFont"/>
    <w:uiPriority w:val="99"/>
    <w:semiHidden/>
    <w:unhideWhenUsed/>
    <w:rsid w:val="00FE6676"/>
    <w:rPr>
      <w:color w:val="605E5C"/>
      <w:shd w:val="clear" w:color="auto" w:fill="E1DFDD"/>
    </w:rPr>
  </w:style>
  <w:style w:type="character" w:customStyle="1" w:styleId="ListParagraphChar">
    <w:name w:val="List Paragraph Char"/>
    <w:aliases w:val="Bullet Points Char,Listenabsatz1 Char,Llista Nivell1 Char,Lista de nivel 1 Char,Paragraphe de liste PBLH Char,Normal bullet 2 Char,Graph &amp; Table tite Char,Table of contents numbered Char,Bullet list Char,Liststycke SKL Char"/>
    <w:link w:val="ListParagraph"/>
    <w:uiPriority w:val="34"/>
    <w:qFormat/>
    <w:locked/>
    <w:rsid w:val="00A80B9D"/>
  </w:style>
  <w:style w:type="character" w:customStyle="1" w:styleId="UnresolvedMention8">
    <w:name w:val="Unresolved Mention8"/>
    <w:basedOn w:val="DefaultParagraphFont"/>
    <w:uiPriority w:val="99"/>
    <w:semiHidden/>
    <w:unhideWhenUsed/>
    <w:rsid w:val="00521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37618">
      <w:bodyDiv w:val="1"/>
      <w:marLeft w:val="0"/>
      <w:marRight w:val="0"/>
      <w:marTop w:val="0"/>
      <w:marBottom w:val="0"/>
      <w:divBdr>
        <w:top w:val="none" w:sz="0" w:space="0" w:color="auto"/>
        <w:left w:val="none" w:sz="0" w:space="0" w:color="auto"/>
        <w:bottom w:val="none" w:sz="0" w:space="0" w:color="auto"/>
        <w:right w:val="none" w:sz="0" w:space="0" w:color="auto"/>
      </w:divBdr>
    </w:div>
    <w:div w:id="86539226">
      <w:bodyDiv w:val="1"/>
      <w:marLeft w:val="0"/>
      <w:marRight w:val="0"/>
      <w:marTop w:val="0"/>
      <w:marBottom w:val="0"/>
      <w:divBdr>
        <w:top w:val="none" w:sz="0" w:space="0" w:color="auto"/>
        <w:left w:val="none" w:sz="0" w:space="0" w:color="auto"/>
        <w:bottom w:val="none" w:sz="0" w:space="0" w:color="auto"/>
        <w:right w:val="none" w:sz="0" w:space="0" w:color="auto"/>
      </w:divBdr>
    </w:div>
    <w:div w:id="183370444">
      <w:bodyDiv w:val="1"/>
      <w:marLeft w:val="0"/>
      <w:marRight w:val="0"/>
      <w:marTop w:val="0"/>
      <w:marBottom w:val="0"/>
      <w:divBdr>
        <w:top w:val="none" w:sz="0" w:space="0" w:color="auto"/>
        <w:left w:val="none" w:sz="0" w:space="0" w:color="auto"/>
        <w:bottom w:val="none" w:sz="0" w:space="0" w:color="auto"/>
        <w:right w:val="none" w:sz="0" w:space="0" w:color="auto"/>
      </w:divBdr>
    </w:div>
    <w:div w:id="224032030">
      <w:bodyDiv w:val="1"/>
      <w:marLeft w:val="0"/>
      <w:marRight w:val="0"/>
      <w:marTop w:val="0"/>
      <w:marBottom w:val="0"/>
      <w:divBdr>
        <w:top w:val="none" w:sz="0" w:space="0" w:color="auto"/>
        <w:left w:val="none" w:sz="0" w:space="0" w:color="auto"/>
        <w:bottom w:val="none" w:sz="0" w:space="0" w:color="auto"/>
        <w:right w:val="none" w:sz="0" w:space="0" w:color="auto"/>
      </w:divBdr>
    </w:div>
    <w:div w:id="234901858">
      <w:bodyDiv w:val="1"/>
      <w:marLeft w:val="0"/>
      <w:marRight w:val="0"/>
      <w:marTop w:val="0"/>
      <w:marBottom w:val="0"/>
      <w:divBdr>
        <w:top w:val="none" w:sz="0" w:space="0" w:color="auto"/>
        <w:left w:val="none" w:sz="0" w:space="0" w:color="auto"/>
        <w:bottom w:val="none" w:sz="0" w:space="0" w:color="auto"/>
        <w:right w:val="none" w:sz="0" w:space="0" w:color="auto"/>
      </w:divBdr>
    </w:div>
    <w:div w:id="310211383">
      <w:bodyDiv w:val="1"/>
      <w:marLeft w:val="0"/>
      <w:marRight w:val="0"/>
      <w:marTop w:val="0"/>
      <w:marBottom w:val="0"/>
      <w:divBdr>
        <w:top w:val="none" w:sz="0" w:space="0" w:color="auto"/>
        <w:left w:val="none" w:sz="0" w:space="0" w:color="auto"/>
        <w:bottom w:val="none" w:sz="0" w:space="0" w:color="auto"/>
        <w:right w:val="none" w:sz="0" w:space="0" w:color="auto"/>
      </w:divBdr>
    </w:div>
    <w:div w:id="322205171">
      <w:bodyDiv w:val="1"/>
      <w:marLeft w:val="0"/>
      <w:marRight w:val="0"/>
      <w:marTop w:val="0"/>
      <w:marBottom w:val="0"/>
      <w:divBdr>
        <w:top w:val="none" w:sz="0" w:space="0" w:color="auto"/>
        <w:left w:val="none" w:sz="0" w:space="0" w:color="auto"/>
        <w:bottom w:val="none" w:sz="0" w:space="0" w:color="auto"/>
        <w:right w:val="none" w:sz="0" w:space="0" w:color="auto"/>
      </w:divBdr>
    </w:div>
    <w:div w:id="362249767">
      <w:bodyDiv w:val="1"/>
      <w:marLeft w:val="0"/>
      <w:marRight w:val="0"/>
      <w:marTop w:val="0"/>
      <w:marBottom w:val="0"/>
      <w:divBdr>
        <w:top w:val="none" w:sz="0" w:space="0" w:color="auto"/>
        <w:left w:val="none" w:sz="0" w:space="0" w:color="auto"/>
        <w:bottom w:val="none" w:sz="0" w:space="0" w:color="auto"/>
        <w:right w:val="none" w:sz="0" w:space="0" w:color="auto"/>
      </w:divBdr>
    </w:div>
    <w:div w:id="521675948">
      <w:bodyDiv w:val="1"/>
      <w:marLeft w:val="0"/>
      <w:marRight w:val="0"/>
      <w:marTop w:val="0"/>
      <w:marBottom w:val="0"/>
      <w:divBdr>
        <w:top w:val="none" w:sz="0" w:space="0" w:color="auto"/>
        <w:left w:val="none" w:sz="0" w:space="0" w:color="auto"/>
        <w:bottom w:val="none" w:sz="0" w:space="0" w:color="auto"/>
        <w:right w:val="none" w:sz="0" w:space="0" w:color="auto"/>
      </w:divBdr>
    </w:div>
    <w:div w:id="597173823">
      <w:bodyDiv w:val="1"/>
      <w:marLeft w:val="0"/>
      <w:marRight w:val="0"/>
      <w:marTop w:val="0"/>
      <w:marBottom w:val="0"/>
      <w:divBdr>
        <w:top w:val="none" w:sz="0" w:space="0" w:color="auto"/>
        <w:left w:val="none" w:sz="0" w:space="0" w:color="auto"/>
        <w:bottom w:val="none" w:sz="0" w:space="0" w:color="auto"/>
        <w:right w:val="none" w:sz="0" w:space="0" w:color="auto"/>
      </w:divBdr>
    </w:div>
    <w:div w:id="691035769">
      <w:bodyDiv w:val="1"/>
      <w:marLeft w:val="0"/>
      <w:marRight w:val="0"/>
      <w:marTop w:val="0"/>
      <w:marBottom w:val="0"/>
      <w:divBdr>
        <w:top w:val="none" w:sz="0" w:space="0" w:color="auto"/>
        <w:left w:val="none" w:sz="0" w:space="0" w:color="auto"/>
        <w:bottom w:val="none" w:sz="0" w:space="0" w:color="auto"/>
        <w:right w:val="none" w:sz="0" w:space="0" w:color="auto"/>
      </w:divBdr>
    </w:div>
    <w:div w:id="842664435">
      <w:bodyDiv w:val="1"/>
      <w:marLeft w:val="0"/>
      <w:marRight w:val="0"/>
      <w:marTop w:val="0"/>
      <w:marBottom w:val="0"/>
      <w:divBdr>
        <w:top w:val="none" w:sz="0" w:space="0" w:color="auto"/>
        <w:left w:val="none" w:sz="0" w:space="0" w:color="auto"/>
        <w:bottom w:val="none" w:sz="0" w:space="0" w:color="auto"/>
        <w:right w:val="none" w:sz="0" w:space="0" w:color="auto"/>
      </w:divBdr>
    </w:div>
    <w:div w:id="890772246">
      <w:bodyDiv w:val="1"/>
      <w:marLeft w:val="0"/>
      <w:marRight w:val="0"/>
      <w:marTop w:val="0"/>
      <w:marBottom w:val="0"/>
      <w:divBdr>
        <w:top w:val="none" w:sz="0" w:space="0" w:color="auto"/>
        <w:left w:val="none" w:sz="0" w:space="0" w:color="auto"/>
        <w:bottom w:val="none" w:sz="0" w:space="0" w:color="auto"/>
        <w:right w:val="none" w:sz="0" w:space="0" w:color="auto"/>
      </w:divBdr>
    </w:div>
    <w:div w:id="961575006">
      <w:bodyDiv w:val="1"/>
      <w:marLeft w:val="0"/>
      <w:marRight w:val="0"/>
      <w:marTop w:val="0"/>
      <w:marBottom w:val="0"/>
      <w:divBdr>
        <w:top w:val="none" w:sz="0" w:space="0" w:color="auto"/>
        <w:left w:val="none" w:sz="0" w:space="0" w:color="auto"/>
        <w:bottom w:val="none" w:sz="0" w:space="0" w:color="auto"/>
        <w:right w:val="none" w:sz="0" w:space="0" w:color="auto"/>
      </w:divBdr>
    </w:div>
    <w:div w:id="1009139748">
      <w:bodyDiv w:val="1"/>
      <w:marLeft w:val="0"/>
      <w:marRight w:val="0"/>
      <w:marTop w:val="0"/>
      <w:marBottom w:val="0"/>
      <w:divBdr>
        <w:top w:val="none" w:sz="0" w:space="0" w:color="auto"/>
        <w:left w:val="none" w:sz="0" w:space="0" w:color="auto"/>
        <w:bottom w:val="none" w:sz="0" w:space="0" w:color="auto"/>
        <w:right w:val="none" w:sz="0" w:space="0" w:color="auto"/>
      </w:divBdr>
    </w:div>
    <w:div w:id="1110127640">
      <w:bodyDiv w:val="1"/>
      <w:marLeft w:val="0"/>
      <w:marRight w:val="0"/>
      <w:marTop w:val="0"/>
      <w:marBottom w:val="0"/>
      <w:divBdr>
        <w:top w:val="none" w:sz="0" w:space="0" w:color="auto"/>
        <w:left w:val="none" w:sz="0" w:space="0" w:color="auto"/>
        <w:bottom w:val="none" w:sz="0" w:space="0" w:color="auto"/>
        <w:right w:val="none" w:sz="0" w:space="0" w:color="auto"/>
      </w:divBdr>
      <w:divsChild>
        <w:div w:id="1588419909">
          <w:marLeft w:val="1080"/>
          <w:marRight w:val="0"/>
          <w:marTop w:val="100"/>
          <w:marBottom w:val="0"/>
          <w:divBdr>
            <w:top w:val="none" w:sz="0" w:space="0" w:color="auto"/>
            <w:left w:val="none" w:sz="0" w:space="0" w:color="auto"/>
            <w:bottom w:val="none" w:sz="0" w:space="0" w:color="auto"/>
            <w:right w:val="none" w:sz="0" w:space="0" w:color="auto"/>
          </w:divBdr>
        </w:div>
        <w:div w:id="1084451305">
          <w:marLeft w:val="1080"/>
          <w:marRight w:val="0"/>
          <w:marTop w:val="100"/>
          <w:marBottom w:val="0"/>
          <w:divBdr>
            <w:top w:val="none" w:sz="0" w:space="0" w:color="auto"/>
            <w:left w:val="none" w:sz="0" w:space="0" w:color="auto"/>
            <w:bottom w:val="none" w:sz="0" w:space="0" w:color="auto"/>
            <w:right w:val="none" w:sz="0" w:space="0" w:color="auto"/>
          </w:divBdr>
        </w:div>
      </w:divsChild>
    </w:div>
    <w:div w:id="1128090155">
      <w:bodyDiv w:val="1"/>
      <w:marLeft w:val="0"/>
      <w:marRight w:val="0"/>
      <w:marTop w:val="0"/>
      <w:marBottom w:val="0"/>
      <w:divBdr>
        <w:top w:val="none" w:sz="0" w:space="0" w:color="auto"/>
        <w:left w:val="none" w:sz="0" w:space="0" w:color="auto"/>
        <w:bottom w:val="none" w:sz="0" w:space="0" w:color="auto"/>
        <w:right w:val="none" w:sz="0" w:space="0" w:color="auto"/>
      </w:divBdr>
    </w:div>
    <w:div w:id="1215116678">
      <w:bodyDiv w:val="1"/>
      <w:marLeft w:val="0"/>
      <w:marRight w:val="0"/>
      <w:marTop w:val="0"/>
      <w:marBottom w:val="0"/>
      <w:divBdr>
        <w:top w:val="none" w:sz="0" w:space="0" w:color="auto"/>
        <w:left w:val="none" w:sz="0" w:space="0" w:color="auto"/>
        <w:bottom w:val="none" w:sz="0" w:space="0" w:color="auto"/>
        <w:right w:val="none" w:sz="0" w:space="0" w:color="auto"/>
      </w:divBdr>
    </w:div>
    <w:div w:id="1259482863">
      <w:bodyDiv w:val="1"/>
      <w:marLeft w:val="0"/>
      <w:marRight w:val="0"/>
      <w:marTop w:val="0"/>
      <w:marBottom w:val="0"/>
      <w:divBdr>
        <w:top w:val="none" w:sz="0" w:space="0" w:color="auto"/>
        <w:left w:val="none" w:sz="0" w:space="0" w:color="auto"/>
        <w:bottom w:val="none" w:sz="0" w:space="0" w:color="auto"/>
        <w:right w:val="none" w:sz="0" w:space="0" w:color="auto"/>
      </w:divBdr>
    </w:div>
    <w:div w:id="1476096213">
      <w:bodyDiv w:val="1"/>
      <w:marLeft w:val="0"/>
      <w:marRight w:val="0"/>
      <w:marTop w:val="0"/>
      <w:marBottom w:val="0"/>
      <w:divBdr>
        <w:top w:val="none" w:sz="0" w:space="0" w:color="auto"/>
        <w:left w:val="none" w:sz="0" w:space="0" w:color="auto"/>
        <w:bottom w:val="none" w:sz="0" w:space="0" w:color="auto"/>
        <w:right w:val="none" w:sz="0" w:space="0" w:color="auto"/>
      </w:divBdr>
    </w:div>
    <w:div w:id="1492215317">
      <w:bodyDiv w:val="1"/>
      <w:marLeft w:val="0"/>
      <w:marRight w:val="0"/>
      <w:marTop w:val="0"/>
      <w:marBottom w:val="0"/>
      <w:divBdr>
        <w:top w:val="none" w:sz="0" w:space="0" w:color="auto"/>
        <w:left w:val="none" w:sz="0" w:space="0" w:color="auto"/>
        <w:bottom w:val="none" w:sz="0" w:space="0" w:color="auto"/>
        <w:right w:val="none" w:sz="0" w:space="0" w:color="auto"/>
      </w:divBdr>
    </w:div>
    <w:div w:id="1516269217">
      <w:bodyDiv w:val="1"/>
      <w:marLeft w:val="0"/>
      <w:marRight w:val="0"/>
      <w:marTop w:val="0"/>
      <w:marBottom w:val="0"/>
      <w:divBdr>
        <w:top w:val="none" w:sz="0" w:space="0" w:color="auto"/>
        <w:left w:val="none" w:sz="0" w:space="0" w:color="auto"/>
        <w:bottom w:val="none" w:sz="0" w:space="0" w:color="auto"/>
        <w:right w:val="none" w:sz="0" w:space="0" w:color="auto"/>
      </w:divBdr>
    </w:div>
    <w:div w:id="1517116208">
      <w:bodyDiv w:val="1"/>
      <w:marLeft w:val="0"/>
      <w:marRight w:val="0"/>
      <w:marTop w:val="0"/>
      <w:marBottom w:val="0"/>
      <w:divBdr>
        <w:top w:val="none" w:sz="0" w:space="0" w:color="auto"/>
        <w:left w:val="none" w:sz="0" w:space="0" w:color="auto"/>
        <w:bottom w:val="none" w:sz="0" w:space="0" w:color="auto"/>
        <w:right w:val="none" w:sz="0" w:space="0" w:color="auto"/>
      </w:divBdr>
    </w:div>
    <w:div w:id="1650203874">
      <w:bodyDiv w:val="1"/>
      <w:marLeft w:val="0"/>
      <w:marRight w:val="0"/>
      <w:marTop w:val="0"/>
      <w:marBottom w:val="0"/>
      <w:divBdr>
        <w:top w:val="none" w:sz="0" w:space="0" w:color="auto"/>
        <w:left w:val="none" w:sz="0" w:space="0" w:color="auto"/>
        <w:bottom w:val="none" w:sz="0" w:space="0" w:color="auto"/>
        <w:right w:val="none" w:sz="0" w:space="0" w:color="auto"/>
      </w:divBdr>
    </w:div>
    <w:div w:id="1673756102">
      <w:bodyDiv w:val="1"/>
      <w:marLeft w:val="0"/>
      <w:marRight w:val="0"/>
      <w:marTop w:val="0"/>
      <w:marBottom w:val="0"/>
      <w:divBdr>
        <w:top w:val="none" w:sz="0" w:space="0" w:color="auto"/>
        <w:left w:val="none" w:sz="0" w:space="0" w:color="auto"/>
        <w:bottom w:val="none" w:sz="0" w:space="0" w:color="auto"/>
        <w:right w:val="none" w:sz="0" w:space="0" w:color="auto"/>
      </w:divBdr>
    </w:div>
    <w:div w:id="1689718116">
      <w:bodyDiv w:val="1"/>
      <w:marLeft w:val="0"/>
      <w:marRight w:val="0"/>
      <w:marTop w:val="0"/>
      <w:marBottom w:val="0"/>
      <w:divBdr>
        <w:top w:val="none" w:sz="0" w:space="0" w:color="auto"/>
        <w:left w:val="none" w:sz="0" w:space="0" w:color="auto"/>
        <w:bottom w:val="none" w:sz="0" w:space="0" w:color="auto"/>
        <w:right w:val="none" w:sz="0" w:space="0" w:color="auto"/>
      </w:divBdr>
      <w:divsChild>
        <w:div w:id="2097045135">
          <w:marLeft w:val="0"/>
          <w:marRight w:val="0"/>
          <w:marTop w:val="0"/>
          <w:marBottom w:val="0"/>
          <w:divBdr>
            <w:top w:val="none" w:sz="0" w:space="0" w:color="auto"/>
            <w:left w:val="none" w:sz="0" w:space="0" w:color="auto"/>
            <w:bottom w:val="none" w:sz="0" w:space="0" w:color="auto"/>
            <w:right w:val="none" w:sz="0" w:space="0" w:color="auto"/>
          </w:divBdr>
          <w:divsChild>
            <w:div w:id="1788812406">
              <w:marLeft w:val="0"/>
              <w:marRight w:val="0"/>
              <w:marTop w:val="0"/>
              <w:marBottom w:val="0"/>
              <w:divBdr>
                <w:top w:val="none" w:sz="0" w:space="0" w:color="auto"/>
                <w:left w:val="none" w:sz="0" w:space="0" w:color="auto"/>
                <w:bottom w:val="none" w:sz="0" w:space="0" w:color="auto"/>
                <w:right w:val="none" w:sz="0" w:space="0" w:color="auto"/>
              </w:divBdr>
              <w:divsChild>
                <w:div w:id="2114324121">
                  <w:marLeft w:val="0"/>
                  <w:marRight w:val="0"/>
                  <w:marTop w:val="100"/>
                  <w:marBottom w:val="300"/>
                  <w:divBdr>
                    <w:top w:val="none" w:sz="0" w:space="0" w:color="auto"/>
                    <w:left w:val="none" w:sz="0" w:space="0" w:color="auto"/>
                    <w:bottom w:val="none" w:sz="0" w:space="0" w:color="auto"/>
                    <w:right w:val="none" w:sz="0" w:space="0" w:color="auto"/>
                  </w:divBdr>
                  <w:divsChild>
                    <w:div w:id="2095976065">
                      <w:marLeft w:val="0"/>
                      <w:marRight w:val="0"/>
                      <w:marTop w:val="0"/>
                      <w:marBottom w:val="0"/>
                      <w:divBdr>
                        <w:top w:val="none" w:sz="0" w:space="0" w:color="auto"/>
                        <w:left w:val="none" w:sz="0" w:space="0" w:color="auto"/>
                        <w:bottom w:val="none" w:sz="0" w:space="0" w:color="auto"/>
                        <w:right w:val="none" w:sz="0" w:space="0" w:color="auto"/>
                      </w:divBdr>
                      <w:divsChild>
                        <w:div w:id="38673717">
                          <w:marLeft w:val="0"/>
                          <w:marRight w:val="0"/>
                          <w:marTop w:val="0"/>
                          <w:marBottom w:val="0"/>
                          <w:divBdr>
                            <w:top w:val="none" w:sz="0" w:space="0" w:color="auto"/>
                            <w:left w:val="none" w:sz="0" w:space="0" w:color="auto"/>
                            <w:bottom w:val="none" w:sz="0" w:space="0" w:color="auto"/>
                            <w:right w:val="none" w:sz="0" w:space="0" w:color="auto"/>
                          </w:divBdr>
                          <w:divsChild>
                            <w:div w:id="781415802">
                              <w:marLeft w:val="0"/>
                              <w:marRight w:val="0"/>
                              <w:marTop w:val="0"/>
                              <w:marBottom w:val="0"/>
                              <w:divBdr>
                                <w:top w:val="none" w:sz="0" w:space="0" w:color="auto"/>
                                <w:left w:val="none" w:sz="0" w:space="0" w:color="auto"/>
                                <w:bottom w:val="none" w:sz="0" w:space="0" w:color="auto"/>
                                <w:right w:val="none" w:sz="0" w:space="0" w:color="auto"/>
                              </w:divBdr>
                              <w:divsChild>
                                <w:div w:id="853762790">
                                  <w:marLeft w:val="0"/>
                                  <w:marRight w:val="0"/>
                                  <w:marTop w:val="0"/>
                                  <w:marBottom w:val="0"/>
                                  <w:divBdr>
                                    <w:top w:val="none" w:sz="0" w:space="0" w:color="auto"/>
                                    <w:left w:val="none" w:sz="0" w:space="0" w:color="auto"/>
                                    <w:bottom w:val="none" w:sz="0" w:space="0" w:color="auto"/>
                                    <w:right w:val="none" w:sz="0" w:space="0" w:color="auto"/>
                                  </w:divBdr>
                                  <w:divsChild>
                                    <w:div w:id="827786739">
                                      <w:marLeft w:val="0"/>
                                      <w:marRight w:val="0"/>
                                      <w:marTop w:val="0"/>
                                      <w:marBottom w:val="0"/>
                                      <w:divBdr>
                                        <w:top w:val="none" w:sz="0" w:space="0" w:color="auto"/>
                                        <w:left w:val="none" w:sz="0" w:space="0" w:color="auto"/>
                                        <w:bottom w:val="none" w:sz="0" w:space="0" w:color="auto"/>
                                        <w:right w:val="none" w:sz="0" w:space="0" w:color="auto"/>
                                      </w:divBdr>
                                      <w:divsChild>
                                        <w:div w:id="1457214508">
                                          <w:marLeft w:val="0"/>
                                          <w:marRight w:val="0"/>
                                          <w:marTop w:val="0"/>
                                          <w:marBottom w:val="0"/>
                                          <w:divBdr>
                                            <w:top w:val="none" w:sz="0" w:space="0" w:color="auto"/>
                                            <w:left w:val="none" w:sz="0" w:space="0" w:color="auto"/>
                                            <w:bottom w:val="none" w:sz="0" w:space="0" w:color="auto"/>
                                            <w:right w:val="none" w:sz="0" w:space="0" w:color="auto"/>
                                          </w:divBdr>
                                          <w:divsChild>
                                            <w:div w:id="1125153401">
                                              <w:marLeft w:val="0"/>
                                              <w:marRight w:val="0"/>
                                              <w:marTop w:val="0"/>
                                              <w:marBottom w:val="0"/>
                                              <w:divBdr>
                                                <w:top w:val="none" w:sz="0" w:space="0" w:color="auto"/>
                                                <w:left w:val="none" w:sz="0" w:space="0" w:color="auto"/>
                                                <w:bottom w:val="none" w:sz="0" w:space="0" w:color="auto"/>
                                                <w:right w:val="none" w:sz="0" w:space="0" w:color="auto"/>
                                              </w:divBdr>
                                              <w:divsChild>
                                                <w:div w:id="1400252657">
                                                  <w:marLeft w:val="0"/>
                                                  <w:marRight w:val="0"/>
                                                  <w:marTop w:val="0"/>
                                                  <w:marBottom w:val="0"/>
                                                  <w:divBdr>
                                                    <w:top w:val="none" w:sz="0" w:space="0" w:color="auto"/>
                                                    <w:left w:val="none" w:sz="0" w:space="0" w:color="auto"/>
                                                    <w:bottom w:val="none" w:sz="0" w:space="0" w:color="auto"/>
                                                    <w:right w:val="none" w:sz="0" w:space="0" w:color="auto"/>
                                                  </w:divBdr>
                                                </w:div>
                                              </w:divsChild>
                                            </w:div>
                                            <w:div w:id="1134908950">
                                              <w:marLeft w:val="0"/>
                                              <w:marRight w:val="0"/>
                                              <w:marTop w:val="0"/>
                                              <w:marBottom w:val="0"/>
                                              <w:divBdr>
                                                <w:top w:val="none" w:sz="0" w:space="0" w:color="auto"/>
                                                <w:left w:val="none" w:sz="0" w:space="0" w:color="auto"/>
                                                <w:bottom w:val="none" w:sz="0" w:space="0" w:color="auto"/>
                                                <w:right w:val="none" w:sz="0" w:space="0" w:color="auto"/>
                                              </w:divBdr>
                                              <w:divsChild>
                                                <w:div w:id="1082801108">
                                                  <w:marLeft w:val="0"/>
                                                  <w:marRight w:val="0"/>
                                                  <w:marTop w:val="0"/>
                                                  <w:marBottom w:val="0"/>
                                                  <w:divBdr>
                                                    <w:top w:val="none" w:sz="0" w:space="0" w:color="auto"/>
                                                    <w:left w:val="none" w:sz="0" w:space="0" w:color="auto"/>
                                                    <w:bottom w:val="none" w:sz="0" w:space="0" w:color="auto"/>
                                                    <w:right w:val="none" w:sz="0" w:space="0" w:color="auto"/>
                                                  </w:divBdr>
                                                </w:div>
                                              </w:divsChild>
                                            </w:div>
                                            <w:div w:id="1697464041">
                                              <w:marLeft w:val="0"/>
                                              <w:marRight w:val="0"/>
                                              <w:marTop w:val="0"/>
                                              <w:marBottom w:val="0"/>
                                              <w:divBdr>
                                                <w:top w:val="none" w:sz="0" w:space="0" w:color="auto"/>
                                                <w:left w:val="none" w:sz="0" w:space="0" w:color="auto"/>
                                                <w:bottom w:val="none" w:sz="0" w:space="0" w:color="auto"/>
                                                <w:right w:val="none" w:sz="0" w:space="0" w:color="auto"/>
                                              </w:divBdr>
                                              <w:divsChild>
                                                <w:div w:id="1042486730">
                                                  <w:marLeft w:val="0"/>
                                                  <w:marRight w:val="0"/>
                                                  <w:marTop w:val="0"/>
                                                  <w:marBottom w:val="0"/>
                                                  <w:divBdr>
                                                    <w:top w:val="none" w:sz="0" w:space="0" w:color="auto"/>
                                                    <w:left w:val="none" w:sz="0" w:space="0" w:color="auto"/>
                                                    <w:bottom w:val="none" w:sz="0" w:space="0" w:color="auto"/>
                                                    <w:right w:val="none" w:sz="0" w:space="0" w:color="auto"/>
                                                  </w:divBdr>
                                                </w:div>
                                              </w:divsChild>
                                            </w:div>
                                            <w:div w:id="1954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03279">
                  <w:marLeft w:val="0"/>
                  <w:marRight w:val="0"/>
                  <w:marTop w:val="100"/>
                  <w:marBottom w:val="300"/>
                  <w:divBdr>
                    <w:top w:val="none" w:sz="0" w:space="0" w:color="auto"/>
                    <w:left w:val="none" w:sz="0" w:space="0" w:color="auto"/>
                    <w:bottom w:val="none" w:sz="0" w:space="0" w:color="auto"/>
                    <w:right w:val="none" w:sz="0" w:space="0" w:color="auto"/>
                  </w:divBdr>
                  <w:divsChild>
                    <w:div w:id="253780902">
                      <w:marLeft w:val="0"/>
                      <w:marRight w:val="0"/>
                      <w:marTop w:val="0"/>
                      <w:marBottom w:val="0"/>
                      <w:divBdr>
                        <w:top w:val="none" w:sz="0" w:space="0" w:color="auto"/>
                        <w:left w:val="none" w:sz="0" w:space="0" w:color="auto"/>
                        <w:bottom w:val="none" w:sz="0" w:space="0" w:color="auto"/>
                        <w:right w:val="none" w:sz="0" w:space="0" w:color="auto"/>
                      </w:divBdr>
                      <w:divsChild>
                        <w:div w:id="744381427">
                          <w:marLeft w:val="0"/>
                          <w:marRight w:val="0"/>
                          <w:marTop w:val="0"/>
                          <w:marBottom w:val="0"/>
                          <w:divBdr>
                            <w:top w:val="none" w:sz="0" w:space="0" w:color="auto"/>
                            <w:left w:val="none" w:sz="0" w:space="0" w:color="auto"/>
                            <w:bottom w:val="none" w:sz="0" w:space="0" w:color="auto"/>
                            <w:right w:val="none" w:sz="0" w:space="0" w:color="auto"/>
                          </w:divBdr>
                          <w:divsChild>
                            <w:div w:id="1130391907">
                              <w:marLeft w:val="0"/>
                              <w:marRight w:val="0"/>
                              <w:marTop w:val="0"/>
                              <w:marBottom w:val="0"/>
                              <w:divBdr>
                                <w:top w:val="none" w:sz="0" w:space="0" w:color="auto"/>
                                <w:left w:val="none" w:sz="0" w:space="0" w:color="auto"/>
                                <w:bottom w:val="none" w:sz="0" w:space="0" w:color="auto"/>
                                <w:right w:val="none" w:sz="0" w:space="0" w:color="auto"/>
                              </w:divBdr>
                              <w:divsChild>
                                <w:div w:id="1580090198">
                                  <w:marLeft w:val="0"/>
                                  <w:marRight w:val="0"/>
                                  <w:marTop w:val="0"/>
                                  <w:marBottom w:val="0"/>
                                  <w:divBdr>
                                    <w:top w:val="none" w:sz="0" w:space="0" w:color="auto"/>
                                    <w:left w:val="none" w:sz="0" w:space="0" w:color="auto"/>
                                    <w:bottom w:val="none" w:sz="0" w:space="0" w:color="auto"/>
                                    <w:right w:val="none" w:sz="0" w:space="0" w:color="auto"/>
                                  </w:divBdr>
                                  <w:divsChild>
                                    <w:div w:id="1757169624">
                                      <w:marLeft w:val="0"/>
                                      <w:marRight w:val="0"/>
                                      <w:marTop w:val="0"/>
                                      <w:marBottom w:val="0"/>
                                      <w:divBdr>
                                        <w:top w:val="single" w:sz="6" w:space="0" w:color="DFDFDF"/>
                                        <w:left w:val="single" w:sz="6" w:space="0" w:color="DFDFDF"/>
                                        <w:bottom w:val="single" w:sz="6" w:space="0" w:color="DFDFDF"/>
                                        <w:right w:val="single" w:sz="6" w:space="0" w:color="DFDFDF"/>
                                      </w:divBdr>
                                      <w:divsChild>
                                        <w:div w:id="526872673">
                                          <w:marLeft w:val="0"/>
                                          <w:marRight w:val="0"/>
                                          <w:marTop w:val="0"/>
                                          <w:marBottom w:val="0"/>
                                          <w:divBdr>
                                            <w:top w:val="none" w:sz="0" w:space="0" w:color="auto"/>
                                            <w:left w:val="none" w:sz="0" w:space="0" w:color="auto"/>
                                            <w:bottom w:val="none" w:sz="0" w:space="0" w:color="auto"/>
                                            <w:right w:val="none" w:sz="0" w:space="0" w:color="auto"/>
                                          </w:divBdr>
                                          <w:divsChild>
                                            <w:div w:id="325859650">
                                              <w:marLeft w:val="0"/>
                                              <w:marRight w:val="0"/>
                                              <w:marTop w:val="0"/>
                                              <w:marBottom w:val="0"/>
                                              <w:divBdr>
                                                <w:top w:val="none" w:sz="0" w:space="0" w:color="auto"/>
                                                <w:left w:val="none" w:sz="0" w:space="0" w:color="auto"/>
                                                <w:bottom w:val="none" w:sz="0" w:space="0" w:color="auto"/>
                                                <w:right w:val="none" w:sz="0" w:space="0" w:color="auto"/>
                                              </w:divBdr>
                                            </w:div>
                                            <w:div w:id="800224542">
                                              <w:marLeft w:val="0"/>
                                              <w:marRight w:val="0"/>
                                              <w:marTop w:val="0"/>
                                              <w:marBottom w:val="0"/>
                                              <w:divBdr>
                                                <w:top w:val="none" w:sz="0" w:space="0" w:color="auto"/>
                                                <w:left w:val="none" w:sz="0" w:space="0" w:color="auto"/>
                                                <w:bottom w:val="none" w:sz="0" w:space="0" w:color="auto"/>
                                                <w:right w:val="none" w:sz="0" w:space="0" w:color="auto"/>
                                              </w:divBdr>
                                              <w:divsChild>
                                                <w:div w:id="1065030091">
                                                  <w:marLeft w:val="0"/>
                                                  <w:marRight w:val="0"/>
                                                  <w:marTop w:val="0"/>
                                                  <w:marBottom w:val="0"/>
                                                  <w:divBdr>
                                                    <w:top w:val="none" w:sz="0" w:space="0" w:color="auto"/>
                                                    <w:left w:val="none" w:sz="0" w:space="0" w:color="auto"/>
                                                    <w:bottom w:val="none" w:sz="0" w:space="0" w:color="auto"/>
                                                    <w:right w:val="none" w:sz="0" w:space="0" w:color="auto"/>
                                                  </w:divBdr>
                                                </w:div>
                                                <w:div w:id="534074418">
                                                  <w:marLeft w:val="0"/>
                                                  <w:marRight w:val="0"/>
                                                  <w:marTop w:val="0"/>
                                                  <w:marBottom w:val="0"/>
                                                  <w:divBdr>
                                                    <w:top w:val="none" w:sz="0" w:space="0" w:color="auto"/>
                                                    <w:left w:val="none" w:sz="0" w:space="0" w:color="auto"/>
                                                    <w:bottom w:val="none" w:sz="0" w:space="0" w:color="auto"/>
                                                    <w:right w:val="none" w:sz="0" w:space="0" w:color="auto"/>
                                                  </w:divBdr>
                                                  <w:divsChild>
                                                    <w:div w:id="9187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0114">
                                      <w:marLeft w:val="0"/>
                                      <w:marRight w:val="0"/>
                                      <w:marTop w:val="0"/>
                                      <w:marBottom w:val="0"/>
                                      <w:divBdr>
                                        <w:top w:val="single" w:sz="6" w:space="0" w:color="DFDFDF"/>
                                        <w:left w:val="single" w:sz="6" w:space="0" w:color="DFDFDF"/>
                                        <w:bottom w:val="single" w:sz="6" w:space="0" w:color="DFDFDF"/>
                                        <w:right w:val="single" w:sz="6" w:space="0" w:color="DFDFDF"/>
                                      </w:divBdr>
                                      <w:divsChild>
                                        <w:div w:id="723679472">
                                          <w:marLeft w:val="0"/>
                                          <w:marRight w:val="0"/>
                                          <w:marTop w:val="0"/>
                                          <w:marBottom w:val="0"/>
                                          <w:divBdr>
                                            <w:top w:val="none" w:sz="0" w:space="0" w:color="auto"/>
                                            <w:left w:val="none" w:sz="0" w:space="0" w:color="auto"/>
                                            <w:bottom w:val="none" w:sz="0" w:space="0" w:color="auto"/>
                                            <w:right w:val="none" w:sz="0" w:space="0" w:color="auto"/>
                                          </w:divBdr>
                                          <w:divsChild>
                                            <w:div w:id="1044720357">
                                              <w:marLeft w:val="0"/>
                                              <w:marRight w:val="0"/>
                                              <w:marTop w:val="0"/>
                                              <w:marBottom w:val="0"/>
                                              <w:divBdr>
                                                <w:top w:val="none" w:sz="0" w:space="0" w:color="auto"/>
                                                <w:left w:val="none" w:sz="0" w:space="0" w:color="auto"/>
                                                <w:bottom w:val="none" w:sz="0" w:space="0" w:color="auto"/>
                                                <w:right w:val="none" w:sz="0" w:space="0" w:color="auto"/>
                                              </w:divBdr>
                                            </w:div>
                                            <w:div w:id="1252425267">
                                              <w:marLeft w:val="0"/>
                                              <w:marRight w:val="0"/>
                                              <w:marTop w:val="0"/>
                                              <w:marBottom w:val="0"/>
                                              <w:divBdr>
                                                <w:top w:val="none" w:sz="0" w:space="0" w:color="auto"/>
                                                <w:left w:val="none" w:sz="0" w:space="0" w:color="auto"/>
                                                <w:bottom w:val="none" w:sz="0" w:space="0" w:color="auto"/>
                                                <w:right w:val="none" w:sz="0" w:space="0" w:color="auto"/>
                                              </w:divBdr>
                                              <w:divsChild>
                                                <w:div w:id="805314801">
                                                  <w:marLeft w:val="0"/>
                                                  <w:marRight w:val="0"/>
                                                  <w:marTop w:val="0"/>
                                                  <w:marBottom w:val="0"/>
                                                  <w:divBdr>
                                                    <w:top w:val="none" w:sz="0" w:space="0" w:color="auto"/>
                                                    <w:left w:val="none" w:sz="0" w:space="0" w:color="auto"/>
                                                    <w:bottom w:val="none" w:sz="0" w:space="0" w:color="auto"/>
                                                    <w:right w:val="none" w:sz="0" w:space="0" w:color="auto"/>
                                                  </w:divBdr>
                                                </w:div>
                                                <w:div w:id="68692306">
                                                  <w:marLeft w:val="0"/>
                                                  <w:marRight w:val="0"/>
                                                  <w:marTop w:val="0"/>
                                                  <w:marBottom w:val="0"/>
                                                  <w:divBdr>
                                                    <w:top w:val="none" w:sz="0" w:space="0" w:color="auto"/>
                                                    <w:left w:val="none" w:sz="0" w:space="0" w:color="auto"/>
                                                    <w:bottom w:val="none" w:sz="0" w:space="0" w:color="auto"/>
                                                    <w:right w:val="none" w:sz="0" w:space="0" w:color="auto"/>
                                                  </w:divBdr>
                                                  <w:divsChild>
                                                    <w:div w:id="136101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8489">
                                      <w:marLeft w:val="0"/>
                                      <w:marRight w:val="0"/>
                                      <w:marTop w:val="0"/>
                                      <w:marBottom w:val="0"/>
                                      <w:divBdr>
                                        <w:top w:val="single" w:sz="6" w:space="0" w:color="DFDFDF"/>
                                        <w:left w:val="single" w:sz="6" w:space="0" w:color="DFDFDF"/>
                                        <w:bottom w:val="single" w:sz="6" w:space="0" w:color="DFDFDF"/>
                                        <w:right w:val="single" w:sz="6" w:space="0" w:color="DFDFDF"/>
                                      </w:divBdr>
                                      <w:divsChild>
                                        <w:div w:id="1488668472">
                                          <w:marLeft w:val="0"/>
                                          <w:marRight w:val="0"/>
                                          <w:marTop w:val="0"/>
                                          <w:marBottom w:val="0"/>
                                          <w:divBdr>
                                            <w:top w:val="none" w:sz="0" w:space="0" w:color="auto"/>
                                            <w:left w:val="none" w:sz="0" w:space="0" w:color="auto"/>
                                            <w:bottom w:val="none" w:sz="0" w:space="0" w:color="auto"/>
                                            <w:right w:val="none" w:sz="0" w:space="0" w:color="auto"/>
                                          </w:divBdr>
                                          <w:divsChild>
                                            <w:div w:id="761875940">
                                              <w:marLeft w:val="0"/>
                                              <w:marRight w:val="0"/>
                                              <w:marTop w:val="0"/>
                                              <w:marBottom w:val="0"/>
                                              <w:divBdr>
                                                <w:top w:val="none" w:sz="0" w:space="0" w:color="auto"/>
                                                <w:left w:val="none" w:sz="0" w:space="0" w:color="auto"/>
                                                <w:bottom w:val="none" w:sz="0" w:space="0" w:color="auto"/>
                                                <w:right w:val="none" w:sz="0" w:space="0" w:color="auto"/>
                                              </w:divBdr>
                                            </w:div>
                                            <w:div w:id="111748034">
                                              <w:marLeft w:val="0"/>
                                              <w:marRight w:val="0"/>
                                              <w:marTop w:val="0"/>
                                              <w:marBottom w:val="0"/>
                                              <w:divBdr>
                                                <w:top w:val="none" w:sz="0" w:space="0" w:color="auto"/>
                                                <w:left w:val="none" w:sz="0" w:space="0" w:color="auto"/>
                                                <w:bottom w:val="none" w:sz="0" w:space="0" w:color="auto"/>
                                                <w:right w:val="none" w:sz="0" w:space="0" w:color="auto"/>
                                              </w:divBdr>
                                              <w:divsChild>
                                                <w:div w:id="983433798">
                                                  <w:marLeft w:val="0"/>
                                                  <w:marRight w:val="0"/>
                                                  <w:marTop w:val="0"/>
                                                  <w:marBottom w:val="0"/>
                                                  <w:divBdr>
                                                    <w:top w:val="none" w:sz="0" w:space="0" w:color="auto"/>
                                                    <w:left w:val="none" w:sz="0" w:space="0" w:color="auto"/>
                                                    <w:bottom w:val="none" w:sz="0" w:space="0" w:color="auto"/>
                                                    <w:right w:val="none" w:sz="0" w:space="0" w:color="auto"/>
                                                  </w:divBdr>
                                                </w:div>
                                                <w:div w:id="2118328489">
                                                  <w:marLeft w:val="0"/>
                                                  <w:marRight w:val="0"/>
                                                  <w:marTop w:val="0"/>
                                                  <w:marBottom w:val="0"/>
                                                  <w:divBdr>
                                                    <w:top w:val="none" w:sz="0" w:space="0" w:color="auto"/>
                                                    <w:left w:val="none" w:sz="0" w:space="0" w:color="auto"/>
                                                    <w:bottom w:val="none" w:sz="0" w:space="0" w:color="auto"/>
                                                    <w:right w:val="none" w:sz="0" w:space="0" w:color="auto"/>
                                                  </w:divBdr>
                                                  <w:divsChild>
                                                    <w:div w:id="122738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1918">
                                      <w:marLeft w:val="0"/>
                                      <w:marRight w:val="0"/>
                                      <w:marTop w:val="0"/>
                                      <w:marBottom w:val="0"/>
                                      <w:divBdr>
                                        <w:top w:val="single" w:sz="6" w:space="0" w:color="DFDFDF"/>
                                        <w:left w:val="single" w:sz="6" w:space="0" w:color="DFDFDF"/>
                                        <w:bottom w:val="single" w:sz="6" w:space="0" w:color="DFDFDF"/>
                                        <w:right w:val="single" w:sz="6" w:space="0" w:color="DFDFDF"/>
                                      </w:divBdr>
                                      <w:divsChild>
                                        <w:div w:id="1543596549">
                                          <w:marLeft w:val="0"/>
                                          <w:marRight w:val="0"/>
                                          <w:marTop w:val="0"/>
                                          <w:marBottom w:val="0"/>
                                          <w:divBdr>
                                            <w:top w:val="none" w:sz="0" w:space="0" w:color="auto"/>
                                            <w:left w:val="none" w:sz="0" w:space="0" w:color="auto"/>
                                            <w:bottom w:val="none" w:sz="0" w:space="0" w:color="auto"/>
                                            <w:right w:val="none" w:sz="0" w:space="0" w:color="auto"/>
                                          </w:divBdr>
                                          <w:divsChild>
                                            <w:div w:id="473564311">
                                              <w:marLeft w:val="0"/>
                                              <w:marRight w:val="0"/>
                                              <w:marTop w:val="0"/>
                                              <w:marBottom w:val="0"/>
                                              <w:divBdr>
                                                <w:top w:val="none" w:sz="0" w:space="0" w:color="auto"/>
                                                <w:left w:val="none" w:sz="0" w:space="0" w:color="auto"/>
                                                <w:bottom w:val="none" w:sz="0" w:space="0" w:color="auto"/>
                                                <w:right w:val="none" w:sz="0" w:space="0" w:color="auto"/>
                                              </w:divBdr>
                                            </w:div>
                                            <w:div w:id="792332334">
                                              <w:marLeft w:val="0"/>
                                              <w:marRight w:val="0"/>
                                              <w:marTop w:val="0"/>
                                              <w:marBottom w:val="0"/>
                                              <w:divBdr>
                                                <w:top w:val="none" w:sz="0" w:space="0" w:color="auto"/>
                                                <w:left w:val="none" w:sz="0" w:space="0" w:color="auto"/>
                                                <w:bottom w:val="none" w:sz="0" w:space="0" w:color="auto"/>
                                                <w:right w:val="none" w:sz="0" w:space="0" w:color="auto"/>
                                              </w:divBdr>
                                              <w:divsChild>
                                                <w:div w:id="710883979">
                                                  <w:marLeft w:val="0"/>
                                                  <w:marRight w:val="0"/>
                                                  <w:marTop w:val="0"/>
                                                  <w:marBottom w:val="0"/>
                                                  <w:divBdr>
                                                    <w:top w:val="none" w:sz="0" w:space="0" w:color="auto"/>
                                                    <w:left w:val="none" w:sz="0" w:space="0" w:color="auto"/>
                                                    <w:bottom w:val="none" w:sz="0" w:space="0" w:color="auto"/>
                                                    <w:right w:val="none" w:sz="0" w:space="0" w:color="auto"/>
                                                  </w:divBdr>
                                                </w:div>
                                                <w:div w:id="1217400794">
                                                  <w:marLeft w:val="0"/>
                                                  <w:marRight w:val="0"/>
                                                  <w:marTop w:val="0"/>
                                                  <w:marBottom w:val="0"/>
                                                  <w:divBdr>
                                                    <w:top w:val="none" w:sz="0" w:space="0" w:color="auto"/>
                                                    <w:left w:val="none" w:sz="0" w:space="0" w:color="auto"/>
                                                    <w:bottom w:val="none" w:sz="0" w:space="0" w:color="auto"/>
                                                    <w:right w:val="none" w:sz="0" w:space="0" w:color="auto"/>
                                                  </w:divBdr>
                                                  <w:divsChild>
                                                    <w:div w:id="26045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545374">
                                      <w:marLeft w:val="0"/>
                                      <w:marRight w:val="0"/>
                                      <w:marTop w:val="0"/>
                                      <w:marBottom w:val="0"/>
                                      <w:divBdr>
                                        <w:top w:val="single" w:sz="6" w:space="0" w:color="DFDFDF"/>
                                        <w:left w:val="single" w:sz="6" w:space="0" w:color="DFDFDF"/>
                                        <w:bottom w:val="single" w:sz="6" w:space="0" w:color="DFDFDF"/>
                                        <w:right w:val="single" w:sz="6" w:space="0" w:color="DFDFDF"/>
                                      </w:divBdr>
                                      <w:divsChild>
                                        <w:div w:id="1845513705">
                                          <w:marLeft w:val="0"/>
                                          <w:marRight w:val="0"/>
                                          <w:marTop w:val="0"/>
                                          <w:marBottom w:val="0"/>
                                          <w:divBdr>
                                            <w:top w:val="none" w:sz="0" w:space="0" w:color="auto"/>
                                            <w:left w:val="none" w:sz="0" w:space="0" w:color="auto"/>
                                            <w:bottom w:val="none" w:sz="0" w:space="0" w:color="auto"/>
                                            <w:right w:val="none" w:sz="0" w:space="0" w:color="auto"/>
                                          </w:divBdr>
                                          <w:divsChild>
                                            <w:div w:id="645010007">
                                              <w:marLeft w:val="0"/>
                                              <w:marRight w:val="0"/>
                                              <w:marTop w:val="0"/>
                                              <w:marBottom w:val="0"/>
                                              <w:divBdr>
                                                <w:top w:val="none" w:sz="0" w:space="0" w:color="auto"/>
                                                <w:left w:val="none" w:sz="0" w:space="0" w:color="auto"/>
                                                <w:bottom w:val="none" w:sz="0" w:space="0" w:color="auto"/>
                                                <w:right w:val="none" w:sz="0" w:space="0" w:color="auto"/>
                                              </w:divBdr>
                                            </w:div>
                                            <w:div w:id="839196190">
                                              <w:marLeft w:val="0"/>
                                              <w:marRight w:val="0"/>
                                              <w:marTop w:val="0"/>
                                              <w:marBottom w:val="0"/>
                                              <w:divBdr>
                                                <w:top w:val="none" w:sz="0" w:space="0" w:color="auto"/>
                                                <w:left w:val="none" w:sz="0" w:space="0" w:color="auto"/>
                                                <w:bottom w:val="none" w:sz="0" w:space="0" w:color="auto"/>
                                                <w:right w:val="none" w:sz="0" w:space="0" w:color="auto"/>
                                              </w:divBdr>
                                              <w:divsChild>
                                                <w:div w:id="644119854">
                                                  <w:marLeft w:val="0"/>
                                                  <w:marRight w:val="0"/>
                                                  <w:marTop w:val="0"/>
                                                  <w:marBottom w:val="0"/>
                                                  <w:divBdr>
                                                    <w:top w:val="none" w:sz="0" w:space="0" w:color="auto"/>
                                                    <w:left w:val="none" w:sz="0" w:space="0" w:color="auto"/>
                                                    <w:bottom w:val="none" w:sz="0" w:space="0" w:color="auto"/>
                                                    <w:right w:val="none" w:sz="0" w:space="0" w:color="auto"/>
                                                  </w:divBdr>
                                                </w:div>
                                                <w:div w:id="406418705">
                                                  <w:marLeft w:val="0"/>
                                                  <w:marRight w:val="0"/>
                                                  <w:marTop w:val="0"/>
                                                  <w:marBottom w:val="0"/>
                                                  <w:divBdr>
                                                    <w:top w:val="none" w:sz="0" w:space="0" w:color="auto"/>
                                                    <w:left w:val="none" w:sz="0" w:space="0" w:color="auto"/>
                                                    <w:bottom w:val="none" w:sz="0" w:space="0" w:color="auto"/>
                                                    <w:right w:val="none" w:sz="0" w:space="0" w:color="auto"/>
                                                  </w:divBdr>
                                                  <w:divsChild>
                                                    <w:div w:id="1719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5766468">
          <w:marLeft w:val="0"/>
          <w:marRight w:val="0"/>
          <w:marTop w:val="0"/>
          <w:marBottom w:val="0"/>
          <w:divBdr>
            <w:top w:val="none" w:sz="0" w:space="0" w:color="auto"/>
            <w:left w:val="none" w:sz="0" w:space="0" w:color="auto"/>
            <w:bottom w:val="none" w:sz="0" w:space="0" w:color="auto"/>
            <w:right w:val="none" w:sz="0" w:space="0" w:color="auto"/>
          </w:divBdr>
          <w:divsChild>
            <w:div w:id="1588228982">
              <w:marLeft w:val="0"/>
              <w:marRight w:val="0"/>
              <w:marTop w:val="100"/>
              <w:marBottom w:val="300"/>
              <w:divBdr>
                <w:top w:val="none" w:sz="0" w:space="0" w:color="auto"/>
                <w:left w:val="none" w:sz="0" w:space="0" w:color="auto"/>
                <w:bottom w:val="none" w:sz="0" w:space="0" w:color="auto"/>
                <w:right w:val="none" w:sz="0" w:space="0" w:color="auto"/>
              </w:divBdr>
              <w:divsChild>
                <w:div w:id="1088774370">
                  <w:marLeft w:val="0"/>
                  <w:marRight w:val="0"/>
                  <w:marTop w:val="0"/>
                  <w:marBottom w:val="0"/>
                  <w:divBdr>
                    <w:top w:val="none" w:sz="0" w:space="0" w:color="auto"/>
                    <w:left w:val="none" w:sz="0" w:space="0" w:color="auto"/>
                    <w:bottom w:val="none" w:sz="0" w:space="0" w:color="auto"/>
                    <w:right w:val="none" w:sz="0" w:space="0" w:color="auto"/>
                  </w:divBdr>
                  <w:divsChild>
                    <w:div w:id="1089694155">
                      <w:marLeft w:val="0"/>
                      <w:marRight w:val="0"/>
                      <w:marTop w:val="0"/>
                      <w:marBottom w:val="0"/>
                      <w:divBdr>
                        <w:top w:val="none" w:sz="0" w:space="0" w:color="auto"/>
                        <w:left w:val="none" w:sz="0" w:space="0" w:color="auto"/>
                        <w:bottom w:val="none" w:sz="0" w:space="0" w:color="auto"/>
                        <w:right w:val="none" w:sz="0" w:space="0" w:color="auto"/>
                      </w:divBdr>
                      <w:divsChild>
                        <w:div w:id="1480655784">
                          <w:marLeft w:val="0"/>
                          <w:marRight w:val="0"/>
                          <w:marTop w:val="0"/>
                          <w:marBottom w:val="0"/>
                          <w:divBdr>
                            <w:top w:val="none" w:sz="0" w:space="0" w:color="auto"/>
                            <w:left w:val="none" w:sz="0" w:space="0" w:color="auto"/>
                            <w:bottom w:val="none" w:sz="0" w:space="0" w:color="auto"/>
                            <w:right w:val="none" w:sz="0" w:space="0" w:color="auto"/>
                          </w:divBdr>
                          <w:divsChild>
                            <w:div w:id="1966347778">
                              <w:marLeft w:val="0"/>
                              <w:marRight w:val="0"/>
                              <w:marTop w:val="0"/>
                              <w:marBottom w:val="0"/>
                              <w:divBdr>
                                <w:top w:val="none" w:sz="0" w:space="0" w:color="auto"/>
                                <w:left w:val="none" w:sz="0" w:space="0" w:color="auto"/>
                                <w:bottom w:val="none" w:sz="0" w:space="0" w:color="auto"/>
                                <w:right w:val="none" w:sz="0" w:space="0" w:color="auto"/>
                              </w:divBdr>
                              <w:divsChild>
                                <w:div w:id="1235821577">
                                  <w:marLeft w:val="0"/>
                                  <w:marRight w:val="0"/>
                                  <w:marTop w:val="0"/>
                                  <w:marBottom w:val="0"/>
                                  <w:divBdr>
                                    <w:top w:val="none" w:sz="0" w:space="0" w:color="auto"/>
                                    <w:left w:val="none" w:sz="0" w:space="0" w:color="auto"/>
                                    <w:bottom w:val="none" w:sz="0" w:space="0" w:color="auto"/>
                                    <w:right w:val="none" w:sz="0" w:space="0" w:color="auto"/>
                                  </w:divBdr>
                                </w:div>
                                <w:div w:id="473328293">
                                  <w:marLeft w:val="0"/>
                                  <w:marRight w:val="0"/>
                                  <w:marTop w:val="0"/>
                                  <w:marBottom w:val="0"/>
                                  <w:divBdr>
                                    <w:top w:val="none" w:sz="0" w:space="0" w:color="auto"/>
                                    <w:left w:val="none" w:sz="0" w:space="0" w:color="auto"/>
                                    <w:bottom w:val="none" w:sz="0" w:space="0" w:color="auto"/>
                                    <w:right w:val="none" w:sz="0" w:space="0" w:color="auto"/>
                                  </w:divBdr>
                                  <w:divsChild>
                                    <w:div w:id="2069571500">
                                      <w:marLeft w:val="0"/>
                                      <w:marRight w:val="0"/>
                                      <w:marTop w:val="0"/>
                                      <w:marBottom w:val="0"/>
                                      <w:divBdr>
                                        <w:top w:val="none" w:sz="0" w:space="0" w:color="auto"/>
                                        <w:left w:val="none" w:sz="0" w:space="0" w:color="auto"/>
                                        <w:bottom w:val="none" w:sz="0" w:space="0" w:color="auto"/>
                                        <w:right w:val="none" w:sz="0" w:space="0" w:color="auto"/>
                                      </w:divBdr>
                                      <w:divsChild>
                                        <w:div w:id="2131776450">
                                          <w:marLeft w:val="0"/>
                                          <w:marRight w:val="0"/>
                                          <w:marTop w:val="0"/>
                                          <w:marBottom w:val="0"/>
                                          <w:divBdr>
                                            <w:top w:val="none" w:sz="0" w:space="0" w:color="auto"/>
                                            <w:left w:val="none" w:sz="0" w:space="0" w:color="auto"/>
                                            <w:bottom w:val="none" w:sz="0" w:space="0" w:color="auto"/>
                                            <w:right w:val="none" w:sz="0" w:space="0" w:color="auto"/>
                                          </w:divBdr>
                                        </w:div>
                                        <w:div w:id="1461217640">
                                          <w:marLeft w:val="0"/>
                                          <w:marRight w:val="0"/>
                                          <w:marTop w:val="0"/>
                                          <w:marBottom w:val="0"/>
                                          <w:divBdr>
                                            <w:top w:val="none" w:sz="0" w:space="0" w:color="auto"/>
                                            <w:left w:val="none" w:sz="0" w:space="0" w:color="auto"/>
                                            <w:bottom w:val="none" w:sz="0" w:space="0" w:color="auto"/>
                                            <w:right w:val="none" w:sz="0" w:space="0" w:color="auto"/>
                                          </w:divBdr>
                                        </w:div>
                                        <w:div w:id="1398478460">
                                          <w:marLeft w:val="0"/>
                                          <w:marRight w:val="0"/>
                                          <w:marTop w:val="0"/>
                                          <w:marBottom w:val="0"/>
                                          <w:divBdr>
                                            <w:top w:val="none" w:sz="0" w:space="0" w:color="auto"/>
                                            <w:left w:val="none" w:sz="0" w:space="0" w:color="auto"/>
                                            <w:bottom w:val="none" w:sz="0" w:space="0" w:color="auto"/>
                                            <w:right w:val="none" w:sz="0" w:space="0" w:color="auto"/>
                                          </w:divBdr>
                                        </w:div>
                                        <w:div w:id="723453758">
                                          <w:marLeft w:val="0"/>
                                          <w:marRight w:val="0"/>
                                          <w:marTop w:val="0"/>
                                          <w:marBottom w:val="0"/>
                                          <w:divBdr>
                                            <w:top w:val="none" w:sz="0" w:space="0" w:color="auto"/>
                                            <w:left w:val="none" w:sz="0" w:space="0" w:color="auto"/>
                                            <w:bottom w:val="none" w:sz="0" w:space="0" w:color="auto"/>
                                            <w:right w:val="none" w:sz="0" w:space="0" w:color="auto"/>
                                          </w:divBdr>
                                        </w:div>
                                        <w:div w:id="1904633296">
                                          <w:marLeft w:val="0"/>
                                          <w:marRight w:val="0"/>
                                          <w:marTop w:val="0"/>
                                          <w:marBottom w:val="0"/>
                                          <w:divBdr>
                                            <w:top w:val="none" w:sz="0" w:space="0" w:color="auto"/>
                                            <w:left w:val="none" w:sz="0" w:space="0" w:color="auto"/>
                                            <w:bottom w:val="none" w:sz="0" w:space="0" w:color="auto"/>
                                            <w:right w:val="none" w:sz="0" w:space="0" w:color="auto"/>
                                          </w:divBdr>
                                        </w:div>
                                      </w:divsChild>
                                    </w:div>
                                    <w:div w:id="1764909737">
                                      <w:marLeft w:val="0"/>
                                      <w:marRight w:val="0"/>
                                      <w:marTop w:val="0"/>
                                      <w:marBottom w:val="0"/>
                                      <w:divBdr>
                                        <w:top w:val="none" w:sz="0" w:space="0" w:color="auto"/>
                                        <w:left w:val="none" w:sz="0" w:space="0" w:color="auto"/>
                                        <w:bottom w:val="none" w:sz="0" w:space="0" w:color="auto"/>
                                        <w:right w:val="none" w:sz="0" w:space="0" w:color="auto"/>
                                      </w:divBdr>
                                      <w:divsChild>
                                        <w:div w:id="193929559">
                                          <w:marLeft w:val="0"/>
                                          <w:marRight w:val="0"/>
                                          <w:marTop w:val="0"/>
                                          <w:marBottom w:val="0"/>
                                          <w:divBdr>
                                            <w:top w:val="none" w:sz="0" w:space="0" w:color="auto"/>
                                            <w:left w:val="none" w:sz="0" w:space="0" w:color="auto"/>
                                            <w:bottom w:val="none" w:sz="0" w:space="0" w:color="auto"/>
                                            <w:right w:val="none" w:sz="0" w:space="0" w:color="auto"/>
                                          </w:divBdr>
                                        </w:div>
                                        <w:div w:id="546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2567797">
              <w:marLeft w:val="0"/>
              <w:marRight w:val="0"/>
              <w:marTop w:val="100"/>
              <w:marBottom w:val="300"/>
              <w:divBdr>
                <w:top w:val="none" w:sz="0" w:space="0" w:color="auto"/>
                <w:left w:val="none" w:sz="0" w:space="0" w:color="auto"/>
                <w:bottom w:val="none" w:sz="0" w:space="0" w:color="auto"/>
                <w:right w:val="none" w:sz="0" w:space="0" w:color="auto"/>
              </w:divBdr>
              <w:divsChild>
                <w:div w:id="1580408059">
                  <w:marLeft w:val="0"/>
                  <w:marRight w:val="0"/>
                  <w:marTop w:val="0"/>
                  <w:marBottom w:val="0"/>
                  <w:divBdr>
                    <w:top w:val="none" w:sz="0" w:space="0" w:color="auto"/>
                    <w:left w:val="none" w:sz="0" w:space="0" w:color="auto"/>
                    <w:bottom w:val="none" w:sz="0" w:space="0" w:color="auto"/>
                    <w:right w:val="none" w:sz="0" w:space="0" w:color="auto"/>
                  </w:divBdr>
                  <w:divsChild>
                    <w:div w:id="212430314">
                      <w:marLeft w:val="0"/>
                      <w:marRight w:val="0"/>
                      <w:marTop w:val="0"/>
                      <w:marBottom w:val="0"/>
                      <w:divBdr>
                        <w:top w:val="none" w:sz="0" w:space="0" w:color="auto"/>
                        <w:left w:val="none" w:sz="0" w:space="0" w:color="auto"/>
                        <w:bottom w:val="none" w:sz="0" w:space="0" w:color="auto"/>
                        <w:right w:val="none" w:sz="0" w:space="0" w:color="auto"/>
                      </w:divBdr>
                      <w:divsChild>
                        <w:div w:id="304706375">
                          <w:marLeft w:val="0"/>
                          <w:marRight w:val="0"/>
                          <w:marTop w:val="0"/>
                          <w:marBottom w:val="0"/>
                          <w:divBdr>
                            <w:top w:val="none" w:sz="0" w:space="0" w:color="auto"/>
                            <w:left w:val="none" w:sz="0" w:space="0" w:color="auto"/>
                            <w:bottom w:val="none" w:sz="0" w:space="0" w:color="auto"/>
                            <w:right w:val="none" w:sz="0" w:space="0" w:color="auto"/>
                          </w:divBdr>
                          <w:divsChild>
                            <w:div w:id="795295512">
                              <w:marLeft w:val="0"/>
                              <w:marRight w:val="0"/>
                              <w:marTop w:val="0"/>
                              <w:marBottom w:val="0"/>
                              <w:divBdr>
                                <w:top w:val="none" w:sz="0" w:space="0" w:color="auto"/>
                                <w:left w:val="none" w:sz="0" w:space="0" w:color="auto"/>
                                <w:bottom w:val="none" w:sz="0" w:space="0" w:color="auto"/>
                                <w:right w:val="none" w:sz="0" w:space="0" w:color="auto"/>
                              </w:divBdr>
                              <w:divsChild>
                                <w:div w:id="1871339758">
                                  <w:marLeft w:val="0"/>
                                  <w:marRight w:val="0"/>
                                  <w:marTop w:val="0"/>
                                  <w:marBottom w:val="0"/>
                                  <w:divBdr>
                                    <w:top w:val="none" w:sz="0" w:space="0" w:color="auto"/>
                                    <w:left w:val="none" w:sz="0" w:space="0" w:color="auto"/>
                                    <w:bottom w:val="none" w:sz="0" w:space="0" w:color="auto"/>
                                    <w:right w:val="none" w:sz="0" w:space="0" w:color="auto"/>
                                  </w:divBdr>
                                  <w:divsChild>
                                    <w:div w:id="807163136">
                                      <w:marLeft w:val="0"/>
                                      <w:marRight w:val="0"/>
                                      <w:marTop w:val="0"/>
                                      <w:marBottom w:val="0"/>
                                      <w:divBdr>
                                        <w:top w:val="none" w:sz="0" w:space="0" w:color="auto"/>
                                        <w:left w:val="none" w:sz="0" w:space="0" w:color="auto"/>
                                        <w:bottom w:val="none" w:sz="0" w:space="0" w:color="auto"/>
                                        <w:right w:val="none" w:sz="0" w:space="0" w:color="auto"/>
                                      </w:divBdr>
                                      <w:divsChild>
                                        <w:div w:id="5634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793239">
              <w:marLeft w:val="0"/>
              <w:marRight w:val="0"/>
              <w:marTop w:val="100"/>
              <w:marBottom w:val="300"/>
              <w:divBdr>
                <w:top w:val="none" w:sz="0" w:space="0" w:color="auto"/>
                <w:left w:val="none" w:sz="0" w:space="0" w:color="auto"/>
                <w:bottom w:val="none" w:sz="0" w:space="0" w:color="auto"/>
                <w:right w:val="none" w:sz="0" w:space="0" w:color="auto"/>
              </w:divBdr>
              <w:divsChild>
                <w:div w:id="38163482">
                  <w:marLeft w:val="0"/>
                  <w:marRight w:val="0"/>
                  <w:marTop w:val="0"/>
                  <w:marBottom w:val="0"/>
                  <w:divBdr>
                    <w:top w:val="none" w:sz="0" w:space="0" w:color="auto"/>
                    <w:left w:val="none" w:sz="0" w:space="0" w:color="auto"/>
                    <w:bottom w:val="none" w:sz="0" w:space="0" w:color="auto"/>
                    <w:right w:val="none" w:sz="0" w:space="0" w:color="auto"/>
                  </w:divBdr>
                  <w:divsChild>
                    <w:div w:id="781073422">
                      <w:marLeft w:val="0"/>
                      <w:marRight w:val="0"/>
                      <w:marTop w:val="0"/>
                      <w:marBottom w:val="0"/>
                      <w:divBdr>
                        <w:top w:val="none" w:sz="0" w:space="0" w:color="auto"/>
                        <w:left w:val="none" w:sz="0" w:space="0" w:color="auto"/>
                        <w:bottom w:val="none" w:sz="0" w:space="0" w:color="auto"/>
                        <w:right w:val="none" w:sz="0" w:space="0" w:color="auto"/>
                      </w:divBdr>
                      <w:divsChild>
                        <w:div w:id="513497119">
                          <w:marLeft w:val="0"/>
                          <w:marRight w:val="0"/>
                          <w:marTop w:val="0"/>
                          <w:marBottom w:val="0"/>
                          <w:divBdr>
                            <w:top w:val="none" w:sz="0" w:space="0" w:color="auto"/>
                            <w:left w:val="none" w:sz="0" w:space="0" w:color="auto"/>
                            <w:bottom w:val="none" w:sz="0" w:space="0" w:color="auto"/>
                            <w:right w:val="none" w:sz="0" w:space="0" w:color="auto"/>
                          </w:divBdr>
                          <w:divsChild>
                            <w:div w:id="8908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347709">
              <w:marLeft w:val="0"/>
              <w:marRight w:val="0"/>
              <w:marTop w:val="100"/>
              <w:marBottom w:val="300"/>
              <w:divBdr>
                <w:top w:val="none" w:sz="0" w:space="0" w:color="auto"/>
                <w:left w:val="none" w:sz="0" w:space="0" w:color="auto"/>
                <w:bottom w:val="none" w:sz="0" w:space="0" w:color="auto"/>
                <w:right w:val="none" w:sz="0" w:space="0" w:color="auto"/>
              </w:divBdr>
              <w:divsChild>
                <w:div w:id="200435558">
                  <w:marLeft w:val="0"/>
                  <w:marRight w:val="0"/>
                  <w:marTop w:val="0"/>
                  <w:marBottom w:val="0"/>
                  <w:divBdr>
                    <w:top w:val="none" w:sz="0" w:space="0" w:color="auto"/>
                    <w:left w:val="none" w:sz="0" w:space="0" w:color="auto"/>
                    <w:bottom w:val="none" w:sz="0" w:space="0" w:color="auto"/>
                    <w:right w:val="none" w:sz="0" w:space="0" w:color="auto"/>
                  </w:divBdr>
                  <w:divsChild>
                    <w:div w:id="2049448038">
                      <w:marLeft w:val="0"/>
                      <w:marRight w:val="0"/>
                      <w:marTop w:val="0"/>
                      <w:marBottom w:val="0"/>
                      <w:divBdr>
                        <w:top w:val="none" w:sz="0" w:space="0" w:color="auto"/>
                        <w:left w:val="none" w:sz="0" w:space="0" w:color="auto"/>
                        <w:bottom w:val="none" w:sz="0" w:space="0" w:color="auto"/>
                        <w:right w:val="none" w:sz="0" w:space="0" w:color="auto"/>
                      </w:divBdr>
                      <w:divsChild>
                        <w:div w:id="544097875">
                          <w:marLeft w:val="0"/>
                          <w:marRight w:val="0"/>
                          <w:marTop w:val="0"/>
                          <w:marBottom w:val="0"/>
                          <w:divBdr>
                            <w:top w:val="none" w:sz="0" w:space="0" w:color="auto"/>
                            <w:left w:val="none" w:sz="0" w:space="0" w:color="auto"/>
                            <w:bottom w:val="none" w:sz="0" w:space="0" w:color="auto"/>
                            <w:right w:val="none" w:sz="0" w:space="0" w:color="auto"/>
                          </w:divBdr>
                          <w:divsChild>
                            <w:div w:id="460614991">
                              <w:marLeft w:val="0"/>
                              <w:marRight w:val="0"/>
                              <w:marTop w:val="0"/>
                              <w:marBottom w:val="0"/>
                              <w:divBdr>
                                <w:top w:val="none" w:sz="0" w:space="0" w:color="auto"/>
                                <w:left w:val="none" w:sz="0" w:space="0" w:color="auto"/>
                                <w:bottom w:val="none" w:sz="0" w:space="0" w:color="auto"/>
                                <w:right w:val="none" w:sz="0" w:space="0" w:color="auto"/>
                              </w:divBdr>
                              <w:divsChild>
                                <w:div w:id="60824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97156">
      <w:bodyDiv w:val="1"/>
      <w:marLeft w:val="0"/>
      <w:marRight w:val="0"/>
      <w:marTop w:val="0"/>
      <w:marBottom w:val="0"/>
      <w:divBdr>
        <w:top w:val="none" w:sz="0" w:space="0" w:color="auto"/>
        <w:left w:val="none" w:sz="0" w:space="0" w:color="auto"/>
        <w:bottom w:val="none" w:sz="0" w:space="0" w:color="auto"/>
        <w:right w:val="none" w:sz="0" w:space="0" w:color="auto"/>
      </w:divBdr>
    </w:div>
    <w:div w:id="1800491449">
      <w:bodyDiv w:val="1"/>
      <w:marLeft w:val="0"/>
      <w:marRight w:val="0"/>
      <w:marTop w:val="0"/>
      <w:marBottom w:val="0"/>
      <w:divBdr>
        <w:top w:val="none" w:sz="0" w:space="0" w:color="auto"/>
        <w:left w:val="none" w:sz="0" w:space="0" w:color="auto"/>
        <w:bottom w:val="none" w:sz="0" w:space="0" w:color="auto"/>
        <w:right w:val="none" w:sz="0" w:space="0" w:color="auto"/>
      </w:divBdr>
    </w:div>
    <w:div w:id="1807233954">
      <w:bodyDiv w:val="1"/>
      <w:marLeft w:val="0"/>
      <w:marRight w:val="0"/>
      <w:marTop w:val="0"/>
      <w:marBottom w:val="0"/>
      <w:divBdr>
        <w:top w:val="none" w:sz="0" w:space="0" w:color="auto"/>
        <w:left w:val="none" w:sz="0" w:space="0" w:color="auto"/>
        <w:bottom w:val="none" w:sz="0" w:space="0" w:color="auto"/>
        <w:right w:val="none" w:sz="0" w:space="0" w:color="auto"/>
      </w:divBdr>
      <w:divsChild>
        <w:div w:id="1829858356">
          <w:marLeft w:val="360"/>
          <w:marRight w:val="0"/>
          <w:marTop w:val="200"/>
          <w:marBottom w:val="0"/>
          <w:divBdr>
            <w:top w:val="none" w:sz="0" w:space="0" w:color="auto"/>
            <w:left w:val="none" w:sz="0" w:space="0" w:color="auto"/>
            <w:bottom w:val="none" w:sz="0" w:space="0" w:color="auto"/>
            <w:right w:val="none" w:sz="0" w:space="0" w:color="auto"/>
          </w:divBdr>
        </w:div>
        <w:div w:id="1942755403">
          <w:marLeft w:val="1080"/>
          <w:marRight w:val="0"/>
          <w:marTop w:val="100"/>
          <w:marBottom w:val="0"/>
          <w:divBdr>
            <w:top w:val="none" w:sz="0" w:space="0" w:color="auto"/>
            <w:left w:val="none" w:sz="0" w:space="0" w:color="auto"/>
            <w:bottom w:val="none" w:sz="0" w:space="0" w:color="auto"/>
            <w:right w:val="none" w:sz="0" w:space="0" w:color="auto"/>
          </w:divBdr>
        </w:div>
        <w:div w:id="721246474">
          <w:marLeft w:val="360"/>
          <w:marRight w:val="0"/>
          <w:marTop w:val="200"/>
          <w:marBottom w:val="0"/>
          <w:divBdr>
            <w:top w:val="none" w:sz="0" w:space="0" w:color="auto"/>
            <w:left w:val="none" w:sz="0" w:space="0" w:color="auto"/>
            <w:bottom w:val="none" w:sz="0" w:space="0" w:color="auto"/>
            <w:right w:val="none" w:sz="0" w:space="0" w:color="auto"/>
          </w:divBdr>
        </w:div>
      </w:divsChild>
    </w:div>
    <w:div w:id="1910072317">
      <w:bodyDiv w:val="1"/>
      <w:marLeft w:val="0"/>
      <w:marRight w:val="0"/>
      <w:marTop w:val="0"/>
      <w:marBottom w:val="0"/>
      <w:divBdr>
        <w:top w:val="none" w:sz="0" w:space="0" w:color="auto"/>
        <w:left w:val="none" w:sz="0" w:space="0" w:color="auto"/>
        <w:bottom w:val="none" w:sz="0" w:space="0" w:color="auto"/>
        <w:right w:val="none" w:sz="0" w:space="0" w:color="auto"/>
      </w:divBdr>
    </w:div>
    <w:div w:id="1954365042">
      <w:bodyDiv w:val="1"/>
      <w:marLeft w:val="0"/>
      <w:marRight w:val="0"/>
      <w:marTop w:val="0"/>
      <w:marBottom w:val="0"/>
      <w:divBdr>
        <w:top w:val="none" w:sz="0" w:space="0" w:color="auto"/>
        <w:left w:val="none" w:sz="0" w:space="0" w:color="auto"/>
        <w:bottom w:val="none" w:sz="0" w:space="0" w:color="auto"/>
        <w:right w:val="none" w:sz="0" w:space="0" w:color="auto"/>
      </w:divBdr>
      <w:divsChild>
        <w:div w:id="663361915">
          <w:marLeft w:val="360"/>
          <w:marRight w:val="0"/>
          <w:marTop w:val="200"/>
          <w:marBottom w:val="0"/>
          <w:divBdr>
            <w:top w:val="none" w:sz="0" w:space="0" w:color="auto"/>
            <w:left w:val="none" w:sz="0" w:space="0" w:color="auto"/>
            <w:bottom w:val="none" w:sz="0" w:space="0" w:color="auto"/>
            <w:right w:val="none" w:sz="0" w:space="0" w:color="auto"/>
          </w:divBdr>
        </w:div>
        <w:div w:id="166872945">
          <w:marLeft w:val="360"/>
          <w:marRight w:val="0"/>
          <w:marTop w:val="200"/>
          <w:marBottom w:val="0"/>
          <w:divBdr>
            <w:top w:val="none" w:sz="0" w:space="0" w:color="auto"/>
            <w:left w:val="none" w:sz="0" w:space="0" w:color="auto"/>
            <w:bottom w:val="none" w:sz="0" w:space="0" w:color="auto"/>
            <w:right w:val="none" w:sz="0" w:space="0" w:color="auto"/>
          </w:divBdr>
        </w:div>
        <w:div w:id="664363531">
          <w:marLeft w:val="360"/>
          <w:marRight w:val="0"/>
          <w:marTop w:val="200"/>
          <w:marBottom w:val="0"/>
          <w:divBdr>
            <w:top w:val="none" w:sz="0" w:space="0" w:color="auto"/>
            <w:left w:val="none" w:sz="0" w:space="0" w:color="auto"/>
            <w:bottom w:val="none" w:sz="0" w:space="0" w:color="auto"/>
            <w:right w:val="none" w:sz="0" w:space="0" w:color="auto"/>
          </w:divBdr>
        </w:div>
        <w:div w:id="1169521136">
          <w:marLeft w:val="360"/>
          <w:marRight w:val="0"/>
          <w:marTop w:val="200"/>
          <w:marBottom w:val="0"/>
          <w:divBdr>
            <w:top w:val="none" w:sz="0" w:space="0" w:color="auto"/>
            <w:left w:val="none" w:sz="0" w:space="0" w:color="auto"/>
            <w:bottom w:val="none" w:sz="0" w:space="0" w:color="auto"/>
            <w:right w:val="none" w:sz="0" w:space="0" w:color="auto"/>
          </w:divBdr>
        </w:div>
        <w:div w:id="1835728956">
          <w:marLeft w:val="360"/>
          <w:marRight w:val="0"/>
          <w:marTop w:val="200"/>
          <w:marBottom w:val="0"/>
          <w:divBdr>
            <w:top w:val="none" w:sz="0" w:space="0" w:color="auto"/>
            <w:left w:val="none" w:sz="0" w:space="0" w:color="auto"/>
            <w:bottom w:val="none" w:sz="0" w:space="0" w:color="auto"/>
            <w:right w:val="none" w:sz="0" w:space="0" w:color="auto"/>
          </w:divBdr>
        </w:div>
      </w:divsChild>
    </w:div>
    <w:div w:id="1971402074">
      <w:bodyDiv w:val="1"/>
      <w:marLeft w:val="0"/>
      <w:marRight w:val="0"/>
      <w:marTop w:val="0"/>
      <w:marBottom w:val="0"/>
      <w:divBdr>
        <w:top w:val="none" w:sz="0" w:space="0" w:color="auto"/>
        <w:left w:val="none" w:sz="0" w:space="0" w:color="auto"/>
        <w:bottom w:val="none" w:sz="0" w:space="0" w:color="auto"/>
        <w:right w:val="none" w:sz="0" w:space="0" w:color="auto"/>
      </w:divBdr>
    </w:div>
    <w:div w:id="2040737049">
      <w:bodyDiv w:val="1"/>
      <w:marLeft w:val="0"/>
      <w:marRight w:val="0"/>
      <w:marTop w:val="0"/>
      <w:marBottom w:val="0"/>
      <w:divBdr>
        <w:top w:val="none" w:sz="0" w:space="0" w:color="auto"/>
        <w:left w:val="none" w:sz="0" w:space="0" w:color="auto"/>
        <w:bottom w:val="none" w:sz="0" w:space="0" w:color="auto"/>
        <w:right w:val="none" w:sz="0" w:space="0" w:color="auto"/>
      </w:divBdr>
    </w:div>
    <w:div w:id="2113240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vid-19.iza.org/publications/dp13570/" TargetMode="External"/><Relationship Id="rId18" Type="http://schemas.openxmlformats.org/officeDocument/2006/relationships/hyperlink" Target="https://www.ilo.org/gender/Informationresources/Publications/WCMS_457317/lang--en/index.htm" TargetMode="External"/><Relationship Id="rId26" Type="http://schemas.openxmlformats.org/officeDocument/2006/relationships/hyperlink" Target="https://www.ilo.org/wcmsp5/groups/public/---dgreports/---cabinet/documents/publication/wcms_756334.pdf" TargetMode="External"/><Relationship Id="rId39"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https://www.ilo.org/wcmsp5/groups/public/---dgreports/---dcomm/---publ/documents/publication/wcms_700953.pdf" TargetMode="External"/><Relationship Id="rId34" Type="http://schemas.openxmlformats.org/officeDocument/2006/relationships/hyperlink" Target="https://www.aile.gov.tr/ksgm"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uroparl.europa.eu/RegData/etudes/note/join/2012/462428/IPOL-FEMM_NT(2012)462428_EN.pdf" TargetMode="External"/><Relationship Id="rId25" Type="http://schemas.openxmlformats.org/officeDocument/2006/relationships/hyperlink" Target="https://www.imf.org/en/Publications/Staff-Discussion-Notes/Issues/2016/12/31/Fair-Play-More-Equal-Laws-Boost-Female-Labor-Force-Participation-42721" TargetMode="External"/><Relationship Id="rId33" Type="http://schemas.openxmlformats.org/officeDocument/2006/relationships/hyperlink" Target="https://wbl.worldbank.org/en/wbl" TargetMode="External"/><Relationship Id="rId38" Type="http://schemas.openxmlformats.org/officeDocument/2006/relationships/hyperlink" Target="http://www.data.tuik.gov.tr" TargetMode="External"/><Relationship Id="rId46"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op.europa.eu/en/publication-detail/-/publication/11d9cab1-fa52-11eb-b520-01aa75ed71a1" TargetMode="External"/><Relationship Id="rId20" Type="http://schemas.openxmlformats.org/officeDocument/2006/relationships/hyperlink" Target="https://www.ilo.org/wcmsp5/groups/public/---europe/---ro-geneva/---ilo-ankara/documents/publication/wcms_707580.pdf" TargetMode="External"/><Relationship Id="rId29" Type="http://schemas.openxmlformats.org/officeDocument/2006/relationships/hyperlink" Target="https://openknowledge.worldbank.org/handle/10986/1184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ilo.org/wcmsp5/groups/public/---ed_norm/---declaration/documents/publication/wcms_decl_fs_96_en.pdf" TargetMode="External"/><Relationship Id="rId32" Type="http://schemas.openxmlformats.org/officeDocument/2006/relationships/hyperlink" Target="https://www.boe.es/buscar/act.php?id=BOE-A-2015-11430" TargetMode="External"/><Relationship Id="rId37" Type="http://schemas.openxmlformats.org/officeDocument/2006/relationships/hyperlink" Target="https://data.tuik.gov.tr/Bulten/Index?p=Istatistiklerle-Kadin-2021-45635&amp;dil=2"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op.europa.eu/en/publication-detail/-/publication/f3dd1274-7788-11e9-9f05-01aa75ed71a1/" TargetMode="External"/><Relationship Id="rId23" Type="http://schemas.openxmlformats.org/officeDocument/2006/relationships/hyperlink" Target="https://www.ilo.org/ankara/publications/WCMS_756660/lang--en/index.htm" TargetMode="External"/><Relationship Id="rId28" Type="http://schemas.openxmlformats.org/officeDocument/2006/relationships/hyperlink" Target="https://unric.org/en/who-warns-of-surge-ofdomestic-violence-as-covid-19-cases-decrease-in-europe/" TargetMode="External"/><Relationship Id="rId36" Type="http://schemas.openxmlformats.org/officeDocument/2006/relationships/hyperlink" Target="https://www.sbb.gov.tr/wp-content/uploads/2021/12/Eleventh_Development_Plan_2019-2023.pdf" TargetMode="External"/><Relationship Id="rId10" Type="http://schemas.openxmlformats.org/officeDocument/2006/relationships/image" Target="media/image2.png"/><Relationship Id="rId19" Type="http://schemas.openxmlformats.org/officeDocument/2006/relationships/hyperlink" Target="https://www.ilo.org/global/publications/books/WCMS_674831/lang--en/index.htm" TargetMode="External"/><Relationship Id="rId31" Type="http://schemas.openxmlformats.org/officeDocument/2006/relationships/hyperlink" Target="https://www.coe.int/en/web/istanbul-convention/text-of-the-convent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2.deloitte.com/content/dam/Deloitte/cz/Documents/about-deloitte/cz-women-in-the-boardroom-5th-edition.pdf" TargetMode="External"/><Relationship Id="rId22" Type="http://schemas.openxmlformats.org/officeDocument/2006/relationships/hyperlink" Target="https://www.unwomen.org/en/digital-library/publications/2021/07/rethinking-gender-responsive-procurement" TargetMode="External"/><Relationship Id="rId27" Type="http://schemas.openxmlformats.org/officeDocument/2006/relationships/hyperlink" Target="https://www.undp.org/press-releases/covid-19-will-widen-poverty-gap-between-women-and-men-new-un-women-and-undp-data" TargetMode="External"/><Relationship Id="rId30" Type="http://schemas.openxmlformats.org/officeDocument/2006/relationships/hyperlink" Target="https://www.euro.who.int/en/health-topics/diseaseprevention/violence-and-injuries/news/news/2020/6/the-rise-and-rise-of-interpersonal-violence-anunintended-impact-of-the-covid-19-response-on-families" TargetMode="External"/><Relationship Id="rId35" Type="http://schemas.openxmlformats.org/officeDocument/2006/relationships/hyperlink" Target="about:blank"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BHRORmlhRvq2PpPjUrdJvjkoBQ==">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FF85C-045E-4C30-B131-4505B9B1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9595</Words>
  <Characters>54697</Characters>
  <Application>Microsoft Office Word</Application>
  <DocSecurity>0</DocSecurity>
  <Lines>455</Lines>
  <Paragraphs>128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İpek Çetin</dc:creator>
  <cp:lastModifiedBy>Zeynep Tuğçe Yılmaz</cp:lastModifiedBy>
  <cp:revision>13</cp:revision>
  <dcterms:created xsi:type="dcterms:W3CDTF">2023-11-20T05:53:00Z</dcterms:created>
  <dcterms:modified xsi:type="dcterms:W3CDTF">2024-01-19T10:16:00Z</dcterms:modified>
</cp:coreProperties>
</file>