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1C949" w14:textId="77777777" w:rsidR="0015658F" w:rsidRDefault="006A3AF5">
      <w:pPr>
        <w:rPr>
          <w:sz w:val="22"/>
          <w:szCs w:val="22"/>
        </w:rPr>
      </w:pPr>
      <w:bookmarkStart w:id="0" w:name="_GoBack"/>
      <w:bookmarkEnd w:id="0"/>
      <w:r>
        <w:rPr>
          <w:noProof/>
          <w:sz w:val="22"/>
          <w:szCs w:val="22"/>
          <w:lang w:eastAsia="en-GB"/>
        </w:rPr>
        <w:drawing>
          <wp:anchor distT="0" distB="0" distL="0" distR="0" simplePos="0" relativeHeight="251658240" behindDoc="1" locked="0" layoutInCell="1" hidden="0" allowOverlap="1" wp14:anchorId="22E3E589" wp14:editId="1BE980DA">
            <wp:simplePos x="0" y="0"/>
            <wp:positionH relativeFrom="margin">
              <wp:align>center</wp:align>
            </wp:positionH>
            <wp:positionV relativeFrom="page">
              <wp:posOffset>411480</wp:posOffset>
            </wp:positionV>
            <wp:extent cx="1990725" cy="1071880"/>
            <wp:effectExtent l="0" t="0" r="0" b="0"/>
            <wp:wrapNone/>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90725" cy="1071880"/>
                    </a:xfrm>
                    <a:prstGeom prst="rect">
                      <a:avLst/>
                    </a:prstGeom>
                    <a:ln/>
                  </pic:spPr>
                </pic:pic>
              </a:graphicData>
            </a:graphic>
          </wp:anchor>
        </w:drawing>
      </w:r>
      <w:r>
        <w:rPr>
          <w:noProof/>
          <w:sz w:val="22"/>
          <w:szCs w:val="22"/>
          <w:lang w:eastAsia="en-GB"/>
        </w:rPr>
        <w:drawing>
          <wp:anchor distT="0" distB="0" distL="0" distR="0" simplePos="0" relativeHeight="251659264" behindDoc="1" locked="0" layoutInCell="1" hidden="0" allowOverlap="1" wp14:anchorId="6800FAFE" wp14:editId="08A9CD46">
            <wp:simplePos x="0" y="0"/>
            <wp:positionH relativeFrom="page">
              <wp:align>left</wp:align>
            </wp:positionH>
            <wp:positionV relativeFrom="margin">
              <wp:posOffset>-1322704</wp:posOffset>
            </wp:positionV>
            <wp:extent cx="7560000" cy="10698601"/>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560000" cy="10698601"/>
                    </a:xfrm>
                    <a:prstGeom prst="rect">
                      <a:avLst/>
                    </a:prstGeom>
                    <a:ln/>
                  </pic:spPr>
                </pic:pic>
              </a:graphicData>
            </a:graphic>
          </wp:anchor>
        </w:drawing>
      </w:r>
      <w:r>
        <w:rPr>
          <w:sz w:val="22"/>
          <w:szCs w:val="22"/>
        </w:rPr>
        <w:t xml:space="preserve">                                          </w:t>
      </w:r>
    </w:p>
    <w:p w14:paraId="7413A519" w14:textId="77777777" w:rsidR="0015658F" w:rsidRDefault="0015658F">
      <w:pPr>
        <w:rPr>
          <w:sz w:val="22"/>
          <w:szCs w:val="22"/>
        </w:rPr>
      </w:pPr>
    </w:p>
    <w:p w14:paraId="30B19709" w14:textId="67E6EFED" w:rsidR="0015658F" w:rsidRDefault="0020268B">
      <w:pPr>
        <w:rPr>
          <w:b/>
          <w:sz w:val="22"/>
          <w:szCs w:val="22"/>
        </w:rPr>
      </w:pPr>
      <w:r>
        <w:rPr>
          <w:noProof/>
          <w:lang w:eastAsia="en-GB"/>
        </w:rPr>
        <mc:AlternateContent>
          <mc:Choice Requires="wps">
            <w:drawing>
              <wp:anchor distT="45720" distB="45720" distL="114300" distR="114300" simplePos="0" relativeHeight="251661312" behindDoc="0" locked="0" layoutInCell="1" hidden="0" allowOverlap="1" wp14:anchorId="779F4EBF" wp14:editId="798E4A74">
                <wp:simplePos x="0" y="0"/>
                <wp:positionH relativeFrom="column">
                  <wp:posOffset>-557530</wp:posOffset>
                </wp:positionH>
                <wp:positionV relativeFrom="paragraph">
                  <wp:posOffset>1598295</wp:posOffset>
                </wp:positionV>
                <wp:extent cx="6918960" cy="5685155"/>
                <wp:effectExtent l="0" t="0" r="0" b="0"/>
                <wp:wrapSquare wrapText="bothSides" distT="45720" distB="45720" distL="114300" distR="114300"/>
                <wp:docPr id="32" name="Rectangle 32"/>
                <wp:cNvGraphicFramePr/>
                <a:graphic xmlns:a="http://schemas.openxmlformats.org/drawingml/2006/main">
                  <a:graphicData uri="http://schemas.microsoft.com/office/word/2010/wordprocessingShape">
                    <wps:wsp>
                      <wps:cNvSpPr/>
                      <wps:spPr>
                        <a:xfrm>
                          <a:off x="0" y="0"/>
                          <a:ext cx="6918960" cy="5685155"/>
                        </a:xfrm>
                        <a:prstGeom prst="rect">
                          <a:avLst/>
                        </a:prstGeom>
                        <a:noFill/>
                        <a:ln>
                          <a:noFill/>
                        </a:ln>
                      </wps:spPr>
                      <wps:txbx>
                        <w:txbxContent>
                          <w:p w14:paraId="06D2971F" w14:textId="77777777" w:rsidR="00E56D14" w:rsidRDefault="00E56D14">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A FOCUS ON GENDER EQUALITY</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57FC32D6" w14:textId="367432E1" w:rsidR="00E56D14" w:rsidRDefault="00E56D14">
                            <w:pPr>
                              <w:spacing w:after="160" w:line="258" w:lineRule="auto"/>
                              <w:textDirection w:val="btLr"/>
                            </w:pPr>
                            <w:r>
                              <w:rPr>
                                <w:rFonts w:ascii="Tahoma" w:eastAsia="Tahoma" w:hAnsi="Tahoma" w:cs="Tahoma"/>
                                <w:b/>
                                <w:color w:val="234B7D"/>
                                <w:sz w:val="32"/>
                              </w:rPr>
                              <w:t>TÜRKIYE</w:t>
                            </w:r>
                          </w:p>
                          <w:p w14:paraId="0480CB36" w14:textId="77777777" w:rsidR="00E56D14" w:rsidRDefault="00E56D14">
                            <w:pPr>
                              <w:spacing w:after="160" w:line="258" w:lineRule="auto"/>
                              <w:textDirection w:val="btLr"/>
                              <w:rPr>
                                <w:rFonts w:ascii="Tahoma" w:eastAsia="Tahoma" w:hAnsi="Tahoma" w:cs="Tahoma"/>
                                <w:b/>
                                <w:color w:val="234B7D"/>
                              </w:rPr>
                            </w:pPr>
                          </w:p>
                          <w:p w14:paraId="01372CE3" w14:textId="5E808BD1" w:rsidR="00E56D14" w:rsidRPr="0020268B" w:rsidRDefault="00E56D14">
                            <w:pPr>
                              <w:spacing w:after="160" w:line="258" w:lineRule="auto"/>
                              <w:textDirection w:val="btLr"/>
                              <w:rPr>
                                <w:sz w:val="28"/>
                                <w:szCs w:val="28"/>
                              </w:rPr>
                            </w:pPr>
                            <w:r w:rsidRPr="0020268B">
                              <w:rPr>
                                <w:rFonts w:ascii="Tahoma" w:eastAsia="Tahoma" w:hAnsi="Tahoma" w:cs="Tahoma"/>
                                <w:b/>
                                <w:color w:val="234B7D"/>
                                <w:sz w:val="28"/>
                                <w:szCs w:val="28"/>
                              </w:rPr>
                              <w:t>CATEGORY 3: SCIENTIFIC AND TECHNICAL STUDIES</w:t>
                            </w:r>
                          </w:p>
                          <w:p w14:paraId="3CC1BE95" w14:textId="311155A4" w:rsidR="00E56D14" w:rsidRPr="0020268B" w:rsidRDefault="00E56D14">
                            <w:pPr>
                              <w:spacing w:line="258" w:lineRule="auto"/>
                              <w:textDirection w:val="btLr"/>
                              <w:rPr>
                                <w:rFonts w:ascii="Tahoma" w:eastAsia="Tahoma" w:hAnsi="Tahoma" w:cs="Tahoma"/>
                                <w:b/>
                                <w:color w:val="234B7D"/>
                                <w:sz w:val="28"/>
                                <w:szCs w:val="28"/>
                              </w:rPr>
                            </w:pPr>
                            <w:r w:rsidRPr="0020268B">
                              <w:rPr>
                                <w:rFonts w:ascii="Tahoma" w:eastAsia="Tahoma" w:hAnsi="Tahoma" w:cs="Tahoma"/>
                                <w:b/>
                                <w:color w:val="234B7D"/>
                                <w:sz w:val="28"/>
                                <w:szCs w:val="28"/>
                              </w:rPr>
                              <w:t xml:space="preserve">INTERVENTION </w:t>
                            </w:r>
                            <w:r>
                              <w:rPr>
                                <w:rFonts w:ascii="Tahoma" w:eastAsia="Tahoma" w:hAnsi="Tahoma" w:cs="Tahoma"/>
                                <w:b/>
                                <w:color w:val="234B7D"/>
                                <w:sz w:val="28"/>
                                <w:szCs w:val="28"/>
                              </w:rPr>
                              <w:t>9</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EMPLOYMENT OF PWDS FOR A DECENT FUTURE OF WORK</w:t>
                            </w:r>
                          </w:p>
                          <w:p w14:paraId="64ACE45A" w14:textId="57C13027" w:rsidR="00E56D14" w:rsidRDefault="00E56D14">
                            <w:pPr>
                              <w:spacing w:line="258" w:lineRule="auto"/>
                              <w:textDirection w:val="btLr"/>
                              <w:rPr>
                                <w:rFonts w:ascii="Tahoma" w:eastAsia="Tahoma" w:hAnsi="Tahoma" w:cs="Tahoma"/>
                                <w:b/>
                                <w:color w:val="234B7D"/>
                              </w:rPr>
                            </w:pPr>
                          </w:p>
                          <w:p w14:paraId="296131BE" w14:textId="10BE1D3E" w:rsidR="00E56D14" w:rsidRDefault="00E56D14">
                            <w:pPr>
                              <w:spacing w:line="258" w:lineRule="auto"/>
                              <w:textDirection w:val="btLr"/>
                              <w:rPr>
                                <w:rFonts w:ascii="Tahoma" w:eastAsia="Tahoma" w:hAnsi="Tahoma" w:cs="Tahoma"/>
                                <w:b/>
                                <w:color w:val="234B7D"/>
                              </w:rPr>
                            </w:pPr>
                          </w:p>
                          <w:p w14:paraId="6874977B" w14:textId="5BE44038" w:rsidR="00E56D14" w:rsidRPr="0020268B" w:rsidRDefault="00E56D14">
                            <w:pPr>
                              <w:spacing w:line="258" w:lineRule="auto"/>
                              <w:textDirection w:val="btLr"/>
                              <w:rPr>
                                <w:sz w:val="32"/>
                                <w:szCs w:val="32"/>
                              </w:rPr>
                            </w:pPr>
                            <w:r w:rsidRPr="0020268B">
                              <w:rPr>
                                <w:rFonts w:ascii="Tahoma" w:eastAsia="Tahoma" w:hAnsi="Tahoma" w:cs="Tahoma"/>
                                <w:b/>
                                <w:color w:val="234B7D"/>
                                <w:sz w:val="32"/>
                                <w:szCs w:val="32"/>
                              </w:rPr>
                              <w:t>EXECUTIVE SUMMARY REPORT</w:t>
                            </w:r>
                          </w:p>
                          <w:p w14:paraId="6FB923DB" w14:textId="77777777" w:rsidR="00E56D14" w:rsidRDefault="00E56D14">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9F4EBF" id="Rectangle 32" o:spid="_x0000_s1026" style="position:absolute;margin-left:-43.9pt;margin-top:125.85pt;width:544.8pt;height:447.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" filled="f" stroked="f">
                <v:textbox inset="2.53958mm,1.2694mm,2.53958mm,1.2694mm">
                  <w:txbxContent>
                    <w:p w14:paraId="06D2971F" w14:textId="77777777" w:rsidR="00E56D14" w:rsidRDefault="00E56D14">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A FOCUS ON GENDER EQUALITY</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57FC32D6" w14:textId="367432E1" w:rsidR="00E56D14" w:rsidRDefault="00E56D14">
                      <w:pPr>
                        <w:spacing w:after="160" w:line="258" w:lineRule="auto"/>
                        <w:textDirection w:val="btLr"/>
                      </w:pPr>
                      <w:r>
                        <w:rPr>
                          <w:rFonts w:ascii="Tahoma" w:eastAsia="Tahoma" w:hAnsi="Tahoma" w:cs="Tahoma"/>
                          <w:b/>
                          <w:color w:val="234B7D"/>
                          <w:sz w:val="32"/>
                        </w:rPr>
                        <w:t>TÜRKIYE</w:t>
                      </w:r>
                    </w:p>
                    <w:p w14:paraId="0480CB36" w14:textId="77777777" w:rsidR="00E56D14" w:rsidRDefault="00E56D14">
                      <w:pPr>
                        <w:spacing w:after="160" w:line="258" w:lineRule="auto"/>
                        <w:textDirection w:val="btLr"/>
                        <w:rPr>
                          <w:rFonts w:ascii="Tahoma" w:eastAsia="Tahoma" w:hAnsi="Tahoma" w:cs="Tahoma"/>
                          <w:b/>
                          <w:color w:val="234B7D"/>
                        </w:rPr>
                      </w:pPr>
                    </w:p>
                    <w:p w14:paraId="01372CE3" w14:textId="5E808BD1" w:rsidR="00E56D14" w:rsidRPr="0020268B" w:rsidRDefault="00E56D14">
                      <w:pPr>
                        <w:spacing w:after="160" w:line="258" w:lineRule="auto"/>
                        <w:textDirection w:val="btLr"/>
                        <w:rPr>
                          <w:sz w:val="28"/>
                          <w:szCs w:val="28"/>
                        </w:rPr>
                      </w:pPr>
                      <w:r w:rsidRPr="0020268B">
                        <w:rPr>
                          <w:rFonts w:ascii="Tahoma" w:eastAsia="Tahoma" w:hAnsi="Tahoma" w:cs="Tahoma"/>
                          <w:b/>
                          <w:color w:val="234B7D"/>
                          <w:sz w:val="28"/>
                          <w:szCs w:val="28"/>
                        </w:rPr>
                        <w:t>CATEGORY 3: SCIENTIFIC AND TECHNICAL STUDIES</w:t>
                      </w:r>
                    </w:p>
                    <w:p w14:paraId="3CC1BE95" w14:textId="311155A4" w:rsidR="00E56D14" w:rsidRPr="0020268B" w:rsidRDefault="00E56D14">
                      <w:pPr>
                        <w:spacing w:line="258" w:lineRule="auto"/>
                        <w:textDirection w:val="btLr"/>
                        <w:rPr>
                          <w:rFonts w:ascii="Tahoma" w:eastAsia="Tahoma" w:hAnsi="Tahoma" w:cs="Tahoma"/>
                          <w:b/>
                          <w:color w:val="234B7D"/>
                          <w:sz w:val="28"/>
                          <w:szCs w:val="28"/>
                        </w:rPr>
                      </w:pPr>
                      <w:r w:rsidRPr="0020268B">
                        <w:rPr>
                          <w:rFonts w:ascii="Tahoma" w:eastAsia="Tahoma" w:hAnsi="Tahoma" w:cs="Tahoma"/>
                          <w:b/>
                          <w:color w:val="234B7D"/>
                          <w:sz w:val="28"/>
                          <w:szCs w:val="28"/>
                        </w:rPr>
                        <w:t xml:space="preserve">INTERVENTION </w:t>
                      </w:r>
                      <w:r>
                        <w:rPr>
                          <w:rFonts w:ascii="Tahoma" w:eastAsia="Tahoma" w:hAnsi="Tahoma" w:cs="Tahoma"/>
                          <w:b/>
                          <w:color w:val="234B7D"/>
                          <w:sz w:val="28"/>
                          <w:szCs w:val="28"/>
                        </w:rPr>
                        <w:t>9</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EMPLOYMENT OF PWDS FOR A DECENT FUTURE OF WORK</w:t>
                      </w:r>
                    </w:p>
                    <w:p w14:paraId="64ACE45A" w14:textId="57C13027" w:rsidR="00E56D14" w:rsidRDefault="00E56D14">
                      <w:pPr>
                        <w:spacing w:line="258" w:lineRule="auto"/>
                        <w:textDirection w:val="btLr"/>
                        <w:rPr>
                          <w:rFonts w:ascii="Tahoma" w:eastAsia="Tahoma" w:hAnsi="Tahoma" w:cs="Tahoma"/>
                          <w:b/>
                          <w:color w:val="234B7D"/>
                        </w:rPr>
                      </w:pPr>
                    </w:p>
                    <w:p w14:paraId="296131BE" w14:textId="10BE1D3E" w:rsidR="00E56D14" w:rsidRDefault="00E56D14">
                      <w:pPr>
                        <w:spacing w:line="258" w:lineRule="auto"/>
                        <w:textDirection w:val="btLr"/>
                        <w:rPr>
                          <w:rFonts w:ascii="Tahoma" w:eastAsia="Tahoma" w:hAnsi="Tahoma" w:cs="Tahoma"/>
                          <w:b/>
                          <w:color w:val="234B7D"/>
                        </w:rPr>
                      </w:pPr>
                    </w:p>
                    <w:p w14:paraId="6874977B" w14:textId="5BE44038" w:rsidR="00E56D14" w:rsidRPr="0020268B" w:rsidRDefault="00E56D14">
                      <w:pPr>
                        <w:spacing w:line="258" w:lineRule="auto"/>
                        <w:textDirection w:val="btLr"/>
                        <w:rPr>
                          <w:sz w:val="32"/>
                          <w:szCs w:val="32"/>
                        </w:rPr>
                      </w:pPr>
                      <w:r w:rsidRPr="0020268B">
                        <w:rPr>
                          <w:rFonts w:ascii="Tahoma" w:eastAsia="Tahoma" w:hAnsi="Tahoma" w:cs="Tahoma"/>
                          <w:b/>
                          <w:color w:val="234B7D"/>
                          <w:sz w:val="32"/>
                          <w:szCs w:val="32"/>
                        </w:rPr>
                        <w:t>EXECUTIVE SUMMARY REPORT</w:t>
                      </w:r>
                    </w:p>
                    <w:p w14:paraId="6FB923DB" w14:textId="77777777" w:rsidR="00E56D14" w:rsidRDefault="00E56D14">
                      <w:pPr>
                        <w:spacing w:line="258" w:lineRule="auto"/>
                        <w:textDirection w:val="btLr"/>
                      </w:pPr>
                    </w:p>
                  </w:txbxContent>
                </v:textbox>
                <w10:wrap type="square"/>
              </v:rect>
            </w:pict>
          </mc:Fallback>
        </mc:AlternateContent>
      </w:r>
      <w:r w:rsidR="006A3AF5">
        <w:rPr>
          <w:noProof/>
          <w:sz w:val="22"/>
          <w:szCs w:val="22"/>
          <w:lang w:eastAsia="en-GB"/>
        </w:rPr>
        <w:drawing>
          <wp:anchor distT="0" distB="0" distL="0" distR="0" simplePos="0" relativeHeight="251660288" behindDoc="1" locked="0" layoutInCell="1" hidden="0" allowOverlap="1" wp14:anchorId="7534B897" wp14:editId="3793549A">
            <wp:simplePos x="0" y="0"/>
            <wp:positionH relativeFrom="margin">
              <wp:posOffset>-276340</wp:posOffset>
            </wp:positionH>
            <wp:positionV relativeFrom="bottomMargin">
              <wp:posOffset>-90054</wp:posOffset>
            </wp:positionV>
            <wp:extent cx="6479540" cy="64452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479540" cy="644525"/>
                    </a:xfrm>
                    <a:prstGeom prst="rect">
                      <a:avLst/>
                    </a:prstGeom>
                    <a:ln/>
                  </pic:spPr>
                </pic:pic>
              </a:graphicData>
            </a:graphic>
          </wp:anchor>
        </w:drawing>
      </w:r>
      <w:r w:rsidR="006A3AF5">
        <w:br w:type="page"/>
      </w:r>
    </w:p>
    <w:p w14:paraId="7AE84E61" w14:textId="00E05B0B" w:rsidR="0015658F" w:rsidRPr="00F22636" w:rsidRDefault="006A3AF5" w:rsidP="00F22636">
      <w:pPr>
        <w:rPr>
          <w:b/>
          <w:sz w:val="22"/>
          <w:szCs w:val="22"/>
        </w:rPr>
      </w:pPr>
      <w:r>
        <w:rPr>
          <w:b/>
          <w:noProof/>
          <w:sz w:val="22"/>
          <w:szCs w:val="22"/>
          <w:lang w:eastAsia="en-GB"/>
        </w:rPr>
        <w:lastRenderedPageBreak/>
        <w:drawing>
          <wp:anchor distT="0" distB="0" distL="0" distR="0" simplePos="0" relativeHeight="251662336" behindDoc="1" locked="0" layoutInCell="1" hidden="0" allowOverlap="1" wp14:anchorId="61612C49" wp14:editId="67ECD305">
            <wp:simplePos x="0" y="0"/>
            <wp:positionH relativeFrom="page">
              <wp:posOffset>8890</wp:posOffset>
            </wp:positionH>
            <wp:positionV relativeFrom="page">
              <wp:align>bottom</wp:align>
            </wp:positionV>
            <wp:extent cx="7560000" cy="10699362"/>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560000" cy="10699362"/>
                    </a:xfrm>
                    <a:prstGeom prst="rect">
                      <a:avLst/>
                    </a:prstGeom>
                    <a:ln/>
                  </pic:spPr>
                </pic:pic>
              </a:graphicData>
            </a:graphic>
          </wp:anchor>
        </w:drawing>
      </w:r>
      <w:r>
        <w:br w:type="page"/>
      </w:r>
      <w:bookmarkStart w:id="1" w:name="_heading=h.gjdgxs" w:colFirst="0" w:colLast="0"/>
      <w:bookmarkEnd w:id="1"/>
    </w:p>
    <w:p w14:paraId="3D13D1A7" w14:textId="77777777" w:rsidR="0015658F" w:rsidRDefault="0015658F">
      <w:pPr>
        <w:jc w:val="both"/>
        <w:rPr>
          <w:b/>
          <w:sz w:val="22"/>
          <w:szCs w:val="22"/>
        </w:rPr>
      </w:pPr>
    </w:p>
    <w:bookmarkStart w:id="2" w:name="_heading=h.30j0zll" w:colFirst="0" w:colLast="0" w:displacedByCustomXml="next"/>
    <w:bookmarkEnd w:id="2" w:displacedByCustomXml="next"/>
    <w:sdt>
      <w:sdtPr>
        <w:rPr>
          <w:rFonts w:ascii="Calibri" w:eastAsia="Calibri" w:hAnsi="Calibri" w:cs="Calibri"/>
          <w:color w:val="auto"/>
          <w:sz w:val="24"/>
          <w:szCs w:val="24"/>
          <w:lang w:val="en-GB"/>
        </w:rPr>
        <w:id w:val="-772477940"/>
        <w:docPartObj>
          <w:docPartGallery w:val="Table of Contents"/>
          <w:docPartUnique/>
        </w:docPartObj>
      </w:sdtPr>
      <w:sdtEndPr>
        <w:rPr>
          <w:b/>
          <w:bCs/>
          <w:noProof/>
        </w:rPr>
      </w:sdtEndPr>
      <w:sdtContent>
        <w:p w14:paraId="6F157FD2" w14:textId="3240AA0B" w:rsidR="00F22636" w:rsidRDefault="00EB3532">
          <w:pPr>
            <w:pStyle w:val="TOCHeading"/>
          </w:pPr>
          <w:r>
            <w:t xml:space="preserve">Table of </w:t>
          </w:r>
          <w:r w:rsidR="00F22636">
            <w:t>Contents</w:t>
          </w:r>
        </w:p>
        <w:p w14:paraId="1DE77D3B" w14:textId="2956E1D5" w:rsidR="00652C62" w:rsidRDefault="00F22636">
          <w:pPr>
            <w:pStyle w:val="TOC1"/>
            <w:rPr>
              <w:rFonts w:asciiTheme="minorHAnsi" w:eastAsiaTheme="minorEastAsia" w:hAnsiTheme="minorHAnsi" w:cstheme="minorBidi"/>
              <w:b w:val="0"/>
              <w:bCs w:val="0"/>
              <w:caps w:val="0"/>
              <w:lang w:eastAsia="en-GB"/>
            </w:rPr>
          </w:pPr>
          <w:r>
            <w:fldChar w:fldCharType="begin"/>
          </w:r>
          <w:r>
            <w:instrText xml:space="preserve"> TOC \o "1-3" \h \z \u </w:instrText>
          </w:r>
          <w:r>
            <w:fldChar w:fldCharType="separate"/>
          </w:r>
          <w:hyperlink w:anchor="_Toc118291561" w:history="1">
            <w:r w:rsidR="00652C62" w:rsidRPr="003F7E38">
              <w:rPr>
                <w:rStyle w:val="Hyperlink"/>
              </w:rPr>
              <w:t>EXECUTIVE SUMMARY</w:t>
            </w:r>
            <w:r w:rsidR="00652C62">
              <w:rPr>
                <w:webHidden/>
              </w:rPr>
              <w:tab/>
            </w:r>
            <w:r w:rsidR="00652C62">
              <w:rPr>
                <w:webHidden/>
              </w:rPr>
              <w:fldChar w:fldCharType="begin"/>
            </w:r>
            <w:r w:rsidR="00652C62">
              <w:rPr>
                <w:webHidden/>
              </w:rPr>
              <w:instrText xml:space="preserve"> PAGEREF _Toc118291561 \h </w:instrText>
            </w:r>
            <w:r w:rsidR="00652C62">
              <w:rPr>
                <w:webHidden/>
              </w:rPr>
            </w:r>
            <w:r w:rsidR="00652C62">
              <w:rPr>
                <w:webHidden/>
              </w:rPr>
              <w:fldChar w:fldCharType="separate"/>
            </w:r>
            <w:r w:rsidR="00652C62">
              <w:rPr>
                <w:webHidden/>
              </w:rPr>
              <w:t>5</w:t>
            </w:r>
            <w:r w:rsidR="00652C62">
              <w:rPr>
                <w:webHidden/>
              </w:rPr>
              <w:fldChar w:fldCharType="end"/>
            </w:r>
          </w:hyperlink>
        </w:p>
        <w:p w14:paraId="54BC133A" w14:textId="310C292C" w:rsidR="00652C62" w:rsidRDefault="001376E5">
          <w:pPr>
            <w:pStyle w:val="TOC1"/>
            <w:rPr>
              <w:rFonts w:asciiTheme="minorHAnsi" w:eastAsiaTheme="minorEastAsia" w:hAnsiTheme="minorHAnsi" w:cstheme="minorBidi"/>
              <w:b w:val="0"/>
              <w:bCs w:val="0"/>
              <w:caps w:val="0"/>
              <w:lang w:eastAsia="en-GB"/>
            </w:rPr>
          </w:pPr>
          <w:hyperlink w:anchor="_Toc118291562" w:history="1">
            <w:r w:rsidR="00652C62" w:rsidRPr="003F7E38">
              <w:rPr>
                <w:rStyle w:val="Hyperlink"/>
              </w:rPr>
              <w:t>1. INTRODUCTION AND BACKGROUND OF THE STUDY</w:t>
            </w:r>
            <w:r w:rsidR="00652C62">
              <w:rPr>
                <w:webHidden/>
              </w:rPr>
              <w:tab/>
            </w:r>
            <w:r w:rsidR="00652C62">
              <w:rPr>
                <w:webHidden/>
              </w:rPr>
              <w:fldChar w:fldCharType="begin"/>
            </w:r>
            <w:r w:rsidR="00652C62">
              <w:rPr>
                <w:webHidden/>
              </w:rPr>
              <w:instrText xml:space="preserve"> PAGEREF _Toc118291562 \h </w:instrText>
            </w:r>
            <w:r w:rsidR="00652C62">
              <w:rPr>
                <w:webHidden/>
              </w:rPr>
            </w:r>
            <w:r w:rsidR="00652C62">
              <w:rPr>
                <w:webHidden/>
              </w:rPr>
              <w:fldChar w:fldCharType="separate"/>
            </w:r>
            <w:r w:rsidR="00652C62">
              <w:rPr>
                <w:webHidden/>
              </w:rPr>
              <w:t>7</w:t>
            </w:r>
            <w:r w:rsidR="00652C62">
              <w:rPr>
                <w:webHidden/>
              </w:rPr>
              <w:fldChar w:fldCharType="end"/>
            </w:r>
          </w:hyperlink>
        </w:p>
        <w:p w14:paraId="4E3A8D42" w14:textId="1EEC633C" w:rsidR="00652C62" w:rsidRDefault="001376E5">
          <w:pPr>
            <w:pStyle w:val="TOC2"/>
            <w:rPr>
              <w:rFonts w:asciiTheme="minorHAnsi" w:eastAsiaTheme="minorEastAsia" w:hAnsiTheme="minorHAnsi" w:cstheme="minorBidi"/>
              <w:b w:val="0"/>
              <w:bCs w:val="0"/>
              <w:noProof/>
              <w:sz w:val="22"/>
              <w:szCs w:val="22"/>
              <w:lang w:eastAsia="en-GB"/>
            </w:rPr>
          </w:pPr>
          <w:hyperlink w:anchor="_Toc118291563" w:history="1">
            <w:r w:rsidR="00652C62" w:rsidRPr="003F7E38">
              <w:rPr>
                <w:rStyle w:val="Hyperlink"/>
                <w:noProof/>
              </w:rPr>
              <w:t>1.1 Aim</w:t>
            </w:r>
            <w:r w:rsidR="00652C62">
              <w:rPr>
                <w:noProof/>
                <w:webHidden/>
              </w:rPr>
              <w:tab/>
            </w:r>
            <w:r w:rsidR="00652C62">
              <w:rPr>
                <w:noProof/>
                <w:webHidden/>
              </w:rPr>
              <w:fldChar w:fldCharType="begin"/>
            </w:r>
            <w:r w:rsidR="00652C62">
              <w:rPr>
                <w:noProof/>
                <w:webHidden/>
              </w:rPr>
              <w:instrText xml:space="preserve"> PAGEREF _Toc118291563 \h </w:instrText>
            </w:r>
            <w:r w:rsidR="00652C62">
              <w:rPr>
                <w:noProof/>
                <w:webHidden/>
              </w:rPr>
            </w:r>
            <w:r w:rsidR="00652C62">
              <w:rPr>
                <w:noProof/>
                <w:webHidden/>
              </w:rPr>
              <w:fldChar w:fldCharType="separate"/>
            </w:r>
            <w:r w:rsidR="00652C62">
              <w:rPr>
                <w:noProof/>
                <w:webHidden/>
              </w:rPr>
              <w:t>7</w:t>
            </w:r>
            <w:r w:rsidR="00652C62">
              <w:rPr>
                <w:noProof/>
                <w:webHidden/>
              </w:rPr>
              <w:fldChar w:fldCharType="end"/>
            </w:r>
          </w:hyperlink>
        </w:p>
        <w:p w14:paraId="3749FA1D" w14:textId="6E906990" w:rsidR="00652C62" w:rsidRDefault="001376E5">
          <w:pPr>
            <w:pStyle w:val="TOC2"/>
            <w:rPr>
              <w:rFonts w:asciiTheme="minorHAnsi" w:eastAsiaTheme="minorEastAsia" w:hAnsiTheme="minorHAnsi" w:cstheme="minorBidi"/>
              <w:b w:val="0"/>
              <w:bCs w:val="0"/>
              <w:noProof/>
              <w:sz w:val="22"/>
              <w:szCs w:val="22"/>
              <w:lang w:eastAsia="en-GB"/>
            </w:rPr>
          </w:pPr>
          <w:hyperlink w:anchor="_Toc118291564" w:history="1">
            <w:r w:rsidR="00652C62" w:rsidRPr="003F7E38">
              <w:rPr>
                <w:rStyle w:val="Hyperlink"/>
                <w:noProof/>
              </w:rPr>
              <w:t>1.2 Scope</w:t>
            </w:r>
            <w:r w:rsidR="00652C62">
              <w:rPr>
                <w:noProof/>
                <w:webHidden/>
              </w:rPr>
              <w:tab/>
            </w:r>
            <w:r w:rsidR="00652C62">
              <w:rPr>
                <w:noProof/>
                <w:webHidden/>
              </w:rPr>
              <w:fldChar w:fldCharType="begin"/>
            </w:r>
            <w:r w:rsidR="00652C62">
              <w:rPr>
                <w:noProof/>
                <w:webHidden/>
              </w:rPr>
              <w:instrText xml:space="preserve"> PAGEREF _Toc118291564 \h </w:instrText>
            </w:r>
            <w:r w:rsidR="00652C62">
              <w:rPr>
                <w:noProof/>
                <w:webHidden/>
              </w:rPr>
            </w:r>
            <w:r w:rsidR="00652C62">
              <w:rPr>
                <w:noProof/>
                <w:webHidden/>
              </w:rPr>
              <w:fldChar w:fldCharType="separate"/>
            </w:r>
            <w:r w:rsidR="00652C62">
              <w:rPr>
                <w:noProof/>
                <w:webHidden/>
              </w:rPr>
              <w:t>7</w:t>
            </w:r>
            <w:r w:rsidR="00652C62">
              <w:rPr>
                <w:noProof/>
                <w:webHidden/>
              </w:rPr>
              <w:fldChar w:fldCharType="end"/>
            </w:r>
          </w:hyperlink>
        </w:p>
        <w:p w14:paraId="2C0CFBE9" w14:textId="4BC2144F" w:rsidR="00652C62" w:rsidRDefault="001376E5">
          <w:pPr>
            <w:pStyle w:val="TOC2"/>
            <w:rPr>
              <w:rFonts w:asciiTheme="minorHAnsi" w:eastAsiaTheme="minorEastAsia" w:hAnsiTheme="minorHAnsi" w:cstheme="minorBidi"/>
              <w:b w:val="0"/>
              <w:bCs w:val="0"/>
              <w:noProof/>
              <w:sz w:val="22"/>
              <w:szCs w:val="22"/>
              <w:lang w:eastAsia="en-GB"/>
            </w:rPr>
          </w:pPr>
          <w:hyperlink w:anchor="_Toc118291565" w:history="1">
            <w:r w:rsidR="00652C62" w:rsidRPr="003F7E38">
              <w:rPr>
                <w:rStyle w:val="Hyperlink"/>
                <w:noProof/>
              </w:rPr>
              <w:t>1.3 Commissioning the Work</w:t>
            </w:r>
            <w:r w:rsidR="00652C62">
              <w:rPr>
                <w:noProof/>
                <w:webHidden/>
              </w:rPr>
              <w:tab/>
            </w:r>
            <w:r w:rsidR="00652C62">
              <w:rPr>
                <w:noProof/>
                <w:webHidden/>
              </w:rPr>
              <w:fldChar w:fldCharType="begin"/>
            </w:r>
            <w:r w:rsidR="00652C62">
              <w:rPr>
                <w:noProof/>
                <w:webHidden/>
              </w:rPr>
              <w:instrText xml:space="preserve"> PAGEREF _Toc118291565 \h </w:instrText>
            </w:r>
            <w:r w:rsidR="00652C62">
              <w:rPr>
                <w:noProof/>
                <w:webHidden/>
              </w:rPr>
            </w:r>
            <w:r w:rsidR="00652C62">
              <w:rPr>
                <w:noProof/>
                <w:webHidden/>
              </w:rPr>
              <w:fldChar w:fldCharType="separate"/>
            </w:r>
            <w:r w:rsidR="00652C62">
              <w:rPr>
                <w:noProof/>
                <w:webHidden/>
              </w:rPr>
              <w:t>7</w:t>
            </w:r>
            <w:r w:rsidR="00652C62">
              <w:rPr>
                <w:noProof/>
                <w:webHidden/>
              </w:rPr>
              <w:fldChar w:fldCharType="end"/>
            </w:r>
          </w:hyperlink>
        </w:p>
        <w:p w14:paraId="0928D72A" w14:textId="73991C6F" w:rsidR="00652C62" w:rsidRDefault="001376E5">
          <w:pPr>
            <w:pStyle w:val="TOC2"/>
            <w:rPr>
              <w:rFonts w:asciiTheme="minorHAnsi" w:eastAsiaTheme="minorEastAsia" w:hAnsiTheme="minorHAnsi" w:cstheme="minorBidi"/>
              <w:b w:val="0"/>
              <w:bCs w:val="0"/>
              <w:noProof/>
              <w:sz w:val="22"/>
              <w:szCs w:val="22"/>
              <w:lang w:eastAsia="en-GB"/>
            </w:rPr>
          </w:pPr>
          <w:hyperlink w:anchor="_Toc118291566" w:history="1">
            <w:r w:rsidR="00652C62" w:rsidRPr="003F7E38">
              <w:rPr>
                <w:rStyle w:val="Hyperlink"/>
                <w:noProof/>
              </w:rPr>
              <w:t>1.4 Context and Focus</w:t>
            </w:r>
            <w:r w:rsidR="00652C62">
              <w:rPr>
                <w:noProof/>
                <w:webHidden/>
              </w:rPr>
              <w:tab/>
            </w:r>
            <w:r w:rsidR="00652C62">
              <w:rPr>
                <w:noProof/>
                <w:webHidden/>
              </w:rPr>
              <w:fldChar w:fldCharType="begin"/>
            </w:r>
            <w:r w:rsidR="00652C62">
              <w:rPr>
                <w:noProof/>
                <w:webHidden/>
              </w:rPr>
              <w:instrText xml:space="preserve"> PAGEREF _Toc118291566 \h </w:instrText>
            </w:r>
            <w:r w:rsidR="00652C62">
              <w:rPr>
                <w:noProof/>
                <w:webHidden/>
              </w:rPr>
            </w:r>
            <w:r w:rsidR="00652C62">
              <w:rPr>
                <w:noProof/>
                <w:webHidden/>
              </w:rPr>
              <w:fldChar w:fldCharType="separate"/>
            </w:r>
            <w:r w:rsidR="00652C62">
              <w:rPr>
                <w:noProof/>
                <w:webHidden/>
              </w:rPr>
              <w:t>7</w:t>
            </w:r>
            <w:r w:rsidR="00652C62">
              <w:rPr>
                <w:noProof/>
                <w:webHidden/>
              </w:rPr>
              <w:fldChar w:fldCharType="end"/>
            </w:r>
          </w:hyperlink>
        </w:p>
        <w:p w14:paraId="7ED31E9A" w14:textId="45EC00CA" w:rsidR="00652C62" w:rsidRDefault="001376E5">
          <w:pPr>
            <w:pStyle w:val="TOC1"/>
            <w:rPr>
              <w:rFonts w:asciiTheme="minorHAnsi" w:eastAsiaTheme="minorEastAsia" w:hAnsiTheme="minorHAnsi" w:cstheme="minorBidi"/>
              <w:b w:val="0"/>
              <w:bCs w:val="0"/>
              <w:caps w:val="0"/>
              <w:lang w:eastAsia="en-GB"/>
            </w:rPr>
          </w:pPr>
          <w:hyperlink w:anchor="_Toc118291567" w:history="1">
            <w:r w:rsidR="00652C62" w:rsidRPr="003F7E38">
              <w:rPr>
                <w:rStyle w:val="Hyperlink"/>
              </w:rPr>
              <w:t>2. RESEARCH METHODOLOGY AND APPROACH</w:t>
            </w:r>
            <w:r w:rsidR="00652C62">
              <w:rPr>
                <w:webHidden/>
              </w:rPr>
              <w:tab/>
            </w:r>
            <w:r w:rsidR="00652C62">
              <w:rPr>
                <w:webHidden/>
              </w:rPr>
              <w:fldChar w:fldCharType="begin"/>
            </w:r>
            <w:r w:rsidR="00652C62">
              <w:rPr>
                <w:webHidden/>
              </w:rPr>
              <w:instrText xml:space="preserve"> PAGEREF _Toc118291567 \h </w:instrText>
            </w:r>
            <w:r w:rsidR="00652C62">
              <w:rPr>
                <w:webHidden/>
              </w:rPr>
            </w:r>
            <w:r w:rsidR="00652C62">
              <w:rPr>
                <w:webHidden/>
              </w:rPr>
              <w:fldChar w:fldCharType="separate"/>
            </w:r>
            <w:r w:rsidR="00652C62">
              <w:rPr>
                <w:webHidden/>
              </w:rPr>
              <w:t>8</w:t>
            </w:r>
            <w:r w:rsidR="00652C62">
              <w:rPr>
                <w:webHidden/>
              </w:rPr>
              <w:fldChar w:fldCharType="end"/>
            </w:r>
          </w:hyperlink>
        </w:p>
        <w:p w14:paraId="0449EA91" w14:textId="7F017D33" w:rsidR="00652C62" w:rsidRDefault="001376E5">
          <w:pPr>
            <w:pStyle w:val="TOC2"/>
            <w:rPr>
              <w:rFonts w:asciiTheme="minorHAnsi" w:eastAsiaTheme="minorEastAsia" w:hAnsiTheme="minorHAnsi" w:cstheme="minorBidi"/>
              <w:b w:val="0"/>
              <w:bCs w:val="0"/>
              <w:noProof/>
              <w:sz w:val="22"/>
              <w:szCs w:val="22"/>
              <w:lang w:eastAsia="en-GB"/>
            </w:rPr>
          </w:pPr>
          <w:hyperlink w:anchor="_Toc118291568" w:history="1">
            <w:r w:rsidR="00652C62" w:rsidRPr="003F7E38">
              <w:rPr>
                <w:rStyle w:val="Hyperlink"/>
                <w:noProof/>
              </w:rPr>
              <w:t>2.1 Outline Methodology</w:t>
            </w:r>
            <w:r w:rsidR="00652C62">
              <w:rPr>
                <w:noProof/>
                <w:webHidden/>
              </w:rPr>
              <w:tab/>
            </w:r>
            <w:r w:rsidR="00652C62">
              <w:rPr>
                <w:noProof/>
                <w:webHidden/>
              </w:rPr>
              <w:fldChar w:fldCharType="begin"/>
            </w:r>
            <w:r w:rsidR="00652C62">
              <w:rPr>
                <w:noProof/>
                <w:webHidden/>
              </w:rPr>
              <w:instrText xml:space="preserve"> PAGEREF _Toc118291568 \h </w:instrText>
            </w:r>
            <w:r w:rsidR="00652C62">
              <w:rPr>
                <w:noProof/>
                <w:webHidden/>
              </w:rPr>
            </w:r>
            <w:r w:rsidR="00652C62">
              <w:rPr>
                <w:noProof/>
                <w:webHidden/>
              </w:rPr>
              <w:fldChar w:fldCharType="separate"/>
            </w:r>
            <w:r w:rsidR="00652C62">
              <w:rPr>
                <w:noProof/>
                <w:webHidden/>
              </w:rPr>
              <w:t>8</w:t>
            </w:r>
            <w:r w:rsidR="00652C62">
              <w:rPr>
                <w:noProof/>
                <w:webHidden/>
              </w:rPr>
              <w:fldChar w:fldCharType="end"/>
            </w:r>
          </w:hyperlink>
        </w:p>
        <w:p w14:paraId="22B87074" w14:textId="3BBB05E0" w:rsidR="00652C62" w:rsidRDefault="001376E5">
          <w:pPr>
            <w:pStyle w:val="TOC3"/>
            <w:tabs>
              <w:tab w:val="right" w:leader="dot" w:pos="9827"/>
            </w:tabs>
            <w:rPr>
              <w:rFonts w:asciiTheme="minorHAnsi" w:eastAsiaTheme="minorEastAsia" w:hAnsiTheme="minorHAnsi" w:cstheme="minorBidi"/>
              <w:noProof/>
              <w:sz w:val="22"/>
              <w:szCs w:val="22"/>
              <w:lang w:eastAsia="en-GB"/>
            </w:rPr>
          </w:pPr>
          <w:hyperlink w:anchor="_Toc118291569" w:history="1">
            <w:r w:rsidR="00652C62" w:rsidRPr="003F7E38">
              <w:rPr>
                <w:rStyle w:val="Hyperlink"/>
                <w:noProof/>
              </w:rPr>
              <w:t>2.1.2 Desk Research (see Annex 1)</w:t>
            </w:r>
            <w:r w:rsidR="00652C62">
              <w:rPr>
                <w:noProof/>
                <w:webHidden/>
              </w:rPr>
              <w:tab/>
            </w:r>
            <w:r w:rsidR="00652C62">
              <w:rPr>
                <w:noProof/>
                <w:webHidden/>
              </w:rPr>
              <w:fldChar w:fldCharType="begin"/>
            </w:r>
            <w:r w:rsidR="00652C62">
              <w:rPr>
                <w:noProof/>
                <w:webHidden/>
              </w:rPr>
              <w:instrText xml:space="preserve"> PAGEREF _Toc118291569 \h </w:instrText>
            </w:r>
            <w:r w:rsidR="00652C62">
              <w:rPr>
                <w:noProof/>
                <w:webHidden/>
              </w:rPr>
            </w:r>
            <w:r w:rsidR="00652C62">
              <w:rPr>
                <w:noProof/>
                <w:webHidden/>
              </w:rPr>
              <w:fldChar w:fldCharType="separate"/>
            </w:r>
            <w:r w:rsidR="00652C62">
              <w:rPr>
                <w:noProof/>
                <w:webHidden/>
              </w:rPr>
              <w:t>8</w:t>
            </w:r>
            <w:r w:rsidR="00652C62">
              <w:rPr>
                <w:noProof/>
                <w:webHidden/>
              </w:rPr>
              <w:fldChar w:fldCharType="end"/>
            </w:r>
          </w:hyperlink>
        </w:p>
        <w:p w14:paraId="18BED953" w14:textId="71E36792" w:rsidR="00652C62" w:rsidRDefault="001376E5">
          <w:pPr>
            <w:pStyle w:val="TOC3"/>
            <w:tabs>
              <w:tab w:val="right" w:leader="dot" w:pos="9827"/>
            </w:tabs>
            <w:rPr>
              <w:rFonts w:asciiTheme="minorHAnsi" w:eastAsiaTheme="minorEastAsia" w:hAnsiTheme="minorHAnsi" w:cstheme="minorBidi"/>
              <w:noProof/>
              <w:sz w:val="22"/>
              <w:szCs w:val="22"/>
              <w:lang w:eastAsia="en-GB"/>
            </w:rPr>
          </w:pPr>
          <w:hyperlink w:anchor="_Toc118291570" w:history="1">
            <w:r w:rsidR="00652C62" w:rsidRPr="003F7E38">
              <w:rPr>
                <w:rStyle w:val="Hyperlink"/>
                <w:noProof/>
              </w:rPr>
              <w:t>2.1.3 Structure of Desk Research Report</w:t>
            </w:r>
            <w:r w:rsidR="00652C62">
              <w:rPr>
                <w:noProof/>
                <w:webHidden/>
              </w:rPr>
              <w:tab/>
            </w:r>
            <w:r w:rsidR="00652C62">
              <w:rPr>
                <w:noProof/>
                <w:webHidden/>
              </w:rPr>
              <w:fldChar w:fldCharType="begin"/>
            </w:r>
            <w:r w:rsidR="00652C62">
              <w:rPr>
                <w:noProof/>
                <w:webHidden/>
              </w:rPr>
              <w:instrText xml:space="preserve"> PAGEREF _Toc118291570 \h </w:instrText>
            </w:r>
            <w:r w:rsidR="00652C62">
              <w:rPr>
                <w:noProof/>
                <w:webHidden/>
              </w:rPr>
            </w:r>
            <w:r w:rsidR="00652C62">
              <w:rPr>
                <w:noProof/>
                <w:webHidden/>
              </w:rPr>
              <w:fldChar w:fldCharType="separate"/>
            </w:r>
            <w:r w:rsidR="00652C62">
              <w:rPr>
                <w:noProof/>
                <w:webHidden/>
              </w:rPr>
              <w:t>8</w:t>
            </w:r>
            <w:r w:rsidR="00652C62">
              <w:rPr>
                <w:noProof/>
                <w:webHidden/>
              </w:rPr>
              <w:fldChar w:fldCharType="end"/>
            </w:r>
          </w:hyperlink>
        </w:p>
        <w:p w14:paraId="6CA40E0E" w14:textId="5D362927" w:rsidR="00652C62" w:rsidRDefault="001376E5">
          <w:pPr>
            <w:pStyle w:val="TOC2"/>
            <w:tabs>
              <w:tab w:val="left" w:pos="480"/>
            </w:tabs>
            <w:rPr>
              <w:rFonts w:asciiTheme="minorHAnsi" w:eastAsiaTheme="minorEastAsia" w:hAnsiTheme="minorHAnsi" w:cstheme="minorBidi"/>
              <w:b w:val="0"/>
              <w:bCs w:val="0"/>
              <w:noProof/>
              <w:sz w:val="22"/>
              <w:szCs w:val="22"/>
              <w:lang w:eastAsia="en-GB"/>
            </w:rPr>
          </w:pPr>
          <w:hyperlink w:anchor="_Toc118291571" w:history="1">
            <w:r w:rsidR="00652C62" w:rsidRPr="003F7E38">
              <w:rPr>
                <w:rStyle w:val="Hyperlink"/>
                <w:rFonts w:cs="Calibri"/>
                <w:noProof/>
              </w:rPr>
              <w:t>ii)</w:t>
            </w:r>
            <w:r w:rsidR="00652C62">
              <w:rPr>
                <w:rFonts w:asciiTheme="minorHAnsi" w:eastAsiaTheme="minorEastAsia" w:hAnsiTheme="minorHAnsi" w:cstheme="minorBidi"/>
                <w:b w:val="0"/>
                <w:bCs w:val="0"/>
                <w:noProof/>
                <w:sz w:val="22"/>
                <w:szCs w:val="22"/>
                <w:lang w:eastAsia="en-GB"/>
              </w:rPr>
              <w:tab/>
            </w:r>
            <w:r w:rsidR="00652C62" w:rsidRPr="003F7E38">
              <w:rPr>
                <w:rStyle w:val="Hyperlink"/>
                <w:rFonts w:cs="Calibri"/>
                <w:noProof/>
              </w:rPr>
              <w:t>Relevant International Conventions (ILO, UN, EU, OECD);</w:t>
            </w:r>
            <w:r w:rsidR="00652C62">
              <w:rPr>
                <w:noProof/>
                <w:webHidden/>
              </w:rPr>
              <w:tab/>
            </w:r>
            <w:r w:rsidR="00652C62">
              <w:rPr>
                <w:noProof/>
                <w:webHidden/>
              </w:rPr>
              <w:fldChar w:fldCharType="begin"/>
            </w:r>
            <w:r w:rsidR="00652C62">
              <w:rPr>
                <w:noProof/>
                <w:webHidden/>
              </w:rPr>
              <w:instrText xml:space="preserve"> PAGEREF _Toc118291571 \h </w:instrText>
            </w:r>
            <w:r w:rsidR="00652C62">
              <w:rPr>
                <w:noProof/>
                <w:webHidden/>
              </w:rPr>
            </w:r>
            <w:r w:rsidR="00652C62">
              <w:rPr>
                <w:noProof/>
                <w:webHidden/>
              </w:rPr>
              <w:fldChar w:fldCharType="separate"/>
            </w:r>
            <w:r w:rsidR="00652C62">
              <w:rPr>
                <w:noProof/>
                <w:webHidden/>
              </w:rPr>
              <w:t>8</w:t>
            </w:r>
            <w:r w:rsidR="00652C62">
              <w:rPr>
                <w:noProof/>
                <w:webHidden/>
              </w:rPr>
              <w:fldChar w:fldCharType="end"/>
            </w:r>
          </w:hyperlink>
        </w:p>
        <w:p w14:paraId="6CBC252C" w14:textId="379D7847" w:rsidR="00652C62" w:rsidRDefault="001376E5">
          <w:pPr>
            <w:pStyle w:val="TOC3"/>
            <w:tabs>
              <w:tab w:val="right" w:leader="dot" w:pos="9827"/>
            </w:tabs>
            <w:rPr>
              <w:rFonts w:asciiTheme="minorHAnsi" w:eastAsiaTheme="minorEastAsia" w:hAnsiTheme="minorHAnsi" w:cstheme="minorBidi"/>
              <w:noProof/>
              <w:sz w:val="22"/>
              <w:szCs w:val="22"/>
              <w:lang w:eastAsia="en-GB"/>
            </w:rPr>
          </w:pPr>
          <w:hyperlink w:anchor="_Toc118291572" w:history="1">
            <w:r w:rsidR="00652C62" w:rsidRPr="003F7E38">
              <w:rPr>
                <w:rStyle w:val="Hyperlink"/>
                <w:noProof/>
              </w:rPr>
              <w:t>2.1.4 References Consulted for Desk Research</w:t>
            </w:r>
            <w:r w:rsidR="00652C62">
              <w:rPr>
                <w:noProof/>
                <w:webHidden/>
              </w:rPr>
              <w:tab/>
            </w:r>
            <w:r w:rsidR="00652C62">
              <w:rPr>
                <w:noProof/>
                <w:webHidden/>
              </w:rPr>
              <w:fldChar w:fldCharType="begin"/>
            </w:r>
            <w:r w:rsidR="00652C62">
              <w:rPr>
                <w:noProof/>
                <w:webHidden/>
              </w:rPr>
              <w:instrText xml:space="preserve"> PAGEREF _Toc118291572 \h </w:instrText>
            </w:r>
            <w:r w:rsidR="00652C62">
              <w:rPr>
                <w:noProof/>
                <w:webHidden/>
              </w:rPr>
            </w:r>
            <w:r w:rsidR="00652C62">
              <w:rPr>
                <w:noProof/>
                <w:webHidden/>
              </w:rPr>
              <w:fldChar w:fldCharType="separate"/>
            </w:r>
            <w:r w:rsidR="00652C62">
              <w:rPr>
                <w:noProof/>
                <w:webHidden/>
              </w:rPr>
              <w:t>8</w:t>
            </w:r>
            <w:r w:rsidR="00652C62">
              <w:rPr>
                <w:noProof/>
                <w:webHidden/>
              </w:rPr>
              <w:fldChar w:fldCharType="end"/>
            </w:r>
          </w:hyperlink>
        </w:p>
        <w:p w14:paraId="08EAED04" w14:textId="3ECCC4FC" w:rsidR="00652C62" w:rsidRDefault="001376E5">
          <w:pPr>
            <w:pStyle w:val="TOC2"/>
            <w:rPr>
              <w:rFonts w:asciiTheme="minorHAnsi" w:eastAsiaTheme="minorEastAsia" w:hAnsiTheme="minorHAnsi" w:cstheme="minorBidi"/>
              <w:b w:val="0"/>
              <w:bCs w:val="0"/>
              <w:noProof/>
              <w:sz w:val="22"/>
              <w:szCs w:val="22"/>
              <w:lang w:eastAsia="en-GB"/>
            </w:rPr>
          </w:pPr>
          <w:hyperlink w:anchor="_Toc118291573" w:history="1">
            <w:r w:rsidR="00652C62" w:rsidRPr="003F7E38">
              <w:rPr>
                <w:rStyle w:val="Hyperlink"/>
                <w:noProof/>
              </w:rPr>
              <w:t>2.3 Pre-Study Workshop (see Annex 2)</w:t>
            </w:r>
            <w:r w:rsidR="00652C62">
              <w:rPr>
                <w:noProof/>
                <w:webHidden/>
              </w:rPr>
              <w:tab/>
            </w:r>
            <w:r w:rsidR="00652C62">
              <w:rPr>
                <w:noProof/>
                <w:webHidden/>
              </w:rPr>
              <w:fldChar w:fldCharType="begin"/>
            </w:r>
            <w:r w:rsidR="00652C62">
              <w:rPr>
                <w:noProof/>
                <w:webHidden/>
              </w:rPr>
              <w:instrText xml:space="preserve"> PAGEREF _Toc118291573 \h </w:instrText>
            </w:r>
            <w:r w:rsidR="00652C62">
              <w:rPr>
                <w:noProof/>
                <w:webHidden/>
              </w:rPr>
            </w:r>
            <w:r w:rsidR="00652C62">
              <w:rPr>
                <w:noProof/>
                <w:webHidden/>
              </w:rPr>
              <w:fldChar w:fldCharType="separate"/>
            </w:r>
            <w:r w:rsidR="00652C62">
              <w:rPr>
                <w:noProof/>
                <w:webHidden/>
              </w:rPr>
              <w:t>9</w:t>
            </w:r>
            <w:r w:rsidR="00652C62">
              <w:rPr>
                <w:noProof/>
                <w:webHidden/>
              </w:rPr>
              <w:fldChar w:fldCharType="end"/>
            </w:r>
          </w:hyperlink>
        </w:p>
        <w:p w14:paraId="379378D0" w14:textId="5532B3CF" w:rsidR="00652C62" w:rsidRDefault="001376E5">
          <w:pPr>
            <w:pStyle w:val="TOC3"/>
            <w:tabs>
              <w:tab w:val="right" w:leader="dot" w:pos="9827"/>
            </w:tabs>
            <w:rPr>
              <w:rFonts w:asciiTheme="minorHAnsi" w:eastAsiaTheme="minorEastAsia" w:hAnsiTheme="minorHAnsi" w:cstheme="minorBidi"/>
              <w:noProof/>
              <w:sz w:val="22"/>
              <w:szCs w:val="22"/>
              <w:lang w:eastAsia="en-GB"/>
            </w:rPr>
          </w:pPr>
          <w:hyperlink w:anchor="_Toc118291574" w:history="1">
            <w:r w:rsidR="00652C62" w:rsidRPr="003F7E38">
              <w:rPr>
                <w:rStyle w:val="Hyperlink"/>
                <w:noProof/>
              </w:rPr>
              <w:t>2.3.1 Workshop Structure</w:t>
            </w:r>
            <w:r w:rsidR="00652C62">
              <w:rPr>
                <w:noProof/>
                <w:webHidden/>
              </w:rPr>
              <w:tab/>
            </w:r>
            <w:r w:rsidR="00652C62">
              <w:rPr>
                <w:noProof/>
                <w:webHidden/>
              </w:rPr>
              <w:fldChar w:fldCharType="begin"/>
            </w:r>
            <w:r w:rsidR="00652C62">
              <w:rPr>
                <w:noProof/>
                <w:webHidden/>
              </w:rPr>
              <w:instrText xml:space="preserve"> PAGEREF _Toc118291574 \h </w:instrText>
            </w:r>
            <w:r w:rsidR="00652C62">
              <w:rPr>
                <w:noProof/>
                <w:webHidden/>
              </w:rPr>
            </w:r>
            <w:r w:rsidR="00652C62">
              <w:rPr>
                <w:noProof/>
                <w:webHidden/>
              </w:rPr>
              <w:fldChar w:fldCharType="separate"/>
            </w:r>
            <w:r w:rsidR="00652C62">
              <w:rPr>
                <w:noProof/>
                <w:webHidden/>
              </w:rPr>
              <w:t>9</w:t>
            </w:r>
            <w:r w:rsidR="00652C62">
              <w:rPr>
                <w:noProof/>
                <w:webHidden/>
              </w:rPr>
              <w:fldChar w:fldCharType="end"/>
            </w:r>
          </w:hyperlink>
        </w:p>
        <w:p w14:paraId="2F8E8C8B" w14:textId="229B0333" w:rsidR="00652C62" w:rsidRDefault="001376E5">
          <w:pPr>
            <w:pStyle w:val="TOC3"/>
            <w:tabs>
              <w:tab w:val="right" w:leader="dot" w:pos="9827"/>
            </w:tabs>
            <w:rPr>
              <w:rFonts w:asciiTheme="minorHAnsi" w:eastAsiaTheme="minorEastAsia" w:hAnsiTheme="minorHAnsi" w:cstheme="minorBidi"/>
              <w:noProof/>
              <w:sz w:val="22"/>
              <w:szCs w:val="22"/>
              <w:lang w:eastAsia="en-GB"/>
            </w:rPr>
          </w:pPr>
          <w:hyperlink w:anchor="_Toc118291575" w:history="1">
            <w:r w:rsidR="00652C62" w:rsidRPr="003F7E38">
              <w:rPr>
                <w:rStyle w:val="Hyperlink"/>
                <w:noProof/>
              </w:rPr>
              <w:t>2.3.2 Summary of Main Findings</w:t>
            </w:r>
            <w:r w:rsidR="00652C62">
              <w:rPr>
                <w:noProof/>
                <w:webHidden/>
              </w:rPr>
              <w:tab/>
            </w:r>
            <w:r w:rsidR="00652C62">
              <w:rPr>
                <w:noProof/>
                <w:webHidden/>
              </w:rPr>
              <w:fldChar w:fldCharType="begin"/>
            </w:r>
            <w:r w:rsidR="00652C62">
              <w:rPr>
                <w:noProof/>
                <w:webHidden/>
              </w:rPr>
              <w:instrText xml:space="preserve"> PAGEREF _Toc118291575 \h </w:instrText>
            </w:r>
            <w:r w:rsidR="00652C62">
              <w:rPr>
                <w:noProof/>
                <w:webHidden/>
              </w:rPr>
            </w:r>
            <w:r w:rsidR="00652C62">
              <w:rPr>
                <w:noProof/>
                <w:webHidden/>
              </w:rPr>
              <w:fldChar w:fldCharType="separate"/>
            </w:r>
            <w:r w:rsidR="00652C62">
              <w:rPr>
                <w:noProof/>
                <w:webHidden/>
              </w:rPr>
              <w:t>9</w:t>
            </w:r>
            <w:r w:rsidR="00652C62">
              <w:rPr>
                <w:noProof/>
                <w:webHidden/>
              </w:rPr>
              <w:fldChar w:fldCharType="end"/>
            </w:r>
          </w:hyperlink>
        </w:p>
        <w:p w14:paraId="0AB28731" w14:textId="0D3351C6" w:rsidR="00652C62" w:rsidRDefault="001376E5">
          <w:pPr>
            <w:pStyle w:val="TOC2"/>
            <w:rPr>
              <w:rFonts w:asciiTheme="minorHAnsi" w:eastAsiaTheme="minorEastAsia" w:hAnsiTheme="minorHAnsi" w:cstheme="minorBidi"/>
              <w:b w:val="0"/>
              <w:bCs w:val="0"/>
              <w:noProof/>
              <w:sz w:val="22"/>
              <w:szCs w:val="22"/>
              <w:lang w:eastAsia="en-GB"/>
            </w:rPr>
          </w:pPr>
          <w:hyperlink w:anchor="_Toc118291576" w:history="1">
            <w:r w:rsidR="00652C62" w:rsidRPr="003F7E38">
              <w:rPr>
                <w:rStyle w:val="Hyperlink"/>
                <w:noProof/>
              </w:rPr>
              <w:t>2.4 Post-Study Workshop (see Annex 3)</w:t>
            </w:r>
            <w:r w:rsidR="00652C62">
              <w:rPr>
                <w:noProof/>
                <w:webHidden/>
              </w:rPr>
              <w:tab/>
            </w:r>
            <w:r w:rsidR="00652C62">
              <w:rPr>
                <w:noProof/>
                <w:webHidden/>
              </w:rPr>
              <w:fldChar w:fldCharType="begin"/>
            </w:r>
            <w:r w:rsidR="00652C62">
              <w:rPr>
                <w:noProof/>
                <w:webHidden/>
              </w:rPr>
              <w:instrText xml:space="preserve"> PAGEREF _Toc118291576 \h </w:instrText>
            </w:r>
            <w:r w:rsidR="00652C62">
              <w:rPr>
                <w:noProof/>
                <w:webHidden/>
              </w:rPr>
            </w:r>
            <w:r w:rsidR="00652C62">
              <w:rPr>
                <w:noProof/>
                <w:webHidden/>
              </w:rPr>
              <w:fldChar w:fldCharType="separate"/>
            </w:r>
            <w:r w:rsidR="00652C62">
              <w:rPr>
                <w:noProof/>
                <w:webHidden/>
              </w:rPr>
              <w:t>10</w:t>
            </w:r>
            <w:r w:rsidR="00652C62">
              <w:rPr>
                <w:noProof/>
                <w:webHidden/>
              </w:rPr>
              <w:fldChar w:fldCharType="end"/>
            </w:r>
          </w:hyperlink>
        </w:p>
        <w:p w14:paraId="7DF91C58" w14:textId="16F35EE4" w:rsidR="00652C62" w:rsidRDefault="001376E5">
          <w:pPr>
            <w:pStyle w:val="TOC3"/>
            <w:tabs>
              <w:tab w:val="right" w:leader="dot" w:pos="9827"/>
            </w:tabs>
            <w:rPr>
              <w:rFonts w:asciiTheme="minorHAnsi" w:eastAsiaTheme="minorEastAsia" w:hAnsiTheme="minorHAnsi" w:cstheme="minorBidi"/>
              <w:noProof/>
              <w:sz w:val="22"/>
              <w:szCs w:val="22"/>
              <w:lang w:eastAsia="en-GB"/>
            </w:rPr>
          </w:pPr>
          <w:hyperlink w:anchor="_Toc118291577" w:history="1">
            <w:r w:rsidR="00652C62" w:rsidRPr="003F7E38">
              <w:rPr>
                <w:rStyle w:val="Hyperlink"/>
                <w:noProof/>
              </w:rPr>
              <w:t>2.5.1 Workshop Structure</w:t>
            </w:r>
            <w:r w:rsidR="00652C62">
              <w:rPr>
                <w:noProof/>
                <w:webHidden/>
              </w:rPr>
              <w:tab/>
            </w:r>
            <w:r w:rsidR="00652C62">
              <w:rPr>
                <w:noProof/>
                <w:webHidden/>
              </w:rPr>
              <w:fldChar w:fldCharType="begin"/>
            </w:r>
            <w:r w:rsidR="00652C62">
              <w:rPr>
                <w:noProof/>
                <w:webHidden/>
              </w:rPr>
              <w:instrText xml:space="preserve"> PAGEREF _Toc118291577 \h </w:instrText>
            </w:r>
            <w:r w:rsidR="00652C62">
              <w:rPr>
                <w:noProof/>
                <w:webHidden/>
              </w:rPr>
            </w:r>
            <w:r w:rsidR="00652C62">
              <w:rPr>
                <w:noProof/>
                <w:webHidden/>
              </w:rPr>
              <w:fldChar w:fldCharType="separate"/>
            </w:r>
            <w:r w:rsidR="00652C62">
              <w:rPr>
                <w:noProof/>
                <w:webHidden/>
              </w:rPr>
              <w:t>10</w:t>
            </w:r>
            <w:r w:rsidR="00652C62">
              <w:rPr>
                <w:noProof/>
                <w:webHidden/>
              </w:rPr>
              <w:fldChar w:fldCharType="end"/>
            </w:r>
          </w:hyperlink>
        </w:p>
        <w:p w14:paraId="58C148FD" w14:textId="5E25AF81" w:rsidR="00652C62" w:rsidRDefault="001376E5">
          <w:pPr>
            <w:pStyle w:val="TOC3"/>
            <w:tabs>
              <w:tab w:val="right" w:leader="dot" w:pos="9827"/>
            </w:tabs>
            <w:rPr>
              <w:rFonts w:asciiTheme="minorHAnsi" w:eastAsiaTheme="minorEastAsia" w:hAnsiTheme="minorHAnsi" w:cstheme="minorBidi"/>
              <w:noProof/>
              <w:sz w:val="22"/>
              <w:szCs w:val="22"/>
              <w:lang w:eastAsia="en-GB"/>
            </w:rPr>
          </w:pPr>
          <w:hyperlink w:anchor="_Toc118291578" w:history="1">
            <w:r w:rsidR="00652C62" w:rsidRPr="003F7E38">
              <w:rPr>
                <w:rStyle w:val="Hyperlink"/>
                <w:noProof/>
              </w:rPr>
              <w:t>2.5.2 Summary of Key Findings</w:t>
            </w:r>
            <w:r w:rsidR="00652C62">
              <w:rPr>
                <w:noProof/>
                <w:webHidden/>
              </w:rPr>
              <w:tab/>
            </w:r>
            <w:r w:rsidR="00652C62">
              <w:rPr>
                <w:noProof/>
                <w:webHidden/>
              </w:rPr>
              <w:fldChar w:fldCharType="begin"/>
            </w:r>
            <w:r w:rsidR="00652C62">
              <w:rPr>
                <w:noProof/>
                <w:webHidden/>
              </w:rPr>
              <w:instrText xml:space="preserve"> PAGEREF _Toc118291578 \h </w:instrText>
            </w:r>
            <w:r w:rsidR="00652C62">
              <w:rPr>
                <w:noProof/>
                <w:webHidden/>
              </w:rPr>
            </w:r>
            <w:r w:rsidR="00652C62">
              <w:rPr>
                <w:noProof/>
                <w:webHidden/>
              </w:rPr>
              <w:fldChar w:fldCharType="separate"/>
            </w:r>
            <w:r w:rsidR="00652C62">
              <w:rPr>
                <w:noProof/>
                <w:webHidden/>
              </w:rPr>
              <w:t>10</w:t>
            </w:r>
            <w:r w:rsidR="00652C62">
              <w:rPr>
                <w:noProof/>
                <w:webHidden/>
              </w:rPr>
              <w:fldChar w:fldCharType="end"/>
            </w:r>
          </w:hyperlink>
        </w:p>
        <w:p w14:paraId="0A19F6D8" w14:textId="4E9DEB22" w:rsidR="00652C62" w:rsidRDefault="001376E5">
          <w:pPr>
            <w:pStyle w:val="TOC1"/>
            <w:rPr>
              <w:rFonts w:asciiTheme="minorHAnsi" w:eastAsiaTheme="minorEastAsia" w:hAnsiTheme="minorHAnsi" w:cstheme="minorBidi"/>
              <w:b w:val="0"/>
              <w:bCs w:val="0"/>
              <w:caps w:val="0"/>
              <w:lang w:eastAsia="en-GB"/>
            </w:rPr>
          </w:pPr>
          <w:hyperlink w:anchor="_Toc118291579" w:history="1">
            <w:r w:rsidR="00652C62" w:rsidRPr="003F7E38">
              <w:rPr>
                <w:rStyle w:val="Hyperlink"/>
              </w:rPr>
              <w:t>3.RECOMMENDATIONS</w:t>
            </w:r>
            <w:r w:rsidR="00652C62">
              <w:rPr>
                <w:webHidden/>
              </w:rPr>
              <w:tab/>
            </w:r>
            <w:r w:rsidR="00652C62">
              <w:rPr>
                <w:webHidden/>
              </w:rPr>
              <w:fldChar w:fldCharType="begin"/>
            </w:r>
            <w:r w:rsidR="00652C62">
              <w:rPr>
                <w:webHidden/>
              </w:rPr>
              <w:instrText xml:space="preserve"> PAGEREF _Toc118291579 \h </w:instrText>
            </w:r>
            <w:r w:rsidR="00652C62">
              <w:rPr>
                <w:webHidden/>
              </w:rPr>
            </w:r>
            <w:r w:rsidR="00652C62">
              <w:rPr>
                <w:webHidden/>
              </w:rPr>
              <w:fldChar w:fldCharType="separate"/>
            </w:r>
            <w:r w:rsidR="00652C62">
              <w:rPr>
                <w:webHidden/>
              </w:rPr>
              <w:t>10</w:t>
            </w:r>
            <w:r w:rsidR="00652C62">
              <w:rPr>
                <w:webHidden/>
              </w:rPr>
              <w:fldChar w:fldCharType="end"/>
            </w:r>
          </w:hyperlink>
        </w:p>
        <w:p w14:paraId="211F6349" w14:textId="3FF44150" w:rsidR="00652C62" w:rsidRDefault="001376E5">
          <w:pPr>
            <w:pStyle w:val="TOC1"/>
            <w:rPr>
              <w:rFonts w:asciiTheme="minorHAnsi" w:eastAsiaTheme="minorEastAsia" w:hAnsiTheme="minorHAnsi" w:cstheme="minorBidi"/>
              <w:b w:val="0"/>
              <w:bCs w:val="0"/>
              <w:caps w:val="0"/>
              <w:lang w:eastAsia="en-GB"/>
            </w:rPr>
          </w:pPr>
          <w:hyperlink w:anchor="_Toc118291580" w:history="1">
            <w:r w:rsidR="00652C62" w:rsidRPr="003F7E38">
              <w:rPr>
                <w:rStyle w:val="Hyperlink"/>
              </w:rPr>
              <w:t>4.CONCLUSIONS</w:t>
            </w:r>
            <w:r w:rsidR="00652C62">
              <w:rPr>
                <w:webHidden/>
              </w:rPr>
              <w:tab/>
            </w:r>
            <w:r w:rsidR="00652C62">
              <w:rPr>
                <w:webHidden/>
              </w:rPr>
              <w:fldChar w:fldCharType="begin"/>
            </w:r>
            <w:r w:rsidR="00652C62">
              <w:rPr>
                <w:webHidden/>
              </w:rPr>
              <w:instrText xml:space="preserve"> PAGEREF _Toc118291580 \h </w:instrText>
            </w:r>
            <w:r w:rsidR="00652C62">
              <w:rPr>
                <w:webHidden/>
              </w:rPr>
            </w:r>
            <w:r w:rsidR="00652C62">
              <w:rPr>
                <w:webHidden/>
              </w:rPr>
              <w:fldChar w:fldCharType="separate"/>
            </w:r>
            <w:r w:rsidR="00652C62">
              <w:rPr>
                <w:webHidden/>
              </w:rPr>
              <w:t>19</w:t>
            </w:r>
            <w:r w:rsidR="00652C62">
              <w:rPr>
                <w:webHidden/>
              </w:rPr>
              <w:fldChar w:fldCharType="end"/>
            </w:r>
          </w:hyperlink>
        </w:p>
        <w:p w14:paraId="4C309E71" w14:textId="67BED98A" w:rsidR="00652C62" w:rsidRDefault="001376E5">
          <w:pPr>
            <w:pStyle w:val="TOC1"/>
            <w:rPr>
              <w:rFonts w:asciiTheme="minorHAnsi" w:eastAsiaTheme="minorEastAsia" w:hAnsiTheme="minorHAnsi" w:cstheme="minorBidi"/>
              <w:b w:val="0"/>
              <w:bCs w:val="0"/>
              <w:caps w:val="0"/>
              <w:lang w:eastAsia="en-GB"/>
            </w:rPr>
          </w:pPr>
          <w:hyperlink w:anchor="_Toc118291581" w:history="1">
            <w:r w:rsidR="00652C62" w:rsidRPr="003F7E38">
              <w:rPr>
                <w:rStyle w:val="Hyperlink"/>
              </w:rPr>
              <w:t>5. BIBLIOGRAPHY</w:t>
            </w:r>
            <w:r w:rsidR="00652C62">
              <w:rPr>
                <w:webHidden/>
              </w:rPr>
              <w:tab/>
            </w:r>
            <w:r w:rsidR="00652C62">
              <w:rPr>
                <w:webHidden/>
              </w:rPr>
              <w:fldChar w:fldCharType="begin"/>
            </w:r>
            <w:r w:rsidR="00652C62">
              <w:rPr>
                <w:webHidden/>
              </w:rPr>
              <w:instrText xml:space="preserve"> PAGEREF _Toc118291581 \h </w:instrText>
            </w:r>
            <w:r w:rsidR="00652C62">
              <w:rPr>
                <w:webHidden/>
              </w:rPr>
            </w:r>
            <w:r w:rsidR="00652C62">
              <w:rPr>
                <w:webHidden/>
              </w:rPr>
              <w:fldChar w:fldCharType="separate"/>
            </w:r>
            <w:r w:rsidR="00652C62">
              <w:rPr>
                <w:webHidden/>
              </w:rPr>
              <w:t>20</w:t>
            </w:r>
            <w:r w:rsidR="00652C62">
              <w:rPr>
                <w:webHidden/>
              </w:rPr>
              <w:fldChar w:fldCharType="end"/>
            </w:r>
          </w:hyperlink>
        </w:p>
        <w:p w14:paraId="003B345D" w14:textId="4BB92965" w:rsidR="00652C62" w:rsidRDefault="001376E5">
          <w:pPr>
            <w:pStyle w:val="TOC2"/>
            <w:rPr>
              <w:rFonts w:asciiTheme="minorHAnsi" w:eastAsiaTheme="minorEastAsia" w:hAnsiTheme="minorHAnsi" w:cstheme="minorBidi"/>
              <w:b w:val="0"/>
              <w:bCs w:val="0"/>
              <w:noProof/>
              <w:sz w:val="22"/>
              <w:szCs w:val="22"/>
              <w:lang w:eastAsia="en-GB"/>
            </w:rPr>
          </w:pPr>
          <w:hyperlink w:anchor="_Toc118291582" w:history="1">
            <w:r w:rsidR="00652C62" w:rsidRPr="003F7E38">
              <w:rPr>
                <w:rStyle w:val="Hyperlink"/>
                <w:noProof/>
              </w:rPr>
              <w:t>References Examined during Desk Research</w:t>
            </w:r>
            <w:r w:rsidR="00652C62">
              <w:rPr>
                <w:noProof/>
                <w:webHidden/>
              </w:rPr>
              <w:tab/>
            </w:r>
            <w:r w:rsidR="00652C62">
              <w:rPr>
                <w:noProof/>
                <w:webHidden/>
              </w:rPr>
              <w:fldChar w:fldCharType="begin"/>
            </w:r>
            <w:r w:rsidR="00652C62">
              <w:rPr>
                <w:noProof/>
                <w:webHidden/>
              </w:rPr>
              <w:instrText xml:space="preserve"> PAGEREF _Toc118291582 \h </w:instrText>
            </w:r>
            <w:r w:rsidR="00652C62">
              <w:rPr>
                <w:noProof/>
                <w:webHidden/>
              </w:rPr>
            </w:r>
            <w:r w:rsidR="00652C62">
              <w:rPr>
                <w:noProof/>
                <w:webHidden/>
              </w:rPr>
              <w:fldChar w:fldCharType="separate"/>
            </w:r>
            <w:r w:rsidR="00652C62">
              <w:rPr>
                <w:noProof/>
                <w:webHidden/>
              </w:rPr>
              <w:t>20</w:t>
            </w:r>
            <w:r w:rsidR="00652C62">
              <w:rPr>
                <w:noProof/>
                <w:webHidden/>
              </w:rPr>
              <w:fldChar w:fldCharType="end"/>
            </w:r>
          </w:hyperlink>
        </w:p>
        <w:p w14:paraId="26D58205" w14:textId="6D7ADFC5" w:rsidR="00F22636" w:rsidRDefault="00F22636">
          <w:r>
            <w:rPr>
              <w:b/>
              <w:bCs/>
              <w:noProof/>
            </w:rPr>
            <w:fldChar w:fldCharType="end"/>
          </w:r>
        </w:p>
      </w:sdtContent>
    </w:sdt>
    <w:p w14:paraId="1E869795" w14:textId="77777777" w:rsidR="000B129E" w:rsidRDefault="000B129E">
      <w:r>
        <w:br w:type="page"/>
      </w:r>
    </w:p>
    <w:p w14:paraId="03D3475D" w14:textId="77777777" w:rsidR="009649DA" w:rsidRDefault="009649DA">
      <w:pPr>
        <w:rPr>
          <w:sz w:val="22"/>
          <w:szCs w:val="22"/>
        </w:rPr>
      </w:pPr>
    </w:p>
    <w:p w14:paraId="1E1B2D96" w14:textId="654DC425" w:rsidR="0015658F" w:rsidRDefault="006A3AF5" w:rsidP="003021FF">
      <w:pPr>
        <w:rPr>
          <w:sz w:val="22"/>
          <w:szCs w:val="22"/>
        </w:rPr>
      </w:pPr>
      <w:r>
        <w:rPr>
          <w:sz w:val="22"/>
          <w:szCs w:val="22"/>
        </w:rPr>
        <w:t>LIST OF ABBREVIATIONS</w:t>
      </w:r>
    </w:p>
    <w:p w14:paraId="13B0A564" w14:textId="77777777" w:rsidR="0015658F" w:rsidRDefault="0015658F">
      <w:pPr>
        <w:rPr>
          <w:sz w:val="22"/>
          <w:szCs w:val="22"/>
        </w:rPr>
      </w:pPr>
    </w:p>
    <w:tbl>
      <w:tblPr>
        <w:tblStyle w:val="a"/>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8"/>
        <w:gridCol w:w="6874"/>
      </w:tblGrid>
      <w:tr w:rsidR="0015658F" w14:paraId="3B80D0D8" w14:textId="77777777">
        <w:trPr>
          <w:trHeight w:val="138"/>
        </w:trPr>
        <w:tc>
          <w:tcPr>
            <w:tcW w:w="2198" w:type="dxa"/>
            <w:shd w:val="clear" w:color="auto" w:fill="4F81BD"/>
          </w:tcPr>
          <w:p w14:paraId="7AC5B542" w14:textId="77777777" w:rsidR="0015658F" w:rsidRDefault="006A3AF5">
            <w:pPr>
              <w:spacing w:line="276" w:lineRule="auto"/>
              <w:jc w:val="both"/>
              <w:rPr>
                <w:sz w:val="22"/>
                <w:szCs w:val="22"/>
              </w:rPr>
            </w:pPr>
            <w:r>
              <w:rPr>
                <w:b/>
                <w:sz w:val="22"/>
                <w:szCs w:val="22"/>
              </w:rPr>
              <w:t xml:space="preserve">Abbreviation </w:t>
            </w:r>
          </w:p>
        </w:tc>
        <w:tc>
          <w:tcPr>
            <w:tcW w:w="6874" w:type="dxa"/>
            <w:shd w:val="clear" w:color="auto" w:fill="4F81BD"/>
          </w:tcPr>
          <w:p w14:paraId="0DC78D35" w14:textId="77777777" w:rsidR="0015658F" w:rsidRDefault="006A3AF5">
            <w:pPr>
              <w:spacing w:line="276" w:lineRule="auto"/>
              <w:jc w:val="both"/>
              <w:rPr>
                <w:sz w:val="22"/>
                <w:szCs w:val="22"/>
              </w:rPr>
            </w:pPr>
            <w:r>
              <w:rPr>
                <w:b/>
                <w:sz w:val="22"/>
                <w:szCs w:val="22"/>
              </w:rPr>
              <w:t xml:space="preserve">Meaning </w:t>
            </w:r>
          </w:p>
        </w:tc>
      </w:tr>
      <w:tr w:rsidR="0015658F" w14:paraId="7AC6C560" w14:textId="77777777">
        <w:trPr>
          <w:trHeight w:val="138"/>
        </w:trPr>
        <w:tc>
          <w:tcPr>
            <w:tcW w:w="2198" w:type="dxa"/>
            <w:shd w:val="clear" w:color="auto" w:fill="D9E2F3"/>
          </w:tcPr>
          <w:p w14:paraId="57D8B6D9" w14:textId="77777777" w:rsidR="0015658F" w:rsidRDefault="006A3AF5">
            <w:pPr>
              <w:spacing w:before="40" w:after="40" w:line="276" w:lineRule="auto"/>
              <w:jc w:val="both"/>
              <w:rPr>
                <w:sz w:val="22"/>
                <w:szCs w:val="22"/>
              </w:rPr>
            </w:pPr>
            <w:r>
              <w:rPr>
                <w:sz w:val="22"/>
                <w:szCs w:val="22"/>
              </w:rPr>
              <w:t xml:space="preserve">CEEP </w:t>
            </w:r>
          </w:p>
        </w:tc>
        <w:tc>
          <w:tcPr>
            <w:tcW w:w="6874" w:type="dxa"/>
          </w:tcPr>
          <w:p w14:paraId="2FEB8E81" w14:textId="60C24FCA" w:rsidR="0015658F" w:rsidRDefault="006A3AF5">
            <w:pPr>
              <w:spacing w:before="40" w:after="40" w:line="276" w:lineRule="auto"/>
              <w:jc w:val="both"/>
              <w:rPr>
                <w:sz w:val="22"/>
                <w:szCs w:val="22"/>
              </w:rPr>
            </w:pPr>
            <w:r>
              <w:rPr>
                <w:sz w:val="22"/>
                <w:szCs w:val="22"/>
              </w:rPr>
              <w:t xml:space="preserve">European Centre of Employers </w:t>
            </w:r>
            <w:r w:rsidR="008923E4">
              <w:rPr>
                <w:sz w:val="22"/>
                <w:szCs w:val="22"/>
              </w:rPr>
              <w:t>and</w:t>
            </w:r>
            <w:r>
              <w:rPr>
                <w:sz w:val="22"/>
                <w:szCs w:val="22"/>
              </w:rPr>
              <w:t xml:space="preserve"> Enterprises </w:t>
            </w:r>
          </w:p>
        </w:tc>
      </w:tr>
      <w:tr w:rsidR="0015658F" w14:paraId="33C964D0" w14:textId="77777777">
        <w:trPr>
          <w:trHeight w:val="138"/>
        </w:trPr>
        <w:tc>
          <w:tcPr>
            <w:tcW w:w="2198" w:type="dxa"/>
            <w:shd w:val="clear" w:color="auto" w:fill="D9E2F3"/>
          </w:tcPr>
          <w:p w14:paraId="368EDDE6" w14:textId="77777777" w:rsidR="0015658F" w:rsidRDefault="006A3AF5">
            <w:pPr>
              <w:spacing w:before="40" w:after="40" w:line="276" w:lineRule="auto"/>
              <w:jc w:val="both"/>
              <w:rPr>
                <w:sz w:val="22"/>
                <w:szCs w:val="22"/>
              </w:rPr>
            </w:pPr>
            <w:r>
              <w:rPr>
                <w:sz w:val="22"/>
                <w:szCs w:val="22"/>
              </w:rPr>
              <w:t>CEC</w:t>
            </w:r>
          </w:p>
        </w:tc>
        <w:tc>
          <w:tcPr>
            <w:tcW w:w="6874" w:type="dxa"/>
          </w:tcPr>
          <w:p w14:paraId="21E39B4C" w14:textId="77777777" w:rsidR="0015658F" w:rsidRDefault="006A3AF5">
            <w:pPr>
              <w:spacing w:before="40" w:after="40" w:line="276" w:lineRule="auto"/>
              <w:jc w:val="both"/>
              <w:rPr>
                <w:sz w:val="22"/>
                <w:szCs w:val="22"/>
              </w:rPr>
            </w:pPr>
            <w:r>
              <w:rPr>
                <w:sz w:val="22"/>
                <w:szCs w:val="22"/>
              </w:rPr>
              <w:t>European Confederation of Managers</w:t>
            </w:r>
          </w:p>
        </w:tc>
      </w:tr>
      <w:tr w:rsidR="0015658F" w14:paraId="24EE1696" w14:textId="77777777">
        <w:trPr>
          <w:trHeight w:val="138"/>
        </w:trPr>
        <w:tc>
          <w:tcPr>
            <w:tcW w:w="2198" w:type="dxa"/>
            <w:shd w:val="clear" w:color="auto" w:fill="D9E2F3"/>
          </w:tcPr>
          <w:p w14:paraId="502D4DDD" w14:textId="77777777" w:rsidR="0015658F" w:rsidRDefault="006A3AF5">
            <w:pPr>
              <w:spacing w:before="40" w:after="40" w:line="276" w:lineRule="auto"/>
              <w:jc w:val="both"/>
              <w:rPr>
                <w:sz w:val="22"/>
                <w:szCs w:val="22"/>
              </w:rPr>
            </w:pPr>
            <w:r>
              <w:rPr>
                <w:sz w:val="22"/>
                <w:szCs w:val="22"/>
              </w:rPr>
              <w:t>CHSCT</w:t>
            </w:r>
          </w:p>
        </w:tc>
        <w:tc>
          <w:tcPr>
            <w:tcW w:w="6874" w:type="dxa"/>
          </w:tcPr>
          <w:p w14:paraId="7510EA01" w14:textId="43052F49" w:rsidR="0015658F" w:rsidRDefault="006A3AF5">
            <w:pPr>
              <w:spacing w:before="40" w:after="40" w:line="276" w:lineRule="auto"/>
              <w:jc w:val="both"/>
              <w:rPr>
                <w:sz w:val="22"/>
                <w:szCs w:val="22"/>
              </w:rPr>
            </w:pPr>
            <w:r>
              <w:rPr>
                <w:sz w:val="22"/>
                <w:szCs w:val="22"/>
              </w:rPr>
              <w:t xml:space="preserve">Hygiene, Safety </w:t>
            </w:r>
            <w:r w:rsidR="008923E4">
              <w:rPr>
                <w:sz w:val="22"/>
                <w:szCs w:val="22"/>
              </w:rPr>
              <w:t>and</w:t>
            </w:r>
            <w:r>
              <w:rPr>
                <w:sz w:val="22"/>
                <w:szCs w:val="22"/>
              </w:rPr>
              <w:t xml:space="preserve"> Working Conditions Committee</w:t>
            </w:r>
          </w:p>
        </w:tc>
      </w:tr>
      <w:tr w:rsidR="0015658F" w14:paraId="30C387A9" w14:textId="77777777">
        <w:trPr>
          <w:trHeight w:val="138"/>
        </w:trPr>
        <w:tc>
          <w:tcPr>
            <w:tcW w:w="2198" w:type="dxa"/>
            <w:shd w:val="clear" w:color="auto" w:fill="D9E2F3"/>
          </w:tcPr>
          <w:p w14:paraId="5CE53376" w14:textId="77777777" w:rsidR="0015658F" w:rsidRDefault="006A3AF5">
            <w:pPr>
              <w:spacing w:before="40" w:after="40" w:line="276" w:lineRule="auto"/>
              <w:jc w:val="both"/>
              <w:rPr>
                <w:sz w:val="22"/>
                <w:szCs w:val="22"/>
              </w:rPr>
            </w:pPr>
            <w:r>
              <w:rPr>
                <w:sz w:val="22"/>
                <w:szCs w:val="22"/>
              </w:rPr>
              <w:t>CIMER</w:t>
            </w:r>
          </w:p>
        </w:tc>
        <w:tc>
          <w:tcPr>
            <w:tcW w:w="6874" w:type="dxa"/>
          </w:tcPr>
          <w:p w14:paraId="5FF40DD5" w14:textId="77777777" w:rsidR="0015658F" w:rsidRDefault="006A3AF5">
            <w:pPr>
              <w:rPr>
                <w:sz w:val="22"/>
                <w:szCs w:val="22"/>
              </w:rPr>
            </w:pPr>
            <w:r>
              <w:rPr>
                <w:sz w:val="22"/>
                <w:szCs w:val="22"/>
              </w:rPr>
              <w:t xml:space="preserve">Presidential Communication Centre </w:t>
            </w:r>
          </w:p>
        </w:tc>
      </w:tr>
      <w:tr w:rsidR="000B6DDB" w14:paraId="23997B30" w14:textId="77777777">
        <w:trPr>
          <w:trHeight w:val="138"/>
        </w:trPr>
        <w:tc>
          <w:tcPr>
            <w:tcW w:w="2198" w:type="dxa"/>
            <w:shd w:val="clear" w:color="auto" w:fill="D9E2F3"/>
          </w:tcPr>
          <w:p w14:paraId="0483DA66" w14:textId="6C3C5215" w:rsidR="000B6DDB" w:rsidRDefault="000B6DDB">
            <w:pPr>
              <w:spacing w:before="40" w:after="40" w:line="276" w:lineRule="auto"/>
              <w:jc w:val="both"/>
              <w:rPr>
                <w:sz w:val="22"/>
                <w:szCs w:val="22"/>
              </w:rPr>
            </w:pPr>
            <w:r>
              <w:rPr>
                <w:sz w:val="22"/>
                <w:szCs w:val="22"/>
              </w:rPr>
              <w:t>CPRD</w:t>
            </w:r>
          </w:p>
        </w:tc>
        <w:tc>
          <w:tcPr>
            <w:tcW w:w="6874" w:type="dxa"/>
          </w:tcPr>
          <w:p w14:paraId="515E240A" w14:textId="3F48C5C9" w:rsidR="000B6DDB" w:rsidRDefault="000B6DDB">
            <w:pPr>
              <w:rPr>
                <w:sz w:val="22"/>
                <w:szCs w:val="22"/>
              </w:rPr>
            </w:pPr>
            <w:r>
              <w:rPr>
                <w:sz w:val="22"/>
                <w:szCs w:val="22"/>
              </w:rPr>
              <w:t>UN Convention on Rights of People with Disabilities</w:t>
            </w:r>
          </w:p>
        </w:tc>
      </w:tr>
      <w:tr w:rsidR="0015658F" w14:paraId="4C51EC3E" w14:textId="77777777">
        <w:trPr>
          <w:trHeight w:val="138"/>
        </w:trPr>
        <w:tc>
          <w:tcPr>
            <w:tcW w:w="2198" w:type="dxa"/>
            <w:shd w:val="clear" w:color="auto" w:fill="D9E2F3"/>
          </w:tcPr>
          <w:p w14:paraId="58382BB8" w14:textId="77777777" w:rsidR="0015658F" w:rsidRDefault="006A3AF5">
            <w:pPr>
              <w:spacing w:before="40" w:after="40" w:line="276" w:lineRule="auto"/>
              <w:jc w:val="both"/>
              <w:rPr>
                <w:sz w:val="22"/>
                <w:szCs w:val="22"/>
              </w:rPr>
            </w:pPr>
            <w:r>
              <w:rPr>
                <w:sz w:val="22"/>
                <w:szCs w:val="22"/>
              </w:rPr>
              <w:t>DWEA</w:t>
            </w:r>
          </w:p>
        </w:tc>
        <w:tc>
          <w:tcPr>
            <w:tcW w:w="6874" w:type="dxa"/>
          </w:tcPr>
          <w:p w14:paraId="7DF21D10" w14:textId="77777777" w:rsidR="0015658F" w:rsidRDefault="006A3AF5">
            <w:pPr>
              <w:rPr>
                <w:sz w:val="22"/>
                <w:szCs w:val="22"/>
              </w:rPr>
            </w:pPr>
            <w:r>
              <w:rPr>
                <w:sz w:val="22"/>
                <w:szCs w:val="22"/>
              </w:rPr>
              <w:t>Danish Working Environment Authority</w:t>
            </w:r>
          </w:p>
        </w:tc>
      </w:tr>
      <w:tr w:rsidR="0015658F" w14:paraId="6953431B" w14:textId="77777777">
        <w:trPr>
          <w:trHeight w:val="138"/>
        </w:trPr>
        <w:tc>
          <w:tcPr>
            <w:tcW w:w="2198" w:type="dxa"/>
            <w:shd w:val="clear" w:color="auto" w:fill="D9E2F3"/>
          </w:tcPr>
          <w:p w14:paraId="7DE0E30E" w14:textId="77777777" w:rsidR="0015658F" w:rsidRDefault="006A3AF5">
            <w:pPr>
              <w:spacing w:before="40" w:after="40" w:line="276" w:lineRule="auto"/>
              <w:jc w:val="both"/>
              <w:rPr>
                <w:sz w:val="22"/>
                <w:szCs w:val="22"/>
              </w:rPr>
            </w:pPr>
            <w:r>
              <w:rPr>
                <w:sz w:val="22"/>
                <w:szCs w:val="22"/>
              </w:rPr>
              <w:t xml:space="preserve">ETUC </w:t>
            </w:r>
          </w:p>
        </w:tc>
        <w:tc>
          <w:tcPr>
            <w:tcW w:w="6874" w:type="dxa"/>
          </w:tcPr>
          <w:p w14:paraId="37739CCD" w14:textId="77777777" w:rsidR="0015658F" w:rsidRDefault="006A3AF5">
            <w:pPr>
              <w:rPr>
                <w:sz w:val="22"/>
                <w:szCs w:val="22"/>
              </w:rPr>
            </w:pPr>
            <w:r>
              <w:rPr>
                <w:sz w:val="22"/>
                <w:szCs w:val="22"/>
              </w:rPr>
              <w:t>European Trade Union Confederation</w:t>
            </w:r>
          </w:p>
        </w:tc>
      </w:tr>
      <w:tr w:rsidR="0015658F" w14:paraId="5C800023" w14:textId="77777777">
        <w:trPr>
          <w:trHeight w:val="138"/>
        </w:trPr>
        <w:tc>
          <w:tcPr>
            <w:tcW w:w="2198" w:type="dxa"/>
            <w:shd w:val="clear" w:color="auto" w:fill="D9E2F3"/>
          </w:tcPr>
          <w:p w14:paraId="3A424C75" w14:textId="77777777" w:rsidR="0015658F" w:rsidRDefault="006A3AF5">
            <w:pPr>
              <w:spacing w:before="40" w:after="40" w:line="276" w:lineRule="auto"/>
              <w:jc w:val="both"/>
              <w:rPr>
                <w:sz w:val="22"/>
                <w:szCs w:val="22"/>
              </w:rPr>
            </w:pPr>
            <w:r>
              <w:rPr>
                <w:sz w:val="22"/>
                <w:szCs w:val="22"/>
              </w:rPr>
              <w:t>EU</w:t>
            </w:r>
          </w:p>
        </w:tc>
        <w:tc>
          <w:tcPr>
            <w:tcW w:w="6874" w:type="dxa"/>
          </w:tcPr>
          <w:p w14:paraId="1C7C02B1" w14:textId="77777777" w:rsidR="0015658F" w:rsidRDefault="006A3AF5">
            <w:pPr>
              <w:rPr>
                <w:sz w:val="22"/>
                <w:szCs w:val="22"/>
              </w:rPr>
            </w:pPr>
            <w:r>
              <w:rPr>
                <w:sz w:val="22"/>
                <w:szCs w:val="22"/>
              </w:rPr>
              <w:t>European Union</w:t>
            </w:r>
          </w:p>
        </w:tc>
      </w:tr>
      <w:tr w:rsidR="0015658F" w14:paraId="7C5527F1" w14:textId="77777777">
        <w:trPr>
          <w:trHeight w:val="138"/>
        </w:trPr>
        <w:tc>
          <w:tcPr>
            <w:tcW w:w="2198" w:type="dxa"/>
            <w:shd w:val="clear" w:color="auto" w:fill="D9E2F3"/>
          </w:tcPr>
          <w:p w14:paraId="359235A1" w14:textId="77777777" w:rsidR="0015658F" w:rsidRDefault="006A3AF5">
            <w:pPr>
              <w:spacing w:before="40" w:after="40" w:line="276" w:lineRule="auto"/>
              <w:jc w:val="both"/>
              <w:rPr>
                <w:sz w:val="22"/>
                <w:szCs w:val="22"/>
              </w:rPr>
            </w:pPr>
            <w:r>
              <w:rPr>
                <w:sz w:val="22"/>
                <w:szCs w:val="22"/>
              </w:rPr>
              <w:t>EF - PRIMA</w:t>
            </w:r>
          </w:p>
        </w:tc>
        <w:tc>
          <w:tcPr>
            <w:tcW w:w="6874" w:type="dxa"/>
          </w:tcPr>
          <w:p w14:paraId="45201F14" w14:textId="77777777" w:rsidR="0015658F" w:rsidRDefault="006A3AF5">
            <w:pPr>
              <w:spacing w:before="40" w:after="40" w:line="276" w:lineRule="auto"/>
              <w:jc w:val="both"/>
              <w:rPr>
                <w:sz w:val="22"/>
                <w:szCs w:val="22"/>
              </w:rPr>
            </w:pPr>
            <w:r>
              <w:rPr>
                <w:sz w:val="22"/>
                <w:szCs w:val="22"/>
              </w:rPr>
              <w:t xml:space="preserve">European Framework for Psychosocial Risk Management </w:t>
            </w:r>
          </w:p>
        </w:tc>
      </w:tr>
      <w:tr w:rsidR="0015658F" w14:paraId="3926602A" w14:textId="77777777">
        <w:trPr>
          <w:trHeight w:val="138"/>
        </w:trPr>
        <w:tc>
          <w:tcPr>
            <w:tcW w:w="2198" w:type="dxa"/>
            <w:shd w:val="clear" w:color="auto" w:fill="D9E2F3"/>
          </w:tcPr>
          <w:p w14:paraId="69EA350B" w14:textId="77777777" w:rsidR="0015658F" w:rsidRDefault="006A3AF5">
            <w:pPr>
              <w:spacing w:before="40" w:after="40" w:line="276" w:lineRule="auto"/>
              <w:jc w:val="both"/>
              <w:rPr>
                <w:sz w:val="22"/>
                <w:szCs w:val="22"/>
              </w:rPr>
            </w:pPr>
            <w:r>
              <w:rPr>
                <w:sz w:val="22"/>
                <w:szCs w:val="22"/>
              </w:rPr>
              <w:t>EUROCADRES</w:t>
            </w:r>
          </w:p>
        </w:tc>
        <w:tc>
          <w:tcPr>
            <w:tcW w:w="6874" w:type="dxa"/>
          </w:tcPr>
          <w:p w14:paraId="5901E7CC" w14:textId="7FCD5517" w:rsidR="0015658F" w:rsidRDefault="006A3AF5">
            <w:pPr>
              <w:spacing w:before="40" w:after="40" w:line="276" w:lineRule="auto"/>
              <w:jc w:val="both"/>
              <w:rPr>
                <w:sz w:val="22"/>
                <w:szCs w:val="22"/>
              </w:rPr>
            </w:pPr>
            <w:r>
              <w:rPr>
                <w:sz w:val="22"/>
                <w:szCs w:val="22"/>
              </w:rPr>
              <w:t xml:space="preserve">Trade Union voice of professionals </w:t>
            </w:r>
            <w:r w:rsidR="008923E4">
              <w:rPr>
                <w:sz w:val="22"/>
                <w:szCs w:val="22"/>
              </w:rPr>
              <w:t>and</w:t>
            </w:r>
            <w:r>
              <w:rPr>
                <w:sz w:val="22"/>
                <w:szCs w:val="22"/>
              </w:rPr>
              <w:t xml:space="preserve"> managers</w:t>
            </w:r>
          </w:p>
        </w:tc>
      </w:tr>
      <w:tr w:rsidR="00162059" w14:paraId="1C4BA1D3" w14:textId="77777777">
        <w:trPr>
          <w:trHeight w:val="138"/>
        </w:trPr>
        <w:tc>
          <w:tcPr>
            <w:tcW w:w="2198" w:type="dxa"/>
            <w:shd w:val="clear" w:color="auto" w:fill="D9E2F3"/>
          </w:tcPr>
          <w:p w14:paraId="2763643D" w14:textId="5249E2A6" w:rsidR="00162059" w:rsidRDefault="00162059">
            <w:pPr>
              <w:spacing w:before="40" w:after="40" w:line="276" w:lineRule="auto"/>
              <w:jc w:val="both"/>
              <w:rPr>
                <w:sz w:val="22"/>
                <w:szCs w:val="22"/>
              </w:rPr>
            </w:pPr>
            <w:r>
              <w:rPr>
                <w:sz w:val="22"/>
                <w:szCs w:val="22"/>
              </w:rPr>
              <w:t>FoW Project</w:t>
            </w:r>
          </w:p>
        </w:tc>
        <w:tc>
          <w:tcPr>
            <w:tcW w:w="6874" w:type="dxa"/>
          </w:tcPr>
          <w:p w14:paraId="2B093BE6" w14:textId="52F83AD4" w:rsidR="00162059" w:rsidRDefault="00162059">
            <w:pPr>
              <w:spacing w:before="40" w:after="40" w:line="276" w:lineRule="auto"/>
              <w:jc w:val="both"/>
              <w:rPr>
                <w:sz w:val="22"/>
                <w:szCs w:val="22"/>
              </w:rPr>
            </w:pPr>
            <w:r>
              <w:rPr>
                <w:bCs/>
                <w:sz w:val="22"/>
                <w:szCs w:val="22"/>
              </w:rPr>
              <w:t>Technical Assistance for Promoting Decent Future of Work Approach with a Focus on Gender Equality</w:t>
            </w:r>
          </w:p>
        </w:tc>
      </w:tr>
      <w:tr w:rsidR="001E5ACA" w14:paraId="335114E0" w14:textId="77777777">
        <w:trPr>
          <w:trHeight w:val="138"/>
        </w:trPr>
        <w:tc>
          <w:tcPr>
            <w:tcW w:w="2198" w:type="dxa"/>
            <w:shd w:val="clear" w:color="auto" w:fill="D9E2F3"/>
          </w:tcPr>
          <w:p w14:paraId="51CB1466" w14:textId="75D09C3F" w:rsidR="001E5ACA" w:rsidRDefault="001E5ACA">
            <w:pPr>
              <w:spacing w:before="40" w:after="40" w:line="276" w:lineRule="auto"/>
              <w:jc w:val="both"/>
              <w:rPr>
                <w:sz w:val="22"/>
                <w:szCs w:val="22"/>
              </w:rPr>
            </w:pPr>
            <w:r>
              <w:rPr>
                <w:sz w:val="22"/>
                <w:szCs w:val="22"/>
              </w:rPr>
              <w:t>HAK-IS</w:t>
            </w:r>
          </w:p>
        </w:tc>
        <w:tc>
          <w:tcPr>
            <w:tcW w:w="6874" w:type="dxa"/>
          </w:tcPr>
          <w:p w14:paraId="76DA6491" w14:textId="2605222C" w:rsidR="001E5ACA" w:rsidRDefault="009649DA">
            <w:pPr>
              <w:spacing w:before="40" w:after="40" w:line="276" w:lineRule="auto"/>
              <w:jc w:val="both"/>
              <w:rPr>
                <w:sz w:val="22"/>
                <w:szCs w:val="22"/>
              </w:rPr>
            </w:pPr>
            <w:r>
              <w:rPr>
                <w:sz w:val="22"/>
                <w:szCs w:val="22"/>
              </w:rPr>
              <w:t>Confederation of Trades’ Unions</w:t>
            </w:r>
          </w:p>
        </w:tc>
      </w:tr>
      <w:tr w:rsidR="0015658F" w14:paraId="0BCE4F4A" w14:textId="77777777">
        <w:trPr>
          <w:trHeight w:val="138"/>
        </w:trPr>
        <w:tc>
          <w:tcPr>
            <w:tcW w:w="2198" w:type="dxa"/>
            <w:shd w:val="clear" w:color="auto" w:fill="D9E2F3"/>
          </w:tcPr>
          <w:p w14:paraId="10440A0C" w14:textId="77777777" w:rsidR="0015658F" w:rsidRDefault="006A3AF5">
            <w:pPr>
              <w:spacing w:before="40" w:after="40" w:line="276" w:lineRule="auto"/>
              <w:jc w:val="both"/>
              <w:rPr>
                <w:sz w:val="22"/>
                <w:szCs w:val="22"/>
              </w:rPr>
            </w:pPr>
            <w:r>
              <w:rPr>
                <w:sz w:val="22"/>
                <w:szCs w:val="22"/>
              </w:rPr>
              <w:t>ILO</w:t>
            </w:r>
          </w:p>
        </w:tc>
        <w:tc>
          <w:tcPr>
            <w:tcW w:w="6874" w:type="dxa"/>
          </w:tcPr>
          <w:p w14:paraId="1D421939" w14:textId="77777777" w:rsidR="0015658F" w:rsidRDefault="006A3AF5">
            <w:pPr>
              <w:spacing w:before="40" w:after="40" w:line="276" w:lineRule="auto"/>
              <w:jc w:val="both"/>
              <w:rPr>
                <w:sz w:val="22"/>
                <w:szCs w:val="22"/>
              </w:rPr>
            </w:pPr>
            <w:r>
              <w:rPr>
                <w:sz w:val="22"/>
                <w:szCs w:val="22"/>
              </w:rPr>
              <w:t>International Labour Office</w:t>
            </w:r>
          </w:p>
        </w:tc>
      </w:tr>
      <w:tr w:rsidR="0015658F" w14:paraId="5A6E48F9" w14:textId="77777777">
        <w:trPr>
          <w:trHeight w:val="138"/>
        </w:trPr>
        <w:tc>
          <w:tcPr>
            <w:tcW w:w="2198" w:type="dxa"/>
            <w:shd w:val="clear" w:color="auto" w:fill="D9E2F3"/>
          </w:tcPr>
          <w:p w14:paraId="04C48A7A" w14:textId="77777777" w:rsidR="0015658F" w:rsidRDefault="006A3AF5">
            <w:pPr>
              <w:spacing w:before="40" w:after="40" w:line="276" w:lineRule="auto"/>
              <w:jc w:val="both"/>
              <w:rPr>
                <w:sz w:val="22"/>
                <w:szCs w:val="22"/>
              </w:rPr>
            </w:pPr>
            <w:r>
              <w:rPr>
                <w:sz w:val="22"/>
                <w:szCs w:val="22"/>
              </w:rPr>
              <w:t>INQA</w:t>
            </w:r>
          </w:p>
        </w:tc>
        <w:tc>
          <w:tcPr>
            <w:tcW w:w="6874" w:type="dxa"/>
          </w:tcPr>
          <w:p w14:paraId="03010D77" w14:textId="77777777" w:rsidR="0015658F" w:rsidRDefault="006A3AF5">
            <w:pPr>
              <w:spacing w:before="40" w:after="40" w:line="276" w:lineRule="auto"/>
              <w:jc w:val="both"/>
              <w:rPr>
                <w:sz w:val="22"/>
                <w:szCs w:val="22"/>
              </w:rPr>
            </w:pPr>
            <w:r>
              <w:rPr>
                <w:sz w:val="22"/>
                <w:szCs w:val="22"/>
              </w:rPr>
              <w:t xml:space="preserve">New Quality of Work (Initiative Neue Qualität der Arbeit) </w:t>
            </w:r>
          </w:p>
        </w:tc>
      </w:tr>
      <w:tr w:rsidR="00813A9C" w14:paraId="5B29724A" w14:textId="77777777">
        <w:trPr>
          <w:trHeight w:val="138"/>
        </w:trPr>
        <w:tc>
          <w:tcPr>
            <w:tcW w:w="2198" w:type="dxa"/>
            <w:shd w:val="clear" w:color="auto" w:fill="D9E2F3"/>
          </w:tcPr>
          <w:p w14:paraId="652874BA" w14:textId="046DC257" w:rsidR="00813A9C" w:rsidRDefault="00813A9C">
            <w:pPr>
              <w:spacing w:before="40" w:after="40" w:line="276" w:lineRule="auto"/>
              <w:jc w:val="both"/>
              <w:rPr>
                <w:sz w:val="22"/>
                <w:szCs w:val="22"/>
              </w:rPr>
            </w:pPr>
            <w:r>
              <w:rPr>
                <w:sz w:val="22"/>
                <w:szCs w:val="22"/>
              </w:rPr>
              <w:t>JVC</w:t>
            </w:r>
          </w:p>
        </w:tc>
        <w:tc>
          <w:tcPr>
            <w:tcW w:w="6874" w:type="dxa"/>
          </w:tcPr>
          <w:p w14:paraId="5C12E008" w14:textId="6011AAAB" w:rsidR="00813A9C" w:rsidRDefault="00813A9C">
            <w:pPr>
              <w:spacing w:before="40" w:after="40" w:line="276" w:lineRule="auto"/>
              <w:jc w:val="both"/>
              <w:rPr>
                <w:sz w:val="22"/>
                <w:szCs w:val="22"/>
              </w:rPr>
            </w:pPr>
            <w:r>
              <w:rPr>
                <w:sz w:val="22"/>
                <w:szCs w:val="22"/>
              </w:rPr>
              <w:t>Job and Vocational Counselling</w:t>
            </w:r>
          </w:p>
        </w:tc>
      </w:tr>
      <w:tr w:rsidR="000B6DDB" w14:paraId="505D9150" w14:textId="77777777">
        <w:trPr>
          <w:trHeight w:val="138"/>
        </w:trPr>
        <w:tc>
          <w:tcPr>
            <w:tcW w:w="2198" w:type="dxa"/>
            <w:shd w:val="clear" w:color="auto" w:fill="D9E2F3"/>
          </w:tcPr>
          <w:p w14:paraId="2800A691" w14:textId="20CD4541" w:rsidR="000B6DDB" w:rsidRDefault="000B6DDB">
            <w:pPr>
              <w:spacing w:before="40" w:after="40" w:line="276" w:lineRule="auto"/>
              <w:jc w:val="both"/>
              <w:rPr>
                <w:sz w:val="22"/>
                <w:szCs w:val="22"/>
              </w:rPr>
            </w:pPr>
            <w:r>
              <w:rPr>
                <w:sz w:val="22"/>
                <w:szCs w:val="22"/>
              </w:rPr>
              <w:t>PwD</w:t>
            </w:r>
            <w:r w:rsidR="00813A9C">
              <w:rPr>
                <w:sz w:val="22"/>
                <w:szCs w:val="22"/>
              </w:rPr>
              <w:t>s</w:t>
            </w:r>
          </w:p>
        </w:tc>
        <w:tc>
          <w:tcPr>
            <w:tcW w:w="6874" w:type="dxa"/>
          </w:tcPr>
          <w:p w14:paraId="3C02BEC6" w14:textId="70406E71" w:rsidR="000B6DDB" w:rsidRDefault="000B6DDB">
            <w:pPr>
              <w:spacing w:before="40" w:after="40" w:line="276" w:lineRule="auto"/>
              <w:jc w:val="both"/>
              <w:rPr>
                <w:sz w:val="22"/>
                <w:szCs w:val="22"/>
              </w:rPr>
            </w:pPr>
            <w:r>
              <w:rPr>
                <w:sz w:val="22"/>
                <w:szCs w:val="22"/>
              </w:rPr>
              <w:t>People with Disabilities</w:t>
            </w:r>
          </w:p>
        </w:tc>
      </w:tr>
      <w:tr w:rsidR="00DA4FA2" w14:paraId="13BD794C" w14:textId="77777777">
        <w:trPr>
          <w:trHeight w:val="138"/>
        </w:trPr>
        <w:tc>
          <w:tcPr>
            <w:tcW w:w="2198" w:type="dxa"/>
            <w:shd w:val="clear" w:color="auto" w:fill="D9E2F3"/>
          </w:tcPr>
          <w:p w14:paraId="022F8458" w14:textId="3B3B940F" w:rsidR="00DA4FA2" w:rsidRDefault="00DA4FA2">
            <w:pPr>
              <w:spacing w:before="40" w:after="40" w:line="276" w:lineRule="auto"/>
              <w:jc w:val="both"/>
              <w:rPr>
                <w:sz w:val="22"/>
                <w:szCs w:val="22"/>
              </w:rPr>
            </w:pPr>
            <w:r>
              <w:rPr>
                <w:sz w:val="22"/>
                <w:szCs w:val="22"/>
              </w:rPr>
              <w:t>TAT</w:t>
            </w:r>
          </w:p>
        </w:tc>
        <w:tc>
          <w:tcPr>
            <w:tcW w:w="6874" w:type="dxa"/>
          </w:tcPr>
          <w:p w14:paraId="73F4DC89" w14:textId="2841FC7D" w:rsidR="00DA4FA2" w:rsidRDefault="00DA4FA2">
            <w:pPr>
              <w:spacing w:before="40" w:after="40" w:line="276" w:lineRule="auto"/>
              <w:jc w:val="both"/>
              <w:rPr>
                <w:sz w:val="22"/>
                <w:szCs w:val="22"/>
              </w:rPr>
            </w:pPr>
            <w:r>
              <w:rPr>
                <w:sz w:val="22"/>
                <w:szCs w:val="22"/>
              </w:rPr>
              <w:t>Technical Assistance Team</w:t>
            </w:r>
          </w:p>
        </w:tc>
      </w:tr>
      <w:tr w:rsidR="00BD0068" w14:paraId="0AECF917" w14:textId="77777777">
        <w:trPr>
          <w:trHeight w:val="138"/>
        </w:trPr>
        <w:tc>
          <w:tcPr>
            <w:tcW w:w="2198" w:type="dxa"/>
            <w:shd w:val="clear" w:color="auto" w:fill="D9E2F3"/>
          </w:tcPr>
          <w:p w14:paraId="41AB470A" w14:textId="36CD9336" w:rsidR="00BD0068" w:rsidRDefault="00BD0068">
            <w:pPr>
              <w:spacing w:before="40" w:after="40" w:line="276" w:lineRule="auto"/>
              <w:jc w:val="both"/>
              <w:rPr>
                <w:sz w:val="22"/>
                <w:szCs w:val="22"/>
              </w:rPr>
            </w:pPr>
            <w:r>
              <w:rPr>
                <w:sz w:val="22"/>
                <w:szCs w:val="22"/>
              </w:rPr>
              <w:t>TIHEK</w:t>
            </w:r>
          </w:p>
        </w:tc>
        <w:tc>
          <w:tcPr>
            <w:tcW w:w="6874" w:type="dxa"/>
          </w:tcPr>
          <w:p w14:paraId="62D11A5B" w14:textId="0030AF27" w:rsidR="00BD0068" w:rsidRDefault="00BD0068">
            <w:pPr>
              <w:spacing w:before="40" w:after="40" w:line="276" w:lineRule="auto"/>
              <w:jc w:val="both"/>
              <w:rPr>
                <w:sz w:val="22"/>
                <w:szCs w:val="22"/>
              </w:rPr>
            </w:pPr>
            <w:r>
              <w:rPr>
                <w:sz w:val="22"/>
                <w:szCs w:val="22"/>
              </w:rPr>
              <w:t>Human Rights and Equality Institution of Türkiye</w:t>
            </w:r>
          </w:p>
        </w:tc>
      </w:tr>
      <w:tr w:rsidR="00DA4FA2" w14:paraId="5F08DA88" w14:textId="77777777">
        <w:trPr>
          <w:trHeight w:val="138"/>
        </w:trPr>
        <w:tc>
          <w:tcPr>
            <w:tcW w:w="2198" w:type="dxa"/>
            <w:shd w:val="clear" w:color="auto" w:fill="D9E2F3"/>
          </w:tcPr>
          <w:p w14:paraId="1497AC30" w14:textId="173B52B9" w:rsidR="00DA4FA2" w:rsidRDefault="00DA4FA2">
            <w:pPr>
              <w:spacing w:before="40" w:after="40" w:line="276" w:lineRule="auto"/>
              <w:jc w:val="both"/>
              <w:rPr>
                <w:sz w:val="22"/>
                <w:szCs w:val="22"/>
              </w:rPr>
            </w:pPr>
            <w:r>
              <w:rPr>
                <w:sz w:val="22"/>
                <w:szCs w:val="22"/>
              </w:rPr>
              <w:t>TP</w:t>
            </w:r>
          </w:p>
        </w:tc>
        <w:tc>
          <w:tcPr>
            <w:tcW w:w="6874" w:type="dxa"/>
          </w:tcPr>
          <w:p w14:paraId="19B565A3" w14:textId="35B7B043" w:rsidR="00DA4FA2" w:rsidRDefault="00DA4FA2">
            <w:pPr>
              <w:spacing w:before="40" w:after="40" w:line="276" w:lineRule="auto"/>
              <w:jc w:val="both"/>
              <w:rPr>
                <w:sz w:val="22"/>
                <w:szCs w:val="22"/>
              </w:rPr>
            </w:pPr>
            <w:r>
              <w:rPr>
                <w:sz w:val="22"/>
                <w:szCs w:val="22"/>
              </w:rPr>
              <w:t>Technical Proposal</w:t>
            </w:r>
          </w:p>
        </w:tc>
      </w:tr>
      <w:tr w:rsidR="0015658F" w14:paraId="2535C81A" w14:textId="77777777">
        <w:trPr>
          <w:trHeight w:val="138"/>
        </w:trPr>
        <w:tc>
          <w:tcPr>
            <w:tcW w:w="2198" w:type="dxa"/>
            <w:shd w:val="clear" w:color="auto" w:fill="D9E2F3"/>
          </w:tcPr>
          <w:p w14:paraId="53F261E2" w14:textId="77777777" w:rsidR="0015658F" w:rsidRDefault="006A3AF5">
            <w:pPr>
              <w:spacing w:before="40" w:after="40" w:line="276" w:lineRule="auto"/>
              <w:jc w:val="both"/>
              <w:rPr>
                <w:sz w:val="22"/>
                <w:szCs w:val="22"/>
              </w:rPr>
            </w:pPr>
            <w:r>
              <w:rPr>
                <w:sz w:val="22"/>
                <w:szCs w:val="22"/>
              </w:rPr>
              <w:t>UEAPME</w:t>
            </w:r>
          </w:p>
        </w:tc>
        <w:tc>
          <w:tcPr>
            <w:tcW w:w="6874" w:type="dxa"/>
          </w:tcPr>
          <w:p w14:paraId="14A1FB63" w14:textId="3948C5FE" w:rsidR="0015658F" w:rsidRDefault="006A3AF5">
            <w:pPr>
              <w:spacing w:before="40" w:after="40" w:line="276" w:lineRule="auto"/>
              <w:jc w:val="both"/>
              <w:rPr>
                <w:sz w:val="22"/>
                <w:szCs w:val="22"/>
              </w:rPr>
            </w:pPr>
            <w:r>
              <w:rPr>
                <w:sz w:val="22"/>
                <w:szCs w:val="22"/>
              </w:rPr>
              <w:t xml:space="preserve">European Association of Craft, Small </w:t>
            </w:r>
            <w:r w:rsidR="008923E4">
              <w:rPr>
                <w:sz w:val="22"/>
                <w:szCs w:val="22"/>
              </w:rPr>
              <w:t>and</w:t>
            </w:r>
            <w:r>
              <w:rPr>
                <w:sz w:val="22"/>
                <w:szCs w:val="22"/>
              </w:rPr>
              <w:t xml:space="preserve"> Medium-sized Enterprises</w:t>
            </w:r>
          </w:p>
        </w:tc>
      </w:tr>
      <w:tr w:rsidR="0015658F" w14:paraId="0AC29830" w14:textId="77777777">
        <w:trPr>
          <w:trHeight w:val="138"/>
        </w:trPr>
        <w:tc>
          <w:tcPr>
            <w:tcW w:w="2198" w:type="dxa"/>
            <w:shd w:val="clear" w:color="auto" w:fill="D9E2F3"/>
          </w:tcPr>
          <w:p w14:paraId="1B4A5DB2" w14:textId="77777777" w:rsidR="0015658F" w:rsidRDefault="006A3AF5">
            <w:pPr>
              <w:spacing w:before="40" w:after="40" w:line="276" w:lineRule="auto"/>
              <w:jc w:val="both"/>
              <w:rPr>
                <w:sz w:val="22"/>
                <w:szCs w:val="22"/>
              </w:rPr>
            </w:pPr>
            <w:r>
              <w:rPr>
                <w:sz w:val="22"/>
                <w:szCs w:val="22"/>
              </w:rPr>
              <w:t>WHO</w:t>
            </w:r>
          </w:p>
        </w:tc>
        <w:tc>
          <w:tcPr>
            <w:tcW w:w="6874" w:type="dxa"/>
          </w:tcPr>
          <w:p w14:paraId="0EF93DC0" w14:textId="77777777" w:rsidR="0015658F" w:rsidRDefault="006A3AF5">
            <w:pPr>
              <w:spacing w:before="40" w:after="40" w:line="276" w:lineRule="auto"/>
              <w:jc w:val="both"/>
              <w:rPr>
                <w:sz w:val="22"/>
                <w:szCs w:val="22"/>
              </w:rPr>
            </w:pPr>
            <w:r>
              <w:rPr>
                <w:sz w:val="22"/>
                <w:szCs w:val="22"/>
              </w:rPr>
              <w:t xml:space="preserve">World Health Organisation </w:t>
            </w:r>
          </w:p>
        </w:tc>
      </w:tr>
      <w:tr w:rsidR="000B6DDB" w14:paraId="38EBA0D9" w14:textId="77777777">
        <w:trPr>
          <w:trHeight w:val="138"/>
        </w:trPr>
        <w:tc>
          <w:tcPr>
            <w:tcW w:w="2198" w:type="dxa"/>
            <w:shd w:val="clear" w:color="auto" w:fill="D9E2F3"/>
          </w:tcPr>
          <w:p w14:paraId="5F7EB603" w14:textId="13A8B242" w:rsidR="000B6DDB" w:rsidRDefault="000B6DDB">
            <w:pPr>
              <w:spacing w:before="40" w:after="40" w:line="276" w:lineRule="auto"/>
              <w:jc w:val="both"/>
              <w:rPr>
                <w:sz w:val="22"/>
                <w:szCs w:val="22"/>
              </w:rPr>
            </w:pPr>
            <w:r>
              <w:rPr>
                <w:sz w:val="22"/>
                <w:szCs w:val="22"/>
              </w:rPr>
              <w:t>WwD</w:t>
            </w:r>
          </w:p>
        </w:tc>
        <w:tc>
          <w:tcPr>
            <w:tcW w:w="6874" w:type="dxa"/>
          </w:tcPr>
          <w:p w14:paraId="1B19695C" w14:textId="4F21BF02" w:rsidR="000B6DDB" w:rsidRDefault="000B6DDB">
            <w:pPr>
              <w:spacing w:before="40" w:after="40" w:line="276" w:lineRule="auto"/>
              <w:jc w:val="both"/>
              <w:rPr>
                <w:sz w:val="22"/>
                <w:szCs w:val="22"/>
              </w:rPr>
            </w:pPr>
            <w:r>
              <w:rPr>
                <w:sz w:val="22"/>
                <w:szCs w:val="22"/>
              </w:rPr>
              <w:t>Women with Disabilities</w:t>
            </w:r>
          </w:p>
        </w:tc>
      </w:tr>
    </w:tbl>
    <w:p w14:paraId="66552E12" w14:textId="77777777" w:rsidR="0015658F" w:rsidRDefault="0015658F">
      <w:pPr>
        <w:rPr>
          <w:sz w:val="22"/>
          <w:szCs w:val="22"/>
        </w:rPr>
      </w:pPr>
    </w:p>
    <w:p w14:paraId="6CD55110" w14:textId="77777777" w:rsidR="0015658F" w:rsidRDefault="006A3AF5">
      <w:pPr>
        <w:rPr>
          <w:sz w:val="22"/>
          <w:szCs w:val="22"/>
        </w:rPr>
      </w:pPr>
      <w:r>
        <w:br w:type="page"/>
      </w:r>
    </w:p>
    <w:p w14:paraId="4E93BB90" w14:textId="7504F045" w:rsidR="0015658F" w:rsidRPr="008654D3" w:rsidRDefault="006A3AF5" w:rsidP="008654D3">
      <w:pPr>
        <w:pStyle w:val="Heading1"/>
      </w:pPr>
      <w:bookmarkStart w:id="3" w:name="_Toc118291561"/>
      <w:r w:rsidRPr="008654D3">
        <w:lastRenderedPageBreak/>
        <w:t>EXECUTIVE SUMMARY</w:t>
      </w:r>
      <w:bookmarkEnd w:id="3"/>
      <w:r w:rsidR="00295606" w:rsidRPr="008654D3">
        <w:t xml:space="preserve"> </w:t>
      </w:r>
    </w:p>
    <w:p w14:paraId="21799EF7" w14:textId="77777777" w:rsidR="0020268B" w:rsidRDefault="0020268B" w:rsidP="0020268B">
      <w:pPr>
        <w:jc w:val="both"/>
        <w:rPr>
          <w:bCs/>
          <w:sz w:val="22"/>
          <w:szCs w:val="22"/>
        </w:rPr>
      </w:pPr>
      <w:r>
        <w:rPr>
          <w:bCs/>
          <w:sz w:val="22"/>
          <w:szCs w:val="22"/>
        </w:rPr>
        <w:t>This Report was commissioned by the</w:t>
      </w:r>
      <w:r w:rsidRPr="007E15AC">
        <w:rPr>
          <w:rFonts w:ascii="Segoe UI" w:hAnsi="Segoe UI" w:cs="Segoe UI"/>
          <w:sz w:val="18"/>
          <w:szCs w:val="18"/>
        </w:rPr>
        <w:t xml:space="preserve"> </w:t>
      </w:r>
      <w:r w:rsidRPr="007E15AC">
        <w:rPr>
          <w:bCs/>
          <w:sz w:val="22"/>
          <w:szCs w:val="22"/>
        </w:rPr>
        <w:t>Department for Employment Policies under Ministry of Labour and Social Security</w:t>
      </w:r>
      <w:r>
        <w:rPr>
          <w:bCs/>
          <w:sz w:val="22"/>
          <w:szCs w:val="22"/>
        </w:rPr>
        <w:t xml:space="preserve">, to examine the effectiveness of current systems in place in </w:t>
      </w:r>
      <w:r w:rsidRPr="00117F01">
        <w:rPr>
          <w:bCs/>
          <w:sz w:val="22"/>
          <w:szCs w:val="22"/>
        </w:rPr>
        <w:t>Türkiye</w:t>
      </w:r>
      <w:r>
        <w:rPr>
          <w:bCs/>
          <w:sz w:val="22"/>
          <w:szCs w:val="22"/>
        </w:rPr>
        <w:t xml:space="preserve"> to protect the working rights of People with Disabilities (PwDs), and to develop recommendations for ways in which these systems could support a better more decent future of work for Turkish PwDs. The Report was produced by the project team working within the EU-funded project ‘Technical Assistance for Promoting Decent Future of Work Approach with a focus on Gender Equality’.  </w:t>
      </w:r>
    </w:p>
    <w:p w14:paraId="51D43BA0" w14:textId="77777777" w:rsidR="0020268B" w:rsidRDefault="0020268B" w:rsidP="0020268B">
      <w:pPr>
        <w:jc w:val="both"/>
        <w:rPr>
          <w:rFonts w:cstheme="minorHAnsi"/>
          <w:sz w:val="22"/>
          <w:szCs w:val="22"/>
        </w:rPr>
      </w:pPr>
    </w:p>
    <w:p w14:paraId="5600576B" w14:textId="3D5981F1" w:rsidR="0020268B" w:rsidRDefault="0020268B" w:rsidP="0020268B">
      <w:pPr>
        <w:jc w:val="both"/>
        <w:rPr>
          <w:rFonts w:cstheme="minorHAnsi"/>
          <w:sz w:val="22"/>
          <w:szCs w:val="22"/>
        </w:rPr>
      </w:pPr>
      <w:r w:rsidRPr="00927587">
        <w:rPr>
          <w:rFonts w:cstheme="minorHAnsi"/>
          <w:sz w:val="22"/>
          <w:szCs w:val="22"/>
        </w:rPr>
        <w:t xml:space="preserve">Globally, there are 1bn </w:t>
      </w:r>
      <w:r>
        <w:rPr>
          <w:rFonts w:cstheme="minorHAnsi"/>
          <w:sz w:val="22"/>
          <w:szCs w:val="22"/>
        </w:rPr>
        <w:t>People with Disabilities (PwDs)</w:t>
      </w:r>
      <w:r>
        <w:rPr>
          <w:rStyle w:val="FootnoteReference"/>
          <w:rFonts w:cstheme="minorHAnsi"/>
          <w:szCs w:val="22"/>
        </w:rPr>
        <w:footnoteReference w:id="1"/>
      </w:r>
      <w:r>
        <w:rPr>
          <w:rFonts w:cstheme="minorHAnsi"/>
          <w:sz w:val="22"/>
          <w:szCs w:val="22"/>
        </w:rPr>
        <w:t>. Most countries categorise theses disabilities with regard to type and severity, but, in reality, every PwDs is an individual, coping with his/her disability in their own way. The challenge for policy-makers is to create policies incorporating sufficient flexibility to take this individualism into account, and to avoid a ‘one-size-fits-all’ approach.</w:t>
      </w:r>
    </w:p>
    <w:p w14:paraId="66268C18" w14:textId="77777777" w:rsidR="0020268B" w:rsidRDefault="0020268B" w:rsidP="0020268B">
      <w:pPr>
        <w:jc w:val="both"/>
        <w:rPr>
          <w:rFonts w:cstheme="minorHAnsi"/>
          <w:sz w:val="22"/>
          <w:szCs w:val="22"/>
        </w:rPr>
      </w:pPr>
    </w:p>
    <w:p w14:paraId="6FD967F5" w14:textId="77777777" w:rsidR="0020268B" w:rsidRDefault="0020268B" w:rsidP="0020268B">
      <w:pPr>
        <w:jc w:val="both"/>
        <w:rPr>
          <w:rFonts w:cstheme="minorHAnsi"/>
          <w:sz w:val="22"/>
          <w:szCs w:val="22"/>
        </w:rPr>
      </w:pPr>
      <w:r>
        <w:rPr>
          <w:rFonts w:cstheme="minorHAnsi"/>
          <w:sz w:val="22"/>
          <w:szCs w:val="22"/>
        </w:rPr>
        <w:t xml:space="preserve">In order to help Turkish policy-makers embrace this challenge, the EU-funded project </w:t>
      </w:r>
      <w:r w:rsidRPr="00431188">
        <w:rPr>
          <w:rFonts w:cstheme="minorHAnsi"/>
          <w:sz w:val="22"/>
          <w:szCs w:val="22"/>
        </w:rPr>
        <w:t>‘Technical Assistance for Promoting Decent Future of Work Approach with a Focus on Gender Equality’ (2021-2023)</w:t>
      </w:r>
      <w:r>
        <w:rPr>
          <w:rFonts w:cstheme="minorHAnsi"/>
          <w:sz w:val="22"/>
          <w:szCs w:val="22"/>
        </w:rPr>
        <w:t xml:space="preserve"> was asked to examine the current state of play in Türkiye and internationally in relation to the legal framework for the treatment of PwDs and to develop policy recommendations which could guide the process of drafting new or adapted policies and laws which could establish a better foundation for a better and more decent future for PwDs with a focus on employment. During the period October 2022 to May 2023, the project team tackled this in 3 ways:</w:t>
      </w:r>
    </w:p>
    <w:p w14:paraId="027609C9" w14:textId="77777777" w:rsidR="0020268B" w:rsidRDefault="0020268B" w:rsidP="0020268B">
      <w:pPr>
        <w:jc w:val="both"/>
        <w:rPr>
          <w:rFonts w:cstheme="minorHAnsi"/>
          <w:sz w:val="22"/>
          <w:szCs w:val="22"/>
        </w:rPr>
      </w:pPr>
    </w:p>
    <w:p w14:paraId="0562072A" w14:textId="77777777" w:rsidR="0020268B" w:rsidRPr="00431188" w:rsidRDefault="0020268B" w:rsidP="00073158">
      <w:pPr>
        <w:pStyle w:val="ListParagraph"/>
        <w:numPr>
          <w:ilvl w:val="0"/>
          <w:numId w:val="4"/>
        </w:numPr>
        <w:jc w:val="both"/>
        <w:rPr>
          <w:rFonts w:cstheme="minorHAnsi"/>
          <w:sz w:val="22"/>
          <w:szCs w:val="22"/>
        </w:rPr>
      </w:pPr>
      <w:r>
        <w:rPr>
          <w:rFonts w:cstheme="minorHAnsi"/>
          <w:sz w:val="22"/>
          <w:szCs w:val="22"/>
        </w:rPr>
        <w:t>By conducting e</w:t>
      </w:r>
      <w:r w:rsidRPr="00431188">
        <w:rPr>
          <w:rFonts w:cstheme="minorHAnsi"/>
          <w:sz w:val="22"/>
          <w:szCs w:val="22"/>
        </w:rPr>
        <w:t>xtensive desk research into international and Turkish approaches</w:t>
      </w:r>
      <w:r>
        <w:rPr>
          <w:rFonts w:cstheme="minorHAnsi"/>
          <w:sz w:val="22"/>
          <w:szCs w:val="22"/>
        </w:rPr>
        <w:t xml:space="preserve"> towards the treatment of PwDs</w:t>
      </w:r>
      <w:r w:rsidRPr="00431188">
        <w:rPr>
          <w:rFonts w:cstheme="minorHAnsi"/>
          <w:sz w:val="22"/>
          <w:szCs w:val="22"/>
        </w:rPr>
        <w:t>;</w:t>
      </w:r>
    </w:p>
    <w:p w14:paraId="1CB99102" w14:textId="77777777" w:rsidR="0020268B" w:rsidRPr="00431188" w:rsidRDefault="0020268B" w:rsidP="00073158">
      <w:pPr>
        <w:pStyle w:val="ListParagraph"/>
        <w:numPr>
          <w:ilvl w:val="0"/>
          <w:numId w:val="4"/>
        </w:numPr>
        <w:jc w:val="both"/>
        <w:rPr>
          <w:rFonts w:cstheme="minorHAnsi"/>
          <w:sz w:val="22"/>
          <w:szCs w:val="22"/>
        </w:rPr>
      </w:pPr>
      <w:r>
        <w:rPr>
          <w:rFonts w:cstheme="minorHAnsi"/>
          <w:sz w:val="22"/>
          <w:szCs w:val="22"/>
        </w:rPr>
        <w:t>By holding a series of s</w:t>
      </w:r>
      <w:r w:rsidRPr="00431188">
        <w:rPr>
          <w:rFonts w:cstheme="minorHAnsi"/>
          <w:sz w:val="22"/>
          <w:szCs w:val="22"/>
        </w:rPr>
        <w:t>tructured meetings with institutions directly involved in PwDS issues</w:t>
      </w:r>
      <w:r>
        <w:rPr>
          <w:rFonts w:cstheme="minorHAnsi"/>
          <w:sz w:val="22"/>
          <w:szCs w:val="22"/>
        </w:rPr>
        <w:t xml:space="preserve"> in Türkiye</w:t>
      </w:r>
      <w:r w:rsidRPr="00431188">
        <w:rPr>
          <w:rFonts w:cstheme="minorHAnsi"/>
          <w:sz w:val="22"/>
          <w:szCs w:val="22"/>
        </w:rPr>
        <w:t>;</w:t>
      </w:r>
    </w:p>
    <w:p w14:paraId="15FCAD6C" w14:textId="77777777" w:rsidR="0020268B" w:rsidRDefault="0020268B" w:rsidP="00073158">
      <w:pPr>
        <w:pStyle w:val="ListParagraph"/>
        <w:numPr>
          <w:ilvl w:val="0"/>
          <w:numId w:val="4"/>
        </w:numPr>
        <w:jc w:val="both"/>
        <w:rPr>
          <w:rFonts w:cstheme="minorHAnsi"/>
          <w:sz w:val="22"/>
          <w:szCs w:val="22"/>
        </w:rPr>
      </w:pPr>
      <w:r>
        <w:rPr>
          <w:rFonts w:cstheme="minorHAnsi"/>
          <w:sz w:val="22"/>
          <w:szCs w:val="22"/>
        </w:rPr>
        <w:t>By delivering a Pre-Study</w:t>
      </w:r>
      <w:r w:rsidRPr="00431188">
        <w:rPr>
          <w:rFonts w:cstheme="minorHAnsi"/>
          <w:sz w:val="22"/>
          <w:szCs w:val="22"/>
        </w:rPr>
        <w:t xml:space="preserve"> Workshop </w:t>
      </w:r>
      <w:r>
        <w:rPr>
          <w:rFonts w:cstheme="minorHAnsi"/>
          <w:sz w:val="22"/>
          <w:szCs w:val="22"/>
        </w:rPr>
        <w:t xml:space="preserve">during which </w:t>
      </w:r>
      <w:r w:rsidRPr="00431188">
        <w:rPr>
          <w:rFonts w:cstheme="minorHAnsi"/>
          <w:sz w:val="22"/>
          <w:szCs w:val="22"/>
        </w:rPr>
        <w:t xml:space="preserve">58 representatives of the public and third sectors </w:t>
      </w:r>
      <w:r>
        <w:rPr>
          <w:rFonts w:cstheme="minorHAnsi"/>
          <w:sz w:val="22"/>
          <w:szCs w:val="22"/>
        </w:rPr>
        <w:t xml:space="preserve">were encouraged to </w:t>
      </w:r>
      <w:r w:rsidRPr="00431188">
        <w:rPr>
          <w:rFonts w:cstheme="minorHAnsi"/>
          <w:sz w:val="22"/>
          <w:szCs w:val="22"/>
        </w:rPr>
        <w:t>formulate their views on how PwDs could be better served</w:t>
      </w:r>
      <w:r>
        <w:rPr>
          <w:rFonts w:cstheme="minorHAnsi"/>
          <w:sz w:val="22"/>
          <w:szCs w:val="22"/>
        </w:rPr>
        <w:t>;</w:t>
      </w:r>
    </w:p>
    <w:p w14:paraId="1995B934" w14:textId="77777777" w:rsidR="0020268B" w:rsidRPr="00AF708B" w:rsidRDefault="0020268B" w:rsidP="00073158">
      <w:pPr>
        <w:pStyle w:val="ListParagraph"/>
        <w:numPr>
          <w:ilvl w:val="0"/>
          <w:numId w:val="4"/>
        </w:numPr>
        <w:jc w:val="both"/>
        <w:rPr>
          <w:rFonts w:cstheme="minorHAnsi"/>
          <w:sz w:val="22"/>
          <w:szCs w:val="22"/>
        </w:rPr>
      </w:pPr>
      <w:r>
        <w:rPr>
          <w:rFonts w:cstheme="minorHAnsi"/>
          <w:sz w:val="22"/>
          <w:szCs w:val="22"/>
        </w:rPr>
        <w:t>By delivering a Post-Study</w:t>
      </w:r>
      <w:r w:rsidRPr="00431188">
        <w:rPr>
          <w:rFonts w:cstheme="minorHAnsi"/>
          <w:sz w:val="22"/>
          <w:szCs w:val="22"/>
        </w:rPr>
        <w:t xml:space="preserve"> Workshop </w:t>
      </w:r>
      <w:r>
        <w:rPr>
          <w:rFonts w:cstheme="minorHAnsi"/>
          <w:sz w:val="22"/>
          <w:szCs w:val="22"/>
        </w:rPr>
        <w:t>during which 93</w:t>
      </w:r>
      <w:r w:rsidRPr="00431188">
        <w:rPr>
          <w:rFonts w:cstheme="minorHAnsi"/>
          <w:sz w:val="22"/>
          <w:szCs w:val="22"/>
        </w:rPr>
        <w:t xml:space="preserve"> representatives of the public and third sectors </w:t>
      </w:r>
      <w:r>
        <w:rPr>
          <w:rFonts w:cstheme="minorHAnsi"/>
          <w:sz w:val="22"/>
          <w:szCs w:val="22"/>
        </w:rPr>
        <w:t>provided feedback to the draft Recommendations.</w:t>
      </w:r>
    </w:p>
    <w:p w14:paraId="1FEEBB20" w14:textId="77777777" w:rsidR="0020268B" w:rsidRDefault="0020268B" w:rsidP="0020268B">
      <w:pPr>
        <w:jc w:val="both"/>
        <w:rPr>
          <w:rFonts w:cstheme="minorHAnsi"/>
          <w:sz w:val="22"/>
          <w:szCs w:val="22"/>
        </w:rPr>
      </w:pPr>
    </w:p>
    <w:p w14:paraId="248D7170" w14:textId="1F400857" w:rsidR="0020268B" w:rsidRDefault="0020268B" w:rsidP="0020268B">
      <w:pPr>
        <w:jc w:val="both"/>
        <w:rPr>
          <w:rFonts w:cstheme="minorHAnsi"/>
          <w:sz w:val="22"/>
          <w:szCs w:val="22"/>
        </w:rPr>
      </w:pPr>
      <w:r>
        <w:rPr>
          <w:rFonts w:cstheme="minorHAnsi"/>
          <w:sz w:val="22"/>
          <w:szCs w:val="22"/>
        </w:rPr>
        <w:t xml:space="preserve">The results of this assignment are summarised in this Report, the main outputs of which are a series of </w:t>
      </w:r>
      <w:r w:rsidR="00BE1B2C">
        <w:rPr>
          <w:rFonts w:cstheme="minorHAnsi"/>
          <w:sz w:val="22"/>
          <w:szCs w:val="22"/>
        </w:rPr>
        <w:t xml:space="preserve">31 </w:t>
      </w:r>
      <w:r>
        <w:rPr>
          <w:rFonts w:cstheme="minorHAnsi"/>
          <w:sz w:val="22"/>
          <w:szCs w:val="22"/>
        </w:rPr>
        <w:t>recommendations for policy reform divided into the following 8 thematic areas, each containing a range of specific policy recommendations:</w:t>
      </w:r>
    </w:p>
    <w:p w14:paraId="6145975C" w14:textId="77777777" w:rsidR="0020268B" w:rsidRDefault="0020268B" w:rsidP="0020268B">
      <w:pPr>
        <w:jc w:val="both"/>
        <w:rPr>
          <w:rFonts w:cstheme="minorHAnsi"/>
          <w:sz w:val="22"/>
          <w:szCs w:val="22"/>
        </w:rPr>
      </w:pPr>
    </w:p>
    <w:p w14:paraId="45CC996C" w14:textId="77777777" w:rsidR="0020268B" w:rsidRPr="00853F28" w:rsidRDefault="0020268B" w:rsidP="00073158">
      <w:pPr>
        <w:numPr>
          <w:ilvl w:val="0"/>
          <w:numId w:val="5"/>
        </w:numPr>
        <w:spacing w:after="160" w:line="259" w:lineRule="auto"/>
        <w:contextualSpacing/>
        <w:rPr>
          <w:sz w:val="22"/>
          <w:szCs w:val="22"/>
        </w:rPr>
      </w:pPr>
      <w:r w:rsidRPr="00853F28">
        <w:rPr>
          <w:sz w:val="22"/>
          <w:szCs w:val="22"/>
        </w:rPr>
        <w:t xml:space="preserve">Employment and Skills Development to give PwDs a Respectable Quality of Life and Independent Living </w:t>
      </w:r>
    </w:p>
    <w:p w14:paraId="5526A318" w14:textId="77777777" w:rsidR="0020268B" w:rsidRPr="00853F28" w:rsidRDefault="0020268B" w:rsidP="00073158">
      <w:pPr>
        <w:numPr>
          <w:ilvl w:val="1"/>
          <w:numId w:val="6"/>
        </w:numPr>
        <w:spacing w:after="160" w:line="259" w:lineRule="auto"/>
        <w:contextualSpacing/>
        <w:rPr>
          <w:sz w:val="22"/>
          <w:szCs w:val="22"/>
        </w:rPr>
      </w:pPr>
      <w:r w:rsidRPr="00853F28">
        <w:rPr>
          <w:sz w:val="22"/>
          <w:szCs w:val="22"/>
        </w:rPr>
        <w:t>Developing Independent Living and Reinforcing Community-Based Services</w:t>
      </w:r>
    </w:p>
    <w:p w14:paraId="464BA7E9" w14:textId="77777777" w:rsidR="0020268B" w:rsidRPr="00853F28" w:rsidRDefault="0020268B" w:rsidP="00073158">
      <w:pPr>
        <w:numPr>
          <w:ilvl w:val="1"/>
          <w:numId w:val="6"/>
        </w:numPr>
        <w:spacing w:after="160" w:line="259" w:lineRule="auto"/>
        <w:contextualSpacing/>
        <w:rPr>
          <w:sz w:val="22"/>
          <w:szCs w:val="22"/>
        </w:rPr>
      </w:pPr>
      <w:r w:rsidRPr="00853F28">
        <w:rPr>
          <w:sz w:val="22"/>
          <w:szCs w:val="22"/>
        </w:rPr>
        <w:t xml:space="preserve">Developing New Skills for New Jobs </w:t>
      </w:r>
    </w:p>
    <w:p w14:paraId="5F756777" w14:textId="77777777" w:rsidR="0020268B" w:rsidRPr="00853F28" w:rsidRDefault="0020268B" w:rsidP="00073158">
      <w:pPr>
        <w:numPr>
          <w:ilvl w:val="1"/>
          <w:numId w:val="6"/>
        </w:numPr>
        <w:spacing w:after="160" w:line="259" w:lineRule="auto"/>
        <w:contextualSpacing/>
        <w:rPr>
          <w:sz w:val="22"/>
          <w:szCs w:val="22"/>
        </w:rPr>
      </w:pPr>
      <w:r w:rsidRPr="00853F28">
        <w:rPr>
          <w:sz w:val="22"/>
          <w:szCs w:val="22"/>
        </w:rPr>
        <w:t xml:space="preserve">Fostering Access to Quality and Sustainable Jobs </w:t>
      </w:r>
    </w:p>
    <w:p w14:paraId="360F278F" w14:textId="77777777" w:rsidR="0020268B" w:rsidRPr="00853F28" w:rsidRDefault="0020268B" w:rsidP="00073158">
      <w:pPr>
        <w:numPr>
          <w:ilvl w:val="1"/>
          <w:numId w:val="6"/>
        </w:numPr>
        <w:spacing w:after="160" w:line="259" w:lineRule="auto"/>
        <w:contextualSpacing/>
        <w:rPr>
          <w:b/>
          <w:bCs/>
          <w:sz w:val="22"/>
          <w:szCs w:val="22"/>
        </w:rPr>
      </w:pPr>
      <w:r w:rsidRPr="00853F28">
        <w:rPr>
          <w:sz w:val="22"/>
          <w:szCs w:val="22"/>
        </w:rPr>
        <w:t xml:space="preserve">Consolidating Social Protection Systems </w:t>
      </w:r>
    </w:p>
    <w:p w14:paraId="7E6D5EEE" w14:textId="77777777" w:rsidR="0020268B" w:rsidRPr="00853F28" w:rsidRDefault="0020268B" w:rsidP="00073158">
      <w:pPr>
        <w:numPr>
          <w:ilvl w:val="1"/>
          <w:numId w:val="6"/>
        </w:numPr>
        <w:spacing w:after="160" w:line="259" w:lineRule="auto"/>
        <w:contextualSpacing/>
        <w:rPr>
          <w:sz w:val="22"/>
          <w:szCs w:val="22"/>
        </w:rPr>
      </w:pPr>
      <w:r w:rsidRPr="00853F28">
        <w:rPr>
          <w:sz w:val="22"/>
          <w:szCs w:val="22"/>
        </w:rPr>
        <w:t>Work for the FoW for PwDs</w:t>
      </w:r>
    </w:p>
    <w:p w14:paraId="44DFC353" w14:textId="77777777" w:rsidR="0020268B" w:rsidRPr="00853F28" w:rsidRDefault="0020268B" w:rsidP="00073158">
      <w:pPr>
        <w:numPr>
          <w:ilvl w:val="0"/>
          <w:numId w:val="5"/>
        </w:numPr>
        <w:spacing w:after="160" w:line="259" w:lineRule="auto"/>
        <w:contextualSpacing/>
        <w:rPr>
          <w:sz w:val="22"/>
          <w:szCs w:val="22"/>
        </w:rPr>
      </w:pPr>
      <w:r w:rsidRPr="00853F28">
        <w:rPr>
          <w:sz w:val="22"/>
          <w:szCs w:val="22"/>
        </w:rPr>
        <w:lastRenderedPageBreak/>
        <w:t>Inclusion of PwDs in the world of work and the society through adequate data and accessibility measures</w:t>
      </w:r>
    </w:p>
    <w:p w14:paraId="57553286" w14:textId="77777777" w:rsidR="0020268B" w:rsidRPr="00853F28" w:rsidRDefault="0020268B" w:rsidP="00073158">
      <w:pPr>
        <w:numPr>
          <w:ilvl w:val="0"/>
          <w:numId w:val="7"/>
        </w:numPr>
        <w:spacing w:after="160" w:line="259" w:lineRule="auto"/>
        <w:contextualSpacing/>
        <w:rPr>
          <w:sz w:val="22"/>
          <w:szCs w:val="22"/>
        </w:rPr>
      </w:pPr>
      <w:r w:rsidRPr="00853F28">
        <w:rPr>
          <w:sz w:val="22"/>
          <w:szCs w:val="22"/>
        </w:rPr>
        <w:t>Consideration of the Diversity of Disability</w:t>
      </w:r>
    </w:p>
    <w:p w14:paraId="7A8023AE" w14:textId="77777777" w:rsidR="0020268B" w:rsidRPr="00853F28" w:rsidRDefault="0020268B" w:rsidP="00073158">
      <w:pPr>
        <w:numPr>
          <w:ilvl w:val="0"/>
          <w:numId w:val="7"/>
        </w:numPr>
        <w:spacing w:after="160" w:line="259" w:lineRule="auto"/>
        <w:contextualSpacing/>
        <w:rPr>
          <w:sz w:val="22"/>
          <w:szCs w:val="22"/>
        </w:rPr>
      </w:pPr>
      <w:r w:rsidRPr="00853F28">
        <w:rPr>
          <w:sz w:val="22"/>
          <w:szCs w:val="22"/>
        </w:rPr>
        <w:t>Definition, Categorisation and Data Collection of PwDs to facilitate analysis and policies to include PwDs</w:t>
      </w:r>
    </w:p>
    <w:p w14:paraId="20E5C4B9" w14:textId="77777777" w:rsidR="0020268B" w:rsidRPr="00853F28" w:rsidRDefault="0020268B" w:rsidP="00073158">
      <w:pPr>
        <w:numPr>
          <w:ilvl w:val="0"/>
          <w:numId w:val="5"/>
        </w:numPr>
        <w:spacing w:after="160" w:line="259" w:lineRule="auto"/>
        <w:contextualSpacing/>
        <w:rPr>
          <w:sz w:val="22"/>
          <w:szCs w:val="22"/>
        </w:rPr>
      </w:pPr>
      <w:r w:rsidRPr="00853F28">
        <w:rPr>
          <w:sz w:val="22"/>
          <w:szCs w:val="22"/>
        </w:rPr>
        <w:t>Universal Design that Facilitates Transport and Accessibility of PwDs in the World of Work and the Society</w:t>
      </w:r>
    </w:p>
    <w:p w14:paraId="29B8A016" w14:textId="77777777" w:rsidR="0020268B" w:rsidRPr="00853F28" w:rsidRDefault="0020268B" w:rsidP="00073158">
      <w:pPr>
        <w:numPr>
          <w:ilvl w:val="0"/>
          <w:numId w:val="5"/>
        </w:numPr>
        <w:spacing w:after="160" w:line="259" w:lineRule="auto"/>
        <w:contextualSpacing/>
        <w:rPr>
          <w:b/>
          <w:bCs/>
          <w:sz w:val="22"/>
          <w:szCs w:val="22"/>
        </w:rPr>
      </w:pPr>
      <w:r w:rsidRPr="00853F28">
        <w:rPr>
          <w:sz w:val="22"/>
          <w:szCs w:val="22"/>
        </w:rPr>
        <w:t>Social Dialogue and Communication between Institutions</w:t>
      </w:r>
      <w:r w:rsidRPr="00853F28">
        <w:rPr>
          <w:b/>
          <w:bCs/>
          <w:sz w:val="22"/>
          <w:szCs w:val="22"/>
        </w:rPr>
        <w:t xml:space="preserve"> </w:t>
      </w:r>
    </w:p>
    <w:p w14:paraId="2AE22C48" w14:textId="77777777" w:rsidR="0020268B" w:rsidRPr="00853F28" w:rsidRDefault="0020268B" w:rsidP="00073158">
      <w:pPr>
        <w:numPr>
          <w:ilvl w:val="0"/>
          <w:numId w:val="5"/>
        </w:numPr>
        <w:spacing w:after="160" w:line="259" w:lineRule="auto"/>
        <w:contextualSpacing/>
        <w:rPr>
          <w:sz w:val="22"/>
          <w:szCs w:val="22"/>
        </w:rPr>
      </w:pPr>
      <w:r w:rsidRPr="00853F28">
        <w:rPr>
          <w:sz w:val="22"/>
          <w:szCs w:val="22"/>
        </w:rPr>
        <w:t>Measures to Facilitate Equal Access and Non-Discrimination for PwDs in the World of Work and Society</w:t>
      </w:r>
    </w:p>
    <w:p w14:paraId="41C99A27" w14:textId="77777777" w:rsidR="0020268B" w:rsidRPr="00853F28" w:rsidRDefault="0020268B" w:rsidP="00073158">
      <w:pPr>
        <w:numPr>
          <w:ilvl w:val="0"/>
          <w:numId w:val="5"/>
        </w:numPr>
        <w:spacing w:after="160" w:line="259" w:lineRule="auto"/>
        <w:contextualSpacing/>
        <w:rPr>
          <w:sz w:val="22"/>
          <w:szCs w:val="22"/>
        </w:rPr>
      </w:pPr>
      <w:r w:rsidRPr="00853F28">
        <w:rPr>
          <w:sz w:val="22"/>
          <w:szCs w:val="22"/>
        </w:rPr>
        <w:t>Women with Disabilities</w:t>
      </w:r>
    </w:p>
    <w:p w14:paraId="6E2B9565" w14:textId="77777777" w:rsidR="0020268B" w:rsidRPr="00853F28" w:rsidRDefault="0020268B" w:rsidP="00073158">
      <w:pPr>
        <w:numPr>
          <w:ilvl w:val="0"/>
          <w:numId w:val="5"/>
        </w:numPr>
        <w:spacing w:after="160" w:line="259" w:lineRule="auto"/>
        <w:contextualSpacing/>
        <w:rPr>
          <w:sz w:val="22"/>
          <w:szCs w:val="22"/>
        </w:rPr>
      </w:pPr>
      <w:r w:rsidRPr="00853F28">
        <w:rPr>
          <w:sz w:val="22"/>
          <w:szCs w:val="22"/>
        </w:rPr>
        <w:t>Other Recommendations</w:t>
      </w:r>
    </w:p>
    <w:p w14:paraId="190F2B9F" w14:textId="77777777" w:rsidR="0020268B" w:rsidRDefault="0020268B" w:rsidP="0020268B">
      <w:pPr>
        <w:jc w:val="both"/>
        <w:rPr>
          <w:rFonts w:cstheme="minorHAnsi"/>
          <w:sz w:val="22"/>
          <w:szCs w:val="22"/>
        </w:rPr>
      </w:pPr>
    </w:p>
    <w:p w14:paraId="760923D6" w14:textId="77777777" w:rsidR="0020268B" w:rsidRDefault="0020268B" w:rsidP="0020268B">
      <w:pPr>
        <w:jc w:val="both"/>
        <w:rPr>
          <w:rFonts w:cstheme="minorHAnsi"/>
          <w:sz w:val="22"/>
          <w:szCs w:val="22"/>
        </w:rPr>
      </w:pPr>
      <w:r>
        <w:rPr>
          <w:rFonts w:cstheme="minorHAnsi"/>
          <w:sz w:val="22"/>
          <w:szCs w:val="22"/>
        </w:rPr>
        <w:t>An issue of particular importance to the project team was that of women with disabilities (WwDs), given that there is a view that such women are doubly-disadvantaged by a) being a woman in a world of work biased towards men, and b) by being disabled. This Report contains a separate section devoted to this subject and recommendations are included which seek to redress the situation.</w:t>
      </w:r>
    </w:p>
    <w:p w14:paraId="57B0C7F8" w14:textId="77777777" w:rsidR="0020268B" w:rsidRDefault="0020268B" w:rsidP="0020268B">
      <w:pPr>
        <w:jc w:val="both"/>
        <w:rPr>
          <w:rFonts w:cstheme="minorHAnsi"/>
          <w:sz w:val="22"/>
          <w:szCs w:val="22"/>
        </w:rPr>
      </w:pPr>
    </w:p>
    <w:p w14:paraId="33F45F6B" w14:textId="77777777" w:rsidR="0020268B" w:rsidRDefault="0020268B" w:rsidP="0020268B">
      <w:pPr>
        <w:jc w:val="both"/>
        <w:rPr>
          <w:rFonts w:cstheme="minorHAnsi"/>
          <w:sz w:val="22"/>
          <w:szCs w:val="22"/>
        </w:rPr>
      </w:pPr>
      <w:r>
        <w:rPr>
          <w:rFonts w:cstheme="minorHAnsi"/>
          <w:sz w:val="22"/>
          <w:szCs w:val="22"/>
        </w:rPr>
        <w:t>Another significant issue which confronted the project team is a certain lack or inconsistency of data regarding PwDs. Türkiye is making significant progress in its treatment of PwDs, but without reliable consistent data, it potentially could run into the problem categorised by the phrase ‘if you can’t measure it, you can’t manage it’. Again, this Report includes recommendations to mitigate this.</w:t>
      </w:r>
    </w:p>
    <w:p w14:paraId="40FD5C0B" w14:textId="77777777" w:rsidR="0020268B" w:rsidRDefault="0020268B" w:rsidP="0020268B">
      <w:pPr>
        <w:jc w:val="both"/>
        <w:rPr>
          <w:rFonts w:cstheme="minorHAnsi"/>
          <w:b/>
          <w:bCs/>
          <w:sz w:val="22"/>
          <w:szCs w:val="22"/>
        </w:rPr>
      </w:pPr>
    </w:p>
    <w:p w14:paraId="52C0F979" w14:textId="77777777" w:rsidR="0020268B" w:rsidRDefault="0020268B" w:rsidP="0020268B">
      <w:pPr>
        <w:jc w:val="both"/>
        <w:rPr>
          <w:rFonts w:cstheme="minorHAnsi"/>
          <w:sz w:val="22"/>
          <w:szCs w:val="22"/>
        </w:rPr>
      </w:pPr>
      <w:r w:rsidRPr="00F93E34">
        <w:rPr>
          <w:rFonts w:cstheme="minorHAnsi"/>
          <w:sz w:val="22"/>
          <w:szCs w:val="22"/>
        </w:rPr>
        <w:t xml:space="preserve">This Report is the result of a collaborative effort </w:t>
      </w:r>
      <w:r>
        <w:rPr>
          <w:rFonts w:cstheme="minorHAnsi"/>
          <w:sz w:val="22"/>
          <w:szCs w:val="22"/>
        </w:rPr>
        <w:t>to</w:t>
      </w:r>
      <w:r w:rsidRPr="00F93E34">
        <w:rPr>
          <w:rFonts w:cstheme="minorHAnsi"/>
          <w:sz w:val="22"/>
          <w:szCs w:val="22"/>
        </w:rPr>
        <w:t xml:space="preserve"> which many stakeholders</w:t>
      </w:r>
      <w:r>
        <w:rPr>
          <w:rFonts w:cstheme="minorHAnsi"/>
          <w:sz w:val="22"/>
          <w:szCs w:val="22"/>
        </w:rPr>
        <w:t xml:space="preserve"> have contributed with their time, ideas and comments. This has been greatly appreciated by the project team, who have been very impressed by the depth of knowledge and commitment they have encountered during the assignment.</w:t>
      </w:r>
    </w:p>
    <w:p w14:paraId="502F6AE0" w14:textId="77777777" w:rsidR="0020268B" w:rsidRDefault="0020268B" w:rsidP="0020268B">
      <w:pPr>
        <w:jc w:val="both"/>
        <w:rPr>
          <w:rFonts w:cstheme="minorHAnsi"/>
          <w:sz w:val="22"/>
          <w:szCs w:val="22"/>
        </w:rPr>
      </w:pPr>
    </w:p>
    <w:p w14:paraId="4623FDFF" w14:textId="77777777" w:rsidR="0020268B" w:rsidRDefault="0020268B" w:rsidP="0020268B">
      <w:pPr>
        <w:jc w:val="both"/>
        <w:rPr>
          <w:rFonts w:cstheme="minorHAnsi"/>
          <w:sz w:val="22"/>
          <w:szCs w:val="22"/>
        </w:rPr>
      </w:pPr>
    </w:p>
    <w:p w14:paraId="6DD40BAE" w14:textId="77777777" w:rsidR="0020268B" w:rsidRPr="00F93E34" w:rsidRDefault="0020268B" w:rsidP="0020268B">
      <w:pPr>
        <w:jc w:val="both"/>
        <w:rPr>
          <w:rFonts w:cstheme="minorHAnsi"/>
          <w:b/>
          <w:bCs/>
          <w:sz w:val="22"/>
          <w:szCs w:val="22"/>
        </w:rPr>
      </w:pPr>
      <w:r w:rsidRPr="00F93E34">
        <w:rPr>
          <w:rFonts w:cstheme="minorHAnsi"/>
          <w:b/>
          <w:bCs/>
          <w:sz w:val="22"/>
          <w:szCs w:val="22"/>
        </w:rPr>
        <w:t>FoW TAT</w:t>
      </w:r>
    </w:p>
    <w:p w14:paraId="7AD10F90" w14:textId="20240D3B" w:rsidR="0020268B" w:rsidRDefault="0020268B" w:rsidP="0020268B">
      <w:pPr>
        <w:jc w:val="both"/>
        <w:rPr>
          <w:rFonts w:cstheme="minorHAnsi"/>
          <w:b/>
          <w:bCs/>
          <w:sz w:val="22"/>
          <w:szCs w:val="22"/>
        </w:rPr>
      </w:pPr>
      <w:r>
        <w:rPr>
          <w:rFonts w:cstheme="minorHAnsi"/>
          <w:b/>
          <w:bCs/>
          <w:sz w:val="22"/>
          <w:szCs w:val="22"/>
        </w:rPr>
        <w:t>October</w:t>
      </w:r>
      <w:r w:rsidRPr="00F93E34">
        <w:rPr>
          <w:rFonts w:cstheme="minorHAnsi"/>
          <w:b/>
          <w:bCs/>
          <w:sz w:val="22"/>
          <w:szCs w:val="22"/>
        </w:rPr>
        <w:t xml:space="preserve"> 2022</w:t>
      </w:r>
    </w:p>
    <w:p w14:paraId="148F5AC2" w14:textId="366AF982" w:rsidR="0015658F" w:rsidRPr="0020268B" w:rsidRDefault="0020268B">
      <w:pPr>
        <w:rPr>
          <w:rFonts w:cstheme="minorHAnsi"/>
          <w:b/>
          <w:bCs/>
          <w:sz w:val="22"/>
          <w:szCs w:val="22"/>
        </w:rPr>
      </w:pPr>
      <w:r>
        <w:rPr>
          <w:rFonts w:cstheme="minorHAnsi"/>
          <w:b/>
          <w:bCs/>
          <w:sz w:val="22"/>
          <w:szCs w:val="22"/>
        </w:rPr>
        <w:br w:type="page"/>
      </w:r>
    </w:p>
    <w:p w14:paraId="4030ABFC" w14:textId="043B28B6" w:rsidR="0015658F" w:rsidRPr="00DD72BE" w:rsidRDefault="008654D3" w:rsidP="00DD72BE">
      <w:pPr>
        <w:pStyle w:val="Heading1"/>
      </w:pPr>
      <w:bookmarkStart w:id="5" w:name="_heading=h.1fob9te" w:colFirst="0" w:colLast="0"/>
      <w:bookmarkStart w:id="6" w:name="_Toc118291562"/>
      <w:bookmarkEnd w:id="5"/>
      <w:r w:rsidRPr="00DD72BE">
        <w:lastRenderedPageBreak/>
        <w:t xml:space="preserve">1. </w:t>
      </w:r>
      <w:r w:rsidR="006A3AF5" w:rsidRPr="00DD72BE">
        <w:t xml:space="preserve">INTRODUCTION </w:t>
      </w:r>
      <w:r w:rsidR="008923E4" w:rsidRPr="00DD72BE">
        <w:t>AND</w:t>
      </w:r>
      <w:r w:rsidR="006A3AF5" w:rsidRPr="00DD72BE">
        <w:t xml:space="preserve"> BACKGROUND OF THE STUDY</w:t>
      </w:r>
      <w:bookmarkEnd w:id="6"/>
    </w:p>
    <w:p w14:paraId="17020CE7" w14:textId="1478A29B" w:rsidR="00C56DBD" w:rsidRPr="00DD72BE" w:rsidRDefault="00C56DBD" w:rsidP="00DD72BE">
      <w:pPr>
        <w:pStyle w:val="Heading2"/>
      </w:pPr>
      <w:bookmarkStart w:id="7" w:name="_Toc118291563"/>
      <w:r w:rsidRPr="00DD72BE">
        <w:t>1.1 Aim</w:t>
      </w:r>
      <w:bookmarkEnd w:id="7"/>
    </w:p>
    <w:p w14:paraId="59512745" w14:textId="6C3D53EE" w:rsidR="009527C3" w:rsidRDefault="009527C3" w:rsidP="009527C3">
      <w:pPr>
        <w:jc w:val="both"/>
        <w:rPr>
          <w:sz w:val="22"/>
          <w:szCs w:val="22"/>
        </w:rPr>
      </w:pPr>
      <w:r>
        <w:rPr>
          <w:sz w:val="22"/>
          <w:szCs w:val="22"/>
        </w:rPr>
        <w:t xml:space="preserve">The primary aim of this </w:t>
      </w:r>
      <w:r w:rsidR="000675DB">
        <w:rPr>
          <w:sz w:val="22"/>
          <w:szCs w:val="22"/>
        </w:rPr>
        <w:t>R</w:t>
      </w:r>
      <w:r>
        <w:rPr>
          <w:sz w:val="22"/>
          <w:szCs w:val="22"/>
        </w:rPr>
        <w:t xml:space="preserve">eport, and the research it summarises was to equip Turkish policy-makers with information and evidence which could support changes to current policies and legislation to </w:t>
      </w:r>
      <w:r w:rsidR="0020268B">
        <w:rPr>
          <w:sz w:val="22"/>
          <w:szCs w:val="22"/>
        </w:rPr>
        <w:t>improve working conditions for people with disabilities (PwDs).</w:t>
      </w:r>
    </w:p>
    <w:p w14:paraId="725263A1" w14:textId="5DC50AF4" w:rsidR="009527C3" w:rsidRDefault="009527C3" w:rsidP="009527C3">
      <w:pPr>
        <w:jc w:val="both"/>
        <w:rPr>
          <w:sz w:val="22"/>
          <w:szCs w:val="22"/>
        </w:rPr>
      </w:pPr>
    </w:p>
    <w:p w14:paraId="48FC1D2D" w14:textId="39C6A36F" w:rsidR="00C56DBD" w:rsidRPr="00DD72BE" w:rsidRDefault="00C56DBD" w:rsidP="00DD72BE">
      <w:pPr>
        <w:pStyle w:val="Heading2"/>
      </w:pPr>
      <w:bookmarkStart w:id="8" w:name="_Toc118291564"/>
      <w:r w:rsidRPr="00DD72BE">
        <w:t>1.2 Scope</w:t>
      </w:r>
      <w:bookmarkEnd w:id="8"/>
    </w:p>
    <w:p w14:paraId="6B420908" w14:textId="26AC4FE8" w:rsidR="009527C3" w:rsidRPr="009527C3" w:rsidRDefault="009527C3" w:rsidP="009527C3">
      <w:pPr>
        <w:jc w:val="both"/>
        <w:rPr>
          <w:sz w:val="22"/>
          <w:szCs w:val="22"/>
        </w:rPr>
      </w:pPr>
      <w:r>
        <w:rPr>
          <w:sz w:val="22"/>
          <w:szCs w:val="22"/>
        </w:rPr>
        <w:t xml:space="preserve">The scope of the research was contained to a range of Turkish institutions, including those currently responsible for information-gathering </w:t>
      </w:r>
      <w:r w:rsidR="0020268B">
        <w:rPr>
          <w:sz w:val="22"/>
          <w:szCs w:val="22"/>
        </w:rPr>
        <w:t xml:space="preserve">and policy-making with regard to PwDs. Desk research was undertaken which included both quantitative methods (examining Turkish and international documents) and qualitative methods (discussions with a number of relevant stakeholder organisations. Additionally, 2 workshops were delivered which brought together many interested stakeholders to gather their views and opinions on what might be done to improve working conditions for PwDs. </w:t>
      </w:r>
    </w:p>
    <w:p w14:paraId="7CFD4731" w14:textId="71F7A85A" w:rsidR="009527C3" w:rsidRDefault="009527C3">
      <w:pPr>
        <w:jc w:val="both"/>
        <w:rPr>
          <w:sz w:val="22"/>
          <w:szCs w:val="22"/>
        </w:rPr>
      </w:pPr>
    </w:p>
    <w:p w14:paraId="16BBD53F" w14:textId="5B03BF16" w:rsidR="00C56DBD" w:rsidRPr="00333642" w:rsidRDefault="00C56DBD" w:rsidP="00333642">
      <w:pPr>
        <w:pStyle w:val="Heading2"/>
      </w:pPr>
      <w:bookmarkStart w:id="9" w:name="_Toc118291565"/>
      <w:r w:rsidRPr="000675DB">
        <w:t>1</w:t>
      </w:r>
      <w:r w:rsidRPr="00DD72BE">
        <w:t>.3 Commissioning the Work</w:t>
      </w:r>
      <w:bookmarkEnd w:id="9"/>
    </w:p>
    <w:p w14:paraId="475854AB" w14:textId="3D3D6E4C" w:rsidR="009527C3" w:rsidRPr="0020268B" w:rsidRDefault="009527C3">
      <w:pPr>
        <w:jc w:val="both"/>
        <w:rPr>
          <w:bCs/>
          <w:sz w:val="22"/>
          <w:szCs w:val="22"/>
        </w:rPr>
      </w:pPr>
      <w:r>
        <w:rPr>
          <w:bCs/>
          <w:sz w:val="22"/>
          <w:szCs w:val="22"/>
        </w:rPr>
        <w:t xml:space="preserve">The Report was commissioned by the Turkish Ministry of Labour and Social Security (MoLSS)’s Department for Employment Policies, to examine the question of </w:t>
      </w:r>
      <w:r w:rsidR="0020268B">
        <w:rPr>
          <w:bCs/>
          <w:sz w:val="22"/>
          <w:szCs w:val="22"/>
        </w:rPr>
        <w:t>PwDs</w:t>
      </w:r>
      <w:r>
        <w:rPr>
          <w:bCs/>
          <w:sz w:val="22"/>
          <w:szCs w:val="22"/>
        </w:rPr>
        <w:t xml:space="preserve"> in a Turkish and an international context, and to develop recommendations to </w:t>
      </w:r>
      <w:r w:rsidR="0020268B">
        <w:rPr>
          <w:bCs/>
          <w:sz w:val="22"/>
          <w:szCs w:val="22"/>
        </w:rPr>
        <w:t>improve working conditions</w:t>
      </w:r>
      <w:r>
        <w:rPr>
          <w:bCs/>
          <w:sz w:val="22"/>
          <w:szCs w:val="22"/>
        </w:rPr>
        <w:t xml:space="preserve"> in the Turkish workplace. The Report was produced by a project team working within the EU-funded project ‘Technical Assistance for Promoting Decent Future of Work Approach with a Focus on Gender Equality’.  </w:t>
      </w:r>
      <w:r>
        <w:rPr>
          <w:sz w:val="22"/>
          <w:szCs w:val="22"/>
        </w:rPr>
        <w:t>The project</w:t>
      </w:r>
      <w:r w:rsidR="00C56DBD">
        <w:rPr>
          <w:sz w:val="22"/>
          <w:szCs w:val="22"/>
        </w:rPr>
        <w:t xml:space="preserve">’s Technical Assistance Team </w:t>
      </w:r>
      <w:r>
        <w:rPr>
          <w:sz w:val="22"/>
          <w:szCs w:val="22"/>
        </w:rPr>
        <w:t>contracted a research expert</w:t>
      </w:r>
      <w:r w:rsidR="00C56DBD">
        <w:rPr>
          <w:sz w:val="22"/>
          <w:szCs w:val="22"/>
        </w:rPr>
        <w:t xml:space="preserve"> </w:t>
      </w:r>
      <w:r>
        <w:rPr>
          <w:sz w:val="22"/>
          <w:szCs w:val="22"/>
        </w:rPr>
        <w:t xml:space="preserve">to </w:t>
      </w:r>
      <w:r w:rsidR="0020268B">
        <w:rPr>
          <w:sz w:val="22"/>
          <w:szCs w:val="22"/>
        </w:rPr>
        <w:t xml:space="preserve">lead the study </w:t>
      </w:r>
      <w:r>
        <w:rPr>
          <w:sz w:val="22"/>
          <w:szCs w:val="22"/>
        </w:rPr>
        <w:t xml:space="preserve">and to contribute to the drafting of the recommendations and this </w:t>
      </w:r>
      <w:r w:rsidR="000675DB">
        <w:rPr>
          <w:sz w:val="22"/>
          <w:szCs w:val="22"/>
        </w:rPr>
        <w:t>R</w:t>
      </w:r>
      <w:r>
        <w:rPr>
          <w:sz w:val="22"/>
          <w:szCs w:val="22"/>
        </w:rPr>
        <w:t xml:space="preserve">eport. In all, </w:t>
      </w:r>
      <w:r w:rsidR="00D40B7C">
        <w:rPr>
          <w:sz w:val="22"/>
          <w:szCs w:val="22"/>
        </w:rPr>
        <w:t>69</w:t>
      </w:r>
      <w:r w:rsidR="0020268B">
        <w:rPr>
          <w:sz w:val="22"/>
          <w:szCs w:val="22"/>
        </w:rPr>
        <w:t xml:space="preserve"> </w:t>
      </w:r>
      <w:r>
        <w:rPr>
          <w:sz w:val="22"/>
          <w:szCs w:val="22"/>
        </w:rPr>
        <w:t>expert days were deployed to this exercise, which began in April 2022 and was concluded in August 2023.</w:t>
      </w:r>
    </w:p>
    <w:p w14:paraId="758EDF74" w14:textId="051F4C2C" w:rsidR="00C56DBD" w:rsidRDefault="00C56DBD">
      <w:pPr>
        <w:jc w:val="both"/>
        <w:rPr>
          <w:sz w:val="22"/>
          <w:szCs w:val="22"/>
        </w:rPr>
      </w:pPr>
    </w:p>
    <w:p w14:paraId="52159670" w14:textId="00947972" w:rsidR="00C56DBD" w:rsidRPr="00DD72BE" w:rsidRDefault="00C56DBD" w:rsidP="00DD72BE">
      <w:pPr>
        <w:pStyle w:val="Heading2"/>
      </w:pPr>
      <w:bookmarkStart w:id="10" w:name="_Toc118291566"/>
      <w:r w:rsidRPr="00DD72BE">
        <w:t>1.4 Context</w:t>
      </w:r>
      <w:r w:rsidR="000675DB" w:rsidRPr="00DD72BE">
        <w:t xml:space="preserve"> and Focus</w:t>
      </w:r>
      <w:bookmarkEnd w:id="10"/>
    </w:p>
    <w:p w14:paraId="16EA8F51" w14:textId="6BBF4ACB" w:rsidR="000675DB" w:rsidRDefault="000675DB" w:rsidP="000675DB">
      <w:pPr>
        <w:jc w:val="both"/>
        <w:rPr>
          <w:sz w:val="22"/>
          <w:szCs w:val="22"/>
        </w:rPr>
      </w:pPr>
      <w:r>
        <w:rPr>
          <w:sz w:val="22"/>
          <w:szCs w:val="22"/>
        </w:rPr>
        <w:t xml:space="preserve">The project, </w:t>
      </w:r>
      <w:r w:rsidR="00B0130C">
        <w:rPr>
          <w:sz w:val="22"/>
          <w:szCs w:val="22"/>
        </w:rPr>
        <w:t>‘</w:t>
      </w:r>
      <w:r>
        <w:rPr>
          <w:bCs/>
          <w:sz w:val="22"/>
          <w:szCs w:val="22"/>
        </w:rPr>
        <w:t>Technical Assistance for Promoting Decent Future of Work Approach with a Focus on Gender Equality</w:t>
      </w:r>
      <w:r w:rsidR="00B0130C">
        <w:rPr>
          <w:bCs/>
          <w:sz w:val="22"/>
          <w:szCs w:val="22"/>
        </w:rPr>
        <w:t>’</w:t>
      </w:r>
      <w:r>
        <w:rPr>
          <w:bCs/>
          <w:sz w:val="22"/>
          <w:szCs w:val="22"/>
        </w:rPr>
        <w:t xml:space="preserve"> was given a </w:t>
      </w:r>
      <w:r>
        <w:rPr>
          <w:sz w:val="22"/>
          <w:szCs w:val="22"/>
        </w:rPr>
        <w:t>Terms of Reference (ToR) which set the following task for the Technical Assistance Team:</w:t>
      </w:r>
    </w:p>
    <w:p w14:paraId="3F88C482" w14:textId="77777777" w:rsidR="000675DB" w:rsidRDefault="000675DB" w:rsidP="000675DB">
      <w:pPr>
        <w:jc w:val="both"/>
        <w:rPr>
          <w:b/>
          <w:sz w:val="22"/>
          <w:szCs w:val="22"/>
        </w:rPr>
      </w:pPr>
      <w:r>
        <w:rPr>
          <w:b/>
          <w:sz w:val="22"/>
          <w:szCs w:val="22"/>
        </w:rPr>
        <w:t xml:space="preserve"> </w:t>
      </w:r>
    </w:p>
    <w:p w14:paraId="6CE0D904" w14:textId="77777777" w:rsidR="00B0130C" w:rsidRPr="00431188" w:rsidRDefault="00B0130C" w:rsidP="00B0130C">
      <w:pPr>
        <w:jc w:val="both"/>
        <w:rPr>
          <w:rFonts w:cstheme="minorHAnsi"/>
          <w:i/>
          <w:iCs/>
          <w:sz w:val="22"/>
          <w:szCs w:val="22"/>
        </w:rPr>
      </w:pPr>
      <w:bookmarkStart w:id="11" w:name="_heading=h.3znysh7" w:colFirst="0" w:colLast="0"/>
      <w:bookmarkEnd w:id="11"/>
      <w:r w:rsidRPr="00431188">
        <w:rPr>
          <w:rFonts w:cstheme="minorHAnsi"/>
          <w:i/>
          <w:iCs/>
          <w:sz w:val="22"/>
          <w:szCs w:val="22"/>
        </w:rPr>
        <w:t xml:space="preserve">“A comprehensive report on Employment of </w:t>
      </w:r>
      <w:r>
        <w:rPr>
          <w:rFonts w:cstheme="minorHAnsi"/>
          <w:i/>
          <w:iCs/>
          <w:sz w:val="22"/>
          <w:szCs w:val="22"/>
        </w:rPr>
        <w:t>PwDs</w:t>
      </w:r>
      <w:r w:rsidRPr="00431188">
        <w:rPr>
          <w:rFonts w:cstheme="minorHAnsi"/>
          <w:i/>
          <w:iCs/>
          <w:sz w:val="22"/>
          <w:szCs w:val="22"/>
        </w:rPr>
        <w:t xml:space="preserve"> with the approach of decent future of work will be prepared. It will be a desk study on disabilities’ state of play in </w:t>
      </w:r>
      <w:r>
        <w:rPr>
          <w:rFonts w:cstheme="minorHAnsi"/>
          <w:i/>
          <w:iCs/>
          <w:sz w:val="22"/>
          <w:szCs w:val="22"/>
        </w:rPr>
        <w:t>Türkiye</w:t>
      </w:r>
      <w:r w:rsidRPr="00431188">
        <w:rPr>
          <w:rFonts w:cstheme="minorHAnsi"/>
          <w:i/>
          <w:iCs/>
          <w:sz w:val="22"/>
          <w:szCs w:val="22"/>
        </w:rPr>
        <w:t xml:space="preserve"> and selected the EU Member States by comparing and interpreting of data and statistics on relevant employment incentives, implemented employment policies, barriers to labour market, etc. taken from relevant institutions. The future of work approach may bring opportunities for </w:t>
      </w:r>
      <w:r>
        <w:rPr>
          <w:rFonts w:cstheme="minorHAnsi"/>
          <w:i/>
          <w:iCs/>
          <w:sz w:val="22"/>
          <w:szCs w:val="22"/>
        </w:rPr>
        <w:t>PwDs</w:t>
      </w:r>
      <w:r w:rsidRPr="00431188">
        <w:rPr>
          <w:rFonts w:cstheme="minorHAnsi"/>
          <w:i/>
          <w:iCs/>
          <w:sz w:val="22"/>
          <w:szCs w:val="22"/>
        </w:rPr>
        <w:t xml:space="preserve"> due to improved IT based jobs. These opportunities and best practices will also be analysed to make recommendations for </w:t>
      </w:r>
      <w:r>
        <w:rPr>
          <w:rFonts w:cstheme="minorHAnsi"/>
          <w:i/>
          <w:iCs/>
          <w:sz w:val="22"/>
          <w:szCs w:val="22"/>
        </w:rPr>
        <w:t>Türkiye</w:t>
      </w:r>
      <w:r w:rsidRPr="00431188">
        <w:rPr>
          <w:rFonts w:cstheme="minorHAnsi"/>
          <w:i/>
          <w:iCs/>
          <w:sz w:val="22"/>
          <w:szCs w:val="22"/>
        </w:rPr>
        <w:t xml:space="preserve">. There will be also a gender-based analysis in the report. The Report will be prepared in cooperation with the relevant institutions, NGOs, professional organisations and social partners. </w:t>
      </w:r>
    </w:p>
    <w:p w14:paraId="3782CFBD" w14:textId="4AE6F553" w:rsidR="00997D3E" w:rsidRPr="00B0130C" w:rsidRDefault="00B0130C">
      <w:pPr>
        <w:jc w:val="both"/>
        <w:rPr>
          <w:rFonts w:cstheme="minorHAnsi"/>
          <w:i/>
          <w:iCs/>
          <w:sz w:val="22"/>
          <w:szCs w:val="22"/>
        </w:rPr>
      </w:pPr>
      <w:r w:rsidRPr="00431188">
        <w:rPr>
          <w:rFonts w:cstheme="minorHAnsi"/>
          <w:i/>
          <w:iCs/>
          <w:sz w:val="22"/>
          <w:szCs w:val="22"/>
        </w:rPr>
        <w:t xml:space="preserve">A recommendation report which will include analysis of finding of the research will be drafted in English with executive Turkish summary and it will be used to update relevant strategy plans and/or policies. It will be published on the official web site of the Operation Beneficiary”. </w:t>
      </w:r>
    </w:p>
    <w:p w14:paraId="205498FE" w14:textId="77777777" w:rsidR="00333642" w:rsidRDefault="00333642">
      <w:pPr>
        <w:jc w:val="both"/>
        <w:rPr>
          <w:sz w:val="22"/>
          <w:szCs w:val="22"/>
        </w:rPr>
      </w:pPr>
    </w:p>
    <w:p w14:paraId="63AA7F7B" w14:textId="687E08DC" w:rsidR="008654D3" w:rsidRPr="00DD72BE" w:rsidRDefault="008654D3" w:rsidP="00DD72BE">
      <w:pPr>
        <w:pStyle w:val="Heading1"/>
      </w:pPr>
      <w:bookmarkStart w:id="12" w:name="_Toc118291567"/>
      <w:r w:rsidRPr="00DD72BE">
        <w:lastRenderedPageBreak/>
        <w:t xml:space="preserve">2. </w:t>
      </w:r>
      <w:r w:rsidR="00CF6DEA" w:rsidRPr="00DD72BE">
        <w:t>RESEARCH METHODOLOGY AND APPROACH</w:t>
      </w:r>
      <w:bookmarkEnd w:id="12"/>
    </w:p>
    <w:p w14:paraId="7C9EB3F7" w14:textId="7C3E6422" w:rsidR="00CF6DEA" w:rsidRPr="00DD72BE" w:rsidRDefault="00CF6DEA" w:rsidP="00DD72BE">
      <w:pPr>
        <w:pStyle w:val="Heading2"/>
      </w:pPr>
      <w:bookmarkStart w:id="13" w:name="_Toc118291568"/>
      <w:r w:rsidRPr="00DD72BE">
        <w:t>2.1 Outline Methodology</w:t>
      </w:r>
      <w:bookmarkEnd w:id="13"/>
      <w:r w:rsidRPr="00DD72BE">
        <w:t xml:space="preserve"> </w:t>
      </w:r>
    </w:p>
    <w:p w14:paraId="6F6B0769" w14:textId="270D7B22" w:rsidR="00CF6DEA" w:rsidRDefault="00CF6DEA" w:rsidP="00CF6DEA">
      <w:pPr>
        <w:jc w:val="both"/>
        <w:rPr>
          <w:sz w:val="22"/>
          <w:szCs w:val="22"/>
        </w:rPr>
      </w:pPr>
      <w:r>
        <w:rPr>
          <w:sz w:val="22"/>
          <w:szCs w:val="22"/>
        </w:rPr>
        <w:t xml:space="preserve">The Project Technical Assistance Team, together with the research expert, carried out </w:t>
      </w:r>
      <w:r w:rsidR="00B0130C">
        <w:rPr>
          <w:sz w:val="22"/>
          <w:szCs w:val="22"/>
        </w:rPr>
        <w:t>3</w:t>
      </w:r>
      <w:r>
        <w:rPr>
          <w:sz w:val="22"/>
          <w:szCs w:val="22"/>
        </w:rPr>
        <w:t xml:space="preserve"> levels of research into the subject of ‘mobbing complaints with a particular focus on gender:</w:t>
      </w:r>
    </w:p>
    <w:p w14:paraId="78082A92" w14:textId="77777777" w:rsidR="00CF6DEA" w:rsidRDefault="00CF6DEA" w:rsidP="00CF6DEA">
      <w:pPr>
        <w:jc w:val="both"/>
        <w:rPr>
          <w:sz w:val="22"/>
          <w:szCs w:val="22"/>
        </w:rPr>
      </w:pPr>
    </w:p>
    <w:p w14:paraId="6C5624BD" w14:textId="206D3A87" w:rsidR="00CF6DEA" w:rsidRDefault="00CF6DEA" w:rsidP="00073158">
      <w:pPr>
        <w:numPr>
          <w:ilvl w:val="0"/>
          <w:numId w:val="1"/>
        </w:numPr>
        <w:pBdr>
          <w:top w:val="nil"/>
          <w:left w:val="nil"/>
          <w:bottom w:val="nil"/>
          <w:right w:val="nil"/>
          <w:between w:val="nil"/>
        </w:pBdr>
        <w:jc w:val="both"/>
        <w:rPr>
          <w:color w:val="000000"/>
          <w:sz w:val="22"/>
          <w:szCs w:val="22"/>
        </w:rPr>
      </w:pPr>
      <w:r>
        <w:rPr>
          <w:color w:val="000000"/>
          <w:sz w:val="22"/>
          <w:szCs w:val="22"/>
        </w:rPr>
        <w:t>Extensive desk research into international and Turkish approaches</w:t>
      </w:r>
      <w:r w:rsidR="00B0130C">
        <w:rPr>
          <w:color w:val="000000"/>
          <w:sz w:val="22"/>
          <w:szCs w:val="22"/>
        </w:rPr>
        <w:t>, which involved quantitative and qualitative methods</w:t>
      </w:r>
      <w:r>
        <w:rPr>
          <w:color w:val="000000"/>
          <w:sz w:val="22"/>
          <w:szCs w:val="22"/>
        </w:rPr>
        <w:t>;</w:t>
      </w:r>
    </w:p>
    <w:p w14:paraId="1C402451" w14:textId="59CB5053" w:rsidR="00CF6DEA" w:rsidRDefault="00CF6DEA" w:rsidP="00073158">
      <w:pPr>
        <w:numPr>
          <w:ilvl w:val="0"/>
          <w:numId w:val="1"/>
        </w:numPr>
        <w:pBdr>
          <w:top w:val="nil"/>
          <w:left w:val="nil"/>
          <w:bottom w:val="nil"/>
          <w:right w:val="nil"/>
          <w:between w:val="nil"/>
        </w:pBdr>
        <w:jc w:val="both"/>
        <w:rPr>
          <w:color w:val="000000"/>
          <w:sz w:val="22"/>
          <w:szCs w:val="22"/>
        </w:rPr>
      </w:pPr>
      <w:r>
        <w:rPr>
          <w:color w:val="000000"/>
          <w:sz w:val="22"/>
          <w:szCs w:val="22"/>
        </w:rPr>
        <w:t>A</w:t>
      </w:r>
      <w:r w:rsidR="004B4ABB">
        <w:rPr>
          <w:color w:val="000000"/>
          <w:sz w:val="22"/>
          <w:szCs w:val="22"/>
        </w:rPr>
        <w:t>n online</w:t>
      </w:r>
      <w:r>
        <w:rPr>
          <w:color w:val="000000"/>
          <w:sz w:val="22"/>
          <w:szCs w:val="22"/>
        </w:rPr>
        <w:t xml:space="preserve"> Pre-Study Stakeholder Workshop at which 5</w:t>
      </w:r>
      <w:r w:rsidR="00CE5CE1">
        <w:rPr>
          <w:color w:val="000000"/>
          <w:sz w:val="22"/>
          <w:szCs w:val="22"/>
        </w:rPr>
        <w:t>8</w:t>
      </w:r>
      <w:r>
        <w:rPr>
          <w:color w:val="000000"/>
          <w:sz w:val="22"/>
          <w:szCs w:val="22"/>
        </w:rPr>
        <w:t xml:space="preserve"> representatives of the public and third sectors formulated their views on how </w:t>
      </w:r>
      <w:r w:rsidR="00B0130C">
        <w:rPr>
          <w:color w:val="000000"/>
          <w:sz w:val="22"/>
          <w:szCs w:val="22"/>
        </w:rPr>
        <w:t>conditions for PwDs be improved;</w:t>
      </w:r>
    </w:p>
    <w:p w14:paraId="07B893CB" w14:textId="11E67814" w:rsidR="00CF6DEA" w:rsidRPr="00A02D07" w:rsidRDefault="00CF6DEA" w:rsidP="00073158">
      <w:pPr>
        <w:numPr>
          <w:ilvl w:val="0"/>
          <w:numId w:val="1"/>
        </w:numPr>
        <w:jc w:val="both"/>
        <w:rPr>
          <w:bCs/>
          <w:sz w:val="22"/>
          <w:szCs w:val="22"/>
        </w:rPr>
      </w:pPr>
      <w:r w:rsidRPr="009649DA">
        <w:rPr>
          <w:sz w:val="22"/>
          <w:szCs w:val="22"/>
        </w:rPr>
        <w:t xml:space="preserve">A </w:t>
      </w:r>
      <w:r w:rsidR="004B4ABB">
        <w:rPr>
          <w:sz w:val="22"/>
          <w:szCs w:val="22"/>
        </w:rPr>
        <w:t xml:space="preserve">hybrid </w:t>
      </w:r>
      <w:r w:rsidRPr="009649DA">
        <w:rPr>
          <w:sz w:val="22"/>
          <w:szCs w:val="22"/>
        </w:rPr>
        <w:t xml:space="preserve">Post-Study Workshop at which </w:t>
      </w:r>
      <w:r w:rsidR="004B4ABB">
        <w:rPr>
          <w:sz w:val="22"/>
          <w:szCs w:val="22"/>
        </w:rPr>
        <w:t>97</w:t>
      </w:r>
      <w:r w:rsidR="00B0130C">
        <w:rPr>
          <w:sz w:val="22"/>
          <w:szCs w:val="22"/>
        </w:rPr>
        <w:t xml:space="preserve"> </w:t>
      </w:r>
      <w:r w:rsidRPr="009649DA">
        <w:rPr>
          <w:sz w:val="22"/>
          <w:szCs w:val="22"/>
        </w:rPr>
        <w:t xml:space="preserve">representatives of the public </w:t>
      </w:r>
      <w:r>
        <w:rPr>
          <w:sz w:val="22"/>
          <w:szCs w:val="22"/>
        </w:rPr>
        <w:t>and</w:t>
      </w:r>
      <w:r w:rsidRPr="009649DA">
        <w:rPr>
          <w:sz w:val="22"/>
          <w:szCs w:val="22"/>
        </w:rPr>
        <w:t xml:space="preserve"> third sectors provided feedback to the draft Recommendations</w:t>
      </w:r>
      <w:r w:rsidR="00B0130C">
        <w:rPr>
          <w:sz w:val="22"/>
          <w:szCs w:val="22"/>
        </w:rPr>
        <w:t>.</w:t>
      </w:r>
    </w:p>
    <w:p w14:paraId="4F0A7F1A" w14:textId="77777777" w:rsidR="00CF6DEA" w:rsidRDefault="00CF6DEA" w:rsidP="00CF6DEA">
      <w:pPr>
        <w:jc w:val="both"/>
        <w:rPr>
          <w:sz w:val="22"/>
          <w:szCs w:val="22"/>
        </w:rPr>
      </w:pPr>
    </w:p>
    <w:p w14:paraId="78DC574A" w14:textId="61A3F610" w:rsidR="00CF6DEA" w:rsidRPr="008654D3" w:rsidRDefault="00CF6DEA" w:rsidP="008654D3">
      <w:pPr>
        <w:jc w:val="both"/>
        <w:rPr>
          <w:sz w:val="22"/>
          <w:szCs w:val="22"/>
        </w:rPr>
      </w:pPr>
      <w:r>
        <w:rPr>
          <w:sz w:val="22"/>
          <w:szCs w:val="22"/>
        </w:rPr>
        <w:t xml:space="preserve">Each element is the summarised within its own sub-Section below, each is supported by an Annex containing a detailed report which provides all necessary information to support the </w:t>
      </w:r>
      <w:r w:rsidR="00D40B7C">
        <w:rPr>
          <w:sz w:val="22"/>
          <w:szCs w:val="22"/>
        </w:rPr>
        <w:t>31</w:t>
      </w:r>
      <w:r>
        <w:rPr>
          <w:sz w:val="22"/>
          <w:szCs w:val="22"/>
        </w:rPr>
        <w:t xml:space="preserve"> evidence-based recommendations which conclude this Report. </w:t>
      </w:r>
    </w:p>
    <w:p w14:paraId="3E66C482" w14:textId="3E1BCE2F" w:rsidR="00CF6DEA" w:rsidRPr="00DD72BE" w:rsidRDefault="00CF6DEA" w:rsidP="00DD72BE">
      <w:pPr>
        <w:pStyle w:val="Heading3"/>
      </w:pPr>
      <w:bookmarkStart w:id="14" w:name="_Toc118291569"/>
      <w:r w:rsidRPr="00DD72BE">
        <w:t>2.</w:t>
      </w:r>
      <w:r w:rsidR="00A02D07" w:rsidRPr="00DD72BE">
        <w:t>1.</w:t>
      </w:r>
      <w:r w:rsidRPr="00DD72BE">
        <w:t>2 Desk Research (see Annex 1)</w:t>
      </w:r>
      <w:bookmarkEnd w:id="14"/>
    </w:p>
    <w:p w14:paraId="7A374272" w14:textId="5F6D65C6" w:rsidR="00CF6DEA" w:rsidRPr="00DD72BE" w:rsidRDefault="00333642" w:rsidP="00DD72BE">
      <w:pPr>
        <w:jc w:val="both"/>
        <w:rPr>
          <w:sz w:val="22"/>
          <w:szCs w:val="22"/>
        </w:rPr>
      </w:pPr>
      <w:r w:rsidRPr="00DD72BE">
        <w:rPr>
          <w:sz w:val="22"/>
          <w:szCs w:val="22"/>
        </w:rPr>
        <w:t>D</w:t>
      </w:r>
      <w:r w:rsidR="00CF6DEA" w:rsidRPr="00DD72BE">
        <w:rPr>
          <w:sz w:val="22"/>
          <w:szCs w:val="22"/>
        </w:rPr>
        <w:t xml:space="preserve">esk research was conducted </w:t>
      </w:r>
      <w:r w:rsidR="00A02D07" w:rsidRPr="00DD72BE">
        <w:rPr>
          <w:sz w:val="22"/>
          <w:szCs w:val="22"/>
        </w:rPr>
        <w:t>as a first step</w:t>
      </w:r>
      <w:r w:rsidR="00CF6DEA" w:rsidRPr="00DD72BE">
        <w:rPr>
          <w:sz w:val="22"/>
          <w:szCs w:val="22"/>
        </w:rPr>
        <w:t>, in April-June 202</w:t>
      </w:r>
      <w:r w:rsidR="006A07B1" w:rsidRPr="00DD72BE">
        <w:rPr>
          <w:sz w:val="22"/>
          <w:szCs w:val="22"/>
        </w:rPr>
        <w:t>1</w:t>
      </w:r>
      <w:r w:rsidR="00CF6DEA" w:rsidRPr="00DD72BE">
        <w:rPr>
          <w:sz w:val="22"/>
          <w:szCs w:val="22"/>
        </w:rPr>
        <w:t xml:space="preserve">. It covered the following areas through a careful examination of official websites and research reports, and also presented a range of case studies from various EU member states to illustrate how different countries were attempting to </w:t>
      </w:r>
      <w:r w:rsidR="00B0130C">
        <w:rPr>
          <w:sz w:val="22"/>
          <w:szCs w:val="22"/>
        </w:rPr>
        <w:t>deal with PwDs</w:t>
      </w:r>
      <w:r w:rsidR="00CF6DEA" w:rsidRPr="00DD72BE">
        <w:rPr>
          <w:sz w:val="22"/>
          <w:szCs w:val="22"/>
        </w:rPr>
        <w:t>.</w:t>
      </w:r>
      <w:r w:rsidRPr="00DD72BE">
        <w:rPr>
          <w:sz w:val="22"/>
          <w:szCs w:val="22"/>
        </w:rPr>
        <w:t xml:space="preserve"> </w:t>
      </w:r>
      <w:r w:rsidR="00B0130C">
        <w:rPr>
          <w:sz w:val="22"/>
          <w:szCs w:val="22"/>
        </w:rPr>
        <w:t xml:space="preserve">In addition to the examination of documents, some qualitative research was undertaken, involving semi-structured interviews with a number of interested stakeholder organisations. </w:t>
      </w:r>
      <w:r w:rsidRPr="00DD72BE">
        <w:rPr>
          <w:sz w:val="22"/>
          <w:szCs w:val="22"/>
        </w:rPr>
        <w:t xml:space="preserve">The full Desk </w:t>
      </w:r>
      <w:r w:rsidR="00B0130C">
        <w:rPr>
          <w:sz w:val="22"/>
          <w:szCs w:val="22"/>
        </w:rPr>
        <w:t>R</w:t>
      </w:r>
      <w:r w:rsidRPr="00DD72BE">
        <w:rPr>
          <w:sz w:val="22"/>
          <w:szCs w:val="22"/>
        </w:rPr>
        <w:t>esearch Report may be seen at Annex 1.</w:t>
      </w:r>
    </w:p>
    <w:p w14:paraId="7D5F4567" w14:textId="6F787C1D" w:rsidR="00A02D07" w:rsidRPr="00DD72BE" w:rsidRDefault="00A02D07" w:rsidP="00DD72BE">
      <w:pPr>
        <w:pStyle w:val="Heading3"/>
      </w:pPr>
      <w:bookmarkStart w:id="15" w:name="_Toc118291570"/>
      <w:r w:rsidRPr="00DD72BE">
        <w:t>2.1.3 Structure of Desk Research Report</w:t>
      </w:r>
      <w:bookmarkEnd w:id="15"/>
    </w:p>
    <w:p w14:paraId="695BA897" w14:textId="75F2C43D" w:rsidR="00CF6DEA" w:rsidRPr="001257B2" w:rsidRDefault="001257B2" w:rsidP="00CF6DEA">
      <w:pPr>
        <w:rPr>
          <w:sz w:val="22"/>
          <w:szCs w:val="22"/>
        </w:rPr>
      </w:pPr>
      <w:r w:rsidRPr="001257B2">
        <w:rPr>
          <w:sz w:val="22"/>
          <w:szCs w:val="22"/>
        </w:rPr>
        <w:t>The desk research report includes the following main section headings:</w:t>
      </w:r>
    </w:p>
    <w:p w14:paraId="08158D7F" w14:textId="3DE1F344" w:rsidR="001257B2" w:rsidRPr="001257B2" w:rsidRDefault="001257B2" w:rsidP="00CF6DEA">
      <w:pPr>
        <w:rPr>
          <w:sz w:val="22"/>
          <w:szCs w:val="22"/>
        </w:rPr>
      </w:pPr>
    </w:p>
    <w:p w14:paraId="3296CD68" w14:textId="345AADEF" w:rsidR="001257B2" w:rsidRPr="00D5023C" w:rsidRDefault="00B0130C" w:rsidP="00073158">
      <w:pPr>
        <w:pStyle w:val="ListParagraph"/>
        <w:numPr>
          <w:ilvl w:val="0"/>
          <w:numId w:val="3"/>
        </w:numPr>
        <w:rPr>
          <w:sz w:val="22"/>
          <w:szCs w:val="22"/>
        </w:rPr>
      </w:pPr>
      <w:r w:rsidRPr="00B0130C">
        <w:rPr>
          <w:sz w:val="22"/>
          <w:szCs w:val="22"/>
        </w:rPr>
        <w:t xml:space="preserve">An Introduction </w:t>
      </w:r>
      <w:r>
        <w:rPr>
          <w:sz w:val="22"/>
          <w:szCs w:val="22"/>
        </w:rPr>
        <w:t>t</w:t>
      </w:r>
      <w:r w:rsidRPr="00B0130C">
        <w:rPr>
          <w:sz w:val="22"/>
          <w:szCs w:val="22"/>
        </w:rPr>
        <w:t xml:space="preserve">o The Employment </w:t>
      </w:r>
      <w:r>
        <w:rPr>
          <w:sz w:val="22"/>
          <w:szCs w:val="22"/>
        </w:rPr>
        <w:t>o</w:t>
      </w:r>
      <w:r w:rsidRPr="00B0130C">
        <w:rPr>
          <w:sz w:val="22"/>
          <w:szCs w:val="22"/>
        </w:rPr>
        <w:t>f Pw</w:t>
      </w:r>
      <w:r>
        <w:rPr>
          <w:sz w:val="22"/>
          <w:szCs w:val="22"/>
        </w:rPr>
        <w:t>D</w:t>
      </w:r>
      <w:r w:rsidRPr="00B0130C">
        <w:rPr>
          <w:sz w:val="22"/>
          <w:szCs w:val="22"/>
        </w:rPr>
        <w:t xml:space="preserve">s </w:t>
      </w:r>
      <w:r>
        <w:rPr>
          <w:sz w:val="22"/>
          <w:szCs w:val="22"/>
        </w:rPr>
        <w:t>f</w:t>
      </w:r>
      <w:r w:rsidRPr="00B0130C">
        <w:rPr>
          <w:sz w:val="22"/>
          <w:szCs w:val="22"/>
        </w:rPr>
        <w:t xml:space="preserve">or Decent Future </w:t>
      </w:r>
      <w:r w:rsidR="003B53D5">
        <w:rPr>
          <w:sz w:val="22"/>
          <w:szCs w:val="22"/>
        </w:rPr>
        <w:t>o</w:t>
      </w:r>
      <w:r w:rsidRPr="00B0130C">
        <w:rPr>
          <w:sz w:val="22"/>
          <w:szCs w:val="22"/>
        </w:rPr>
        <w:t>f Work</w:t>
      </w:r>
      <w:r>
        <w:rPr>
          <w:sz w:val="22"/>
          <w:szCs w:val="22"/>
        </w:rPr>
        <w:t>;</w:t>
      </w:r>
    </w:p>
    <w:p w14:paraId="72373F96" w14:textId="421EE76B" w:rsidR="001257B2" w:rsidRPr="0097329A" w:rsidRDefault="00B0130C" w:rsidP="00073158">
      <w:pPr>
        <w:pStyle w:val="Heading2"/>
        <w:numPr>
          <w:ilvl w:val="0"/>
          <w:numId w:val="3"/>
        </w:numPr>
        <w:spacing w:after="0"/>
        <w:rPr>
          <w:rFonts w:ascii="Calibri" w:eastAsia="Calibri" w:hAnsi="Calibri" w:cs="Calibri"/>
          <w:color w:val="auto"/>
          <w:sz w:val="22"/>
          <w:szCs w:val="22"/>
          <w:lang w:val="fr-FR"/>
        </w:rPr>
      </w:pPr>
      <w:bookmarkStart w:id="16" w:name="_Toc118291571"/>
      <w:r w:rsidRPr="0097329A">
        <w:rPr>
          <w:rFonts w:ascii="Calibri" w:eastAsia="Calibri" w:hAnsi="Calibri" w:cs="Calibri"/>
          <w:color w:val="auto"/>
          <w:sz w:val="22"/>
          <w:szCs w:val="22"/>
          <w:lang w:val="fr-FR"/>
        </w:rPr>
        <w:t>Relevant International Conventions (I</w:t>
      </w:r>
      <w:r w:rsidR="003B53D5" w:rsidRPr="0097329A">
        <w:rPr>
          <w:rFonts w:ascii="Calibri" w:eastAsia="Calibri" w:hAnsi="Calibri" w:cs="Calibri"/>
          <w:color w:val="auto"/>
          <w:sz w:val="22"/>
          <w:szCs w:val="22"/>
          <w:lang w:val="fr-FR"/>
        </w:rPr>
        <w:t>LO</w:t>
      </w:r>
      <w:r w:rsidRPr="0097329A">
        <w:rPr>
          <w:rFonts w:ascii="Calibri" w:eastAsia="Calibri" w:hAnsi="Calibri" w:cs="Calibri"/>
          <w:color w:val="auto"/>
          <w:sz w:val="22"/>
          <w:szCs w:val="22"/>
          <w:lang w:val="fr-FR"/>
        </w:rPr>
        <w:t>, U</w:t>
      </w:r>
      <w:r w:rsidR="003B53D5" w:rsidRPr="0097329A">
        <w:rPr>
          <w:rFonts w:ascii="Calibri" w:eastAsia="Calibri" w:hAnsi="Calibri" w:cs="Calibri"/>
          <w:color w:val="auto"/>
          <w:sz w:val="22"/>
          <w:szCs w:val="22"/>
          <w:lang w:val="fr-FR"/>
        </w:rPr>
        <w:t>N</w:t>
      </w:r>
      <w:r w:rsidRPr="0097329A">
        <w:rPr>
          <w:rFonts w:ascii="Calibri" w:eastAsia="Calibri" w:hAnsi="Calibri" w:cs="Calibri"/>
          <w:color w:val="auto"/>
          <w:sz w:val="22"/>
          <w:szCs w:val="22"/>
          <w:lang w:val="fr-FR"/>
        </w:rPr>
        <w:t>, E</w:t>
      </w:r>
      <w:r w:rsidR="003B53D5" w:rsidRPr="0097329A">
        <w:rPr>
          <w:rFonts w:ascii="Calibri" w:eastAsia="Calibri" w:hAnsi="Calibri" w:cs="Calibri"/>
          <w:color w:val="auto"/>
          <w:sz w:val="22"/>
          <w:szCs w:val="22"/>
          <w:lang w:val="fr-FR"/>
        </w:rPr>
        <w:t>U</w:t>
      </w:r>
      <w:r w:rsidRPr="0097329A">
        <w:rPr>
          <w:rFonts w:ascii="Calibri" w:eastAsia="Calibri" w:hAnsi="Calibri" w:cs="Calibri"/>
          <w:color w:val="auto"/>
          <w:sz w:val="22"/>
          <w:szCs w:val="22"/>
          <w:lang w:val="fr-FR"/>
        </w:rPr>
        <w:t>, O</w:t>
      </w:r>
      <w:r w:rsidR="003B53D5" w:rsidRPr="0097329A">
        <w:rPr>
          <w:rFonts w:ascii="Calibri" w:eastAsia="Calibri" w:hAnsi="Calibri" w:cs="Calibri"/>
          <w:color w:val="auto"/>
          <w:sz w:val="22"/>
          <w:szCs w:val="22"/>
          <w:lang w:val="fr-FR"/>
        </w:rPr>
        <w:t>ECD</w:t>
      </w:r>
      <w:r w:rsidRPr="0097329A">
        <w:rPr>
          <w:rFonts w:ascii="Calibri" w:eastAsia="Calibri" w:hAnsi="Calibri" w:cs="Calibri"/>
          <w:color w:val="auto"/>
          <w:sz w:val="22"/>
          <w:szCs w:val="22"/>
          <w:lang w:val="fr-FR"/>
        </w:rPr>
        <w:t>);</w:t>
      </w:r>
      <w:bookmarkEnd w:id="16"/>
    </w:p>
    <w:p w14:paraId="431562EB" w14:textId="0E1E65F2" w:rsidR="00B0130C" w:rsidRPr="003B53D5" w:rsidRDefault="00B0130C" w:rsidP="00073158">
      <w:pPr>
        <w:pStyle w:val="ListParagraph"/>
        <w:numPr>
          <w:ilvl w:val="0"/>
          <w:numId w:val="3"/>
        </w:numPr>
        <w:rPr>
          <w:sz w:val="22"/>
          <w:szCs w:val="22"/>
        </w:rPr>
      </w:pPr>
      <w:r w:rsidRPr="003B53D5">
        <w:rPr>
          <w:sz w:val="22"/>
          <w:szCs w:val="22"/>
        </w:rPr>
        <w:t xml:space="preserve">Legislation   Comparison </w:t>
      </w:r>
      <w:r w:rsidR="003B53D5" w:rsidRPr="003B53D5">
        <w:rPr>
          <w:sz w:val="22"/>
          <w:szCs w:val="22"/>
        </w:rPr>
        <w:t>wi</w:t>
      </w:r>
      <w:r w:rsidRPr="003B53D5">
        <w:rPr>
          <w:sz w:val="22"/>
          <w:szCs w:val="22"/>
        </w:rPr>
        <w:t>th Selected E</w:t>
      </w:r>
      <w:r w:rsidR="003B53D5" w:rsidRPr="003B53D5">
        <w:rPr>
          <w:sz w:val="22"/>
          <w:szCs w:val="22"/>
        </w:rPr>
        <w:t>U</w:t>
      </w:r>
      <w:r w:rsidRPr="003B53D5">
        <w:rPr>
          <w:sz w:val="22"/>
          <w:szCs w:val="22"/>
        </w:rPr>
        <w:t xml:space="preserve"> Members States (Inclu</w:t>
      </w:r>
      <w:r w:rsidR="003B53D5" w:rsidRPr="003B53D5">
        <w:rPr>
          <w:sz w:val="22"/>
          <w:szCs w:val="22"/>
        </w:rPr>
        <w:t xml:space="preserve">ding </w:t>
      </w:r>
      <w:r w:rsidRPr="003B53D5">
        <w:rPr>
          <w:sz w:val="22"/>
          <w:szCs w:val="22"/>
        </w:rPr>
        <w:t>Two Case Studies</w:t>
      </w:r>
      <w:r w:rsidR="003B53D5" w:rsidRPr="003B53D5">
        <w:rPr>
          <w:sz w:val="22"/>
          <w:szCs w:val="22"/>
        </w:rPr>
        <w:t xml:space="preserve"> -</w:t>
      </w:r>
      <w:r w:rsidRPr="003B53D5">
        <w:rPr>
          <w:sz w:val="22"/>
          <w:szCs w:val="22"/>
        </w:rPr>
        <w:t xml:space="preserve"> Spain </w:t>
      </w:r>
      <w:r w:rsidR="003B53D5" w:rsidRPr="003B53D5">
        <w:rPr>
          <w:sz w:val="22"/>
          <w:szCs w:val="22"/>
        </w:rPr>
        <w:t>a</w:t>
      </w:r>
      <w:r w:rsidRPr="003B53D5">
        <w:rPr>
          <w:sz w:val="22"/>
          <w:szCs w:val="22"/>
        </w:rPr>
        <w:t>nd Germany);</w:t>
      </w:r>
    </w:p>
    <w:p w14:paraId="149E06D2" w14:textId="4A215061" w:rsidR="00B0130C" w:rsidRPr="003B53D5" w:rsidRDefault="00B0130C" w:rsidP="00073158">
      <w:pPr>
        <w:pStyle w:val="ListParagraph"/>
        <w:numPr>
          <w:ilvl w:val="0"/>
          <w:numId w:val="3"/>
        </w:numPr>
        <w:rPr>
          <w:sz w:val="22"/>
          <w:szCs w:val="22"/>
        </w:rPr>
      </w:pPr>
      <w:r w:rsidRPr="003B53D5">
        <w:rPr>
          <w:sz w:val="22"/>
          <w:szCs w:val="22"/>
        </w:rPr>
        <w:t xml:space="preserve">Brief Profile </w:t>
      </w:r>
      <w:r w:rsidR="003B53D5" w:rsidRPr="003B53D5">
        <w:rPr>
          <w:sz w:val="22"/>
          <w:szCs w:val="22"/>
        </w:rPr>
        <w:t>o</w:t>
      </w:r>
      <w:r w:rsidRPr="003B53D5">
        <w:rPr>
          <w:sz w:val="22"/>
          <w:szCs w:val="22"/>
        </w:rPr>
        <w:t>f Pw</w:t>
      </w:r>
      <w:r w:rsidR="003B53D5" w:rsidRPr="003B53D5">
        <w:rPr>
          <w:sz w:val="22"/>
          <w:szCs w:val="22"/>
        </w:rPr>
        <w:t>D</w:t>
      </w:r>
      <w:r w:rsidRPr="003B53D5">
        <w:rPr>
          <w:sz w:val="22"/>
          <w:szCs w:val="22"/>
        </w:rPr>
        <w:t xml:space="preserve">s </w:t>
      </w:r>
      <w:r w:rsidR="003B53D5" w:rsidRPr="003B53D5">
        <w:rPr>
          <w:sz w:val="22"/>
          <w:szCs w:val="22"/>
        </w:rPr>
        <w:t>i</w:t>
      </w:r>
      <w:r w:rsidRPr="003B53D5">
        <w:rPr>
          <w:sz w:val="22"/>
          <w:szCs w:val="22"/>
        </w:rPr>
        <w:t>n Türkiye;</w:t>
      </w:r>
    </w:p>
    <w:p w14:paraId="466901D7" w14:textId="5B0CAF63" w:rsidR="00B0130C" w:rsidRPr="003B53D5" w:rsidRDefault="00B0130C" w:rsidP="00073158">
      <w:pPr>
        <w:pStyle w:val="ListParagraph"/>
        <w:numPr>
          <w:ilvl w:val="0"/>
          <w:numId w:val="3"/>
        </w:numPr>
        <w:rPr>
          <w:sz w:val="22"/>
          <w:szCs w:val="22"/>
        </w:rPr>
      </w:pPr>
      <w:r w:rsidRPr="003B53D5">
        <w:rPr>
          <w:sz w:val="22"/>
          <w:szCs w:val="22"/>
        </w:rPr>
        <w:t xml:space="preserve">Labour Market </w:t>
      </w:r>
      <w:r w:rsidR="003B53D5" w:rsidRPr="003B53D5">
        <w:rPr>
          <w:sz w:val="22"/>
          <w:szCs w:val="22"/>
        </w:rPr>
        <w:t>a</w:t>
      </w:r>
      <w:r w:rsidRPr="003B53D5">
        <w:rPr>
          <w:sz w:val="22"/>
          <w:szCs w:val="22"/>
        </w:rPr>
        <w:t xml:space="preserve">nd Quota System </w:t>
      </w:r>
      <w:r w:rsidR="003B53D5" w:rsidRPr="003B53D5">
        <w:rPr>
          <w:sz w:val="22"/>
          <w:szCs w:val="22"/>
        </w:rPr>
        <w:t>f</w:t>
      </w:r>
      <w:r w:rsidRPr="003B53D5">
        <w:rPr>
          <w:sz w:val="22"/>
          <w:szCs w:val="22"/>
        </w:rPr>
        <w:t>or Pw</w:t>
      </w:r>
      <w:r w:rsidR="003B53D5" w:rsidRPr="003B53D5">
        <w:rPr>
          <w:sz w:val="22"/>
          <w:szCs w:val="22"/>
        </w:rPr>
        <w:t>D</w:t>
      </w:r>
      <w:r w:rsidRPr="003B53D5">
        <w:rPr>
          <w:sz w:val="22"/>
          <w:szCs w:val="22"/>
        </w:rPr>
        <w:t>s;</w:t>
      </w:r>
    </w:p>
    <w:p w14:paraId="0B061C27" w14:textId="73DC9BE8" w:rsidR="00B0130C" w:rsidRPr="00056A3C" w:rsidRDefault="00B0130C" w:rsidP="00073158">
      <w:pPr>
        <w:pStyle w:val="ListParagraph"/>
        <w:numPr>
          <w:ilvl w:val="0"/>
          <w:numId w:val="3"/>
        </w:numPr>
        <w:rPr>
          <w:sz w:val="22"/>
          <w:szCs w:val="22"/>
        </w:rPr>
      </w:pPr>
      <w:r w:rsidRPr="003B53D5">
        <w:rPr>
          <w:sz w:val="22"/>
          <w:szCs w:val="22"/>
        </w:rPr>
        <w:t xml:space="preserve">Challenges </w:t>
      </w:r>
      <w:r w:rsidR="003B53D5" w:rsidRPr="003B53D5">
        <w:rPr>
          <w:sz w:val="22"/>
          <w:szCs w:val="22"/>
        </w:rPr>
        <w:t>a</w:t>
      </w:r>
      <w:r w:rsidRPr="003B53D5">
        <w:rPr>
          <w:sz w:val="22"/>
          <w:szCs w:val="22"/>
        </w:rPr>
        <w:t>nd Po</w:t>
      </w:r>
      <w:r w:rsidR="003B53D5" w:rsidRPr="003B53D5">
        <w:rPr>
          <w:sz w:val="22"/>
          <w:szCs w:val="22"/>
        </w:rPr>
        <w:t>s</w:t>
      </w:r>
      <w:r w:rsidRPr="003B53D5">
        <w:rPr>
          <w:sz w:val="22"/>
          <w:szCs w:val="22"/>
        </w:rPr>
        <w:t xml:space="preserve">sibilities </w:t>
      </w:r>
      <w:r w:rsidR="003B53D5" w:rsidRPr="003B53D5">
        <w:rPr>
          <w:sz w:val="22"/>
          <w:szCs w:val="22"/>
        </w:rPr>
        <w:t>i</w:t>
      </w:r>
      <w:r w:rsidRPr="003B53D5">
        <w:rPr>
          <w:sz w:val="22"/>
          <w:szCs w:val="22"/>
        </w:rPr>
        <w:t xml:space="preserve">n Entering Labour Market </w:t>
      </w:r>
      <w:r w:rsidR="003B53D5" w:rsidRPr="003B53D5">
        <w:rPr>
          <w:sz w:val="22"/>
          <w:szCs w:val="22"/>
        </w:rPr>
        <w:t>f</w:t>
      </w:r>
      <w:r w:rsidRPr="003B53D5">
        <w:rPr>
          <w:sz w:val="22"/>
          <w:szCs w:val="22"/>
        </w:rPr>
        <w:t>or Pw</w:t>
      </w:r>
      <w:r w:rsidR="003B53D5" w:rsidRPr="003B53D5">
        <w:rPr>
          <w:sz w:val="22"/>
          <w:szCs w:val="22"/>
        </w:rPr>
        <w:t>D</w:t>
      </w:r>
      <w:r w:rsidRPr="003B53D5">
        <w:rPr>
          <w:sz w:val="22"/>
          <w:szCs w:val="22"/>
        </w:rPr>
        <w:t xml:space="preserve">s (Digitalisation </w:t>
      </w:r>
      <w:r w:rsidR="00D40B7C">
        <w:rPr>
          <w:sz w:val="22"/>
          <w:szCs w:val="22"/>
        </w:rPr>
        <w:t>a</w:t>
      </w:r>
      <w:r w:rsidRPr="003B53D5">
        <w:rPr>
          <w:sz w:val="22"/>
          <w:szCs w:val="22"/>
        </w:rPr>
        <w:t>nd Green Economies).</w:t>
      </w:r>
    </w:p>
    <w:p w14:paraId="60B9DF40" w14:textId="5B50DB87" w:rsidR="002C7B26" w:rsidRPr="00333642" w:rsidRDefault="00A80B9D" w:rsidP="00333642">
      <w:pPr>
        <w:pStyle w:val="Heading3"/>
      </w:pPr>
      <w:bookmarkStart w:id="17" w:name="_Toc118291572"/>
      <w:r w:rsidRPr="008654D3">
        <w:t>2.</w:t>
      </w:r>
      <w:r w:rsidR="00A02D07" w:rsidRPr="008654D3">
        <w:t>1.</w:t>
      </w:r>
      <w:r w:rsidR="003B53D5">
        <w:t>4</w:t>
      </w:r>
      <w:r w:rsidRPr="008654D3">
        <w:t xml:space="preserve"> References</w:t>
      </w:r>
      <w:r w:rsidR="0052117F" w:rsidRPr="008654D3">
        <w:t xml:space="preserve"> Consulted for Desk Research</w:t>
      </w:r>
      <w:bookmarkEnd w:id="17"/>
    </w:p>
    <w:p w14:paraId="335DC287" w14:textId="238FA4EC" w:rsidR="006A07B1" w:rsidRDefault="00467BF6" w:rsidP="00467BF6">
      <w:pPr>
        <w:rPr>
          <w:sz w:val="22"/>
          <w:szCs w:val="22"/>
        </w:rPr>
      </w:pPr>
      <w:r>
        <w:rPr>
          <w:sz w:val="22"/>
          <w:szCs w:val="22"/>
        </w:rPr>
        <w:t xml:space="preserve">Please see the Bibliography in Section </w:t>
      </w:r>
      <w:r w:rsidR="00CE5CE1">
        <w:rPr>
          <w:sz w:val="22"/>
          <w:szCs w:val="22"/>
        </w:rPr>
        <w:t>5</w:t>
      </w:r>
      <w:r>
        <w:rPr>
          <w:sz w:val="22"/>
          <w:szCs w:val="22"/>
        </w:rPr>
        <w:t xml:space="preserve"> of this Report.</w:t>
      </w:r>
    </w:p>
    <w:p w14:paraId="733CEE4D" w14:textId="77777777" w:rsidR="00467BF6" w:rsidRPr="00467BF6" w:rsidRDefault="00467BF6" w:rsidP="00467BF6">
      <w:pPr>
        <w:rPr>
          <w:sz w:val="22"/>
          <w:szCs w:val="22"/>
        </w:rPr>
      </w:pPr>
    </w:p>
    <w:p w14:paraId="700F45A6" w14:textId="14EFD3EA" w:rsidR="00A03972" w:rsidRDefault="00A03972" w:rsidP="00CF6DEA"/>
    <w:p w14:paraId="41A1C842" w14:textId="3C1353F3" w:rsidR="00A03972" w:rsidRPr="00DD72BE" w:rsidRDefault="00A03972" w:rsidP="00DD72BE">
      <w:pPr>
        <w:pStyle w:val="Heading2"/>
      </w:pPr>
      <w:bookmarkStart w:id="18" w:name="_Toc118291573"/>
      <w:r w:rsidRPr="00DD72BE">
        <w:lastRenderedPageBreak/>
        <w:t xml:space="preserve">2.3 Pre-Study Workshop (see Annex </w:t>
      </w:r>
      <w:r w:rsidR="00056A3C">
        <w:t>2</w:t>
      </w:r>
      <w:r w:rsidRPr="00DD72BE">
        <w:t>)</w:t>
      </w:r>
      <w:bookmarkEnd w:id="18"/>
    </w:p>
    <w:p w14:paraId="1AF618D8" w14:textId="1905708F" w:rsidR="00B35E43" w:rsidRPr="00DD72BE" w:rsidRDefault="00B35E43" w:rsidP="00DD72BE">
      <w:pPr>
        <w:pStyle w:val="Heading3"/>
      </w:pPr>
      <w:bookmarkStart w:id="19" w:name="_Toc118291574"/>
      <w:r w:rsidRPr="00DD72BE">
        <w:t>2.3.1 Workshop Structure</w:t>
      </w:r>
      <w:bookmarkEnd w:id="19"/>
    </w:p>
    <w:p w14:paraId="5EEB5DEC" w14:textId="3FD43427" w:rsidR="00B35E43" w:rsidRDefault="00B35E43" w:rsidP="00B35E43">
      <w:pPr>
        <w:jc w:val="both"/>
        <w:rPr>
          <w:b/>
          <w:sz w:val="22"/>
          <w:szCs w:val="22"/>
        </w:rPr>
      </w:pPr>
      <w:r>
        <w:rPr>
          <w:sz w:val="22"/>
          <w:szCs w:val="22"/>
        </w:rPr>
        <w:t xml:space="preserve">A Pre-Study Workshop on </w:t>
      </w:r>
      <w:r w:rsidR="00056A3C">
        <w:rPr>
          <w:sz w:val="22"/>
          <w:szCs w:val="22"/>
        </w:rPr>
        <w:t>PwDs</w:t>
      </w:r>
      <w:r>
        <w:rPr>
          <w:sz w:val="22"/>
          <w:szCs w:val="22"/>
        </w:rPr>
        <w:t xml:space="preserve"> was held on 1</w:t>
      </w:r>
      <w:r w:rsidR="00056A3C">
        <w:rPr>
          <w:sz w:val="22"/>
          <w:szCs w:val="22"/>
        </w:rPr>
        <w:t>5</w:t>
      </w:r>
      <w:r>
        <w:rPr>
          <w:sz w:val="22"/>
          <w:szCs w:val="22"/>
        </w:rPr>
        <w:t xml:space="preserve"> March 2022 online</w:t>
      </w:r>
      <w:r w:rsidR="006A07B1">
        <w:rPr>
          <w:sz w:val="22"/>
          <w:szCs w:val="22"/>
        </w:rPr>
        <w:t>:</w:t>
      </w:r>
      <w:r>
        <w:rPr>
          <w:sz w:val="22"/>
          <w:szCs w:val="22"/>
        </w:rPr>
        <w:t xml:space="preserve"> 5</w:t>
      </w:r>
      <w:r w:rsidR="00056A3C">
        <w:rPr>
          <w:sz w:val="22"/>
          <w:szCs w:val="22"/>
        </w:rPr>
        <w:t>8</w:t>
      </w:r>
      <w:r>
        <w:rPr>
          <w:sz w:val="22"/>
          <w:szCs w:val="22"/>
        </w:rPr>
        <w:t xml:space="preserve"> stakeholders participated</w:t>
      </w:r>
      <w:r w:rsidR="008262AD">
        <w:rPr>
          <w:sz w:val="22"/>
          <w:szCs w:val="22"/>
        </w:rPr>
        <w:t xml:space="preserve">, </w:t>
      </w:r>
      <w:r>
        <w:rPr>
          <w:sz w:val="22"/>
          <w:szCs w:val="22"/>
        </w:rPr>
        <w:t xml:space="preserve">drawn from the public and third sectors. </w:t>
      </w:r>
      <w:r w:rsidR="00333642">
        <w:rPr>
          <w:sz w:val="22"/>
          <w:szCs w:val="22"/>
        </w:rPr>
        <w:t>An Evaluation Report may be seen at Annex 2.</w:t>
      </w:r>
    </w:p>
    <w:p w14:paraId="067F1DF3" w14:textId="77777777" w:rsidR="00B35E43" w:rsidRDefault="00B35E43" w:rsidP="00B35E43">
      <w:pPr>
        <w:jc w:val="both"/>
        <w:rPr>
          <w:sz w:val="22"/>
          <w:szCs w:val="22"/>
        </w:rPr>
      </w:pPr>
    </w:p>
    <w:p w14:paraId="55ACA661" w14:textId="4962CD19" w:rsidR="00B35E43" w:rsidRDefault="00B35E43" w:rsidP="00B35E43">
      <w:pPr>
        <w:jc w:val="both"/>
        <w:rPr>
          <w:sz w:val="22"/>
          <w:szCs w:val="22"/>
        </w:rPr>
      </w:pPr>
      <w:bookmarkStart w:id="20" w:name="_heading=h.z337ya" w:colFirst="0" w:colLast="0"/>
      <w:bookmarkEnd w:id="20"/>
      <w:r>
        <w:rPr>
          <w:sz w:val="22"/>
          <w:szCs w:val="22"/>
        </w:rPr>
        <w:t xml:space="preserve">The 1-day Workshop was, broadly, divided into 2 halves: the morning session comprised a series </w:t>
      </w:r>
      <w:r w:rsidR="004B4ABB">
        <w:rPr>
          <w:sz w:val="22"/>
          <w:szCs w:val="22"/>
        </w:rPr>
        <w:t xml:space="preserve">of </w:t>
      </w:r>
      <w:r>
        <w:rPr>
          <w:sz w:val="22"/>
          <w:szCs w:val="22"/>
        </w:rPr>
        <w:t>presentations from MoLSS, TAT and TAT’s experts aimed at establishing a Turkish and international context for subsequent stakeholder discussions</w:t>
      </w:r>
      <w:r w:rsidR="00056A3C">
        <w:rPr>
          <w:sz w:val="22"/>
          <w:szCs w:val="22"/>
        </w:rPr>
        <w:t xml:space="preserve">, which took place during the afternoon. </w:t>
      </w:r>
    </w:p>
    <w:p w14:paraId="1B0AD39F" w14:textId="096538A8" w:rsidR="00B35E43" w:rsidRDefault="00B35E43" w:rsidP="00B35E43">
      <w:pPr>
        <w:jc w:val="both"/>
        <w:rPr>
          <w:sz w:val="22"/>
          <w:szCs w:val="22"/>
        </w:rPr>
      </w:pPr>
    </w:p>
    <w:p w14:paraId="4978D95F" w14:textId="48181837" w:rsidR="008262AD" w:rsidRDefault="00B35E43" w:rsidP="00DD72BE">
      <w:pPr>
        <w:pStyle w:val="Heading3"/>
      </w:pPr>
      <w:bookmarkStart w:id="21" w:name="_Toc118291575"/>
      <w:r w:rsidRPr="00DD72BE">
        <w:t>2.3.2 Summary of Main Findings</w:t>
      </w:r>
      <w:bookmarkEnd w:id="21"/>
    </w:p>
    <w:p w14:paraId="5F65E180" w14:textId="6EC39FEA" w:rsidR="00CE5CE1" w:rsidRPr="00CE5CE1" w:rsidRDefault="00CE5CE1" w:rsidP="00CE5CE1">
      <w:pPr>
        <w:rPr>
          <w:rFonts w:asciiTheme="majorHAnsi" w:eastAsiaTheme="majorEastAsia" w:hAnsiTheme="majorHAnsi" w:cstheme="majorBidi"/>
          <w:color w:val="1F3763" w:themeColor="accent1" w:themeShade="7F"/>
        </w:rPr>
      </w:pPr>
      <w:r w:rsidRPr="00CE5CE1">
        <w:rPr>
          <w:rFonts w:asciiTheme="majorHAnsi" w:eastAsiaTheme="majorEastAsia" w:hAnsiTheme="majorHAnsi" w:cstheme="majorBidi"/>
          <w:color w:val="1F3763" w:themeColor="accent1" w:themeShade="7F"/>
        </w:rPr>
        <w:t>2.3.3 Key Issues Raised</w:t>
      </w:r>
    </w:p>
    <w:p w14:paraId="61DACCB7" w14:textId="21EC7A4C" w:rsidR="00CE5CE1" w:rsidRDefault="00CE5CE1" w:rsidP="00CE5CE1"/>
    <w:p w14:paraId="4A36A645" w14:textId="2C891E90" w:rsidR="00CE5CE1" w:rsidRPr="00CE5CE1" w:rsidRDefault="00CE5CE1" w:rsidP="00CE5CE1">
      <w:pPr>
        <w:jc w:val="both"/>
        <w:rPr>
          <w:sz w:val="22"/>
          <w:szCs w:val="22"/>
        </w:rPr>
      </w:pPr>
      <w:r w:rsidRPr="00CE5CE1">
        <w:rPr>
          <w:sz w:val="22"/>
          <w:szCs w:val="22"/>
        </w:rPr>
        <w:t xml:space="preserve">The following themes were discussed: </w:t>
      </w:r>
    </w:p>
    <w:p w14:paraId="2D957817" w14:textId="77777777" w:rsidR="00CE5CE1" w:rsidRPr="00CE5CE1" w:rsidRDefault="00CE5CE1" w:rsidP="00CE5CE1">
      <w:pPr>
        <w:pStyle w:val="ListParagraph"/>
        <w:jc w:val="both"/>
        <w:rPr>
          <w:sz w:val="22"/>
          <w:szCs w:val="22"/>
        </w:rPr>
      </w:pPr>
    </w:p>
    <w:p w14:paraId="5A2CC7B8" w14:textId="77777777" w:rsidR="00CE5CE1" w:rsidRPr="00CE5CE1" w:rsidRDefault="00CE5CE1" w:rsidP="00073158">
      <w:pPr>
        <w:pStyle w:val="ListParagraph"/>
        <w:numPr>
          <w:ilvl w:val="0"/>
          <w:numId w:val="10"/>
        </w:numPr>
        <w:jc w:val="both"/>
        <w:rPr>
          <w:sz w:val="22"/>
          <w:szCs w:val="22"/>
        </w:rPr>
      </w:pPr>
      <w:r w:rsidRPr="00CE5CE1">
        <w:rPr>
          <w:sz w:val="22"/>
          <w:szCs w:val="22"/>
        </w:rPr>
        <w:t>Data Management and Data Collection,</w:t>
      </w:r>
    </w:p>
    <w:p w14:paraId="02F6D4FC" w14:textId="77777777" w:rsidR="00CE5CE1" w:rsidRPr="00CE5CE1" w:rsidRDefault="00CE5CE1" w:rsidP="00073158">
      <w:pPr>
        <w:pStyle w:val="ListParagraph"/>
        <w:numPr>
          <w:ilvl w:val="0"/>
          <w:numId w:val="10"/>
        </w:numPr>
        <w:jc w:val="both"/>
        <w:rPr>
          <w:sz w:val="22"/>
          <w:szCs w:val="22"/>
        </w:rPr>
      </w:pPr>
      <w:r w:rsidRPr="00CE5CE1">
        <w:rPr>
          <w:sz w:val="22"/>
          <w:szCs w:val="22"/>
        </w:rPr>
        <w:t>Discussions on Existing Mechanisms (Including the Quota System and Accessibility) to Support the Employment of Persons with Disabilities and Current Challenges,</w:t>
      </w:r>
    </w:p>
    <w:p w14:paraId="525573AE" w14:textId="77777777" w:rsidR="00CE5CE1" w:rsidRPr="00CE5CE1" w:rsidRDefault="00CE5CE1" w:rsidP="00073158">
      <w:pPr>
        <w:pStyle w:val="ListParagraph"/>
        <w:numPr>
          <w:ilvl w:val="0"/>
          <w:numId w:val="10"/>
        </w:numPr>
        <w:jc w:val="both"/>
        <w:rPr>
          <w:sz w:val="22"/>
          <w:szCs w:val="22"/>
        </w:rPr>
      </w:pPr>
      <w:r w:rsidRPr="00CE5CE1">
        <w:rPr>
          <w:sz w:val="22"/>
          <w:szCs w:val="22"/>
        </w:rPr>
        <w:t>Vocational Education Discussions for Persons with Disabilities</w:t>
      </w:r>
    </w:p>
    <w:p w14:paraId="3343B387" w14:textId="77777777" w:rsidR="00CE5CE1" w:rsidRPr="00CE5CE1" w:rsidRDefault="00CE5CE1" w:rsidP="00CE5CE1">
      <w:pPr>
        <w:jc w:val="both"/>
        <w:rPr>
          <w:sz w:val="22"/>
          <w:szCs w:val="22"/>
        </w:rPr>
      </w:pPr>
    </w:p>
    <w:p w14:paraId="474B204D" w14:textId="35CED5EC" w:rsidR="00CE5CE1" w:rsidRPr="00CE5CE1" w:rsidRDefault="00CE5CE1" w:rsidP="00CE5CE1">
      <w:pPr>
        <w:jc w:val="both"/>
        <w:rPr>
          <w:sz w:val="22"/>
          <w:szCs w:val="22"/>
        </w:rPr>
      </w:pPr>
      <w:r w:rsidRPr="00CE5CE1">
        <w:rPr>
          <w:sz w:val="22"/>
          <w:szCs w:val="22"/>
        </w:rPr>
        <w:t>The key issues which stood out within the framework of these headings are as follows:</w:t>
      </w:r>
    </w:p>
    <w:p w14:paraId="28231725" w14:textId="77777777" w:rsidR="00CE5CE1" w:rsidRPr="00CE5CE1" w:rsidRDefault="00CE5CE1" w:rsidP="00CE5CE1">
      <w:pPr>
        <w:jc w:val="both"/>
        <w:rPr>
          <w:sz w:val="22"/>
          <w:szCs w:val="22"/>
        </w:rPr>
      </w:pPr>
    </w:p>
    <w:p w14:paraId="653BB2DE" w14:textId="77777777" w:rsidR="00CE5CE1" w:rsidRPr="00CE5CE1" w:rsidRDefault="00CE5CE1" w:rsidP="00073158">
      <w:pPr>
        <w:pStyle w:val="ListParagraph"/>
        <w:numPr>
          <w:ilvl w:val="0"/>
          <w:numId w:val="11"/>
        </w:numPr>
        <w:jc w:val="both"/>
        <w:rPr>
          <w:sz w:val="22"/>
          <w:szCs w:val="22"/>
        </w:rPr>
      </w:pPr>
      <w:r w:rsidRPr="00CE5CE1">
        <w:rPr>
          <w:sz w:val="22"/>
          <w:szCs w:val="22"/>
        </w:rPr>
        <w:t>Making standard definitions: Under this heading, standard definitions come to the fore in order to establish a data recording system for individuals with disabilities. The formation of groups according to the types of disabilities and the development of solution proposals in this direction were discussed.</w:t>
      </w:r>
    </w:p>
    <w:p w14:paraId="3E49D2FA" w14:textId="77777777" w:rsidR="00CE5CE1" w:rsidRPr="00CE5CE1" w:rsidRDefault="00CE5CE1" w:rsidP="00073158">
      <w:pPr>
        <w:pStyle w:val="ListParagraph"/>
        <w:numPr>
          <w:ilvl w:val="0"/>
          <w:numId w:val="11"/>
        </w:numPr>
        <w:jc w:val="both"/>
        <w:rPr>
          <w:sz w:val="22"/>
          <w:szCs w:val="22"/>
        </w:rPr>
      </w:pPr>
      <w:r w:rsidRPr="00CE5CE1">
        <w:rPr>
          <w:sz w:val="22"/>
          <w:szCs w:val="22"/>
        </w:rPr>
        <w:t>It has been discussed that the creation of a standard database that can be used jointly by institutions working for disabled individuals will facilitate the solution of many problems.</w:t>
      </w:r>
    </w:p>
    <w:p w14:paraId="312FA2FA" w14:textId="77777777" w:rsidR="00CE5CE1" w:rsidRPr="00CE5CE1" w:rsidRDefault="00CE5CE1" w:rsidP="00073158">
      <w:pPr>
        <w:pStyle w:val="ListParagraph"/>
        <w:numPr>
          <w:ilvl w:val="0"/>
          <w:numId w:val="11"/>
        </w:numPr>
        <w:jc w:val="both"/>
        <w:rPr>
          <w:sz w:val="22"/>
          <w:szCs w:val="22"/>
        </w:rPr>
      </w:pPr>
      <w:r w:rsidRPr="00CE5CE1">
        <w:rPr>
          <w:sz w:val="22"/>
          <w:szCs w:val="22"/>
        </w:rPr>
        <w:t>Carrying out studies for PwDs to identify different scenarios. Within the scope of this project, it was discussed to reach a conclusion in which solution-oriented policy recommendations were made.</w:t>
      </w:r>
    </w:p>
    <w:p w14:paraId="0B8C28B7" w14:textId="77777777" w:rsidR="00CE5CE1" w:rsidRPr="00CE5CE1" w:rsidRDefault="00CE5CE1" w:rsidP="00073158">
      <w:pPr>
        <w:pStyle w:val="ListParagraph"/>
        <w:numPr>
          <w:ilvl w:val="0"/>
          <w:numId w:val="11"/>
        </w:numPr>
        <w:jc w:val="both"/>
        <w:rPr>
          <w:sz w:val="22"/>
          <w:szCs w:val="22"/>
        </w:rPr>
      </w:pPr>
      <w:r w:rsidRPr="00CE5CE1">
        <w:rPr>
          <w:sz w:val="22"/>
          <w:szCs w:val="22"/>
        </w:rPr>
        <w:t>It has become difficult to access data for disabled individuals and to produce services within the framework of these data. The reason for this is the barriers to accessing current disability data in institutions. Personal data protection law (KVKK) has been identified as the most important obstacle.</w:t>
      </w:r>
    </w:p>
    <w:p w14:paraId="1B02AA6E" w14:textId="77777777" w:rsidR="00CE5CE1" w:rsidRPr="00CE5CE1" w:rsidRDefault="00CE5CE1" w:rsidP="00073158">
      <w:pPr>
        <w:pStyle w:val="ListParagraph"/>
        <w:numPr>
          <w:ilvl w:val="0"/>
          <w:numId w:val="11"/>
        </w:numPr>
        <w:jc w:val="both"/>
        <w:rPr>
          <w:sz w:val="22"/>
          <w:szCs w:val="22"/>
        </w:rPr>
      </w:pPr>
      <w:r w:rsidRPr="00CE5CE1">
        <w:rPr>
          <w:sz w:val="22"/>
          <w:szCs w:val="22"/>
        </w:rPr>
        <w:t>It was discussed that social awareness is very important and therefore solution-oriented policies cannot be developed in many issues.</w:t>
      </w:r>
    </w:p>
    <w:p w14:paraId="50510F68" w14:textId="77777777" w:rsidR="00CE5CE1" w:rsidRPr="00CE5CE1" w:rsidRDefault="00CE5CE1" w:rsidP="00073158">
      <w:pPr>
        <w:pStyle w:val="ListParagraph"/>
        <w:numPr>
          <w:ilvl w:val="0"/>
          <w:numId w:val="11"/>
        </w:numPr>
        <w:jc w:val="both"/>
        <w:rPr>
          <w:sz w:val="22"/>
          <w:szCs w:val="22"/>
        </w:rPr>
      </w:pPr>
      <w:r w:rsidRPr="00CE5CE1">
        <w:rPr>
          <w:sz w:val="22"/>
          <w:szCs w:val="22"/>
        </w:rPr>
        <w:t>The inadequacy of employment-oriented trainings for disabled individuals was discussed.</w:t>
      </w:r>
    </w:p>
    <w:p w14:paraId="50C8F3A1" w14:textId="1763A911" w:rsidR="00CE5CE1" w:rsidRPr="00CE5CE1" w:rsidRDefault="00CE5CE1" w:rsidP="00073158">
      <w:pPr>
        <w:pStyle w:val="ListParagraph"/>
        <w:numPr>
          <w:ilvl w:val="0"/>
          <w:numId w:val="11"/>
        </w:numPr>
        <w:jc w:val="both"/>
        <w:rPr>
          <w:sz w:val="22"/>
          <w:szCs w:val="22"/>
        </w:rPr>
      </w:pPr>
      <w:r w:rsidRPr="00CE5CE1">
        <w:rPr>
          <w:sz w:val="22"/>
          <w:szCs w:val="22"/>
        </w:rPr>
        <w:t>Emphasis was placed on the importance of prioriti</w:t>
      </w:r>
      <w:r w:rsidR="00354F34">
        <w:rPr>
          <w:sz w:val="22"/>
          <w:szCs w:val="22"/>
        </w:rPr>
        <w:t>s</w:t>
      </w:r>
      <w:r w:rsidRPr="00CE5CE1">
        <w:rPr>
          <w:sz w:val="22"/>
          <w:szCs w:val="22"/>
        </w:rPr>
        <w:t>ing physical accessibility while taking measures to increase employment.</w:t>
      </w:r>
    </w:p>
    <w:p w14:paraId="48374214" w14:textId="77777777" w:rsidR="00CE5CE1" w:rsidRPr="00CE5CE1" w:rsidRDefault="00CE5CE1" w:rsidP="00073158">
      <w:pPr>
        <w:pStyle w:val="ListParagraph"/>
        <w:numPr>
          <w:ilvl w:val="0"/>
          <w:numId w:val="11"/>
        </w:numPr>
        <w:jc w:val="both"/>
        <w:rPr>
          <w:sz w:val="22"/>
          <w:szCs w:val="22"/>
        </w:rPr>
      </w:pPr>
      <w:r w:rsidRPr="00CE5CE1">
        <w:rPr>
          <w:sz w:val="22"/>
          <w:szCs w:val="22"/>
        </w:rPr>
        <w:t>During the Covid-19 process, the possibilities of remote access instead of physical access were discussed.</w:t>
      </w:r>
    </w:p>
    <w:p w14:paraId="12C4F5D1" w14:textId="0D02D2C0" w:rsidR="00F3678E" w:rsidRPr="00CE5CE1" w:rsidRDefault="00CE5CE1" w:rsidP="00073158">
      <w:pPr>
        <w:pStyle w:val="ListParagraph"/>
        <w:numPr>
          <w:ilvl w:val="0"/>
          <w:numId w:val="11"/>
        </w:numPr>
        <w:jc w:val="both"/>
        <w:rPr>
          <w:sz w:val="22"/>
          <w:szCs w:val="22"/>
        </w:rPr>
      </w:pPr>
      <w:r w:rsidRPr="00CE5CE1">
        <w:rPr>
          <w:sz w:val="22"/>
          <w:szCs w:val="22"/>
        </w:rPr>
        <w:t>There is a refugee reality in Turkey. It has been revealed that the problems of refugee disabled people are felt much more because they are refugees.</w:t>
      </w:r>
    </w:p>
    <w:p w14:paraId="1B8FDA04" w14:textId="78AB9255" w:rsidR="00A03972" w:rsidRDefault="00A03972" w:rsidP="00CF6DEA"/>
    <w:p w14:paraId="7D7E8EEB" w14:textId="3E969C0A" w:rsidR="00A03972" w:rsidRPr="00DD72BE" w:rsidRDefault="00A03972" w:rsidP="00DD72BE">
      <w:pPr>
        <w:pStyle w:val="Heading2"/>
      </w:pPr>
      <w:bookmarkStart w:id="22" w:name="_Toc118291576"/>
      <w:r w:rsidRPr="00DD72BE">
        <w:t>2.</w:t>
      </w:r>
      <w:r w:rsidR="00056A3C">
        <w:t>4</w:t>
      </w:r>
      <w:r w:rsidRPr="00DD72BE">
        <w:t xml:space="preserve"> Post-Study Workshop (see Annex </w:t>
      </w:r>
      <w:r w:rsidR="00056A3C">
        <w:t>3</w:t>
      </w:r>
      <w:r w:rsidRPr="00DD72BE">
        <w:t>)</w:t>
      </w:r>
      <w:bookmarkEnd w:id="22"/>
    </w:p>
    <w:p w14:paraId="706DA4F8" w14:textId="584363E1" w:rsidR="00CA580E" w:rsidRPr="00E46322" w:rsidRDefault="00CA580E" w:rsidP="00262FEB">
      <w:pPr>
        <w:pStyle w:val="Heading3"/>
      </w:pPr>
      <w:bookmarkStart w:id="23" w:name="_Toc118291577"/>
      <w:r w:rsidRPr="00E46322">
        <w:t>2.5.1 Workshop Structure</w:t>
      </w:r>
      <w:bookmarkEnd w:id="23"/>
    </w:p>
    <w:p w14:paraId="5E7C8DFB" w14:textId="2E4DA4A3" w:rsidR="00CA580E" w:rsidRDefault="00CA580E" w:rsidP="00CF6DEA"/>
    <w:p w14:paraId="061CBD11" w14:textId="3FEFE173" w:rsidR="00CA580E" w:rsidRDefault="00CA580E" w:rsidP="00CA580E">
      <w:pPr>
        <w:jc w:val="both"/>
        <w:rPr>
          <w:b/>
          <w:sz w:val="22"/>
          <w:szCs w:val="22"/>
        </w:rPr>
      </w:pPr>
      <w:r>
        <w:rPr>
          <w:sz w:val="22"/>
          <w:szCs w:val="22"/>
        </w:rPr>
        <w:t xml:space="preserve">A Post-Study Workshop on </w:t>
      </w:r>
      <w:r w:rsidR="00056A3C">
        <w:rPr>
          <w:sz w:val="22"/>
          <w:szCs w:val="22"/>
        </w:rPr>
        <w:t xml:space="preserve">PwDs </w:t>
      </w:r>
      <w:r>
        <w:rPr>
          <w:sz w:val="22"/>
          <w:szCs w:val="22"/>
        </w:rPr>
        <w:t xml:space="preserve">was held on </w:t>
      </w:r>
      <w:r w:rsidR="00CE5CE1">
        <w:rPr>
          <w:sz w:val="22"/>
          <w:szCs w:val="22"/>
        </w:rPr>
        <w:t xml:space="preserve">31 May </w:t>
      </w:r>
      <w:r>
        <w:rPr>
          <w:sz w:val="22"/>
          <w:szCs w:val="22"/>
        </w:rPr>
        <w:t>2022 in hybrid format</w:t>
      </w:r>
      <w:r w:rsidR="006A07B1">
        <w:rPr>
          <w:sz w:val="22"/>
          <w:szCs w:val="22"/>
        </w:rPr>
        <w:t xml:space="preserve">: a </w:t>
      </w:r>
      <w:r w:rsidR="00E46322">
        <w:rPr>
          <w:sz w:val="22"/>
          <w:szCs w:val="22"/>
        </w:rPr>
        <w:t xml:space="preserve">total of </w:t>
      </w:r>
      <w:r w:rsidR="00CE5CE1">
        <w:rPr>
          <w:sz w:val="22"/>
          <w:szCs w:val="22"/>
        </w:rPr>
        <w:t>97</w:t>
      </w:r>
      <w:r w:rsidR="00E46322">
        <w:rPr>
          <w:sz w:val="22"/>
          <w:szCs w:val="22"/>
        </w:rPr>
        <w:t xml:space="preserve"> participants were involved (</w:t>
      </w:r>
      <w:r w:rsidR="00CE5CE1">
        <w:rPr>
          <w:sz w:val="22"/>
          <w:szCs w:val="22"/>
        </w:rPr>
        <w:t>75</w:t>
      </w:r>
      <w:r w:rsidR="00E46322">
        <w:rPr>
          <w:sz w:val="22"/>
          <w:szCs w:val="22"/>
        </w:rPr>
        <w:t xml:space="preserve"> online and 2</w:t>
      </w:r>
      <w:r w:rsidR="00CE5CE1">
        <w:rPr>
          <w:sz w:val="22"/>
          <w:szCs w:val="22"/>
        </w:rPr>
        <w:t>2</w:t>
      </w:r>
      <w:r w:rsidR="00E46322">
        <w:rPr>
          <w:sz w:val="22"/>
          <w:szCs w:val="22"/>
        </w:rPr>
        <w:t xml:space="preserve"> in-person) </w:t>
      </w:r>
      <w:r>
        <w:rPr>
          <w:sz w:val="22"/>
          <w:szCs w:val="22"/>
        </w:rPr>
        <w:t xml:space="preserve">drawn from the public and third sectors. </w:t>
      </w:r>
      <w:r w:rsidR="00333642">
        <w:rPr>
          <w:sz w:val="22"/>
          <w:szCs w:val="22"/>
        </w:rPr>
        <w:t xml:space="preserve">An Evaluation Report may be seen at Annex </w:t>
      </w:r>
      <w:r w:rsidR="00CE5CE1">
        <w:rPr>
          <w:sz w:val="22"/>
          <w:szCs w:val="22"/>
        </w:rPr>
        <w:t>3</w:t>
      </w:r>
      <w:r w:rsidR="00333642">
        <w:rPr>
          <w:sz w:val="22"/>
          <w:szCs w:val="22"/>
        </w:rPr>
        <w:t>.</w:t>
      </w:r>
    </w:p>
    <w:p w14:paraId="178DF4CB" w14:textId="77777777" w:rsidR="00CA580E" w:rsidRDefault="00CA580E" w:rsidP="00CA580E">
      <w:pPr>
        <w:jc w:val="both"/>
        <w:rPr>
          <w:sz w:val="22"/>
          <w:szCs w:val="22"/>
        </w:rPr>
      </w:pPr>
    </w:p>
    <w:p w14:paraId="51806162" w14:textId="67841965" w:rsidR="00CA580E" w:rsidRDefault="00CA580E" w:rsidP="00333642">
      <w:pPr>
        <w:jc w:val="both"/>
      </w:pPr>
      <w:r>
        <w:rPr>
          <w:sz w:val="22"/>
          <w:szCs w:val="22"/>
        </w:rPr>
        <w:t xml:space="preserve">The 1-day </w:t>
      </w:r>
      <w:r w:rsidR="00F3678E">
        <w:rPr>
          <w:sz w:val="22"/>
          <w:szCs w:val="22"/>
        </w:rPr>
        <w:t>w</w:t>
      </w:r>
      <w:r>
        <w:rPr>
          <w:sz w:val="22"/>
          <w:szCs w:val="22"/>
        </w:rPr>
        <w:t>orkshop was</w:t>
      </w:r>
      <w:r w:rsidR="00E46322">
        <w:rPr>
          <w:sz w:val="22"/>
          <w:szCs w:val="22"/>
        </w:rPr>
        <w:t xml:space="preserve"> focused on the main (draft) recommendations which the Technical Assistance Team had developed, based on the preceding elements in this Report. Participants were invited to comment, amend, or reject any of the recommendations, and their views would be taken into account before formulating the final recommendations (which may be seen in Section 3 of this Report</w:t>
      </w:r>
    </w:p>
    <w:p w14:paraId="326A05DB" w14:textId="1327AB38" w:rsidR="00CA580E" w:rsidRDefault="00CA580E" w:rsidP="00262FEB">
      <w:pPr>
        <w:pStyle w:val="Heading3"/>
      </w:pPr>
      <w:bookmarkStart w:id="24" w:name="_Toc118291578"/>
      <w:r w:rsidRPr="00E46322">
        <w:t>2.5.2 Summary of Key Findings</w:t>
      </w:r>
      <w:bookmarkEnd w:id="24"/>
    </w:p>
    <w:p w14:paraId="2B6FF1A6" w14:textId="6F3CE855" w:rsidR="00A03972" w:rsidRDefault="00E46322" w:rsidP="00CF6DEA">
      <w:pPr>
        <w:rPr>
          <w:sz w:val="22"/>
          <w:szCs w:val="22"/>
        </w:rPr>
      </w:pPr>
      <w:r w:rsidRPr="00E46322">
        <w:rPr>
          <w:sz w:val="22"/>
          <w:szCs w:val="22"/>
        </w:rPr>
        <w:t>In fact, the recommendations listed in Section 3 have all taken account of the views expressed during the Post-Study Workshop. Suffice to say that, while there were animated di</w:t>
      </w:r>
      <w:r w:rsidR="006B2F74">
        <w:rPr>
          <w:sz w:val="22"/>
          <w:szCs w:val="22"/>
        </w:rPr>
        <w:t>s</w:t>
      </w:r>
      <w:r w:rsidRPr="00E46322">
        <w:rPr>
          <w:sz w:val="22"/>
          <w:szCs w:val="22"/>
        </w:rPr>
        <w:t>cussions during the workshop, very little was suggested which required any major changes to the original draft recommendations.</w:t>
      </w:r>
    </w:p>
    <w:p w14:paraId="20708566" w14:textId="6B83EF59" w:rsidR="00A03972" w:rsidRDefault="00A03972" w:rsidP="00CF6DEA"/>
    <w:p w14:paraId="05A5A470" w14:textId="5E91CD8C" w:rsidR="00D45D49" w:rsidRDefault="00A03972" w:rsidP="00073158">
      <w:pPr>
        <w:pStyle w:val="Heading1"/>
        <w:numPr>
          <w:ilvl w:val="0"/>
          <w:numId w:val="12"/>
        </w:numPr>
        <w:rPr>
          <w:color w:val="1F3864" w:themeColor="accent1" w:themeShade="80"/>
        </w:rPr>
      </w:pPr>
      <w:bookmarkStart w:id="25" w:name="_Toc118291579"/>
      <w:r w:rsidRPr="00DD72BE">
        <w:t>RECOMMENDAT</w:t>
      </w:r>
      <w:r w:rsidRPr="009C54EF">
        <w:rPr>
          <w:color w:val="1F3864" w:themeColor="accent1" w:themeShade="80"/>
        </w:rPr>
        <w:t>IONS</w:t>
      </w:r>
      <w:bookmarkEnd w:id="25"/>
    </w:p>
    <w:p w14:paraId="032C8909" w14:textId="3BA9836E" w:rsidR="006F2D9A" w:rsidRPr="004B4ABB" w:rsidRDefault="004B4ABB" w:rsidP="006F2D9A">
      <w:pPr>
        <w:rPr>
          <w:sz w:val="22"/>
          <w:szCs w:val="22"/>
        </w:rPr>
      </w:pPr>
      <w:r w:rsidRPr="004B4ABB">
        <w:rPr>
          <w:sz w:val="22"/>
          <w:szCs w:val="22"/>
        </w:rPr>
        <w:t>In this Section, all recommendations are listed, with an explanation, in each case, regarding the souce from which the recommendation has been derived (</w:t>
      </w:r>
      <w:r>
        <w:rPr>
          <w:sz w:val="22"/>
          <w:szCs w:val="22"/>
        </w:rPr>
        <w:t xml:space="preserve">i.e. </w:t>
      </w:r>
      <w:r w:rsidRPr="004B4ABB">
        <w:rPr>
          <w:sz w:val="22"/>
          <w:szCs w:val="22"/>
        </w:rPr>
        <w:t>desk research, stakeholder interviews, Pre-/Post-Study Workshops, or a combination of some or all of these</w:t>
      </w:r>
      <w:r>
        <w:rPr>
          <w:sz w:val="22"/>
          <w:szCs w:val="22"/>
        </w:rPr>
        <w:t>)</w:t>
      </w:r>
      <w:r w:rsidRPr="004B4ABB">
        <w:rPr>
          <w:sz w:val="22"/>
          <w:szCs w:val="22"/>
        </w:rPr>
        <w:t>.</w:t>
      </w:r>
    </w:p>
    <w:p w14:paraId="6FA03C3D" w14:textId="77777777" w:rsidR="004B4ABB" w:rsidRDefault="004B4ABB" w:rsidP="006F2D9A"/>
    <w:p w14:paraId="3A000DA6" w14:textId="5199493E" w:rsidR="006F2D9A" w:rsidRPr="00273C67" w:rsidRDefault="006F2D9A" w:rsidP="006F2D9A">
      <w:pPr>
        <w:spacing w:after="160" w:line="259" w:lineRule="auto"/>
        <w:jc w:val="both"/>
        <w:rPr>
          <w:rFonts w:asciiTheme="majorHAnsi" w:eastAsiaTheme="majorEastAsia" w:hAnsiTheme="majorHAnsi" w:cstheme="majorBidi"/>
          <w:color w:val="2F5496" w:themeColor="accent1" w:themeShade="BF"/>
          <w:sz w:val="26"/>
          <w:szCs w:val="26"/>
        </w:rPr>
      </w:pPr>
      <w:bookmarkStart w:id="26" w:name="_Hlk107228607"/>
      <w:r>
        <w:rPr>
          <w:rFonts w:asciiTheme="majorHAnsi" w:eastAsiaTheme="majorEastAsia" w:hAnsiTheme="majorHAnsi" w:cstheme="majorBidi"/>
          <w:color w:val="2F5496" w:themeColor="accent1" w:themeShade="BF"/>
          <w:sz w:val="26"/>
          <w:szCs w:val="26"/>
        </w:rPr>
        <w:t>3</w:t>
      </w:r>
      <w:r w:rsidR="004B4ABB">
        <w:rPr>
          <w:rFonts w:asciiTheme="majorHAnsi" w:eastAsiaTheme="majorEastAsia" w:hAnsiTheme="majorHAnsi" w:cstheme="majorBidi"/>
          <w:color w:val="2F5496" w:themeColor="accent1" w:themeShade="BF"/>
          <w:sz w:val="26"/>
          <w:szCs w:val="26"/>
        </w:rPr>
        <w:t>.</w:t>
      </w:r>
      <w:r w:rsidRPr="00273C67">
        <w:rPr>
          <w:rFonts w:asciiTheme="majorHAnsi" w:eastAsiaTheme="majorEastAsia" w:hAnsiTheme="majorHAnsi" w:cstheme="majorBidi"/>
          <w:color w:val="2F5496" w:themeColor="accent1" w:themeShade="BF"/>
          <w:sz w:val="26"/>
          <w:szCs w:val="26"/>
        </w:rPr>
        <w:t xml:space="preserve">1. Employment and Skills </w:t>
      </w:r>
      <w:r>
        <w:rPr>
          <w:rFonts w:asciiTheme="majorHAnsi" w:eastAsiaTheme="majorEastAsia" w:hAnsiTheme="majorHAnsi" w:cstheme="majorBidi"/>
          <w:color w:val="2F5496" w:themeColor="accent1" w:themeShade="BF"/>
          <w:sz w:val="26"/>
          <w:szCs w:val="26"/>
        </w:rPr>
        <w:t>D</w:t>
      </w:r>
      <w:r w:rsidRPr="00273C67">
        <w:rPr>
          <w:rFonts w:asciiTheme="majorHAnsi" w:eastAsiaTheme="majorEastAsia" w:hAnsiTheme="majorHAnsi" w:cstheme="majorBidi"/>
          <w:color w:val="2F5496" w:themeColor="accent1" w:themeShade="BF"/>
          <w:sz w:val="26"/>
          <w:szCs w:val="26"/>
        </w:rPr>
        <w:t xml:space="preserve">evelopment to give PwDs a </w:t>
      </w:r>
      <w:r>
        <w:rPr>
          <w:rFonts w:asciiTheme="majorHAnsi" w:eastAsiaTheme="majorEastAsia" w:hAnsiTheme="majorHAnsi" w:cstheme="majorBidi"/>
          <w:color w:val="2F5496" w:themeColor="accent1" w:themeShade="BF"/>
          <w:sz w:val="26"/>
          <w:szCs w:val="26"/>
        </w:rPr>
        <w:t>R</w:t>
      </w:r>
      <w:r w:rsidRPr="00273C67">
        <w:rPr>
          <w:rFonts w:asciiTheme="majorHAnsi" w:eastAsiaTheme="majorEastAsia" w:hAnsiTheme="majorHAnsi" w:cstheme="majorBidi"/>
          <w:color w:val="2F5496" w:themeColor="accent1" w:themeShade="BF"/>
          <w:sz w:val="26"/>
          <w:szCs w:val="26"/>
        </w:rPr>
        <w:t xml:space="preserve">espectable Quality of Life and Independent Living </w:t>
      </w:r>
    </w:p>
    <w:p w14:paraId="2F18795D" w14:textId="3005A8E6"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As </w:t>
      </w:r>
      <w:r>
        <w:rPr>
          <w:rFonts w:cstheme="minorHAnsi"/>
          <w:sz w:val="22"/>
          <w:szCs w:val="22"/>
        </w:rPr>
        <w:t xml:space="preserve">seen </w:t>
      </w:r>
      <w:r w:rsidRPr="000A2AB8">
        <w:rPr>
          <w:rFonts w:cstheme="minorHAnsi"/>
          <w:sz w:val="22"/>
          <w:szCs w:val="22"/>
        </w:rPr>
        <w:t xml:space="preserve">in the Desk </w:t>
      </w:r>
      <w:r>
        <w:rPr>
          <w:rFonts w:cstheme="minorHAnsi"/>
          <w:sz w:val="22"/>
          <w:szCs w:val="22"/>
        </w:rPr>
        <w:t xml:space="preserve">Research </w:t>
      </w:r>
      <w:r w:rsidRPr="000A2AB8">
        <w:rPr>
          <w:rFonts w:cstheme="minorHAnsi"/>
          <w:sz w:val="22"/>
          <w:szCs w:val="22"/>
        </w:rPr>
        <w:t xml:space="preserve">Report, the EU Strategy for Rights sets out key initiatives around three main themes that helps to achieve PwDs autonomy: </w:t>
      </w:r>
      <w:r>
        <w:rPr>
          <w:rFonts w:cstheme="minorHAnsi"/>
          <w:b/>
          <w:bCs/>
          <w:sz w:val="22"/>
          <w:szCs w:val="22"/>
        </w:rPr>
        <w:t>r</w:t>
      </w:r>
      <w:r w:rsidRPr="000A2AB8">
        <w:rPr>
          <w:rFonts w:cstheme="minorHAnsi"/>
          <w:b/>
          <w:bCs/>
          <w:sz w:val="22"/>
          <w:szCs w:val="22"/>
        </w:rPr>
        <w:t>ights</w:t>
      </w:r>
      <w:r w:rsidRPr="000A2AB8">
        <w:rPr>
          <w:rFonts w:cstheme="minorHAnsi"/>
          <w:sz w:val="22"/>
          <w:szCs w:val="22"/>
        </w:rPr>
        <w:t xml:space="preserve">: PwDs have the same right as other (EU) citizens to move to another country or to participate in political life; </w:t>
      </w:r>
      <w:r w:rsidRPr="000A2AB8">
        <w:rPr>
          <w:rFonts w:cstheme="minorHAnsi"/>
          <w:b/>
          <w:bCs/>
          <w:sz w:val="22"/>
          <w:szCs w:val="22"/>
        </w:rPr>
        <w:t>Independent living and autonomy</w:t>
      </w:r>
      <w:r w:rsidRPr="000A2AB8">
        <w:rPr>
          <w:rFonts w:cstheme="minorHAnsi"/>
          <w:sz w:val="22"/>
          <w:szCs w:val="22"/>
        </w:rPr>
        <w:t xml:space="preserve">: PwDs have the right to live independently and choose where and with whom they want to live and </w:t>
      </w:r>
      <w:r w:rsidRPr="00F52899">
        <w:rPr>
          <w:rFonts w:cstheme="minorHAnsi"/>
          <w:b/>
          <w:bCs/>
          <w:sz w:val="22"/>
          <w:szCs w:val="22"/>
        </w:rPr>
        <w:t>n</w:t>
      </w:r>
      <w:r w:rsidRPr="000A2AB8">
        <w:rPr>
          <w:rFonts w:cstheme="minorHAnsi"/>
          <w:b/>
          <w:bCs/>
          <w:sz w:val="22"/>
          <w:szCs w:val="22"/>
        </w:rPr>
        <w:t>on-discrimination and equal opportunities</w:t>
      </w:r>
      <w:r w:rsidRPr="000A2AB8">
        <w:rPr>
          <w:rFonts w:cstheme="minorHAnsi"/>
          <w:sz w:val="22"/>
          <w:szCs w:val="22"/>
        </w:rPr>
        <w:t>.</w:t>
      </w:r>
    </w:p>
    <w:p w14:paraId="58F4B961"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According to the debates on the Pre-Study Workshop, the education of PwDs should begin in childhood. It might be better if education of PwDs begins during childhood.  </w:t>
      </w:r>
    </w:p>
    <w:p w14:paraId="3F789ADA" w14:textId="3BA99633" w:rsidR="006F2D9A" w:rsidRPr="00273C67" w:rsidRDefault="006F2D9A" w:rsidP="006F2D9A">
      <w:pPr>
        <w:spacing w:after="160" w:line="259" w:lineRule="auto"/>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w:t>
      </w:r>
      <w:r w:rsidRPr="00273C67">
        <w:rPr>
          <w:rFonts w:asciiTheme="majorHAnsi" w:eastAsiaTheme="majorEastAsia" w:hAnsiTheme="majorHAnsi" w:cstheme="majorBidi"/>
          <w:color w:val="2F5496" w:themeColor="accent1" w:themeShade="BF"/>
          <w:sz w:val="26"/>
          <w:szCs w:val="26"/>
        </w:rPr>
        <w:t xml:space="preserve">.1.1. Developing </w:t>
      </w:r>
      <w:r>
        <w:rPr>
          <w:rFonts w:asciiTheme="majorHAnsi" w:eastAsiaTheme="majorEastAsia" w:hAnsiTheme="majorHAnsi" w:cstheme="majorBidi"/>
          <w:color w:val="2F5496" w:themeColor="accent1" w:themeShade="BF"/>
          <w:sz w:val="26"/>
          <w:szCs w:val="26"/>
        </w:rPr>
        <w:t>I</w:t>
      </w:r>
      <w:r w:rsidRPr="00273C67">
        <w:rPr>
          <w:rFonts w:asciiTheme="majorHAnsi" w:eastAsiaTheme="majorEastAsia" w:hAnsiTheme="majorHAnsi" w:cstheme="majorBidi"/>
          <w:color w:val="2F5496" w:themeColor="accent1" w:themeShade="BF"/>
          <w:sz w:val="26"/>
          <w:szCs w:val="26"/>
        </w:rPr>
        <w:t xml:space="preserve">ndependent </w:t>
      </w:r>
      <w:r>
        <w:rPr>
          <w:rFonts w:asciiTheme="majorHAnsi" w:eastAsiaTheme="majorEastAsia" w:hAnsiTheme="majorHAnsi" w:cstheme="majorBidi"/>
          <w:color w:val="2F5496" w:themeColor="accent1" w:themeShade="BF"/>
          <w:sz w:val="26"/>
          <w:szCs w:val="26"/>
        </w:rPr>
        <w:t>L</w:t>
      </w:r>
      <w:r w:rsidRPr="00273C67">
        <w:rPr>
          <w:rFonts w:asciiTheme="majorHAnsi" w:eastAsiaTheme="majorEastAsia" w:hAnsiTheme="majorHAnsi" w:cstheme="majorBidi"/>
          <w:color w:val="2F5496" w:themeColor="accent1" w:themeShade="BF"/>
          <w:sz w:val="26"/>
          <w:szCs w:val="26"/>
        </w:rPr>
        <w:t xml:space="preserve">iving and </w:t>
      </w:r>
      <w:r>
        <w:rPr>
          <w:rFonts w:asciiTheme="majorHAnsi" w:eastAsiaTheme="majorEastAsia" w:hAnsiTheme="majorHAnsi" w:cstheme="majorBidi"/>
          <w:color w:val="2F5496" w:themeColor="accent1" w:themeShade="BF"/>
          <w:sz w:val="26"/>
          <w:szCs w:val="26"/>
        </w:rPr>
        <w:t>R</w:t>
      </w:r>
      <w:r w:rsidRPr="00273C67">
        <w:rPr>
          <w:rFonts w:asciiTheme="majorHAnsi" w:eastAsiaTheme="majorEastAsia" w:hAnsiTheme="majorHAnsi" w:cstheme="majorBidi"/>
          <w:color w:val="2F5496" w:themeColor="accent1" w:themeShade="BF"/>
          <w:sz w:val="26"/>
          <w:szCs w:val="26"/>
        </w:rPr>
        <w:t xml:space="preserve">einforcing </w:t>
      </w:r>
      <w:r>
        <w:rPr>
          <w:rFonts w:asciiTheme="majorHAnsi" w:eastAsiaTheme="majorEastAsia" w:hAnsiTheme="majorHAnsi" w:cstheme="majorBidi"/>
          <w:color w:val="2F5496" w:themeColor="accent1" w:themeShade="BF"/>
          <w:sz w:val="26"/>
          <w:szCs w:val="26"/>
        </w:rPr>
        <w:t>C</w:t>
      </w:r>
      <w:r w:rsidRPr="00273C67">
        <w:rPr>
          <w:rFonts w:asciiTheme="majorHAnsi" w:eastAsiaTheme="majorEastAsia" w:hAnsiTheme="majorHAnsi" w:cstheme="majorBidi"/>
          <w:color w:val="2F5496" w:themeColor="accent1" w:themeShade="BF"/>
          <w:sz w:val="26"/>
          <w:szCs w:val="26"/>
        </w:rPr>
        <w:t>ommunity-</w:t>
      </w:r>
      <w:r>
        <w:rPr>
          <w:rFonts w:asciiTheme="majorHAnsi" w:eastAsiaTheme="majorEastAsia" w:hAnsiTheme="majorHAnsi" w:cstheme="majorBidi"/>
          <w:color w:val="2F5496" w:themeColor="accent1" w:themeShade="BF"/>
          <w:sz w:val="26"/>
          <w:szCs w:val="26"/>
        </w:rPr>
        <w:t>B</w:t>
      </w:r>
      <w:r w:rsidRPr="00273C67">
        <w:rPr>
          <w:rFonts w:asciiTheme="majorHAnsi" w:eastAsiaTheme="majorEastAsia" w:hAnsiTheme="majorHAnsi" w:cstheme="majorBidi"/>
          <w:color w:val="2F5496" w:themeColor="accent1" w:themeShade="BF"/>
          <w:sz w:val="26"/>
          <w:szCs w:val="26"/>
        </w:rPr>
        <w:t xml:space="preserve">ased </w:t>
      </w:r>
      <w:r>
        <w:rPr>
          <w:rFonts w:asciiTheme="majorHAnsi" w:eastAsiaTheme="majorEastAsia" w:hAnsiTheme="majorHAnsi" w:cstheme="majorBidi"/>
          <w:color w:val="2F5496" w:themeColor="accent1" w:themeShade="BF"/>
          <w:sz w:val="26"/>
          <w:szCs w:val="26"/>
        </w:rPr>
        <w:t>S</w:t>
      </w:r>
      <w:r w:rsidRPr="00273C67">
        <w:rPr>
          <w:rFonts w:asciiTheme="majorHAnsi" w:eastAsiaTheme="majorEastAsia" w:hAnsiTheme="majorHAnsi" w:cstheme="majorBidi"/>
          <w:color w:val="2F5496" w:themeColor="accent1" w:themeShade="BF"/>
          <w:sz w:val="26"/>
          <w:szCs w:val="26"/>
        </w:rPr>
        <w:t>ervices</w:t>
      </w:r>
    </w:p>
    <w:p w14:paraId="10D96428" w14:textId="4362FDC3" w:rsidR="006F2D9A" w:rsidRPr="00B22166" w:rsidRDefault="006F2D9A" w:rsidP="006F2D9A">
      <w:pPr>
        <w:spacing w:after="160" w:line="259" w:lineRule="auto"/>
        <w:jc w:val="both"/>
        <w:rPr>
          <w:rFonts w:cstheme="minorHAnsi"/>
          <w:sz w:val="22"/>
          <w:szCs w:val="22"/>
        </w:rPr>
      </w:pPr>
      <w:r w:rsidRPr="000A2AB8">
        <w:rPr>
          <w:rFonts w:cstheme="minorHAnsi"/>
          <w:sz w:val="22"/>
          <w:szCs w:val="22"/>
        </w:rPr>
        <w:t xml:space="preserve">To reinforce the independent living, it is needed to empower PwDs through trainings that may help to develop their own capacities and to meet their needs from the school environment, even away from their families. In the Report we have already mentioned the Strategy of the  European Commission that pursued by 2023, that  </w:t>
      </w:r>
      <w:r w:rsidRPr="000A2AB8">
        <w:rPr>
          <w:rFonts w:cstheme="minorHAnsi"/>
          <w:sz w:val="22"/>
          <w:szCs w:val="22"/>
        </w:rPr>
        <w:lastRenderedPageBreak/>
        <w:t>Member States achieve improvements on independent living and inclusion in the community, in order to enable PwDs to live in accessible, supported housing in the community, or to continue living at home (including personal assistance schemes (</w:t>
      </w:r>
      <w:r w:rsidRPr="00130F84">
        <w:rPr>
          <w:rFonts w:cstheme="minorHAnsi"/>
          <w:sz w:val="22"/>
          <w:szCs w:val="22"/>
        </w:rPr>
        <w:t>p. 10).</w:t>
      </w:r>
      <w:r>
        <w:rPr>
          <w:rFonts w:cstheme="minorHAnsi"/>
          <w:sz w:val="22"/>
          <w:szCs w:val="22"/>
        </w:rPr>
        <w:t xml:space="preserve"> Many</w:t>
      </w:r>
      <w:r w:rsidRPr="00B22166">
        <w:rPr>
          <w:rFonts w:cstheme="minorHAnsi"/>
          <w:sz w:val="22"/>
          <w:szCs w:val="22"/>
        </w:rPr>
        <w:t xml:space="preserve"> Case Studies from EU</w:t>
      </w:r>
      <w:r>
        <w:rPr>
          <w:rFonts w:cstheme="minorHAnsi"/>
          <w:sz w:val="22"/>
          <w:szCs w:val="22"/>
        </w:rPr>
        <w:t xml:space="preserve"> and Turkey were studied (as </w:t>
      </w:r>
      <w:r w:rsidRPr="00B22166">
        <w:rPr>
          <w:rFonts w:cstheme="minorHAnsi"/>
          <w:sz w:val="22"/>
          <w:szCs w:val="22"/>
        </w:rPr>
        <w:t>The Centre for Excellence in Universal Design (Ireland)</w:t>
      </w:r>
      <w:r>
        <w:rPr>
          <w:rFonts w:cstheme="minorHAnsi"/>
          <w:sz w:val="22"/>
          <w:szCs w:val="22"/>
        </w:rPr>
        <w:t xml:space="preserve">, </w:t>
      </w:r>
      <w:r w:rsidRPr="00B22166">
        <w:rPr>
          <w:rFonts w:cstheme="minorHAnsi"/>
          <w:sz w:val="22"/>
          <w:szCs w:val="22"/>
        </w:rPr>
        <w:t xml:space="preserve">Internet-Based Assistive technologies </w:t>
      </w:r>
      <w:r>
        <w:rPr>
          <w:rFonts w:cstheme="minorHAnsi"/>
          <w:sz w:val="22"/>
          <w:szCs w:val="22"/>
        </w:rPr>
        <w:t xml:space="preserve">mentioned by </w:t>
      </w:r>
      <w:r w:rsidRPr="00B22166">
        <w:rPr>
          <w:rFonts w:cstheme="minorHAnsi"/>
          <w:sz w:val="22"/>
          <w:szCs w:val="22"/>
        </w:rPr>
        <w:t xml:space="preserve">UNESCO </w:t>
      </w:r>
      <w:r>
        <w:rPr>
          <w:rFonts w:cstheme="minorHAnsi"/>
          <w:sz w:val="22"/>
          <w:szCs w:val="22"/>
        </w:rPr>
        <w:t xml:space="preserve">and </w:t>
      </w:r>
      <w:r w:rsidRPr="00B22166">
        <w:rPr>
          <w:rFonts w:cstheme="minorHAnsi"/>
          <w:sz w:val="22"/>
          <w:szCs w:val="22"/>
        </w:rPr>
        <w:t>Cloud-Based Assistive Technologies</w:t>
      </w:r>
      <w:r>
        <w:rPr>
          <w:rFonts w:cstheme="minorHAnsi"/>
          <w:sz w:val="22"/>
          <w:szCs w:val="22"/>
        </w:rPr>
        <w:t xml:space="preserve">, as </w:t>
      </w:r>
      <w:r w:rsidRPr="00B22166">
        <w:rPr>
          <w:rFonts w:cstheme="minorHAnsi"/>
          <w:sz w:val="22"/>
          <w:szCs w:val="22"/>
        </w:rPr>
        <w:t xml:space="preserve">Cloud computing </w:t>
      </w:r>
      <w:r>
        <w:rPr>
          <w:rFonts w:cstheme="minorHAnsi"/>
          <w:sz w:val="22"/>
          <w:szCs w:val="22"/>
        </w:rPr>
        <w:t>from the</w:t>
      </w:r>
      <w:r w:rsidRPr="00B22166">
        <w:rPr>
          <w:rFonts w:cstheme="minorHAnsi"/>
          <w:sz w:val="22"/>
          <w:szCs w:val="22"/>
        </w:rPr>
        <w:t xml:space="preserve"> European Commission</w:t>
      </w:r>
      <w:r>
        <w:rPr>
          <w:rFonts w:cstheme="minorHAnsi"/>
          <w:sz w:val="22"/>
          <w:szCs w:val="22"/>
        </w:rPr>
        <w:t>) (pp. 48-50). Some case from Turkey were also analysed as Z</w:t>
      </w:r>
      <w:r w:rsidRPr="00B22166">
        <w:rPr>
          <w:rFonts w:cstheme="minorHAnsi"/>
          <w:sz w:val="22"/>
          <w:szCs w:val="22"/>
        </w:rPr>
        <w:t>.E.K.İ Life Centre, Manisa, Türkiye</w:t>
      </w:r>
      <w:r>
        <w:rPr>
          <w:rFonts w:cstheme="minorHAnsi"/>
          <w:sz w:val="22"/>
          <w:szCs w:val="22"/>
        </w:rPr>
        <w:t xml:space="preserve"> or </w:t>
      </w:r>
      <w:r w:rsidRPr="00B22166">
        <w:rPr>
          <w:rFonts w:cstheme="minorHAnsi"/>
          <w:sz w:val="22"/>
          <w:szCs w:val="22"/>
        </w:rPr>
        <w:t>Bizimköy Production Centre, İzmit, Türkiye</w:t>
      </w:r>
      <w:r>
        <w:rPr>
          <w:rFonts w:cstheme="minorHAnsi"/>
          <w:sz w:val="22"/>
          <w:szCs w:val="22"/>
        </w:rPr>
        <w:t>).</w:t>
      </w:r>
    </w:p>
    <w:p w14:paraId="7EE40687"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w:t>
      </w:r>
      <w:r w:rsidRPr="000A2AB8">
        <w:rPr>
          <w:rFonts w:cstheme="minorHAnsi"/>
          <w:sz w:val="22"/>
          <w:szCs w:val="22"/>
        </w:rPr>
        <w:t xml:space="preserve"> is: </w:t>
      </w:r>
    </w:p>
    <w:p w14:paraId="58B7A3C1" w14:textId="147167AA" w:rsidR="006F2D9A" w:rsidRDefault="006F2D9A" w:rsidP="00073158">
      <w:pPr>
        <w:numPr>
          <w:ilvl w:val="0"/>
          <w:numId w:val="23"/>
        </w:numPr>
        <w:spacing w:after="160" w:line="259" w:lineRule="auto"/>
        <w:contextualSpacing/>
        <w:jc w:val="both"/>
        <w:rPr>
          <w:rFonts w:cstheme="minorHAnsi"/>
          <w:sz w:val="22"/>
          <w:szCs w:val="22"/>
        </w:rPr>
      </w:pPr>
      <w:bookmarkStart w:id="27" w:name="_Hlk106265517"/>
      <w:r>
        <w:rPr>
          <w:rFonts w:cstheme="minorHAnsi"/>
          <w:sz w:val="22"/>
          <w:szCs w:val="22"/>
        </w:rPr>
        <w:t>R</w:t>
      </w:r>
      <w:r w:rsidRPr="000A2AB8">
        <w:rPr>
          <w:rFonts w:cstheme="minorHAnsi"/>
          <w:sz w:val="22"/>
          <w:szCs w:val="22"/>
        </w:rPr>
        <w:t>einforce the independent living, empowering PwDs through trainings to develop their own capacities, even away from their families.</w:t>
      </w:r>
      <w:bookmarkEnd w:id="27"/>
    </w:p>
    <w:p w14:paraId="5DA29CA7" w14:textId="77777777" w:rsidR="004B4ABB" w:rsidRPr="004B4ABB" w:rsidRDefault="004B4ABB" w:rsidP="004B4ABB">
      <w:pPr>
        <w:spacing w:after="160" w:line="259" w:lineRule="auto"/>
        <w:ind w:left="720"/>
        <w:contextualSpacing/>
        <w:jc w:val="both"/>
        <w:rPr>
          <w:rFonts w:cstheme="minorHAnsi"/>
          <w:sz w:val="22"/>
          <w:szCs w:val="22"/>
        </w:rPr>
      </w:pPr>
    </w:p>
    <w:p w14:paraId="1811FAEF" w14:textId="795EE9FF"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comments of stakeholders during the Pre- and Post-Study Workshops can be summarised as follows: </w:t>
      </w:r>
    </w:p>
    <w:p w14:paraId="04D451CF" w14:textId="77777777" w:rsidR="006F2D9A" w:rsidRPr="000A2AB8" w:rsidRDefault="006F2D9A" w:rsidP="00073158">
      <w:pPr>
        <w:numPr>
          <w:ilvl w:val="0"/>
          <w:numId w:val="17"/>
        </w:numPr>
        <w:spacing w:after="160" w:line="259" w:lineRule="auto"/>
        <w:ind w:left="360"/>
        <w:contextualSpacing/>
        <w:jc w:val="both"/>
        <w:rPr>
          <w:rFonts w:cstheme="minorHAnsi"/>
          <w:sz w:val="22"/>
          <w:szCs w:val="22"/>
        </w:rPr>
      </w:pPr>
      <w:r w:rsidRPr="000A2AB8">
        <w:rPr>
          <w:rFonts w:cstheme="minorHAnsi"/>
          <w:sz w:val="22"/>
          <w:szCs w:val="22"/>
        </w:rPr>
        <w:t>Qualifications of the people who care for the disabled and the elderly are very important.</w:t>
      </w:r>
    </w:p>
    <w:p w14:paraId="60532167" w14:textId="77777777" w:rsidR="006F2D9A" w:rsidRPr="000A2AB8" w:rsidRDefault="006F2D9A" w:rsidP="00073158">
      <w:pPr>
        <w:numPr>
          <w:ilvl w:val="0"/>
          <w:numId w:val="17"/>
        </w:numPr>
        <w:spacing w:after="160" w:line="259" w:lineRule="auto"/>
        <w:ind w:left="360"/>
        <w:contextualSpacing/>
        <w:jc w:val="both"/>
        <w:rPr>
          <w:rFonts w:cstheme="minorHAnsi"/>
          <w:sz w:val="22"/>
          <w:szCs w:val="22"/>
        </w:rPr>
      </w:pPr>
      <w:r w:rsidRPr="000A2AB8">
        <w:rPr>
          <w:rFonts w:cstheme="minorHAnsi"/>
          <w:sz w:val="22"/>
          <w:szCs w:val="22"/>
        </w:rPr>
        <w:t>Developing Independent Living and Community Based Supported Services</w:t>
      </w:r>
    </w:p>
    <w:p w14:paraId="703556E3" w14:textId="77777777" w:rsidR="006F2D9A" w:rsidRPr="000A2AB8" w:rsidRDefault="006F2D9A" w:rsidP="00073158">
      <w:pPr>
        <w:numPr>
          <w:ilvl w:val="0"/>
          <w:numId w:val="17"/>
        </w:numPr>
        <w:spacing w:after="160" w:line="259" w:lineRule="auto"/>
        <w:ind w:left="360"/>
        <w:contextualSpacing/>
        <w:jc w:val="both"/>
        <w:rPr>
          <w:rFonts w:cstheme="minorHAnsi"/>
          <w:sz w:val="22"/>
          <w:szCs w:val="22"/>
        </w:rPr>
      </w:pPr>
      <w:r w:rsidRPr="000A2AB8">
        <w:rPr>
          <w:rFonts w:cstheme="minorHAnsi"/>
          <w:sz w:val="22"/>
          <w:szCs w:val="22"/>
        </w:rPr>
        <w:t xml:space="preserve">Through Community Health Centres operating under the Ministry of Health, providing home health and mobile health services and implementing social work activities, providing services related to health promotion and promotion, and in Community Mental Health Centres, mental health and diseases specialists, social workers, psychologists, nurses, business and Employees such as occupational therapists and master trainers can enable disabled people to reach a more dignified life and lead their lives independently. It would be appropriate for the disabled to benefit from public resources to provide transportation to the mentioned centres from the place of residence of the disabled in accordance with the legislation in force. In the current situation, disabled people cannot benefit from the shuttle services on their arrival and departure to the aforementioned centres, due to the provisions of the Presidential Savings Circular numbered 2021/14. </w:t>
      </w:r>
    </w:p>
    <w:p w14:paraId="495346F0" w14:textId="77777777" w:rsidR="006F2D9A" w:rsidRPr="000A2AB8" w:rsidRDefault="006F2D9A" w:rsidP="00073158">
      <w:pPr>
        <w:numPr>
          <w:ilvl w:val="0"/>
          <w:numId w:val="17"/>
        </w:numPr>
        <w:spacing w:after="160" w:line="259" w:lineRule="auto"/>
        <w:ind w:left="360"/>
        <w:contextualSpacing/>
        <w:jc w:val="both"/>
        <w:rPr>
          <w:rFonts w:cstheme="minorHAnsi"/>
          <w:sz w:val="22"/>
          <w:szCs w:val="22"/>
        </w:rPr>
      </w:pPr>
      <w:r w:rsidRPr="000A2AB8">
        <w:rPr>
          <w:rFonts w:cstheme="minorHAnsi"/>
          <w:sz w:val="22"/>
          <w:szCs w:val="22"/>
        </w:rPr>
        <w:t xml:space="preserve">Assistive technologies and universal design that include PwDs improve their possibilities.  </w:t>
      </w:r>
    </w:p>
    <w:p w14:paraId="1AD5446D" w14:textId="77777777" w:rsidR="006F2D9A" w:rsidRDefault="006F2D9A" w:rsidP="006F2D9A">
      <w:pPr>
        <w:spacing w:after="160" w:line="259" w:lineRule="auto"/>
        <w:jc w:val="both"/>
        <w:rPr>
          <w:rFonts w:asciiTheme="majorHAnsi" w:eastAsiaTheme="majorEastAsia" w:hAnsiTheme="majorHAnsi" w:cstheme="majorBidi"/>
          <w:color w:val="2F5496" w:themeColor="accent1" w:themeShade="BF"/>
          <w:sz w:val="26"/>
          <w:szCs w:val="26"/>
        </w:rPr>
      </w:pPr>
    </w:p>
    <w:p w14:paraId="02AEB7E8" w14:textId="7241E595" w:rsidR="006F2D9A" w:rsidRPr="00273C67" w:rsidRDefault="006F2D9A" w:rsidP="006F2D9A">
      <w:pPr>
        <w:spacing w:after="160" w:line="259" w:lineRule="auto"/>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w:t>
      </w:r>
      <w:r w:rsidRPr="00273C67">
        <w:rPr>
          <w:rFonts w:asciiTheme="majorHAnsi" w:eastAsiaTheme="majorEastAsia" w:hAnsiTheme="majorHAnsi" w:cstheme="majorBidi"/>
          <w:color w:val="2F5496" w:themeColor="accent1" w:themeShade="BF"/>
          <w:sz w:val="26"/>
          <w:szCs w:val="26"/>
        </w:rPr>
        <w:t xml:space="preserve">.1.2. Developing New Skills for New Jobs </w:t>
      </w:r>
    </w:p>
    <w:p w14:paraId="03D1FC80" w14:textId="200575CF" w:rsidR="006F2D9A" w:rsidRPr="00F014E1" w:rsidRDefault="006F2D9A" w:rsidP="006F2D9A">
      <w:pPr>
        <w:spacing w:after="160" w:line="259" w:lineRule="auto"/>
        <w:jc w:val="both"/>
        <w:rPr>
          <w:rFonts w:cstheme="minorHAnsi"/>
          <w:sz w:val="22"/>
          <w:szCs w:val="22"/>
        </w:rPr>
      </w:pPr>
      <w:r w:rsidRPr="000A2AB8">
        <w:rPr>
          <w:rFonts w:cstheme="minorHAnsi"/>
          <w:sz w:val="22"/>
          <w:szCs w:val="22"/>
        </w:rPr>
        <w:t>In the Desk Research</w:t>
      </w:r>
      <w:r>
        <w:rPr>
          <w:rFonts w:cstheme="minorHAnsi"/>
          <w:sz w:val="22"/>
          <w:szCs w:val="22"/>
        </w:rPr>
        <w:t xml:space="preserve"> Report</w:t>
      </w:r>
      <w:r w:rsidRPr="000A2AB8">
        <w:rPr>
          <w:rFonts w:cstheme="minorHAnsi"/>
          <w:sz w:val="22"/>
          <w:szCs w:val="22"/>
        </w:rPr>
        <w:t xml:space="preserve">, </w:t>
      </w:r>
      <w:r>
        <w:rPr>
          <w:rFonts w:cstheme="minorHAnsi"/>
          <w:sz w:val="22"/>
          <w:szCs w:val="22"/>
        </w:rPr>
        <w:t xml:space="preserve">there is reference to </w:t>
      </w:r>
      <w:r w:rsidRPr="000A2AB8">
        <w:rPr>
          <w:rFonts w:cstheme="minorHAnsi"/>
          <w:sz w:val="22"/>
          <w:szCs w:val="22"/>
        </w:rPr>
        <w:t>the EU legislation that reinforces skills enhancement, vocational training and transition from education, as critic measures to the labour market integration of PwDs</w:t>
      </w:r>
      <w:r>
        <w:rPr>
          <w:rFonts w:cstheme="minorHAnsi"/>
          <w:sz w:val="22"/>
          <w:szCs w:val="22"/>
        </w:rPr>
        <w:t xml:space="preserve">, </w:t>
      </w:r>
      <w:r w:rsidRPr="000A2AB8">
        <w:rPr>
          <w:rFonts w:cstheme="minorHAnsi"/>
          <w:sz w:val="22"/>
          <w:szCs w:val="22"/>
        </w:rPr>
        <w:t>particularly the French disability legislation dating from 1975 that set up a system of rights entitling the PwDs (having regard to their personal situation recognised as a priority) to be directed to a reception structure for vocational rehabilitation, training or employment and also to receive special benefits were warranted by their situation</w:t>
      </w:r>
      <w:r>
        <w:rPr>
          <w:rFonts w:cstheme="minorHAnsi"/>
          <w:sz w:val="22"/>
          <w:szCs w:val="22"/>
        </w:rPr>
        <w:t xml:space="preserve">. A special reference was made to the policies related to </w:t>
      </w:r>
      <w:r w:rsidRPr="00F014E1">
        <w:rPr>
          <w:rFonts w:cstheme="minorHAnsi"/>
          <w:sz w:val="22"/>
          <w:szCs w:val="22"/>
        </w:rPr>
        <w:t xml:space="preserve">Skills Enhancement, Vocational Training and Transition from Education </w:t>
      </w:r>
      <w:r>
        <w:rPr>
          <w:rFonts w:cstheme="minorHAnsi"/>
          <w:sz w:val="22"/>
          <w:szCs w:val="22"/>
        </w:rPr>
        <w:t>collected by Eurofound (more than 150 policies /measures)</w:t>
      </w:r>
    </w:p>
    <w:p w14:paraId="29D07D57" w14:textId="3B238CE8" w:rsidR="006F2D9A" w:rsidRPr="000A2AB8" w:rsidRDefault="006F2D9A" w:rsidP="006F2D9A">
      <w:pPr>
        <w:spacing w:after="160" w:line="259" w:lineRule="auto"/>
        <w:jc w:val="both"/>
        <w:rPr>
          <w:rFonts w:cstheme="minorHAnsi"/>
          <w:sz w:val="22"/>
          <w:szCs w:val="22"/>
        </w:rPr>
      </w:pPr>
      <w:r w:rsidRPr="000A2AB8">
        <w:rPr>
          <w:rFonts w:cstheme="minorHAnsi"/>
          <w:sz w:val="22"/>
          <w:szCs w:val="22"/>
        </w:rPr>
        <w:t>An important discussion emerged from the Pre</w:t>
      </w:r>
      <w:r>
        <w:rPr>
          <w:rFonts w:cstheme="minorHAnsi"/>
          <w:sz w:val="22"/>
          <w:szCs w:val="22"/>
        </w:rPr>
        <w:t>-</w:t>
      </w:r>
      <w:r w:rsidRPr="000A2AB8">
        <w:rPr>
          <w:rFonts w:cstheme="minorHAnsi"/>
          <w:sz w:val="22"/>
          <w:szCs w:val="22"/>
        </w:rPr>
        <w:t>Stud</w:t>
      </w:r>
      <w:r>
        <w:rPr>
          <w:rFonts w:cstheme="minorHAnsi"/>
          <w:sz w:val="22"/>
          <w:szCs w:val="22"/>
        </w:rPr>
        <w:t>y</w:t>
      </w:r>
      <w:r w:rsidRPr="000A2AB8">
        <w:rPr>
          <w:rFonts w:cstheme="minorHAnsi"/>
          <w:sz w:val="22"/>
          <w:szCs w:val="22"/>
        </w:rPr>
        <w:t xml:space="preserve"> Workshop is </w:t>
      </w:r>
      <w:r>
        <w:rPr>
          <w:rFonts w:cstheme="minorHAnsi"/>
          <w:b/>
          <w:bCs/>
          <w:sz w:val="22"/>
          <w:szCs w:val="22"/>
        </w:rPr>
        <w:t>i</w:t>
      </w:r>
      <w:r w:rsidRPr="000A2AB8">
        <w:rPr>
          <w:rFonts w:cstheme="minorHAnsi"/>
          <w:b/>
          <w:bCs/>
          <w:sz w:val="22"/>
          <w:szCs w:val="22"/>
        </w:rPr>
        <w:t>ncluding PwDs in</w:t>
      </w:r>
      <w:r w:rsidRPr="000A2AB8">
        <w:rPr>
          <w:rFonts w:cstheme="minorHAnsi"/>
          <w:sz w:val="22"/>
          <w:szCs w:val="22"/>
        </w:rPr>
        <w:t xml:space="preserve"> </w:t>
      </w:r>
      <w:r w:rsidRPr="000A2AB8">
        <w:rPr>
          <w:rFonts w:cstheme="minorHAnsi"/>
          <w:b/>
          <w:bCs/>
          <w:sz w:val="22"/>
          <w:szCs w:val="22"/>
        </w:rPr>
        <w:t>apprenticeship training</w:t>
      </w:r>
      <w:r w:rsidRPr="000A2AB8">
        <w:rPr>
          <w:rFonts w:cstheme="minorHAnsi"/>
          <w:sz w:val="22"/>
          <w:szCs w:val="22"/>
        </w:rPr>
        <w:t xml:space="preserve"> will lead to significant increases in the employment of PwDs. Bringing education and working life together with apprenticeship training might facilitate and accelerate the adaptation of PwDs to the work environment. </w:t>
      </w:r>
      <w:r w:rsidRPr="000A2AB8">
        <w:rPr>
          <w:rFonts w:cstheme="minorHAnsi"/>
          <w:sz w:val="22"/>
          <w:szCs w:val="22"/>
        </w:rPr>
        <w:lastRenderedPageBreak/>
        <w:t>Differentiation of education according to disability groups may lead to accessing more PwDs. Employment of PwDs according to their education fields might increase their permanent and sustainable employment. Creating employment environments with the approach of providing training after job placement for adult PwDs will create permanent employment for them. It might be an important argument to include mandatory practices such as occupational health and safety in workplaces in order to increase adaptation to work and workplaces.</w:t>
      </w:r>
    </w:p>
    <w:p w14:paraId="3E653DF9"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presented were: </w:t>
      </w:r>
    </w:p>
    <w:p w14:paraId="4D076012" w14:textId="77777777" w:rsidR="006F2D9A" w:rsidRPr="000A2AB8" w:rsidRDefault="006F2D9A" w:rsidP="00073158">
      <w:pPr>
        <w:numPr>
          <w:ilvl w:val="0"/>
          <w:numId w:val="23"/>
        </w:numPr>
        <w:spacing w:after="160" w:line="259" w:lineRule="auto"/>
        <w:contextualSpacing/>
        <w:jc w:val="both"/>
        <w:rPr>
          <w:rFonts w:cstheme="minorHAnsi"/>
          <w:sz w:val="22"/>
          <w:szCs w:val="22"/>
        </w:rPr>
      </w:pPr>
      <w:bookmarkStart w:id="28" w:name="_Hlk106265546"/>
      <w:r w:rsidRPr="000A2AB8">
        <w:rPr>
          <w:rFonts w:cstheme="minorHAnsi"/>
          <w:sz w:val="22"/>
          <w:szCs w:val="22"/>
        </w:rPr>
        <w:t xml:space="preserve">Revise of the National skills strategies that should also cover the specific needs of PwDs for accessing the labour market. This requires. Equal access to education and labour-market oriented training at all levels. </w:t>
      </w:r>
    </w:p>
    <w:p w14:paraId="2EFD7632"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Design vocational programmes and apprenticeship schemes to be inclusive and accessible for PwDs and other vulnerable groups.</w:t>
      </w:r>
    </w:p>
    <w:bookmarkEnd w:id="28"/>
    <w:p w14:paraId="4CAC25F8" w14:textId="77777777" w:rsidR="006F2D9A" w:rsidRDefault="006F2D9A" w:rsidP="006F2D9A">
      <w:pPr>
        <w:spacing w:after="160" w:line="259" w:lineRule="auto"/>
        <w:jc w:val="both"/>
        <w:rPr>
          <w:rFonts w:cstheme="minorHAnsi"/>
          <w:sz w:val="22"/>
          <w:szCs w:val="22"/>
        </w:rPr>
      </w:pPr>
    </w:p>
    <w:p w14:paraId="033971B7"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comments of the stakeholders during the Post-Study Workshop can be summarised as follows: </w:t>
      </w:r>
    </w:p>
    <w:p w14:paraId="4DCC2C0E" w14:textId="77777777" w:rsidR="006F2D9A" w:rsidRPr="000A2AB8" w:rsidRDefault="006F2D9A" w:rsidP="00073158">
      <w:pPr>
        <w:numPr>
          <w:ilvl w:val="0"/>
          <w:numId w:val="18"/>
        </w:numPr>
        <w:spacing w:after="160" w:line="259" w:lineRule="auto"/>
        <w:ind w:left="360"/>
        <w:contextualSpacing/>
        <w:jc w:val="both"/>
        <w:rPr>
          <w:rFonts w:cstheme="minorHAnsi"/>
          <w:sz w:val="22"/>
          <w:szCs w:val="22"/>
        </w:rPr>
      </w:pPr>
      <w:r w:rsidRPr="000A2AB8">
        <w:rPr>
          <w:rFonts w:cstheme="minorHAnsi"/>
          <w:sz w:val="22"/>
          <w:szCs w:val="22"/>
        </w:rPr>
        <w:t xml:space="preserve">Increase the access of PwDs to the higher education to facilitate their employment in more qualified jobs </w:t>
      </w:r>
    </w:p>
    <w:p w14:paraId="2CC3063B" w14:textId="77777777" w:rsidR="006F2D9A" w:rsidRPr="000A2AB8" w:rsidRDefault="006F2D9A" w:rsidP="00073158">
      <w:pPr>
        <w:numPr>
          <w:ilvl w:val="0"/>
          <w:numId w:val="18"/>
        </w:numPr>
        <w:spacing w:after="160" w:line="259" w:lineRule="auto"/>
        <w:ind w:left="360"/>
        <w:contextualSpacing/>
        <w:jc w:val="both"/>
        <w:rPr>
          <w:rFonts w:cstheme="minorHAnsi"/>
          <w:sz w:val="22"/>
          <w:szCs w:val="22"/>
        </w:rPr>
      </w:pPr>
      <w:r w:rsidRPr="000A2AB8">
        <w:rPr>
          <w:rFonts w:cstheme="minorHAnsi"/>
          <w:sz w:val="22"/>
          <w:szCs w:val="22"/>
        </w:rPr>
        <w:t>Private support is needed to acquire the skills needed</w:t>
      </w:r>
    </w:p>
    <w:p w14:paraId="50D2DA8D" w14:textId="6334EADC" w:rsidR="006F2D9A" w:rsidRPr="000A2AB8" w:rsidRDefault="006F2D9A" w:rsidP="00073158">
      <w:pPr>
        <w:numPr>
          <w:ilvl w:val="0"/>
          <w:numId w:val="18"/>
        </w:numPr>
        <w:spacing w:after="160" w:line="259" w:lineRule="auto"/>
        <w:ind w:left="360"/>
        <w:contextualSpacing/>
        <w:jc w:val="both"/>
        <w:rPr>
          <w:rFonts w:cstheme="minorHAnsi"/>
          <w:sz w:val="22"/>
          <w:szCs w:val="22"/>
        </w:rPr>
      </w:pPr>
      <w:r w:rsidRPr="000A2AB8">
        <w:rPr>
          <w:rFonts w:cstheme="minorHAnsi"/>
          <w:sz w:val="22"/>
          <w:szCs w:val="22"/>
        </w:rPr>
        <w:t>Clarify the possibilities t</w:t>
      </w:r>
      <w:r w:rsidR="00813A9C">
        <w:rPr>
          <w:rFonts w:cstheme="minorHAnsi"/>
          <w:sz w:val="22"/>
          <w:szCs w:val="22"/>
        </w:rPr>
        <w:t>h</w:t>
      </w:r>
      <w:r w:rsidRPr="000A2AB8">
        <w:rPr>
          <w:rFonts w:cstheme="minorHAnsi"/>
          <w:sz w:val="22"/>
          <w:szCs w:val="22"/>
        </w:rPr>
        <w:t>at offer training for the participation of the PwDs in future projects in Türkiye</w:t>
      </w:r>
    </w:p>
    <w:p w14:paraId="44173A40" w14:textId="77777777" w:rsidR="006F2D9A" w:rsidRPr="000A2AB8" w:rsidRDefault="006F2D9A" w:rsidP="00073158">
      <w:pPr>
        <w:numPr>
          <w:ilvl w:val="0"/>
          <w:numId w:val="18"/>
        </w:numPr>
        <w:spacing w:after="160" w:line="259" w:lineRule="auto"/>
        <w:ind w:left="360"/>
        <w:contextualSpacing/>
        <w:jc w:val="both"/>
        <w:rPr>
          <w:rFonts w:cstheme="minorHAnsi"/>
          <w:sz w:val="22"/>
          <w:szCs w:val="22"/>
        </w:rPr>
      </w:pPr>
      <w:r w:rsidRPr="000A2AB8">
        <w:rPr>
          <w:rFonts w:cstheme="minorHAnsi"/>
          <w:sz w:val="22"/>
          <w:szCs w:val="22"/>
        </w:rPr>
        <w:t>New skills include Information and Communication Technologies (ICT)</w:t>
      </w:r>
    </w:p>
    <w:p w14:paraId="4A2279B9" w14:textId="77777777" w:rsidR="006F2D9A" w:rsidRPr="000A2AB8" w:rsidRDefault="006F2D9A" w:rsidP="00073158">
      <w:pPr>
        <w:numPr>
          <w:ilvl w:val="0"/>
          <w:numId w:val="18"/>
        </w:numPr>
        <w:spacing w:after="160" w:line="259" w:lineRule="auto"/>
        <w:ind w:left="360"/>
        <w:contextualSpacing/>
        <w:jc w:val="both"/>
        <w:rPr>
          <w:rFonts w:cstheme="minorHAnsi"/>
          <w:sz w:val="22"/>
          <w:szCs w:val="22"/>
        </w:rPr>
      </w:pPr>
      <w:r w:rsidRPr="000A2AB8">
        <w:rPr>
          <w:rFonts w:cstheme="minorHAnsi"/>
          <w:sz w:val="22"/>
          <w:szCs w:val="22"/>
        </w:rPr>
        <w:t>Assistive technologies in the process of learning to have a more inclusive education</w:t>
      </w:r>
    </w:p>
    <w:p w14:paraId="27A48B32" w14:textId="77777777" w:rsidR="006F2D9A" w:rsidRPr="000A2AB8" w:rsidRDefault="006F2D9A" w:rsidP="00073158">
      <w:pPr>
        <w:numPr>
          <w:ilvl w:val="0"/>
          <w:numId w:val="18"/>
        </w:numPr>
        <w:spacing w:after="160" w:line="259" w:lineRule="auto"/>
        <w:ind w:left="360"/>
        <w:contextualSpacing/>
        <w:jc w:val="both"/>
        <w:rPr>
          <w:rFonts w:cstheme="minorHAnsi"/>
          <w:sz w:val="22"/>
          <w:szCs w:val="22"/>
        </w:rPr>
      </w:pPr>
      <w:r w:rsidRPr="000A2AB8">
        <w:rPr>
          <w:rFonts w:cstheme="minorHAnsi"/>
          <w:sz w:val="22"/>
          <w:szCs w:val="22"/>
        </w:rPr>
        <w:t>Acquisition of new skills contribute to self confidence</w:t>
      </w:r>
    </w:p>
    <w:p w14:paraId="6E7CC099" w14:textId="77777777" w:rsidR="006F2D9A" w:rsidRPr="000A2AB8" w:rsidRDefault="006F2D9A" w:rsidP="00073158">
      <w:pPr>
        <w:numPr>
          <w:ilvl w:val="0"/>
          <w:numId w:val="18"/>
        </w:numPr>
        <w:spacing w:after="160" w:line="259" w:lineRule="auto"/>
        <w:ind w:left="360"/>
        <w:contextualSpacing/>
        <w:jc w:val="both"/>
        <w:rPr>
          <w:rFonts w:cstheme="minorHAnsi"/>
          <w:sz w:val="22"/>
          <w:szCs w:val="22"/>
        </w:rPr>
      </w:pPr>
      <w:r w:rsidRPr="000A2AB8">
        <w:rPr>
          <w:rFonts w:cstheme="minorHAnsi"/>
          <w:sz w:val="22"/>
          <w:szCs w:val="22"/>
        </w:rPr>
        <w:t>Special education and integration should be served within the departments in the Ministry of National Education.</w:t>
      </w:r>
    </w:p>
    <w:p w14:paraId="42F599B4" w14:textId="77777777" w:rsidR="006F2D9A" w:rsidRPr="000A2AB8" w:rsidRDefault="006F2D9A" w:rsidP="00073158">
      <w:pPr>
        <w:numPr>
          <w:ilvl w:val="0"/>
          <w:numId w:val="18"/>
        </w:numPr>
        <w:spacing w:after="160" w:line="259" w:lineRule="auto"/>
        <w:ind w:left="360"/>
        <w:contextualSpacing/>
        <w:jc w:val="both"/>
        <w:rPr>
          <w:rFonts w:cstheme="minorHAnsi"/>
          <w:sz w:val="22"/>
          <w:szCs w:val="22"/>
        </w:rPr>
      </w:pPr>
      <w:r w:rsidRPr="000A2AB8">
        <w:rPr>
          <w:rFonts w:cstheme="minorHAnsi"/>
          <w:sz w:val="22"/>
          <w:szCs w:val="22"/>
        </w:rPr>
        <w:t>There should be guidance services within the general directorates in the Ministry of National Education.</w:t>
      </w:r>
    </w:p>
    <w:p w14:paraId="63166C6C" w14:textId="77777777" w:rsidR="006F2D9A" w:rsidRDefault="006F2D9A" w:rsidP="006F2D9A">
      <w:pPr>
        <w:spacing w:after="160" w:line="259" w:lineRule="auto"/>
        <w:jc w:val="both"/>
        <w:rPr>
          <w:rFonts w:asciiTheme="majorHAnsi" w:eastAsiaTheme="majorEastAsia" w:hAnsiTheme="majorHAnsi" w:cstheme="majorBidi"/>
          <w:color w:val="2F5496" w:themeColor="accent1" w:themeShade="BF"/>
          <w:sz w:val="26"/>
          <w:szCs w:val="26"/>
        </w:rPr>
      </w:pPr>
    </w:p>
    <w:p w14:paraId="6E4A69DC" w14:textId="04A589BC" w:rsidR="006F2D9A" w:rsidRPr="00273C67" w:rsidRDefault="006F2D9A" w:rsidP="006F2D9A">
      <w:pPr>
        <w:spacing w:after="160" w:line="259" w:lineRule="auto"/>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w:t>
      </w:r>
      <w:r w:rsidRPr="00273C67">
        <w:rPr>
          <w:rFonts w:asciiTheme="majorHAnsi" w:eastAsiaTheme="majorEastAsia" w:hAnsiTheme="majorHAnsi" w:cstheme="majorBidi"/>
          <w:color w:val="2F5496" w:themeColor="accent1" w:themeShade="BF"/>
          <w:sz w:val="26"/>
          <w:szCs w:val="26"/>
        </w:rPr>
        <w:t xml:space="preserve">.1.3. Fostering Access to Quality and Sustainable Jobs </w:t>
      </w:r>
    </w:p>
    <w:p w14:paraId="37CC1C13" w14:textId="0ED87728" w:rsidR="006F2D9A" w:rsidRPr="00F014E1" w:rsidRDefault="006F2D9A" w:rsidP="006F2D9A">
      <w:pPr>
        <w:spacing w:after="160" w:line="259" w:lineRule="auto"/>
        <w:jc w:val="both"/>
        <w:rPr>
          <w:rFonts w:cstheme="minorHAnsi"/>
          <w:sz w:val="22"/>
          <w:szCs w:val="22"/>
        </w:rPr>
      </w:pPr>
      <w:r w:rsidRPr="000A2AB8">
        <w:rPr>
          <w:rFonts w:cstheme="minorHAnsi"/>
          <w:sz w:val="22"/>
          <w:szCs w:val="22"/>
        </w:rPr>
        <w:t xml:space="preserve">In the </w:t>
      </w:r>
      <w:r>
        <w:rPr>
          <w:rFonts w:cstheme="minorHAnsi"/>
          <w:sz w:val="22"/>
          <w:szCs w:val="22"/>
        </w:rPr>
        <w:t xml:space="preserve">Desk Research </w:t>
      </w:r>
      <w:r w:rsidRPr="000A2AB8">
        <w:rPr>
          <w:rFonts w:cstheme="minorHAnsi"/>
          <w:sz w:val="22"/>
          <w:szCs w:val="22"/>
        </w:rPr>
        <w:t>Report</w:t>
      </w:r>
      <w:r>
        <w:rPr>
          <w:rFonts w:cstheme="minorHAnsi"/>
          <w:sz w:val="22"/>
          <w:szCs w:val="22"/>
        </w:rPr>
        <w:t xml:space="preserve">, of the </w:t>
      </w:r>
      <w:r w:rsidRPr="000A2AB8">
        <w:rPr>
          <w:rFonts w:cstheme="minorHAnsi"/>
          <w:sz w:val="22"/>
          <w:szCs w:val="22"/>
        </w:rPr>
        <w:t>154 policy measures</w:t>
      </w:r>
      <w:r>
        <w:rPr>
          <w:rFonts w:cstheme="minorHAnsi"/>
          <w:sz w:val="22"/>
          <w:szCs w:val="22"/>
        </w:rPr>
        <w:t xml:space="preserve"> in the </w:t>
      </w:r>
      <w:r w:rsidRPr="000A2AB8">
        <w:rPr>
          <w:rFonts w:cstheme="minorHAnsi"/>
          <w:sz w:val="22"/>
          <w:szCs w:val="22"/>
        </w:rPr>
        <w:t xml:space="preserve">EU, three-quarters address a combination of work entry, job retention and return to the labour market. </w:t>
      </w:r>
      <w:r w:rsidRPr="00F014E1">
        <w:rPr>
          <w:rFonts w:cstheme="minorHAnsi"/>
          <w:sz w:val="22"/>
          <w:szCs w:val="22"/>
        </w:rPr>
        <w:t xml:space="preserve">Between the policies applied mentioned by Eurofound, </w:t>
      </w:r>
      <w:r>
        <w:rPr>
          <w:rFonts w:cstheme="minorHAnsi"/>
          <w:sz w:val="22"/>
          <w:szCs w:val="22"/>
        </w:rPr>
        <w:t xml:space="preserve">there are some </w:t>
      </w:r>
      <w:r w:rsidRPr="00F014E1">
        <w:rPr>
          <w:rFonts w:cstheme="minorHAnsi"/>
          <w:sz w:val="22"/>
          <w:szCs w:val="22"/>
        </w:rPr>
        <w:t>good practices</w:t>
      </w:r>
      <w:r>
        <w:rPr>
          <w:rFonts w:cstheme="minorHAnsi"/>
          <w:sz w:val="22"/>
          <w:szCs w:val="22"/>
        </w:rPr>
        <w:t xml:space="preserve"> on </w:t>
      </w:r>
      <w:r w:rsidRPr="00F014E1">
        <w:rPr>
          <w:rFonts w:cstheme="minorHAnsi"/>
          <w:sz w:val="22"/>
          <w:szCs w:val="22"/>
        </w:rPr>
        <w:t>Incentives for Employers; Entrepreneurship and Self-Employment; Public Procurement and Public Works and Support for PwDs (employees, jobseekers)</w:t>
      </w:r>
      <w:r>
        <w:rPr>
          <w:rFonts w:cstheme="minorHAnsi"/>
          <w:sz w:val="22"/>
          <w:szCs w:val="22"/>
        </w:rPr>
        <w:t xml:space="preserve">. </w:t>
      </w:r>
    </w:p>
    <w:p w14:paraId="2C5DE82F"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Other measures related to employment mentioned are the EU Employment Equality Directive and the package presented in 2022 for the Commission to improve labour market outcomes of PwDS, seeking cooperation with the European Network of Public Employment Services, social partners and organisations of PwDs. </w:t>
      </w:r>
    </w:p>
    <w:p w14:paraId="29A12067" w14:textId="1F8DDEAC" w:rsidR="006F2D9A" w:rsidRPr="000A2AB8" w:rsidRDefault="006F2D9A" w:rsidP="006F2D9A">
      <w:pPr>
        <w:spacing w:after="160" w:line="259" w:lineRule="auto"/>
        <w:jc w:val="both"/>
        <w:rPr>
          <w:rFonts w:cstheme="minorHAnsi"/>
          <w:sz w:val="22"/>
          <w:szCs w:val="22"/>
        </w:rPr>
      </w:pPr>
      <w:r w:rsidRPr="000A2AB8">
        <w:rPr>
          <w:rFonts w:cstheme="minorHAnsi"/>
          <w:sz w:val="22"/>
          <w:szCs w:val="22"/>
        </w:rPr>
        <w:t>About the quota system, many cases are under study in this Report</w:t>
      </w:r>
      <w:r>
        <w:rPr>
          <w:rFonts w:cstheme="minorHAnsi"/>
          <w:sz w:val="22"/>
          <w:szCs w:val="22"/>
        </w:rPr>
        <w:t xml:space="preserve"> (particularly on OECD countries)</w:t>
      </w:r>
      <w:r w:rsidRPr="000A2AB8">
        <w:rPr>
          <w:rFonts w:cstheme="minorHAnsi"/>
          <w:sz w:val="22"/>
          <w:szCs w:val="22"/>
        </w:rPr>
        <w:t xml:space="preserve"> and an important measure has been taken by Germany. </w:t>
      </w:r>
      <w:r w:rsidRPr="001C5599">
        <w:rPr>
          <w:rFonts w:cstheme="minorHAnsi"/>
          <w:sz w:val="22"/>
          <w:szCs w:val="22"/>
        </w:rPr>
        <w:t xml:space="preserve">The EU-Directive 2000/78/EG </w:t>
      </w:r>
      <w:r>
        <w:rPr>
          <w:rFonts w:cstheme="minorHAnsi"/>
          <w:sz w:val="22"/>
          <w:szCs w:val="22"/>
        </w:rPr>
        <w:t xml:space="preserve">that </w:t>
      </w:r>
      <w:r w:rsidRPr="001C5599">
        <w:rPr>
          <w:rFonts w:cstheme="minorHAnsi"/>
          <w:sz w:val="22"/>
          <w:szCs w:val="22"/>
        </w:rPr>
        <w:t>guarantee equal treatment of all persons on the labour market and prevent discrimination inter alia related to disability</w:t>
      </w:r>
      <w:r>
        <w:rPr>
          <w:rFonts w:cstheme="minorHAnsi"/>
          <w:sz w:val="22"/>
          <w:szCs w:val="22"/>
        </w:rPr>
        <w:t xml:space="preserve"> it is also considered</w:t>
      </w:r>
      <w:r w:rsidRPr="001C5599">
        <w:rPr>
          <w:rFonts w:cstheme="minorHAnsi"/>
          <w:sz w:val="22"/>
          <w:szCs w:val="22"/>
        </w:rPr>
        <w:t xml:space="preserve">. </w:t>
      </w:r>
      <w:r>
        <w:rPr>
          <w:rFonts w:cstheme="minorHAnsi"/>
          <w:sz w:val="22"/>
          <w:szCs w:val="22"/>
        </w:rPr>
        <w:t xml:space="preserve">A revision on </w:t>
      </w:r>
      <w:r w:rsidRPr="001C5599">
        <w:rPr>
          <w:rFonts w:cstheme="minorHAnsi"/>
          <w:sz w:val="22"/>
          <w:szCs w:val="22"/>
        </w:rPr>
        <w:t xml:space="preserve">quota laws reviewed make explicit provision for </w:t>
      </w:r>
      <w:r w:rsidRPr="004C2342">
        <w:rPr>
          <w:rFonts w:cstheme="minorHAnsi"/>
          <w:sz w:val="22"/>
          <w:szCs w:val="22"/>
        </w:rPr>
        <w:t>women with disabilities</w:t>
      </w:r>
      <w:r w:rsidRPr="001C5599">
        <w:rPr>
          <w:rFonts w:cstheme="minorHAnsi"/>
          <w:sz w:val="22"/>
          <w:szCs w:val="22"/>
        </w:rPr>
        <w:t xml:space="preserve">. Exceptions are South Korea and Albania. In South Korea, the law provides for special emphasis to be given to the </w:t>
      </w:r>
      <w:r w:rsidRPr="001C5599">
        <w:rPr>
          <w:rFonts w:cstheme="minorHAnsi"/>
          <w:sz w:val="22"/>
          <w:szCs w:val="22"/>
        </w:rPr>
        <w:lastRenderedPageBreak/>
        <w:t xml:space="preserve">employment promotion of women with disabilities (Article 3 (2)), and business owners employing disabled women are entitled to preferential treatment (Article 21). </w:t>
      </w:r>
    </w:p>
    <w:p w14:paraId="28307EDD"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are: </w:t>
      </w:r>
    </w:p>
    <w:p w14:paraId="677F9A4E" w14:textId="77777777" w:rsidR="006F2D9A" w:rsidRPr="000A2AB8" w:rsidRDefault="006F2D9A" w:rsidP="00073158">
      <w:pPr>
        <w:numPr>
          <w:ilvl w:val="0"/>
          <w:numId w:val="23"/>
        </w:numPr>
        <w:spacing w:after="160" w:line="259" w:lineRule="auto"/>
        <w:contextualSpacing/>
        <w:jc w:val="both"/>
        <w:rPr>
          <w:rFonts w:cstheme="minorHAnsi"/>
          <w:sz w:val="22"/>
          <w:szCs w:val="22"/>
        </w:rPr>
      </w:pPr>
      <w:bookmarkStart w:id="29" w:name="_Hlk106265596"/>
      <w:r w:rsidRPr="000A2AB8">
        <w:rPr>
          <w:rFonts w:cstheme="minorHAnsi"/>
          <w:sz w:val="22"/>
          <w:szCs w:val="22"/>
        </w:rPr>
        <w:t xml:space="preserve">Evaluate the effectiveness of the current quota system for the employment of PwDs, including the appropriateness of sanctions for non-compliance. </w:t>
      </w:r>
    </w:p>
    <w:p w14:paraId="254FA11E"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Develop a cooperative working method to provide opportunities for PwDs to work from various fields of work, through cooperative organisations established by their own efforts or with the support of the State. PwDs could evaluate their current abilities and capacities, to improve them according to the jobs they can do, and to operate in their field as an independent organization. It is possible to popularise this method in Türkiye through projects with international budgets.</w:t>
      </w:r>
    </w:p>
    <w:bookmarkEnd w:id="29"/>
    <w:p w14:paraId="7AE4BC42" w14:textId="77777777" w:rsidR="006F2D9A" w:rsidRDefault="006F2D9A" w:rsidP="006F2D9A">
      <w:pPr>
        <w:spacing w:after="160" w:line="259" w:lineRule="auto"/>
        <w:jc w:val="both"/>
        <w:rPr>
          <w:rFonts w:cstheme="minorHAnsi"/>
          <w:sz w:val="22"/>
          <w:szCs w:val="22"/>
        </w:rPr>
      </w:pPr>
    </w:p>
    <w:p w14:paraId="3417314E" w14:textId="285CE8A1"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comments of the stakeholders during the Post-Study Workshop </w:t>
      </w:r>
      <w:r>
        <w:rPr>
          <w:rFonts w:cstheme="minorHAnsi"/>
          <w:sz w:val="22"/>
          <w:szCs w:val="22"/>
        </w:rPr>
        <w:t>were</w:t>
      </w:r>
      <w:r w:rsidRPr="000A2AB8">
        <w:rPr>
          <w:rFonts w:cstheme="minorHAnsi"/>
          <w:sz w:val="22"/>
          <w:szCs w:val="22"/>
        </w:rPr>
        <w:t xml:space="preserve">: </w:t>
      </w:r>
    </w:p>
    <w:p w14:paraId="78CB4497" w14:textId="77777777" w:rsidR="006F2D9A" w:rsidRPr="000A2AB8" w:rsidRDefault="006F2D9A" w:rsidP="00073158">
      <w:pPr>
        <w:numPr>
          <w:ilvl w:val="0"/>
          <w:numId w:val="19"/>
        </w:numPr>
        <w:spacing w:after="160" w:line="259" w:lineRule="auto"/>
        <w:ind w:left="360"/>
        <w:contextualSpacing/>
        <w:jc w:val="both"/>
        <w:rPr>
          <w:rFonts w:cstheme="minorHAnsi"/>
          <w:sz w:val="22"/>
          <w:szCs w:val="22"/>
        </w:rPr>
      </w:pPr>
      <w:r w:rsidRPr="000A2AB8">
        <w:rPr>
          <w:rFonts w:cstheme="minorHAnsi"/>
          <w:sz w:val="22"/>
          <w:szCs w:val="22"/>
        </w:rPr>
        <w:t xml:space="preserve">Quota system offers support for PwDs to maintain employment and explore career development; </w:t>
      </w:r>
    </w:p>
    <w:p w14:paraId="29134B18" w14:textId="77777777" w:rsidR="006F2D9A" w:rsidRPr="000A2AB8" w:rsidRDefault="006F2D9A" w:rsidP="00073158">
      <w:pPr>
        <w:numPr>
          <w:ilvl w:val="0"/>
          <w:numId w:val="19"/>
        </w:numPr>
        <w:spacing w:after="160" w:line="259" w:lineRule="auto"/>
        <w:ind w:left="360"/>
        <w:contextualSpacing/>
        <w:jc w:val="both"/>
        <w:rPr>
          <w:rFonts w:cstheme="minorHAnsi"/>
          <w:sz w:val="22"/>
          <w:szCs w:val="22"/>
        </w:rPr>
      </w:pPr>
      <w:r w:rsidRPr="000A2AB8">
        <w:rPr>
          <w:rFonts w:cstheme="minorHAnsi"/>
          <w:sz w:val="22"/>
          <w:szCs w:val="22"/>
        </w:rPr>
        <w:t>Support the lack of targeted support for SMEs regarding employment of PwDs.</w:t>
      </w:r>
    </w:p>
    <w:p w14:paraId="6434A378" w14:textId="77777777" w:rsidR="006F2D9A" w:rsidRDefault="006F2D9A" w:rsidP="006F2D9A">
      <w:pPr>
        <w:spacing w:after="160" w:line="259" w:lineRule="auto"/>
        <w:jc w:val="both"/>
        <w:rPr>
          <w:rFonts w:cstheme="minorHAnsi"/>
          <w:b/>
          <w:bCs/>
          <w:sz w:val="22"/>
          <w:szCs w:val="22"/>
        </w:rPr>
      </w:pPr>
    </w:p>
    <w:p w14:paraId="527024EF" w14:textId="37B53653" w:rsidR="006F2D9A" w:rsidRPr="000A2AB8" w:rsidRDefault="006F2D9A" w:rsidP="006F2D9A">
      <w:pPr>
        <w:spacing w:after="160" w:line="259" w:lineRule="auto"/>
        <w:jc w:val="both"/>
        <w:rPr>
          <w:rFonts w:cstheme="minorHAnsi"/>
          <w:b/>
          <w:bCs/>
          <w:sz w:val="22"/>
          <w:szCs w:val="22"/>
        </w:rPr>
      </w:pPr>
      <w:r>
        <w:rPr>
          <w:rFonts w:asciiTheme="majorHAnsi" w:eastAsiaTheme="majorEastAsia" w:hAnsiTheme="majorHAnsi" w:cstheme="majorBidi"/>
          <w:color w:val="2F5496" w:themeColor="accent1" w:themeShade="BF"/>
          <w:sz w:val="26"/>
          <w:szCs w:val="26"/>
        </w:rPr>
        <w:t>3</w:t>
      </w:r>
      <w:r w:rsidRPr="00273C67">
        <w:rPr>
          <w:rFonts w:asciiTheme="majorHAnsi" w:eastAsiaTheme="majorEastAsia" w:hAnsiTheme="majorHAnsi" w:cstheme="majorBidi"/>
          <w:color w:val="2F5496" w:themeColor="accent1" w:themeShade="BF"/>
          <w:sz w:val="26"/>
          <w:szCs w:val="26"/>
        </w:rPr>
        <w:t xml:space="preserve">.1.4. Consolidating Social Protection Systems </w:t>
      </w:r>
      <w:r w:rsidRPr="000A2AB8">
        <w:rPr>
          <w:rFonts w:cstheme="minorHAnsi"/>
          <w:b/>
          <w:bCs/>
          <w:sz w:val="22"/>
          <w:szCs w:val="22"/>
          <w:vertAlign w:val="superscript"/>
        </w:rPr>
        <w:footnoteReference w:id="2"/>
      </w:r>
    </w:p>
    <w:p w14:paraId="3345C5B5" w14:textId="090BFA20" w:rsidR="006F2D9A" w:rsidRPr="000A2AB8" w:rsidRDefault="006F2D9A" w:rsidP="006F2D9A">
      <w:pPr>
        <w:spacing w:after="160" w:line="259" w:lineRule="auto"/>
        <w:jc w:val="both"/>
        <w:rPr>
          <w:rFonts w:cstheme="minorHAnsi"/>
          <w:sz w:val="22"/>
          <w:szCs w:val="22"/>
        </w:rPr>
      </w:pPr>
      <w:r w:rsidRPr="000A2AB8">
        <w:rPr>
          <w:rFonts w:cstheme="minorHAnsi"/>
          <w:sz w:val="22"/>
          <w:szCs w:val="22"/>
        </w:rPr>
        <w:t>According to the ILO and EU Legislation mentioned in the Report, alongside fair employment, adequate social protection, including retirement schemes, is an essential prerequisite to ensure an adequate income for a decent standard of living of PwDs and their families.</w:t>
      </w:r>
    </w:p>
    <w:p w14:paraId="16BE8547"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w:t>
      </w:r>
      <w:r w:rsidRPr="000A2AB8">
        <w:rPr>
          <w:rFonts w:cstheme="minorHAnsi"/>
          <w:sz w:val="22"/>
          <w:szCs w:val="22"/>
        </w:rPr>
        <w:t xml:space="preserve"> is: </w:t>
      </w:r>
    </w:p>
    <w:p w14:paraId="260BA413"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Develop measures to further tackle gaps in social protection for PwDs to reduce inequalities (including compensating extra costs related to disability and eligibility for disability benefits).</w:t>
      </w:r>
    </w:p>
    <w:p w14:paraId="27A237FB" w14:textId="77777777" w:rsidR="006F2D9A" w:rsidRPr="000A2AB8" w:rsidRDefault="006F2D9A" w:rsidP="006F2D9A">
      <w:pPr>
        <w:spacing w:after="160" w:line="259" w:lineRule="auto"/>
        <w:jc w:val="both"/>
        <w:rPr>
          <w:rFonts w:cstheme="minorHAnsi"/>
          <w:sz w:val="22"/>
          <w:szCs w:val="22"/>
        </w:rPr>
      </w:pPr>
    </w:p>
    <w:p w14:paraId="154A722D" w14:textId="242CC9E0" w:rsidR="006F2D9A" w:rsidRPr="00273C67" w:rsidRDefault="00BE1B2C" w:rsidP="006F2D9A">
      <w:pPr>
        <w:spacing w:after="160" w:line="259" w:lineRule="auto"/>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w:t>
      </w:r>
      <w:r w:rsidR="006F2D9A" w:rsidRPr="00273C67">
        <w:rPr>
          <w:rFonts w:asciiTheme="majorHAnsi" w:eastAsiaTheme="majorEastAsia" w:hAnsiTheme="majorHAnsi" w:cstheme="majorBidi"/>
          <w:color w:val="2F5496" w:themeColor="accent1" w:themeShade="BF"/>
          <w:sz w:val="26"/>
          <w:szCs w:val="26"/>
        </w:rPr>
        <w:t>.1.5. Work for the FoW for PwDs</w:t>
      </w:r>
    </w:p>
    <w:p w14:paraId="640AE197" w14:textId="6B1F0E00" w:rsidR="006F2D9A" w:rsidRPr="001B629F" w:rsidRDefault="006F2D9A" w:rsidP="006F2D9A">
      <w:pPr>
        <w:spacing w:after="160" w:line="259" w:lineRule="auto"/>
        <w:jc w:val="both"/>
        <w:rPr>
          <w:rFonts w:cstheme="minorHAnsi"/>
          <w:sz w:val="22"/>
          <w:szCs w:val="22"/>
        </w:rPr>
      </w:pPr>
      <w:r>
        <w:rPr>
          <w:rFonts w:cstheme="minorHAnsi"/>
          <w:sz w:val="22"/>
          <w:szCs w:val="22"/>
        </w:rPr>
        <w:t xml:space="preserve">In the Desk research Report, </w:t>
      </w:r>
      <w:r w:rsidRPr="000A2AB8">
        <w:rPr>
          <w:rFonts w:cstheme="minorHAnsi"/>
          <w:sz w:val="22"/>
          <w:szCs w:val="22"/>
        </w:rPr>
        <w:t xml:space="preserve">different forms of work </w:t>
      </w:r>
      <w:r>
        <w:rPr>
          <w:rFonts w:cstheme="minorHAnsi"/>
          <w:sz w:val="22"/>
          <w:szCs w:val="22"/>
        </w:rPr>
        <w:t xml:space="preserve">are described </w:t>
      </w:r>
      <w:r w:rsidRPr="000A2AB8">
        <w:rPr>
          <w:rFonts w:cstheme="minorHAnsi"/>
          <w:sz w:val="22"/>
          <w:szCs w:val="22"/>
        </w:rPr>
        <w:t xml:space="preserve">with digitalisation, technology and automation, but there is a need to ensuring accessibility, promoting digital skills and promoting the digital employment of PwDs. </w:t>
      </w:r>
      <w:r>
        <w:rPr>
          <w:rFonts w:cstheme="minorHAnsi"/>
          <w:sz w:val="22"/>
          <w:szCs w:val="22"/>
        </w:rPr>
        <w:t>Some initiatives from t</w:t>
      </w:r>
      <w:r w:rsidRPr="001B629F">
        <w:rPr>
          <w:rFonts w:cstheme="minorHAnsi"/>
          <w:sz w:val="22"/>
          <w:szCs w:val="22"/>
        </w:rPr>
        <w:t xml:space="preserve">he European Commission </w:t>
      </w:r>
      <w:r>
        <w:rPr>
          <w:rFonts w:cstheme="minorHAnsi"/>
          <w:sz w:val="22"/>
          <w:szCs w:val="22"/>
        </w:rPr>
        <w:t>were also analysed (</w:t>
      </w:r>
      <w:r w:rsidRPr="001B629F">
        <w:rPr>
          <w:rFonts w:cstheme="minorHAnsi"/>
          <w:sz w:val="22"/>
          <w:szCs w:val="22"/>
        </w:rPr>
        <w:t>The Recovery Plan for Europe, The European Digital Strategy and The Digital Europe Programme</w:t>
      </w:r>
      <w:r>
        <w:rPr>
          <w:rFonts w:cstheme="minorHAnsi"/>
          <w:sz w:val="22"/>
          <w:szCs w:val="22"/>
        </w:rPr>
        <w:t>) and some policies from UK, Germany, India, Malaysia and Costa Rica).</w:t>
      </w:r>
    </w:p>
    <w:p w14:paraId="107D555F"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Other important opportunity mentioned in this Report is relate the PwDs to the Green Economy /Green Jobs.  </w:t>
      </w:r>
    </w:p>
    <w:p w14:paraId="3340C620"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presented were: </w:t>
      </w:r>
    </w:p>
    <w:p w14:paraId="56FD7E55"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lastRenderedPageBreak/>
        <w:t>Develop specific education and training programmes in digital skills for PwDs.</w:t>
      </w:r>
    </w:p>
    <w:p w14:paraId="55E4725F"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Encourage consideration of PwDs in the process of addressing a mismatch of supply and demand in new digital jobs.</w:t>
      </w:r>
    </w:p>
    <w:p w14:paraId="38048B24"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Develop digital support technologies which facilitate new employment opportunities for PwDs in digital jobs.</w:t>
      </w:r>
    </w:p>
    <w:p w14:paraId="215ABBBF"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Encourage green businesses owned and controlled by PwDs entrepreneurs to recruit other PwDs.</w:t>
      </w:r>
    </w:p>
    <w:p w14:paraId="30E155CB"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Include PwDs in the design and decision-making processes of new low-carbon sectors.</w:t>
      </w:r>
    </w:p>
    <w:p w14:paraId="4FA52A8E" w14:textId="77777777" w:rsidR="006F2D9A" w:rsidRDefault="006F2D9A" w:rsidP="006F2D9A">
      <w:pPr>
        <w:spacing w:after="160" w:line="259" w:lineRule="auto"/>
        <w:jc w:val="both"/>
        <w:rPr>
          <w:rFonts w:cstheme="minorHAnsi"/>
          <w:sz w:val="22"/>
          <w:szCs w:val="22"/>
        </w:rPr>
      </w:pPr>
    </w:p>
    <w:p w14:paraId="0E5E7350"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comments of the stakeholders during the Post-Study workshop can be summarised as follows: </w:t>
      </w:r>
    </w:p>
    <w:p w14:paraId="587A82DA" w14:textId="58574DE1" w:rsidR="006F2D9A" w:rsidRPr="000A2AB8" w:rsidRDefault="006F2D9A" w:rsidP="00073158">
      <w:pPr>
        <w:numPr>
          <w:ilvl w:val="0"/>
          <w:numId w:val="16"/>
        </w:numPr>
        <w:spacing w:after="160" w:line="259" w:lineRule="auto"/>
        <w:jc w:val="both"/>
        <w:rPr>
          <w:rFonts w:cstheme="minorHAnsi"/>
          <w:sz w:val="22"/>
          <w:szCs w:val="22"/>
        </w:rPr>
      </w:pPr>
      <w:r w:rsidRPr="000A2AB8">
        <w:rPr>
          <w:rFonts w:cstheme="minorHAnsi"/>
          <w:sz w:val="22"/>
          <w:szCs w:val="22"/>
        </w:rPr>
        <w:t>For the State</w:t>
      </w:r>
      <w:r>
        <w:rPr>
          <w:rFonts w:cstheme="minorHAnsi"/>
          <w:sz w:val="22"/>
          <w:szCs w:val="22"/>
        </w:rPr>
        <w:t xml:space="preserve"> </w:t>
      </w:r>
      <w:r w:rsidRPr="000A2AB8">
        <w:rPr>
          <w:rFonts w:cstheme="minorHAnsi"/>
          <w:sz w:val="22"/>
          <w:szCs w:val="22"/>
        </w:rPr>
        <w:t xml:space="preserve">to </w:t>
      </w:r>
      <w:r>
        <w:rPr>
          <w:rFonts w:cstheme="minorHAnsi"/>
          <w:sz w:val="22"/>
          <w:szCs w:val="22"/>
        </w:rPr>
        <w:t>s</w:t>
      </w:r>
      <w:r w:rsidRPr="000A2AB8">
        <w:rPr>
          <w:rFonts w:cstheme="minorHAnsi"/>
          <w:sz w:val="22"/>
          <w:szCs w:val="22"/>
        </w:rPr>
        <w:t>upport accessible innovation and R&amp;D that helps the inclusion of PwDs;</w:t>
      </w:r>
    </w:p>
    <w:p w14:paraId="6EFAC746" w14:textId="77777777" w:rsidR="006F2D9A" w:rsidRPr="000A2AB8" w:rsidRDefault="006F2D9A" w:rsidP="00073158">
      <w:pPr>
        <w:numPr>
          <w:ilvl w:val="0"/>
          <w:numId w:val="16"/>
        </w:numPr>
        <w:spacing w:after="160" w:line="259" w:lineRule="auto"/>
        <w:jc w:val="both"/>
        <w:rPr>
          <w:rFonts w:cstheme="minorHAnsi"/>
          <w:sz w:val="22"/>
          <w:szCs w:val="22"/>
        </w:rPr>
      </w:pPr>
      <w:r w:rsidRPr="000A2AB8">
        <w:rPr>
          <w:rFonts w:cstheme="minorHAnsi"/>
          <w:sz w:val="22"/>
          <w:szCs w:val="22"/>
        </w:rPr>
        <w:t xml:space="preserve">Mainstream a Universal Design approach in products and services from the outset, by involving </w:t>
      </w:r>
      <w:r>
        <w:rPr>
          <w:rFonts w:cstheme="minorHAnsi"/>
          <w:sz w:val="22"/>
          <w:szCs w:val="22"/>
        </w:rPr>
        <w:t>PwDs</w:t>
      </w:r>
      <w:r w:rsidRPr="000A2AB8">
        <w:rPr>
          <w:rFonts w:cstheme="minorHAnsi"/>
          <w:sz w:val="22"/>
          <w:szCs w:val="22"/>
        </w:rPr>
        <w:t xml:space="preserve"> at every stage;</w:t>
      </w:r>
    </w:p>
    <w:p w14:paraId="25BBBFB8" w14:textId="29AA2DE9" w:rsidR="006F2D9A" w:rsidRPr="000A2AB8" w:rsidRDefault="006F2D9A" w:rsidP="00073158">
      <w:pPr>
        <w:numPr>
          <w:ilvl w:val="0"/>
          <w:numId w:val="16"/>
        </w:numPr>
        <w:spacing w:after="160" w:line="259" w:lineRule="auto"/>
        <w:contextualSpacing/>
        <w:jc w:val="both"/>
        <w:rPr>
          <w:rFonts w:cstheme="minorHAnsi"/>
          <w:sz w:val="22"/>
          <w:szCs w:val="22"/>
        </w:rPr>
      </w:pPr>
      <w:r w:rsidRPr="000A2AB8">
        <w:rPr>
          <w:rFonts w:cstheme="minorHAnsi"/>
          <w:sz w:val="22"/>
          <w:szCs w:val="22"/>
        </w:rPr>
        <w:t>Train PwDs with digital skills though special education program</w:t>
      </w:r>
      <w:r>
        <w:rPr>
          <w:rFonts w:cstheme="minorHAnsi"/>
          <w:sz w:val="22"/>
          <w:szCs w:val="22"/>
        </w:rPr>
        <w:t>me</w:t>
      </w:r>
      <w:r w:rsidRPr="000A2AB8">
        <w:rPr>
          <w:rFonts w:cstheme="minorHAnsi"/>
          <w:sz w:val="22"/>
          <w:szCs w:val="22"/>
        </w:rPr>
        <w:t>s</w:t>
      </w:r>
    </w:p>
    <w:p w14:paraId="2EB6AFEA" w14:textId="77777777" w:rsidR="006F2D9A" w:rsidRDefault="006F2D9A" w:rsidP="006F2D9A">
      <w:pPr>
        <w:spacing w:after="160" w:line="259" w:lineRule="auto"/>
        <w:jc w:val="both"/>
        <w:rPr>
          <w:rFonts w:asciiTheme="majorHAnsi" w:eastAsiaTheme="majorEastAsia" w:hAnsiTheme="majorHAnsi" w:cstheme="majorBidi"/>
          <w:color w:val="2F5496" w:themeColor="accent1" w:themeShade="BF"/>
          <w:sz w:val="26"/>
          <w:szCs w:val="26"/>
        </w:rPr>
      </w:pPr>
      <w:bookmarkStart w:id="30" w:name="_Toc103592128"/>
    </w:p>
    <w:p w14:paraId="31877515" w14:textId="2A1244AE" w:rsidR="006F2D9A" w:rsidRPr="00273C67" w:rsidRDefault="00BE1B2C" w:rsidP="006F2D9A">
      <w:pPr>
        <w:spacing w:after="160" w:line="259" w:lineRule="auto"/>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w:t>
      </w:r>
      <w:r w:rsidR="006F2D9A" w:rsidRPr="00273C67">
        <w:rPr>
          <w:rFonts w:asciiTheme="majorHAnsi" w:eastAsiaTheme="majorEastAsia" w:hAnsiTheme="majorHAnsi" w:cstheme="majorBidi"/>
          <w:color w:val="2F5496" w:themeColor="accent1" w:themeShade="BF"/>
          <w:sz w:val="26"/>
          <w:szCs w:val="26"/>
        </w:rPr>
        <w:t>.2 Inclusion of PwDs in the world of work and the society through adequate data and accessibility measures</w:t>
      </w:r>
    </w:p>
    <w:p w14:paraId="34A36EA3" w14:textId="186479BE" w:rsidR="006F2D9A" w:rsidRPr="00273C67" w:rsidRDefault="00BE1B2C" w:rsidP="006F2D9A">
      <w:pPr>
        <w:spacing w:after="160" w:line="259" w:lineRule="auto"/>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w:t>
      </w:r>
      <w:r w:rsidR="006F2D9A" w:rsidRPr="00273C67">
        <w:rPr>
          <w:rFonts w:asciiTheme="majorHAnsi" w:eastAsiaTheme="majorEastAsia" w:hAnsiTheme="majorHAnsi" w:cstheme="majorBidi"/>
          <w:color w:val="2F5496" w:themeColor="accent1" w:themeShade="BF"/>
          <w:sz w:val="26"/>
          <w:szCs w:val="26"/>
        </w:rPr>
        <w:t>.2.1 Consideration of the Diversity of Disability</w:t>
      </w:r>
      <w:bookmarkEnd w:id="30"/>
    </w:p>
    <w:p w14:paraId="7CD82C0B" w14:textId="77777777" w:rsidR="006F2D9A" w:rsidRPr="000A2AB8" w:rsidRDefault="006F2D9A" w:rsidP="00073158">
      <w:pPr>
        <w:numPr>
          <w:ilvl w:val="0"/>
          <w:numId w:val="13"/>
        </w:numPr>
        <w:spacing w:after="160" w:line="259" w:lineRule="auto"/>
        <w:ind w:left="1080" w:hanging="720"/>
        <w:jc w:val="both"/>
        <w:rPr>
          <w:rFonts w:cstheme="minorHAnsi"/>
          <w:sz w:val="22"/>
          <w:szCs w:val="22"/>
        </w:rPr>
      </w:pPr>
      <w:r w:rsidRPr="000A2AB8">
        <w:rPr>
          <w:rFonts w:cstheme="minorHAnsi"/>
          <w:sz w:val="22"/>
          <w:szCs w:val="22"/>
        </w:rPr>
        <w:t xml:space="preserve">In the Report, we considered the different types of disabilities, as a basis to </w:t>
      </w:r>
      <w:r w:rsidRPr="000A2AB8">
        <w:rPr>
          <w:rFonts w:cstheme="minorHAnsi"/>
          <w:i/>
          <w:iCs/>
          <w:sz w:val="22"/>
          <w:szCs w:val="22"/>
        </w:rPr>
        <w:t>identify and remove barriers</w:t>
      </w:r>
      <w:r w:rsidRPr="000A2AB8">
        <w:rPr>
          <w:rFonts w:cstheme="minorHAnsi"/>
          <w:sz w:val="22"/>
          <w:szCs w:val="22"/>
        </w:rPr>
        <w:t xml:space="preserve"> such as physical, communication, and attitudinal, that hamper individuals’ ability to have full participation in society, the same as people without disabilities. (pp.</w:t>
      </w:r>
      <w:r>
        <w:rPr>
          <w:rFonts w:cstheme="minorHAnsi"/>
          <w:sz w:val="22"/>
          <w:szCs w:val="22"/>
        </w:rPr>
        <w:t>11</w:t>
      </w:r>
      <w:r w:rsidRPr="000A2AB8">
        <w:rPr>
          <w:rFonts w:cstheme="minorHAnsi"/>
          <w:sz w:val="22"/>
          <w:szCs w:val="22"/>
        </w:rPr>
        <w:t>-</w:t>
      </w:r>
      <w:r>
        <w:rPr>
          <w:rFonts w:cstheme="minorHAnsi"/>
          <w:sz w:val="22"/>
          <w:szCs w:val="22"/>
        </w:rPr>
        <w:t>14</w:t>
      </w:r>
      <w:r w:rsidRPr="000A2AB8">
        <w:rPr>
          <w:rFonts w:cstheme="minorHAnsi"/>
          <w:sz w:val="22"/>
          <w:szCs w:val="22"/>
        </w:rPr>
        <w:t>)</w:t>
      </w:r>
    </w:p>
    <w:p w14:paraId="0C1E911E"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Many of the European countries’ strategies analysed takes account of the diversity of disability, and the utility to promote an intersectional perspective, addressing specific barriers faced by PwDs who are at the intersection of identities (gender, racial, ethnic, sexual, religious), or in a difficult socioeconomic or other vulnerable situation. Among PwDs, women, children, older persons, homeless persons, refugees, migrants, and other ethnic minorities need particular attention. This diversity needs to be reflected in the statistics of the country. </w:t>
      </w:r>
    </w:p>
    <w:p w14:paraId="0BB1EDC4"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w:t>
      </w:r>
      <w:r w:rsidRPr="000A2AB8">
        <w:rPr>
          <w:rFonts w:cstheme="minorHAnsi"/>
          <w:sz w:val="22"/>
          <w:szCs w:val="22"/>
        </w:rPr>
        <w:t xml:space="preserve"> is: </w:t>
      </w:r>
    </w:p>
    <w:p w14:paraId="43FB1EB7" w14:textId="56C6079C" w:rsidR="006F2D9A" w:rsidRPr="000A2AB8" w:rsidRDefault="006F2D9A" w:rsidP="00073158">
      <w:pPr>
        <w:numPr>
          <w:ilvl w:val="0"/>
          <w:numId w:val="23"/>
        </w:numPr>
        <w:spacing w:after="160" w:line="259" w:lineRule="auto"/>
        <w:contextualSpacing/>
        <w:jc w:val="both"/>
        <w:rPr>
          <w:rFonts w:cstheme="minorHAnsi"/>
          <w:sz w:val="22"/>
          <w:szCs w:val="22"/>
        </w:rPr>
      </w:pPr>
      <w:bookmarkStart w:id="31" w:name="_Hlk106266268"/>
      <w:r w:rsidRPr="000A2AB8">
        <w:rPr>
          <w:rFonts w:cstheme="minorHAnsi"/>
          <w:sz w:val="22"/>
          <w:szCs w:val="22"/>
        </w:rPr>
        <w:t xml:space="preserve">Enable better, more focused policies to be developed, design a statistical information system which covers the full diversity of disability (long-term physical, mental, intellectual or sensory impairments); </w:t>
      </w:r>
      <w:r w:rsidR="00813A9C">
        <w:rPr>
          <w:rFonts w:cstheme="minorHAnsi"/>
          <w:sz w:val="22"/>
          <w:szCs w:val="22"/>
        </w:rPr>
        <w:t xml:space="preserve">and </w:t>
      </w:r>
      <w:r w:rsidRPr="000A2AB8">
        <w:rPr>
          <w:rFonts w:cstheme="minorHAnsi"/>
          <w:sz w:val="22"/>
          <w:szCs w:val="22"/>
        </w:rPr>
        <w:t>personal</w:t>
      </w:r>
      <w:r w:rsidR="00813A9C">
        <w:rPr>
          <w:rFonts w:cstheme="minorHAnsi"/>
          <w:sz w:val="22"/>
          <w:szCs w:val="22"/>
        </w:rPr>
        <w:t>/circumstantial</w:t>
      </w:r>
      <w:r w:rsidRPr="000A2AB8">
        <w:rPr>
          <w:rFonts w:cstheme="minorHAnsi"/>
          <w:sz w:val="22"/>
          <w:szCs w:val="22"/>
        </w:rPr>
        <w:t xml:space="preserve"> identification (gender, age, homelessness, refugees/migrants).  </w:t>
      </w:r>
    </w:p>
    <w:bookmarkEnd w:id="31"/>
    <w:p w14:paraId="13D63A42" w14:textId="77777777" w:rsidR="006F2D9A" w:rsidRPr="000A2AB8" w:rsidRDefault="006F2D9A" w:rsidP="006F2D9A">
      <w:pPr>
        <w:spacing w:after="160" w:line="259" w:lineRule="auto"/>
        <w:ind w:left="720"/>
        <w:contextualSpacing/>
        <w:jc w:val="both"/>
        <w:rPr>
          <w:rFonts w:cstheme="minorHAnsi"/>
          <w:sz w:val="22"/>
          <w:szCs w:val="22"/>
        </w:rPr>
      </w:pPr>
    </w:p>
    <w:p w14:paraId="1C85BF69" w14:textId="22B8C0B3" w:rsidR="006F2D9A" w:rsidRPr="00273C67" w:rsidRDefault="00BE1B2C" w:rsidP="006F2D9A">
      <w:pPr>
        <w:spacing w:after="160" w:line="259" w:lineRule="auto"/>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w:t>
      </w:r>
      <w:r w:rsidR="006F2D9A" w:rsidRPr="00273C67">
        <w:rPr>
          <w:rFonts w:asciiTheme="majorHAnsi" w:eastAsiaTheme="majorEastAsia" w:hAnsiTheme="majorHAnsi" w:cstheme="majorBidi"/>
          <w:color w:val="2F5496" w:themeColor="accent1" w:themeShade="BF"/>
          <w:sz w:val="26"/>
          <w:szCs w:val="26"/>
        </w:rPr>
        <w:t>.2.2. Definition, Categorisation and Data Collection of PwDs to facilitate analysis and policies to include PwDs</w:t>
      </w:r>
    </w:p>
    <w:p w14:paraId="520CD2EB" w14:textId="77777777" w:rsidR="006F2D9A" w:rsidRDefault="006F2D9A" w:rsidP="006F2D9A">
      <w:pPr>
        <w:spacing w:after="160" w:line="259" w:lineRule="auto"/>
        <w:jc w:val="both"/>
        <w:rPr>
          <w:rFonts w:cstheme="minorHAnsi"/>
          <w:sz w:val="22"/>
          <w:szCs w:val="22"/>
        </w:rPr>
      </w:pPr>
      <w:r>
        <w:rPr>
          <w:rFonts w:cstheme="minorHAnsi"/>
          <w:sz w:val="22"/>
          <w:szCs w:val="22"/>
        </w:rPr>
        <w:t>Definitions of ILO, WHO and UN are included and analysed with the definitions that exists in Turkey legislation (p.10-11)</w:t>
      </w:r>
    </w:p>
    <w:p w14:paraId="51046EEA"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lastRenderedPageBreak/>
        <w:t xml:space="preserve">During the Pre-Study Workshop, there were very important comments from stakeholders:  </w:t>
      </w:r>
    </w:p>
    <w:p w14:paraId="321FF647" w14:textId="77777777" w:rsidR="006F2D9A" w:rsidRPr="000A2AB8" w:rsidRDefault="006F2D9A" w:rsidP="00073158">
      <w:pPr>
        <w:numPr>
          <w:ilvl w:val="0"/>
          <w:numId w:val="14"/>
        </w:numPr>
        <w:spacing w:after="160" w:line="259" w:lineRule="auto"/>
        <w:ind w:left="360"/>
        <w:jc w:val="both"/>
        <w:rPr>
          <w:rFonts w:cstheme="minorHAnsi"/>
          <w:sz w:val="22"/>
          <w:szCs w:val="22"/>
        </w:rPr>
      </w:pPr>
      <w:r w:rsidRPr="000A2AB8">
        <w:rPr>
          <w:rFonts w:cstheme="minorHAnsi"/>
          <w:sz w:val="22"/>
          <w:szCs w:val="22"/>
        </w:rPr>
        <w:t>While establishing the registration systems of institutions and organisations, a standard   definition may be developed, ensuring a unique communication between the database of the institutions involved;</w:t>
      </w:r>
    </w:p>
    <w:p w14:paraId="0F37D185" w14:textId="77777777" w:rsidR="006F2D9A" w:rsidRPr="000A2AB8" w:rsidRDefault="006F2D9A" w:rsidP="00073158">
      <w:pPr>
        <w:numPr>
          <w:ilvl w:val="0"/>
          <w:numId w:val="14"/>
        </w:numPr>
        <w:spacing w:after="160" w:line="259" w:lineRule="auto"/>
        <w:ind w:left="360"/>
        <w:jc w:val="both"/>
        <w:rPr>
          <w:rFonts w:cstheme="minorHAnsi"/>
          <w:sz w:val="22"/>
          <w:szCs w:val="22"/>
        </w:rPr>
      </w:pPr>
      <w:r w:rsidRPr="000A2AB8">
        <w:rPr>
          <w:rFonts w:cstheme="minorHAnsi"/>
          <w:sz w:val="22"/>
          <w:szCs w:val="22"/>
        </w:rPr>
        <w:t>It was discussed that business lines that will increase the employment of PwDs may be researched with the goal of increase job opportunities accordingly. Disability types and definitions may be improved and be available for the development of business lines according to disability types, and these records might be managed from a central database.</w:t>
      </w:r>
    </w:p>
    <w:p w14:paraId="6B6D98FB"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w:t>
      </w:r>
      <w:r w:rsidRPr="000A2AB8">
        <w:rPr>
          <w:rFonts w:cstheme="minorHAnsi"/>
          <w:sz w:val="22"/>
          <w:szCs w:val="22"/>
        </w:rPr>
        <w:t xml:space="preserve"> is: </w:t>
      </w:r>
    </w:p>
    <w:p w14:paraId="6692C1D4" w14:textId="77777777" w:rsidR="006F2D9A" w:rsidRPr="000A2AB8" w:rsidRDefault="006F2D9A" w:rsidP="00073158">
      <w:pPr>
        <w:numPr>
          <w:ilvl w:val="0"/>
          <w:numId w:val="23"/>
        </w:numPr>
        <w:spacing w:after="160" w:line="259" w:lineRule="auto"/>
        <w:contextualSpacing/>
        <w:jc w:val="both"/>
        <w:rPr>
          <w:rFonts w:cstheme="minorHAnsi"/>
          <w:sz w:val="22"/>
          <w:szCs w:val="22"/>
        </w:rPr>
      </w:pPr>
      <w:bookmarkStart w:id="32" w:name="_Hlk106266295"/>
      <w:r w:rsidRPr="000A2AB8">
        <w:rPr>
          <w:rFonts w:cstheme="minorHAnsi"/>
          <w:sz w:val="22"/>
          <w:szCs w:val="22"/>
        </w:rPr>
        <w:t>Establish a common database for PwDs with common definitions.</w:t>
      </w:r>
      <w:bookmarkEnd w:id="32"/>
    </w:p>
    <w:p w14:paraId="2722CA8B" w14:textId="77777777" w:rsidR="006F2D9A" w:rsidRDefault="006F2D9A" w:rsidP="006F2D9A">
      <w:pPr>
        <w:spacing w:after="160" w:line="259" w:lineRule="auto"/>
        <w:jc w:val="both"/>
        <w:rPr>
          <w:rFonts w:cstheme="minorHAnsi"/>
          <w:sz w:val="22"/>
          <w:szCs w:val="22"/>
        </w:rPr>
      </w:pPr>
    </w:p>
    <w:p w14:paraId="7CC0F8E1"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comments of stakeholders during the Post-Study Workshop can be summarised as follows: </w:t>
      </w:r>
    </w:p>
    <w:p w14:paraId="1218CD65" w14:textId="77777777" w:rsidR="006F2D9A" w:rsidRPr="000A2AB8" w:rsidRDefault="006F2D9A" w:rsidP="00073158">
      <w:pPr>
        <w:numPr>
          <w:ilvl w:val="0"/>
          <w:numId w:val="22"/>
        </w:numPr>
        <w:spacing w:after="160" w:line="259" w:lineRule="auto"/>
        <w:contextualSpacing/>
        <w:jc w:val="both"/>
        <w:rPr>
          <w:rFonts w:cstheme="minorHAnsi"/>
          <w:sz w:val="22"/>
          <w:szCs w:val="22"/>
        </w:rPr>
      </w:pPr>
      <w:r w:rsidRPr="000A2AB8">
        <w:rPr>
          <w:rFonts w:cstheme="minorHAnsi"/>
          <w:sz w:val="22"/>
          <w:szCs w:val="22"/>
        </w:rPr>
        <w:t>Significant differences in the definitions used while measuring the prevalence rate makes national comparisons challenging. For the FoW, it is needed to have common definitions and a common database (with a gender perspective);</w:t>
      </w:r>
    </w:p>
    <w:p w14:paraId="5C8C66B1" w14:textId="77777777" w:rsidR="006F2D9A" w:rsidRPr="000A2AB8" w:rsidRDefault="006F2D9A" w:rsidP="00073158">
      <w:pPr>
        <w:numPr>
          <w:ilvl w:val="0"/>
          <w:numId w:val="22"/>
        </w:numPr>
        <w:spacing w:after="160" w:line="259" w:lineRule="auto"/>
        <w:contextualSpacing/>
        <w:jc w:val="both"/>
        <w:rPr>
          <w:rFonts w:cstheme="minorHAnsi"/>
          <w:sz w:val="22"/>
          <w:szCs w:val="22"/>
        </w:rPr>
      </w:pPr>
      <w:r w:rsidRPr="000A2AB8">
        <w:rPr>
          <w:rFonts w:cstheme="minorHAnsi"/>
          <w:sz w:val="22"/>
          <w:szCs w:val="22"/>
        </w:rPr>
        <w:t xml:space="preserve">A data system for PwDs is an approach that forces people to declare their disability, and obtain resources; </w:t>
      </w:r>
    </w:p>
    <w:p w14:paraId="114C8DB0" w14:textId="77777777" w:rsidR="006F2D9A" w:rsidRPr="000A2AB8" w:rsidRDefault="006F2D9A" w:rsidP="00073158">
      <w:pPr>
        <w:numPr>
          <w:ilvl w:val="0"/>
          <w:numId w:val="22"/>
        </w:numPr>
        <w:spacing w:after="160" w:line="259" w:lineRule="auto"/>
        <w:contextualSpacing/>
        <w:jc w:val="both"/>
        <w:rPr>
          <w:rFonts w:cstheme="minorHAnsi"/>
          <w:sz w:val="22"/>
          <w:szCs w:val="22"/>
        </w:rPr>
      </w:pPr>
      <w:r w:rsidRPr="000A2AB8">
        <w:rPr>
          <w:rFonts w:cstheme="minorHAnsi"/>
          <w:sz w:val="22"/>
          <w:szCs w:val="22"/>
        </w:rPr>
        <w:t>In our country, there is still no clear data on the number of disabled people regarding the collection of statistical data since 2005, when the Law No. 5378 on the Disabled came into force. There is no data indicating the disability status (mental, physical, mental, etc.) and the personal status (age, gender, etc.) of the disabled;</w:t>
      </w:r>
    </w:p>
    <w:p w14:paraId="40E4564E" w14:textId="77777777" w:rsidR="006F2D9A" w:rsidRPr="000A2AB8" w:rsidRDefault="006F2D9A" w:rsidP="00073158">
      <w:pPr>
        <w:numPr>
          <w:ilvl w:val="0"/>
          <w:numId w:val="22"/>
        </w:numPr>
        <w:spacing w:after="160" w:line="259" w:lineRule="auto"/>
        <w:contextualSpacing/>
        <w:jc w:val="both"/>
        <w:rPr>
          <w:rFonts w:cstheme="minorHAnsi"/>
          <w:sz w:val="22"/>
          <w:szCs w:val="22"/>
        </w:rPr>
      </w:pPr>
      <w:r w:rsidRPr="000A2AB8">
        <w:rPr>
          <w:rFonts w:cstheme="minorHAnsi"/>
          <w:sz w:val="22"/>
          <w:szCs w:val="22"/>
        </w:rPr>
        <w:t xml:space="preserve">Through the Governorships and District Governorates of the central organization of the Ministry of Interior, the disabled individuals and the personal status of the disabled people, etc. from the relevant neighbourhood and village mukhtars. It is considered that it will be beneficial for the disabled to carry out studies to collect detailed information about the subject and to share this study with the public through TUIK and to update the data periodically (6 months, 1 year, etc.) in terms of adapting to the jobs of the future. </w:t>
      </w:r>
    </w:p>
    <w:p w14:paraId="12CFBF1D" w14:textId="77777777" w:rsidR="006F2D9A" w:rsidRDefault="006F2D9A" w:rsidP="006F2D9A">
      <w:pPr>
        <w:spacing w:after="160" w:line="259" w:lineRule="auto"/>
        <w:jc w:val="both"/>
        <w:rPr>
          <w:rFonts w:asciiTheme="majorHAnsi" w:eastAsiaTheme="majorEastAsia" w:hAnsiTheme="majorHAnsi" w:cstheme="majorBidi"/>
          <w:color w:val="2F5496" w:themeColor="accent1" w:themeShade="BF"/>
          <w:sz w:val="26"/>
          <w:szCs w:val="26"/>
        </w:rPr>
      </w:pPr>
    </w:p>
    <w:p w14:paraId="46E367AB" w14:textId="7A5077AF" w:rsidR="006F2D9A" w:rsidRPr="00273C67" w:rsidRDefault="00BE1B2C" w:rsidP="006F2D9A">
      <w:pPr>
        <w:spacing w:after="160" w:line="259" w:lineRule="auto"/>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w:t>
      </w:r>
      <w:r w:rsidR="006F2D9A" w:rsidRPr="00273C67">
        <w:rPr>
          <w:rFonts w:asciiTheme="majorHAnsi" w:eastAsiaTheme="majorEastAsia" w:hAnsiTheme="majorHAnsi" w:cstheme="majorBidi"/>
          <w:color w:val="2F5496" w:themeColor="accent1" w:themeShade="BF"/>
          <w:sz w:val="26"/>
          <w:szCs w:val="26"/>
        </w:rPr>
        <w:t xml:space="preserve">.3. Universal </w:t>
      </w:r>
      <w:r w:rsidR="006F2D9A">
        <w:rPr>
          <w:rFonts w:asciiTheme="majorHAnsi" w:eastAsiaTheme="majorEastAsia" w:hAnsiTheme="majorHAnsi" w:cstheme="majorBidi"/>
          <w:color w:val="2F5496" w:themeColor="accent1" w:themeShade="BF"/>
          <w:sz w:val="26"/>
          <w:szCs w:val="26"/>
        </w:rPr>
        <w:t>D</w:t>
      </w:r>
      <w:r w:rsidR="006F2D9A" w:rsidRPr="00273C67">
        <w:rPr>
          <w:rFonts w:asciiTheme="majorHAnsi" w:eastAsiaTheme="majorEastAsia" w:hAnsiTheme="majorHAnsi" w:cstheme="majorBidi"/>
          <w:color w:val="2F5496" w:themeColor="accent1" w:themeShade="BF"/>
          <w:sz w:val="26"/>
          <w:szCs w:val="26"/>
        </w:rPr>
        <w:t xml:space="preserve">esign that </w:t>
      </w:r>
      <w:r w:rsidR="006F2D9A">
        <w:rPr>
          <w:rFonts w:asciiTheme="majorHAnsi" w:eastAsiaTheme="majorEastAsia" w:hAnsiTheme="majorHAnsi" w:cstheme="majorBidi"/>
          <w:color w:val="2F5496" w:themeColor="accent1" w:themeShade="BF"/>
          <w:sz w:val="26"/>
          <w:szCs w:val="26"/>
        </w:rPr>
        <w:t>F</w:t>
      </w:r>
      <w:r w:rsidR="006F2D9A" w:rsidRPr="00273C67">
        <w:rPr>
          <w:rFonts w:asciiTheme="majorHAnsi" w:eastAsiaTheme="majorEastAsia" w:hAnsiTheme="majorHAnsi" w:cstheme="majorBidi"/>
          <w:color w:val="2F5496" w:themeColor="accent1" w:themeShade="BF"/>
          <w:sz w:val="26"/>
          <w:szCs w:val="26"/>
        </w:rPr>
        <w:t>acilitates Transport and Accessibility of PwDs in the World of Work and the Society</w:t>
      </w:r>
    </w:p>
    <w:p w14:paraId="1D0CE470"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As we mentioned</w:t>
      </w:r>
      <w:r>
        <w:rPr>
          <w:rFonts w:cstheme="minorHAnsi"/>
          <w:sz w:val="22"/>
          <w:szCs w:val="22"/>
        </w:rPr>
        <w:t xml:space="preserve"> earlier, </w:t>
      </w:r>
      <w:r w:rsidRPr="000A2AB8">
        <w:rPr>
          <w:rFonts w:cstheme="minorHAnsi"/>
          <w:sz w:val="22"/>
          <w:szCs w:val="22"/>
        </w:rPr>
        <w:t>there are many initiatives such as Accessible EU, a centre to increase coherence in accessibility policies and facilitate access to relevant knowledge (p.10)</w:t>
      </w:r>
      <w:r>
        <w:rPr>
          <w:rFonts w:cstheme="minorHAnsi"/>
          <w:sz w:val="22"/>
          <w:szCs w:val="22"/>
        </w:rPr>
        <w:t>.</w:t>
      </w:r>
    </w:p>
    <w:p w14:paraId="12A463F3"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During the Pre-Study Workshop, stakeholders suggested: </w:t>
      </w:r>
    </w:p>
    <w:p w14:paraId="479B0ACA" w14:textId="77777777" w:rsidR="006F2D9A" w:rsidRPr="000A2AB8" w:rsidRDefault="006F2D9A" w:rsidP="00073158">
      <w:pPr>
        <w:numPr>
          <w:ilvl w:val="0"/>
          <w:numId w:val="20"/>
        </w:numPr>
        <w:spacing w:after="160" w:line="259" w:lineRule="auto"/>
        <w:ind w:left="360"/>
        <w:contextualSpacing/>
        <w:jc w:val="both"/>
        <w:rPr>
          <w:rFonts w:cstheme="minorHAnsi"/>
          <w:sz w:val="22"/>
          <w:szCs w:val="22"/>
        </w:rPr>
      </w:pPr>
      <w:r w:rsidRPr="000A2AB8">
        <w:rPr>
          <w:rFonts w:cstheme="minorHAnsi"/>
          <w:sz w:val="22"/>
          <w:szCs w:val="22"/>
        </w:rPr>
        <w:t xml:space="preserve">Another important issue for PwDs employment growth is the physical access of PwDs to the work environment. Accessibility is the responsibility of both local and central governments to take the necessary measures for PwDs to be integrated in social environments. Accessibility in the work environment is the responsibility of the employer, who needs to comply with legal regulations, after PwDs have access to the </w:t>
      </w:r>
      <w:r w:rsidRPr="000A2AB8">
        <w:rPr>
          <w:rFonts w:cstheme="minorHAnsi"/>
          <w:sz w:val="22"/>
          <w:szCs w:val="22"/>
        </w:rPr>
        <w:lastRenderedPageBreak/>
        <w:t>physical work environment.  It is also among the duties of local and central administrations to ensure that companies guarantee that working environments are accessible to all people, carrying out the necessary and permanent controls according to the legislation, taking the necessary measures in case of non-compliance.</w:t>
      </w:r>
    </w:p>
    <w:p w14:paraId="21F9B2FD" w14:textId="77777777" w:rsidR="006F2D9A" w:rsidRDefault="006F2D9A" w:rsidP="006F2D9A">
      <w:pPr>
        <w:spacing w:after="160" w:line="259" w:lineRule="auto"/>
        <w:jc w:val="both"/>
        <w:rPr>
          <w:rFonts w:cstheme="minorHAnsi"/>
          <w:sz w:val="22"/>
          <w:szCs w:val="22"/>
        </w:rPr>
      </w:pPr>
    </w:p>
    <w:p w14:paraId="035451F4"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w:t>
      </w:r>
      <w:r w:rsidRPr="000A2AB8">
        <w:rPr>
          <w:rFonts w:cstheme="minorHAnsi"/>
          <w:sz w:val="22"/>
          <w:szCs w:val="22"/>
        </w:rPr>
        <w:t xml:space="preserve"> is: </w:t>
      </w:r>
    </w:p>
    <w:p w14:paraId="54D8C067" w14:textId="77777777" w:rsidR="006F2D9A" w:rsidRPr="000A2AB8" w:rsidRDefault="006F2D9A" w:rsidP="00073158">
      <w:pPr>
        <w:numPr>
          <w:ilvl w:val="0"/>
          <w:numId w:val="23"/>
        </w:numPr>
        <w:spacing w:after="160" w:line="259" w:lineRule="auto"/>
        <w:contextualSpacing/>
        <w:jc w:val="both"/>
        <w:rPr>
          <w:rFonts w:cstheme="minorHAnsi"/>
          <w:sz w:val="22"/>
          <w:szCs w:val="22"/>
        </w:rPr>
      </w:pPr>
      <w:bookmarkStart w:id="33" w:name="_Hlk106266320"/>
      <w:r w:rsidRPr="000A2AB8">
        <w:rPr>
          <w:rFonts w:cstheme="minorHAnsi"/>
          <w:sz w:val="22"/>
          <w:szCs w:val="22"/>
        </w:rPr>
        <w:t>Ensure full enforcement of PwDs accessibility in all places open to the public and all workplaces, including consideration of current forms of sanctions for non-compliance.</w:t>
      </w:r>
    </w:p>
    <w:p w14:paraId="1A5A0331" w14:textId="77777777" w:rsidR="006F2D9A" w:rsidRDefault="006F2D9A" w:rsidP="006F2D9A">
      <w:pPr>
        <w:spacing w:after="160" w:line="259" w:lineRule="auto"/>
        <w:jc w:val="both"/>
        <w:rPr>
          <w:rFonts w:cstheme="minorHAnsi"/>
          <w:sz w:val="22"/>
          <w:szCs w:val="22"/>
        </w:rPr>
      </w:pPr>
      <w:bookmarkStart w:id="34" w:name="_Toc103592129"/>
      <w:bookmarkEnd w:id="33"/>
    </w:p>
    <w:p w14:paraId="0A393C21"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comments of the stakeholders during the Post-Study workshop can be summarised as follows: </w:t>
      </w:r>
    </w:p>
    <w:p w14:paraId="50C482D9" w14:textId="77777777" w:rsidR="006F2D9A" w:rsidRPr="000A2AB8" w:rsidRDefault="006F2D9A" w:rsidP="00073158">
      <w:pPr>
        <w:numPr>
          <w:ilvl w:val="0"/>
          <w:numId w:val="20"/>
        </w:numPr>
        <w:spacing w:after="160" w:line="259" w:lineRule="auto"/>
        <w:ind w:left="360"/>
        <w:contextualSpacing/>
        <w:jc w:val="both"/>
        <w:rPr>
          <w:rFonts w:cstheme="minorHAnsi"/>
          <w:sz w:val="22"/>
          <w:szCs w:val="22"/>
        </w:rPr>
      </w:pPr>
      <w:r w:rsidRPr="000A2AB8">
        <w:rPr>
          <w:rFonts w:cstheme="minorHAnsi"/>
          <w:sz w:val="22"/>
          <w:szCs w:val="22"/>
        </w:rPr>
        <w:t xml:space="preserve">Remove Accessibility barriers in built environments, transport, products and services; </w:t>
      </w:r>
    </w:p>
    <w:p w14:paraId="1DDC95E7" w14:textId="77777777" w:rsidR="006F2D9A" w:rsidRPr="000A2AB8" w:rsidRDefault="006F2D9A" w:rsidP="00073158">
      <w:pPr>
        <w:numPr>
          <w:ilvl w:val="0"/>
          <w:numId w:val="20"/>
        </w:numPr>
        <w:spacing w:after="160" w:line="259" w:lineRule="auto"/>
        <w:ind w:left="360"/>
        <w:contextualSpacing/>
        <w:jc w:val="both"/>
        <w:rPr>
          <w:rFonts w:cstheme="minorHAnsi"/>
          <w:sz w:val="22"/>
          <w:szCs w:val="22"/>
        </w:rPr>
      </w:pPr>
      <w:r w:rsidRPr="000A2AB8">
        <w:rPr>
          <w:rFonts w:cstheme="minorHAnsi"/>
          <w:sz w:val="22"/>
          <w:szCs w:val="22"/>
        </w:rPr>
        <w:t>Adequate provision of workplace adjustments;</w:t>
      </w:r>
    </w:p>
    <w:p w14:paraId="326F74F1" w14:textId="77777777" w:rsidR="006F2D9A" w:rsidRPr="000A2AB8" w:rsidRDefault="006F2D9A" w:rsidP="00073158">
      <w:pPr>
        <w:numPr>
          <w:ilvl w:val="0"/>
          <w:numId w:val="20"/>
        </w:numPr>
        <w:spacing w:after="160" w:line="259" w:lineRule="auto"/>
        <w:ind w:left="360"/>
        <w:contextualSpacing/>
        <w:jc w:val="both"/>
        <w:rPr>
          <w:rFonts w:cstheme="minorHAnsi"/>
          <w:sz w:val="22"/>
          <w:szCs w:val="22"/>
        </w:rPr>
      </w:pPr>
      <w:r w:rsidRPr="000A2AB8">
        <w:rPr>
          <w:rFonts w:cstheme="minorHAnsi"/>
          <w:sz w:val="22"/>
          <w:szCs w:val="22"/>
        </w:rPr>
        <w:t>Include language as a barrier (discriminatory language should not be used);</w:t>
      </w:r>
    </w:p>
    <w:p w14:paraId="78E619F7" w14:textId="77777777" w:rsidR="006F2D9A" w:rsidRDefault="006F2D9A" w:rsidP="00073158">
      <w:pPr>
        <w:numPr>
          <w:ilvl w:val="0"/>
          <w:numId w:val="20"/>
        </w:numPr>
        <w:spacing w:after="160" w:line="259" w:lineRule="auto"/>
        <w:ind w:left="360"/>
        <w:contextualSpacing/>
        <w:jc w:val="both"/>
        <w:rPr>
          <w:rFonts w:cstheme="minorHAnsi"/>
          <w:sz w:val="22"/>
          <w:szCs w:val="22"/>
        </w:rPr>
      </w:pPr>
      <w:r w:rsidRPr="000A2AB8">
        <w:rPr>
          <w:rFonts w:cstheme="minorHAnsi"/>
          <w:sz w:val="22"/>
          <w:szCs w:val="22"/>
        </w:rPr>
        <w:t>Budgeting to improve access in public and private buildings and increase the urban transformation to include PwDs</w:t>
      </w:r>
    </w:p>
    <w:p w14:paraId="2E7EFF75" w14:textId="77777777" w:rsidR="006F2D9A" w:rsidRPr="000A2AB8" w:rsidRDefault="006F2D9A" w:rsidP="006F2D9A">
      <w:pPr>
        <w:spacing w:after="160" w:line="259" w:lineRule="auto"/>
        <w:ind w:left="360"/>
        <w:contextualSpacing/>
        <w:jc w:val="both"/>
        <w:rPr>
          <w:rFonts w:cstheme="minorHAnsi"/>
          <w:sz w:val="22"/>
          <w:szCs w:val="22"/>
        </w:rPr>
      </w:pPr>
    </w:p>
    <w:bookmarkEnd w:id="34"/>
    <w:p w14:paraId="591B068A" w14:textId="0CAA2F9B" w:rsidR="006F2D9A" w:rsidRPr="000A2AB8" w:rsidRDefault="006F2D9A" w:rsidP="006F2D9A">
      <w:pPr>
        <w:spacing w:after="160" w:line="259" w:lineRule="auto"/>
        <w:jc w:val="both"/>
        <w:rPr>
          <w:rFonts w:cstheme="minorHAnsi"/>
          <w:b/>
          <w:bCs/>
          <w:sz w:val="22"/>
          <w:szCs w:val="22"/>
        </w:rPr>
      </w:pPr>
      <w:r w:rsidRPr="000A2AB8">
        <w:rPr>
          <w:rFonts w:cstheme="minorHAnsi"/>
          <w:b/>
          <w:bCs/>
          <w:sz w:val="22"/>
          <w:szCs w:val="22"/>
        </w:rPr>
        <w:t xml:space="preserve"> </w:t>
      </w:r>
      <w:bookmarkStart w:id="35" w:name="_Toc103592137"/>
      <w:r w:rsidR="00BE1B2C">
        <w:rPr>
          <w:rFonts w:asciiTheme="majorHAnsi" w:eastAsiaTheme="majorEastAsia" w:hAnsiTheme="majorHAnsi" w:cstheme="majorBidi"/>
          <w:color w:val="2F5496" w:themeColor="accent1" w:themeShade="BF"/>
          <w:sz w:val="26"/>
          <w:szCs w:val="26"/>
        </w:rPr>
        <w:t>3</w:t>
      </w:r>
      <w:r w:rsidRPr="00273C67">
        <w:rPr>
          <w:rFonts w:asciiTheme="majorHAnsi" w:eastAsiaTheme="majorEastAsia" w:hAnsiTheme="majorHAnsi" w:cstheme="majorBidi"/>
          <w:color w:val="2F5496" w:themeColor="accent1" w:themeShade="BF"/>
          <w:sz w:val="26"/>
          <w:szCs w:val="26"/>
        </w:rPr>
        <w:t>.4.  Social Dialogue and Communication between Institutions</w:t>
      </w:r>
      <w:r w:rsidRPr="000A2AB8">
        <w:rPr>
          <w:rFonts w:cstheme="minorHAnsi"/>
          <w:b/>
          <w:bCs/>
          <w:sz w:val="22"/>
          <w:szCs w:val="22"/>
        </w:rPr>
        <w:t xml:space="preserve"> </w:t>
      </w:r>
    </w:p>
    <w:p w14:paraId="7CD6D091"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As we mentioned in the overview of this Report, there are some initiatives from the EU, such as “</w:t>
      </w:r>
      <w:r w:rsidRPr="000A2AB8">
        <w:rPr>
          <w:rFonts w:cstheme="minorHAnsi"/>
          <w:sz w:val="22"/>
          <w:szCs w:val="22"/>
          <w:lang w:val="en-US"/>
        </w:rPr>
        <w:t>Working Together”</w:t>
      </w:r>
      <w:r w:rsidRPr="000A2AB8">
        <w:rPr>
          <w:rFonts w:cstheme="minorHAnsi"/>
          <w:b/>
          <w:bCs/>
          <w:sz w:val="22"/>
          <w:szCs w:val="22"/>
          <w:lang w:val="en-US"/>
        </w:rPr>
        <w:t xml:space="preserve">, </w:t>
      </w:r>
      <w:r w:rsidRPr="000A2AB8">
        <w:rPr>
          <w:rFonts w:cstheme="minorHAnsi"/>
          <w:sz w:val="22"/>
          <w:szCs w:val="22"/>
          <w:lang w:val="en-US"/>
        </w:rPr>
        <w:t>which emphasize</w:t>
      </w:r>
      <w:r w:rsidRPr="000A2AB8">
        <w:rPr>
          <w:rFonts w:cstheme="minorHAnsi"/>
          <w:b/>
          <w:bCs/>
          <w:sz w:val="22"/>
          <w:szCs w:val="22"/>
          <w:lang w:val="en-US"/>
        </w:rPr>
        <w:t xml:space="preserve"> </w:t>
      </w:r>
      <w:r w:rsidRPr="000A2AB8">
        <w:rPr>
          <w:rFonts w:cstheme="minorHAnsi"/>
          <w:sz w:val="22"/>
          <w:szCs w:val="22"/>
          <w:lang w:val="en-US"/>
        </w:rPr>
        <w:t>the need for PwDs</w:t>
      </w:r>
      <w:r w:rsidRPr="000A2AB8">
        <w:rPr>
          <w:rFonts w:cstheme="minorHAnsi"/>
          <w:b/>
          <w:bCs/>
          <w:sz w:val="22"/>
          <w:szCs w:val="22"/>
          <w:lang w:val="en-US"/>
        </w:rPr>
        <w:t xml:space="preserve"> </w:t>
      </w:r>
      <w:r w:rsidRPr="000A2AB8">
        <w:rPr>
          <w:rFonts w:cstheme="minorHAnsi"/>
          <w:sz w:val="22"/>
          <w:szCs w:val="22"/>
          <w:lang w:val="en-US"/>
        </w:rPr>
        <w:t>to an active role in dialogues concerning their own interests. (p.10).</w:t>
      </w:r>
      <w:r w:rsidRPr="000A2AB8">
        <w:rPr>
          <w:rFonts w:cstheme="minorHAnsi"/>
          <w:sz w:val="22"/>
          <w:szCs w:val="22"/>
        </w:rPr>
        <w:t xml:space="preserve"> In the Report, we also mentioned the importance of working with different stakeholders, particularly with local authorities in the implementation of the UNCRPD (p. 10), and they are also mentioned as an activity of the   General Directorate of Services for PwDs and the Elderly (EYHGM) (p.30).</w:t>
      </w:r>
    </w:p>
    <w:p w14:paraId="580C5538"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An important recommendation of the participants in the Pre-Study Workshop is to carry out activities under the leadership of institutional structures in order to raise awareness in the society and eliminate prejudices. One possibility is to enhance the Provincial Employment and Vocational Education Board, to increase consultation and co-operation between the various actors involved</w:t>
      </w:r>
    </w:p>
    <w:bookmarkEnd w:id="35"/>
    <w:p w14:paraId="6C2E19A3"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Another relevant suggestion was the inclusion of the PwDs issues on the </w:t>
      </w:r>
      <w:r w:rsidRPr="000A2AB8">
        <w:rPr>
          <w:rFonts w:cstheme="minorHAnsi"/>
          <w:sz w:val="22"/>
          <w:szCs w:val="22"/>
          <w:lang w:val="en-US"/>
        </w:rPr>
        <w:t xml:space="preserve">Provincial Employment and Vocational Education Committees </w:t>
      </w:r>
      <w:r w:rsidRPr="000A2AB8">
        <w:rPr>
          <w:rFonts w:cstheme="minorHAnsi"/>
          <w:sz w:val="22"/>
          <w:szCs w:val="22"/>
        </w:rPr>
        <w:t>to follow the employment deficiencies and surpluses in the region and reveal employment opportunities according to the disability types and skill areas of the PwDs.</w:t>
      </w:r>
    </w:p>
    <w:p w14:paraId="3F9A6951"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are:</w:t>
      </w:r>
    </w:p>
    <w:p w14:paraId="21C71FDF"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Ensure the full application of the CRPD through the social involvement of many stakeholders (which is the first international convention explicitly including women with disabilities).</w:t>
      </w:r>
    </w:p>
    <w:p w14:paraId="6F1E6083" w14:textId="669A467D"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Ensure through the social dialogue that legislation and policies fully protect</w:t>
      </w:r>
      <w:r w:rsidR="00E56D14">
        <w:rPr>
          <w:rFonts w:cstheme="minorHAnsi"/>
          <w:sz w:val="22"/>
          <w:szCs w:val="22"/>
        </w:rPr>
        <w:t xml:space="preserve"> Women with Disabilities  (W</w:t>
      </w:r>
      <w:r w:rsidRPr="000A2AB8">
        <w:rPr>
          <w:rFonts w:cstheme="minorHAnsi"/>
          <w:sz w:val="22"/>
          <w:szCs w:val="22"/>
        </w:rPr>
        <w:t>wDs</w:t>
      </w:r>
      <w:r w:rsidR="00E56D14">
        <w:rPr>
          <w:rFonts w:cstheme="minorHAnsi"/>
          <w:sz w:val="22"/>
          <w:szCs w:val="22"/>
        </w:rPr>
        <w:t>)</w:t>
      </w:r>
      <w:r w:rsidRPr="000A2AB8">
        <w:rPr>
          <w:rFonts w:cstheme="minorHAnsi"/>
          <w:sz w:val="22"/>
          <w:szCs w:val="22"/>
        </w:rPr>
        <w:t>.</w:t>
      </w:r>
    </w:p>
    <w:p w14:paraId="7B696BC3"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Encourage local authorities as key actors to develop new strategies for the implement the UNCRPD involving all relevant stakeholders.</w:t>
      </w:r>
    </w:p>
    <w:p w14:paraId="16580084"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lastRenderedPageBreak/>
        <w:t>Include PwDs issues in the Provincial Employment and Vocational Education Committees to follow the employment deficiencies and surpluses in the region and reveal employment opportunities according to the disability types and skill areas of the PwDs.</w:t>
      </w:r>
    </w:p>
    <w:p w14:paraId="4918985A" w14:textId="77777777" w:rsidR="006F2D9A" w:rsidRPr="000A2AB8" w:rsidRDefault="006F2D9A" w:rsidP="006F2D9A">
      <w:pPr>
        <w:spacing w:after="160" w:line="259" w:lineRule="auto"/>
        <w:jc w:val="both"/>
        <w:rPr>
          <w:rFonts w:cstheme="minorHAnsi"/>
          <w:sz w:val="22"/>
          <w:szCs w:val="22"/>
        </w:rPr>
      </w:pPr>
      <w:bookmarkStart w:id="36" w:name="_Toc103592138"/>
      <w:r w:rsidRPr="000A2AB8">
        <w:rPr>
          <w:rFonts w:cstheme="minorHAnsi"/>
          <w:sz w:val="22"/>
          <w:szCs w:val="22"/>
        </w:rPr>
        <w:t>The comments of the stakeholders during the Post-Study Workshop can be summarised as follows:</w:t>
      </w:r>
    </w:p>
    <w:p w14:paraId="4F998AB6" w14:textId="77777777" w:rsidR="006F2D9A" w:rsidRPr="000A2AB8" w:rsidRDefault="006F2D9A" w:rsidP="00073158">
      <w:pPr>
        <w:numPr>
          <w:ilvl w:val="0"/>
          <w:numId w:val="21"/>
        </w:numPr>
        <w:spacing w:after="160" w:line="259" w:lineRule="auto"/>
        <w:ind w:left="360"/>
        <w:contextualSpacing/>
        <w:jc w:val="both"/>
        <w:rPr>
          <w:rFonts w:cstheme="minorHAnsi"/>
          <w:sz w:val="22"/>
          <w:szCs w:val="22"/>
        </w:rPr>
      </w:pPr>
      <w:r w:rsidRPr="000A2AB8">
        <w:rPr>
          <w:rFonts w:cstheme="minorHAnsi"/>
          <w:sz w:val="22"/>
          <w:szCs w:val="22"/>
        </w:rPr>
        <w:t>The social dialogue allows to establish cooperation between the stakeholders.</w:t>
      </w:r>
    </w:p>
    <w:p w14:paraId="506B5609" w14:textId="77777777" w:rsidR="006F2D9A" w:rsidRDefault="006F2D9A" w:rsidP="006F2D9A">
      <w:pPr>
        <w:spacing w:after="160" w:line="259" w:lineRule="auto"/>
        <w:jc w:val="both"/>
        <w:rPr>
          <w:rFonts w:asciiTheme="majorHAnsi" w:eastAsiaTheme="majorEastAsia" w:hAnsiTheme="majorHAnsi" w:cstheme="majorBidi"/>
          <w:color w:val="2F5496" w:themeColor="accent1" w:themeShade="BF"/>
          <w:sz w:val="26"/>
          <w:szCs w:val="26"/>
        </w:rPr>
      </w:pPr>
    </w:p>
    <w:p w14:paraId="40D08304" w14:textId="085F2838" w:rsidR="006F2D9A" w:rsidRPr="00273C67" w:rsidRDefault="00BE1B2C" w:rsidP="006F2D9A">
      <w:pPr>
        <w:spacing w:after="160" w:line="259" w:lineRule="auto"/>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w:t>
      </w:r>
      <w:r w:rsidR="006F2D9A" w:rsidRPr="00273C67">
        <w:rPr>
          <w:rFonts w:asciiTheme="majorHAnsi" w:eastAsiaTheme="majorEastAsia" w:hAnsiTheme="majorHAnsi" w:cstheme="majorBidi"/>
          <w:color w:val="2F5496" w:themeColor="accent1" w:themeShade="BF"/>
          <w:sz w:val="26"/>
          <w:szCs w:val="26"/>
        </w:rPr>
        <w:t xml:space="preserve">.5.  Measures to </w:t>
      </w:r>
      <w:r w:rsidR="006F2D9A">
        <w:rPr>
          <w:rFonts w:asciiTheme="majorHAnsi" w:eastAsiaTheme="majorEastAsia" w:hAnsiTheme="majorHAnsi" w:cstheme="majorBidi"/>
          <w:color w:val="2F5496" w:themeColor="accent1" w:themeShade="BF"/>
          <w:sz w:val="26"/>
          <w:szCs w:val="26"/>
        </w:rPr>
        <w:t>F</w:t>
      </w:r>
      <w:r w:rsidR="006F2D9A" w:rsidRPr="00273C67">
        <w:rPr>
          <w:rFonts w:asciiTheme="majorHAnsi" w:eastAsiaTheme="majorEastAsia" w:hAnsiTheme="majorHAnsi" w:cstheme="majorBidi"/>
          <w:color w:val="2F5496" w:themeColor="accent1" w:themeShade="BF"/>
          <w:sz w:val="26"/>
          <w:szCs w:val="26"/>
        </w:rPr>
        <w:t>acilitate Equal Access and Non-Discrimination</w:t>
      </w:r>
      <w:bookmarkEnd w:id="36"/>
      <w:r w:rsidR="006F2D9A" w:rsidRPr="00273C67">
        <w:rPr>
          <w:rFonts w:asciiTheme="majorHAnsi" w:eastAsiaTheme="majorEastAsia" w:hAnsiTheme="majorHAnsi" w:cstheme="majorBidi"/>
          <w:color w:val="2F5496" w:themeColor="accent1" w:themeShade="BF"/>
          <w:sz w:val="26"/>
          <w:szCs w:val="26"/>
        </w:rPr>
        <w:t xml:space="preserve"> for PwDs in the World of </w:t>
      </w:r>
      <w:r w:rsidR="006F2D9A">
        <w:rPr>
          <w:rFonts w:asciiTheme="majorHAnsi" w:eastAsiaTheme="majorEastAsia" w:hAnsiTheme="majorHAnsi" w:cstheme="majorBidi"/>
          <w:color w:val="2F5496" w:themeColor="accent1" w:themeShade="BF"/>
          <w:sz w:val="26"/>
          <w:szCs w:val="26"/>
        </w:rPr>
        <w:t>W</w:t>
      </w:r>
      <w:r w:rsidR="006F2D9A" w:rsidRPr="00273C67">
        <w:rPr>
          <w:rFonts w:asciiTheme="majorHAnsi" w:eastAsiaTheme="majorEastAsia" w:hAnsiTheme="majorHAnsi" w:cstheme="majorBidi"/>
          <w:color w:val="2F5496" w:themeColor="accent1" w:themeShade="BF"/>
          <w:sz w:val="26"/>
          <w:szCs w:val="26"/>
        </w:rPr>
        <w:t xml:space="preserve">ork and </w:t>
      </w:r>
      <w:r w:rsidR="006F2D9A">
        <w:rPr>
          <w:rFonts w:asciiTheme="majorHAnsi" w:eastAsiaTheme="majorEastAsia" w:hAnsiTheme="majorHAnsi" w:cstheme="majorBidi"/>
          <w:color w:val="2F5496" w:themeColor="accent1" w:themeShade="BF"/>
          <w:sz w:val="26"/>
          <w:szCs w:val="26"/>
        </w:rPr>
        <w:t>S</w:t>
      </w:r>
      <w:r w:rsidR="006F2D9A" w:rsidRPr="00273C67">
        <w:rPr>
          <w:rFonts w:asciiTheme="majorHAnsi" w:eastAsiaTheme="majorEastAsia" w:hAnsiTheme="majorHAnsi" w:cstheme="majorBidi"/>
          <w:color w:val="2F5496" w:themeColor="accent1" w:themeShade="BF"/>
          <w:sz w:val="26"/>
          <w:szCs w:val="26"/>
        </w:rPr>
        <w:t>ociety</w:t>
      </w:r>
    </w:p>
    <w:p w14:paraId="1A3F11F0"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In the Report many important measures are considered to protect from any form of discrimination and violence, and equal opportunities, from national and regional legal instruments (such as anti-discrimination legislation), to plans and frameworks. (pp.1</w:t>
      </w:r>
      <w:r>
        <w:rPr>
          <w:rFonts w:cstheme="minorHAnsi"/>
          <w:sz w:val="22"/>
          <w:szCs w:val="22"/>
        </w:rPr>
        <w:t>6</w:t>
      </w:r>
      <w:r w:rsidRPr="000A2AB8">
        <w:rPr>
          <w:rFonts w:cstheme="minorHAnsi"/>
          <w:sz w:val="22"/>
          <w:szCs w:val="22"/>
        </w:rPr>
        <w:t>-1</w:t>
      </w:r>
      <w:r>
        <w:rPr>
          <w:rFonts w:cstheme="minorHAnsi"/>
          <w:sz w:val="22"/>
          <w:szCs w:val="22"/>
        </w:rPr>
        <w:t>8</w:t>
      </w:r>
      <w:r w:rsidRPr="000A2AB8">
        <w:rPr>
          <w:rFonts w:cstheme="minorHAnsi"/>
          <w:sz w:val="22"/>
          <w:szCs w:val="22"/>
        </w:rPr>
        <w:t>).</w:t>
      </w:r>
    </w:p>
    <w:p w14:paraId="009FE3BB" w14:textId="77777777" w:rsidR="006F2D9A" w:rsidRPr="000A2AB8" w:rsidRDefault="006F2D9A" w:rsidP="00073158">
      <w:pPr>
        <w:numPr>
          <w:ilvl w:val="1"/>
          <w:numId w:val="13"/>
        </w:numPr>
        <w:spacing w:after="160" w:line="259" w:lineRule="auto"/>
        <w:ind w:left="1440" w:hanging="360"/>
        <w:jc w:val="both"/>
        <w:rPr>
          <w:rFonts w:cstheme="minorHAnsi"/>
          <w:sz w:val="22"/>
          <w:szCs w:val="22"/>
        </w:rPr>
      </w:pPr>
      <w:r w:rsidRPr="000A2AB8">
        <w:rPr>
          <w:rFonts w:cstheme="minorHAnsi"/>
          <w:sz w:val="22"/>
          <w:szCs w:val="22"/>
        </w:rPr>
        <w:t xml:space="preserve">An important suggestion was made by stakeholders during the Pre-Study Workshop: </w:t>
      </w:r>
    </w:p>
    <w:p w14:paraId="10F0319D" w14:textId="77777777" w:rsidR="006F2D9A" w:rsidRPr="000A2AB8" w:rsidRDefault="006F2D9A" w:rsidP="00073158">
      <w:pPr>
        <w:numPr>
          <w:ilvl w:val="1"/>
          <w:numId w:val="15"/>
        </w:numPr>
        <w:spacing w:after="160" w:line="259" w:lineRule="auto"/>
        <w:jc w:val="both"/>
        <w:rPr>
          <w:rFonts w:cstheme="minorHAnsi"/>
          <w:sz w:val="22"/>
          <w:szCs w:val="22"/>
        </w:rPr>
      </w:pPr>
      <w:r w:rsidRPr="000A2AB8">
        <w:rPr>
          <w:rFonts w:cstheme="minorHAnsi"/>
          <w:b/>
          <w:bCs/>
          <w:sz w:val="22"/>
          <w:szCs w:val="22"/>
        </w:rPr>
        <w:t xml:space="preserve">Fighting prejudice and discrimination: </w:t>
      </w:r>
      <w:r w:rsidRPr="000A2AB8">
        <w:rPr>
          <w:rFonts w:cstheme="minorHAnsi"/>
          <w:sz w:val="22"/>
          <w:szCs w:val="22"/>
        </w:rPr>
        <w:t>The participants argued that prejudice is permanently settled in society for many disadvantaged groups, especially disabled individuals. The state of showing immediate interest towards PwDs replaces the feeling of pity over time, and the instinct to help PwDs and disadvantaged groups comes to the fore. They state that PwDs need support that might provide them with opportunities without approaching them with a feeling of pity. In line with the opportunities offered, their desire to lead their own lives independently comes to the fore. In addition, the protective approach in the families of the PwDs negatively affects these individuals.</w:t>
      </w:r>
    </w:p>
    <w:p w14:paraId="69ABFBBF"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are: </w:t>
      </w:r>
    </w:p>
    <w:p w14:paraId="05E5BE12"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Ensure full physical accessibility for PwDs to be personally represented in courts of justice.</w:t>
      </w:r>
    </w:p>
    <w:p w14:paraId="59B97514"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Develop more flexible approaches to enable online representation for PwDs within the legal system.</w:t>
      </w:r>
    </w:p>
    <w:p w14:paraId="3ACD777A"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Conduct research into the conditions necessary for PwDs to lengthen their involvement in the education system.</w:t>
      </w:r>
    </w:p>
    <w:p w14:paraId="776D5CC8"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Where education is delivered in special schools, ensure that an adequate bridge between education and employment is developed.</w:t>
      </w:r>
    </w:p>
    <w:p w14:paraId="398D6037" w14:textId="35FB61AF" w:rsidR="006F2D9A" w:rsidRPr="000A2AB8" w:rsidRDefault="00813A9C" w:rsidP="00073158">
      <w:pPr>
        <w:numPr>
          <w:ilvl w:val="0"/>
          <w:numId w:val="23"/>
        </w:numPr>
        <w:spacing w:after="160" w:line="259" w:lineRule="auto"/>
        <w:contextualSpacing/>
        <w:jc w:val="both"/>
        <w:rPr>
          <w:rFonts w:cstheme="minorHAnsi"/>
          <w:sz w:val="22"/>
          <w:szCs w:val="22"/>
        </w:rPr>
      </w:pPr>
      <w:r>
        <w:rPr>
          <w:rFonts w:cstheme="minorHAnsi"/>
          <w:sz w:val="22"/>
          <w:szCs w:val="22"/>
        </w:rPr>
        <w:t>E</w:t>
      </w:r>
      <w:r w:rsidR="006F2D9A" w:rsidRPr="000A2AB8">
        <w:rPr>
          <w:rFonts w:cstheme="minorHAnsi"/>
          <w:sz w:val="22"/>
          <w:szCs w:val="22"/>
        </w:rPr>
        <w:t>ensure sustainable and equal access to healthcare.</w:t>
      </w:r>
    </w:p>
    <w:p w14:paraId="7FB0E5AF" w14:textId="77777777" w:rsidR="006F2D9A" w:rsidRDefault="006F2D9A" w:rsidP="006F2D9A">
      <w:pPr>
        <w:spacing w:after="160" w:line="259" w:lineRule="auto"/>
        <w:jc w:val="both"/>
        <w:rPr>
          <w:rFonts w:cstheme="minorHAnsi"/>
          <w:sz w:val="22"/>
          <w:szCs w:val="22"/>
        </w:rPr>
      </w:pPr>
    </w:p>
    <w:p w14:paraId="40686442"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The comments of the stakeholders during the Post-Study Workshop can be summarised as follows:</w:t>
      </w:r>
    </w:p>
    <w:p w14:paraId="7FDB1136" w14:textId="77777777" w:rsidR="006F2D9A" w:rsidRPr="000A2AB8" w:rsidRDefault="006F2D9A" w:rsidP="00073158">
      <w:pPr>
        <w:numPr>
          <w:ilvl w:val="1"/>
          <w:numId w:val="15"/>
        </w:numPr>
        <w:spacing w:after="160" w:line="259" w:lineRule="auto"/>
        <w:contextualSpacing/>
        <w:jc w:val="both"/>
        <w:rPr>
          <w:rFonts w:cstheme="minorHAnsi"/>
          <w:sz w:val="22"/>
          <w:szCs w:val="22"/>
        </w:rPr>
      </w:pPr>
      <w:r w:rsidRPr="000A2AB8">
        <w:rPr>
          <w:rFonts w:cstheme="minorHAnsi"/>
          <w:sz w:val="22"/>
          <w:szCs w:val="22"/>
        </w:rPr>
        <w:t>Strengthen legislation to combat discrimination against PwDs;</w:t>
      </w:r>
    </w:p>
    <w:p w14:paraId="123051A3" w14:textId="77777777" w:rsidR="006F2D9A" w:rsidRPr="000A2AB8" w:rsidRDefault="006F2D9A" w:rsidP="00073158">
      <w:pPr>
        <w:numPr>
          <w:ilvl w:val="1"/>
          <w:numId w:val="15"/>
        </w:numPr>
        <w:spacing w:after="160" w:line="259" w:lineRule="auto"/>
        <w:contextualSpacing/>
        <w:jc w:val="both"/>
        <w:rPr>
          <w:rFonts w:cstheme="minorHAnsi"/>
          <w:sz w:val="22"/>
          <w:szCs w:val="22"/>
        </w:rPr>
      </w:pPr>
      <w:bookmarkStart w:id="37" w:name="_Toc103592139"/>
      <w:r w:rsidRPr="000A2AB8">
        <w:rPr>
          <w:rFonts w:cstheme="minorHAnsi"/>
          <w:sz w:val="22"/>
          <w:szCs w:val="22"/>
        </w:rPr>
        <w:t>Revise the Labour Law, improving amendments and regulations to avoid exclusions;</w:t>
      </w:r>
    </w:p>
    <w:p w14:paraId="62B887FF" w14:textId="77777777" w:rsidR="006F2D9A" w:rsidRPr="000A2AB8" w:rsidRDefault="006F2D9A" w:rsidP="00073158">
      <w:pPr>
        <w:numPr>
          <w:ilvl w:val="1"/>
          <w:numId w:val="15"/>
        </w:numPr>
        <w:spacing w:after="160" w:line="259" w:lineRule="auto"/>
        <w:contextualSpacing/>
        <w:jc w:val="both"/>
        <w:rPr>
          <w:rFonts w:cstheme="minorHAnsi"/>
          <w:sz w:val="22"/>
          <w:szCs w:val="22"/>
        </w:rPr>
      </w:pPr>
      <w:r w:rsidRPr="000A2AB8">
        <w:rPr>
          <w:rFonts w:cstheme="minorHAnsi"/>
          <w:sz w:val="22"/>
          <w:szCs w:val="22"/>
        </w:rPr>
        <w:t>Establishment of responsibilities between the different stakeholders;</w:t>
      </w:r>
    </w:p>
    <w:p w14:paraId="5C461ACD" w14:textId="77777777" w:rsidR="006F2D9A" w:rsidRPr="000A2AB8" w:rsidRDefault="006F2D9A" w:rsidP="00073158">
      <w:pPr>
        <w:numPr>
          <w:ilvl w:val="1"/>
          <w:numId w:val="15"/>
        </w:numPr>
        <w:spacing w:after="160" w:line="259" w:lineRule="auto"/>
        <w:contextualSpacing/>
        <w:jc w:val="both"/>
        <w:rPr>
          <w:rFonts w:cstheme="minorHAnsi"/>
          <w:sz w:val="22"/>
          <w:szCs w:val="22"/>
        </w:rPr>
      </w:pPr>
      <w:r w:rsidRPr="000A2AB8">
        <w:rPr>
          <w:rFonts w:cstheme="minorHAnsi"/>
          <w:sz w:val="22"/>
          <w:szCs w:val="22"/>
        </w:rPr>
        <w:t>Allocate a budget for PwDs in each institution (Is there a share/staff allocated for the disabled in the institutional/public budgets? Can it be increased?</w:t>
      </w:r>
    </w:p>
    <w:p w14:paraId="087F0A29" w14:textId="77777777" w:rsidR="006F2D9A" w:rsidRPr="000A2AB8" w:rsidRDefault="006F2D9A" w:rsidP="00073158">
      <w:pPr>
        <w:numPr>
          <w:ilvl w:val="1"/>
          <w:numId w:val="15"/>
        </w:numPr>
        <w:spacing w:after="160" w:line="259" w:lineRule="auto"/>
        <w:contextualSpacing/>
        <w:jc w:val="both"/>
        <w:rPr>
          <w:rFonts w:cstheme="minorHAnsi"/>
          <w:sz w:val="22"/>
          <w:szCs w:val="22"/>
        </w:rPr>
      </w:pPr>
      <w:r w:rsidRPr="000A2AB8">
        <w:rPr>
          <w:rFonts w:cstheme="minorHAnsi"/>
          <w:sz w:val="22"/>
          <w:szCs w:val="22"/>
        </w:rPr>
        <w:lastRenderedPageBreak/>
        <w:t xml:space="preserve">Ensure full physical accessibility of </w:t>
      </w:r>
      <w:r>
        <w:rPr>
          <w:rFonts w:cstheme="minorHAnsi"/>
          <w:sz w:val="22"/>
          <w:szCs w:val="22"/>
        </w:rPr>
        <w:t>PwDs</w:t>
      </w:r>
      <w:r w:rsidRPr="000A2AB8">
        <w:rPr>
          <w:rFonts w:cstheme="minorHAnsi"/>
          <w:sz w:val="22"/>
          <w:szCs w:val="22"/>
        </w:rPr>
        <w:t xml:space="preserve"> so that they can be personally represented in courthouses; In the proposal in question, it would be more appropriate to use the phrase "courts" instead of the phrase "courts of justice". Sign language interpreters, psychologists, etc. are required to ensure their physical accessibility in order to represent the disabled in Turkish Courts, which are composed of judicial, administrative and high courts as types of courts. Necessary steps can be taken to ensure that titles that facilitate the lives of </w:t>
      </w:r>
      <w:r>
        <w:rPr>
          <w:rFonts w:cstheme="minorHAnsi"/>
          <w:sz w:val="22"/>
          <w:szCs w:val="22"/>
        </w:rPr>
        <w:t>PwDs</w:t>
      </w:r>
      <w:r w:rsidRPr="000A2AB8">
        <w:rPr>
          <w:rFonts w:cstheme="minorHAnsi"/>
          <w:sz w:val="22"/>
          <w:szCs w:val="22"/>
        </w:rPr>
        <w:t xml:space="preserve"> are found in the courts. </w:t>
      </w:r>
    </w:p>
    <w:p w14:paraId="0CB578A6" w14:textId="77777777" w:rsidR="006F2D9A" w:rsidRDefault="006F2D9A" w:rsidP="006F2D9A">
      <w:pPr>
        <w:spacing w:after="160" w:line="259" w:lineRule="auto"/>
        <w:jc w:val="both"/>
        <w:rPr>
          <w:rFonts w:asciiTheme="majorHAnsi" w:eastAsiaTheme="majorEastAsia" w:hAnsiTheme="majorHAnsi" w:cstheme="majorBidi"/>
          <w:color w:val="2F5496" w:themeColor="accent1" w:themeShade="BF"/>
          <w:sz w:val="26"/>
          <w:szCs w:val="26"/>
        </w:rPr>
      </w:pPr>
      <w:bookmarkStart w:id="38" w:name="_Toc103592140"/>
      <w:bookmarkEnd w:id="37"/>
    </w:p>
    <w:p w14:paraId="28E24329" w14:textId="17EE38F7" w:rsidR="006F2D9A" w:rsidRPr="00273C67" w:rsidRDefault="00BE1B2C" w:rsidP="006F2D9A">
      <w:pPr>
        <w:spacing w:after="160" w:line="259" w:lineRule="auto"/>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w:t>
      </w:r>
      <w:r w:rsidR="006F2D9A" w:rsidRPr="00273C67">
        <w:rPr>
          <w:rFonts w:asciiTheme="majorHAnsi" w:eastAsiaTheme="majorEastAsia" w:hAnsiTheme="majorHAnsi" w:cstheme="majorBidi"/>
          <w:color w:val="2F5496" w:themeColor="accent1" w:themeShade="BF"/>
          <w:sz w:val="26"/>
          <w:szCs w:val="26"/>
        </w:rPr>
        <w:t>.6.  Women with Disabilities</w:t>
      </w:r>
      <w:bookmarkEnd w:id="38"/>
      <w:r w:rsidR="00813A9C">
        <w:rPr>
          <w:rFonts w:asciiTheme="majorHAnsi" w:eastAsiaTheme="majorEastAsia" w:hAnsiTheme="majorHAnsi" w:cstheme="majorBidi"/>
          <w:color w:val="2F5496" w:themeColor="accent1" w:themeShade="BF"/>
          <w:sz w:val="26"/>
          <w:szCs w:val="26"/>
        </w:rPr>
        <w:t xml:space="preserve"> (WwDs)</w:t>
      </w:r>
    </w:p>
    <w:p w14:paraId="0B3740FB"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Report shows that very few of the quota laws reviewed make explicit provision for women with disabilities, with exceptions from South Korea and Albania.  </w:t>
      </w:r>
    </w:p>
    <w:p w14:paraId="61C4A2CA" w14:textId="77777777" w:rsidR="006F2D9A" w:rsidRPr="00925965" w:rsidRDefault="006F2D9A" w:rsidP="006F2D9A">
      <w:pPr>
        <w:spacing w:after="160" w:line="259" w:lineRule="auto"/>
        <w:jc w:val="both"/>
        <w:rPr>
          <w:rFonts w:cstheme="minorHAnsi"/>
          <w:sz w:val="22"/>
          <w:szCs w:val="22"/>
          <w:lang w:val="en-US"/>
        </w:rPr>
      </w:pPr>
      <w:r w:rsidRPr="000A2AB8">
        <w:rPr>
          <w:rFonts w:cstheme="minorHAnsi"/>
          <w:sz w:val="22"/>
          <w:szCs w:val="22"/>
        </w:rPr>
        <w:t>PwDs face many disadvantages in the work of life, educational opportunities, mobility and accessibility, and most importantly, social exclusion and isolation. Disability disadvantages are even doubled when gender is taken into consideration. From an intersectionality perspective, gender and disability creates a double disadvantage for women with disabilities and prevent their access to education, employment, health care, and social life (pp.</w:t>
      </w:r>
      <w:r>
        <w:rPr>
          <w:rFonts w:cstheme="minorHAnsi"/>
          <w:sz w:val="22"/>
          <w:szCs w:val="22"/>
        </w:rPr>
        <w:t>54- 57</w:t>
      </w:r>
      <w:r w:rsidRPr="000A2AB8">
        <w:rPr>
          <w:rFonts w:cstheme="minorHAnsi"/>
          <w:sz w:val="22"/>
          <w:szCs w:val="22"/>
        </w:rPr>
        <w:t>).</w:t>
      </w:r>
      <w:r w:rsidRPr="00925965">
        <w:rPr>
          <w:rFonts w:cstheme="minorHAnsi"/>
          <w:sz w:val="22"/>
          <w:szCs w:val="22"/>
          <w:lang w:val="en-US"/>
        </w:rPr>
        <w:t xml:space="preserve"> Several different types of measures and practices </w:t>
      </w:r>
      <w:r>
        <w:rPr>
          <w:rFonts w:cstheme="minorHAnsi"/>
          <w:sz w:val="22"/>
          <w:szCs w:val="22"/>
          <w:lang w:val="en-US"/>
        </w:rPr>
        <w:t xml:space="preserve">has been </w:t>
      </w:r>
      <w:r w:rsidRPr="00925965">
        <w:rPr>
          <w:rFonts w:cstheme="minorHAnsi"/>
          <w:sz w:val="22"/>
          <w:szCs w:val="22"/>
          <w:lang w:val="en-US"/>
        </w:rPr>
        <w:t>identified</w:t>
      </w:r>
      <w:r>
        <w:rPr>
          <w:rFonts w:cstheme="minorHAnsi"/>
          <w:sz w:val="22"/>
          <w:szCs w:val="22"/>
          <w:lang w:val="en-US"/>
        </w:rPr>
        <w:t xml:space="preserve"> and analysed.</w:t>
      </w:r>
    </w:p>
    <w:p w14:paraId="4FA615C5"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are:</w:t>
      </w:r>
    </w:p>
    <w:p w14:paraId="319E001B" w14:textId="0C95E83F" w:rsidR="006F2D9A" w:rsidRPr="000A2AB8" w:rsidRDefault="006F2D9A" w:rsidP="00073158">
      <w:pPr>
        <w:numPr>
          <w:ilvl w:val="0"/>
          <w:numId w:val="23"/>
        </w:numPr>
        <w:spacing w:after="160" w:line="259" w:lineRule="auto"/>
        <w:contextualSpacing/>
        <w:jc w:val="both"/>
        <w:rPr>
          <w:rFonts w:cstheme="minorHAnsi"/>
          <w:sz w:val="22"/>
          <w:szCs w:val="22"/>
        </w:rPr>
      </w:pPr>
      <w:bookmarkStart w:id="39" w:name="_Hlk106266402"/>
      <w:r w:rsidRPr="000A2AB8">
        <w:rPr>
          <w:rFonts w:cstheme="minorHAnsi"/>
          <w:sz w:val="22"/>
          <w:szCs w:val="22"/>
        </w:rPr>
        <w:t xml:space="preserve">Fully apply the </w:t>
      </w:r>
      <w:r w:rsidR="00813A9C">
        <w:rPr>
          <w:rFonts w:cstheme="minorHAnsi"/>
          <w:sz w:val="22"/>
          <w:szCs w:val="22"/>
        </w:rPr>
        <w:t>UN Convention on Rights of People with Disabilities (</w:t>
      </w:r>
      <w:r w:rsidRPr="000A2AB8">
        <w:rPr>
          <w:rFonts w:cstheme="minorHAnsi"/>
          <w:sz w:val="22"/>
          <w:szCs w:val="22"/>
        </w:rPr>
        <w:t>CRPD</w:t>
      </w:r>
      <w:r w:rsidR="00813A9C">
        <w:rPr>
          <w:rFonts w:cstheme="minorHAnsi"/>
          <w:sz w:val="22"/>
          <w:szCs w:val="22"/>
        </w:rPr>
        <w:t>)</w:t>
      </w:r>
      <w:r w:rsidRPr="000A2AB8">
        <w:rPr>
          <w:rFonts w:cstheme="minorHAnsi"/>
          <w:sz w:val="22"/>
          <w:szCs w:val="22"/>
        </w:rPr>
        <w:t xml:space="preserve"> (because it is the first international convention explicitly including women with disabilities. </w:t>
      </w:r>
    </w:p>
    <w:p w14:paraId="1576E7F9"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Improve the minimum education and skills development opportunities for PwDs (according to ILO, women with disabilities are at greater risk of poverty than men with disabilities and earn less than men with disabilities).</w:t>
      </w:r>
    </w:p>
    <w:p w14:paraId="0DADFEF9"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 xml:space="preserve">Consider and prevent the fact that Women with disabilities are more vulnerable to discrimination, because they are sometimes treated as genderless human beings. </w:t>
      </w:r>
    </w:p>
    <w:p w14:paraId="671B3CD1"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 xml:space="preserve">Design measures to increase the employment, particularly child care, workplace accommodations as special equipment or accessibility arrangements </w:t>
      </w:r>
    </w:p>
    <w:p w14:paraId="1AF91E21" w14:textId="258A3B6B"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Provide vocational guidance services. In that aspect, it is highly recommended that the current</w:t>
      </w:r>
      <w:r w:rsidR="00813A9C">
        <w:rPr>
          <w:rFonts w:cstheme="minorHAnsi"/>
          <w:sz w:val="22"/>
          <w:szCs w:val="22"/>
        </w:rPr>
        <w:t xml:space="preserve"> Kob and Vocational Counselling (</w:t>
      </w:r>
      <w:r w:rsidRPr="000A2AB8">
        <w:rPr>
          <w:rFonts w:cstheme="minorHAnsi"/>
          <w:sz w:val="22"/>
          <w:szCs w:val="22"/>
        </w:rPr>
        <w:t xml:space="preserve"> JVC</w:t>
      </w:r>
      <w:r w:rsidR="00813A9C">
        <w:rPr>
          <w:rFonts w:cstheme="minorHAnsi"/>
          <w:sz w:val="22"/>
          <w:szCs w:val="22"/>
        </w:rPr>
        <w:t>)</w:t>
      </w:r>
      <w:r w:rsidRPr="000A2AB8">
        <w:rPr>
          <w:rFonts w:cstheme="minorHAnsi"/>
          <w:sz w:val="22"/>
          <w:szCs w:val="22"/>
        </w:rPr>
        <w:t xml:space="preserve"> services provided in Türkiye should be evaluated in terms of improving the quality of these services by considering the systematic job analysis and occupational definitions taking into account different disability levels and types</w:t>
      </w:r>
    </w:p>
    <w:p w14:paraId="6205A9A9" w14:textId="77777777" w:rsidR="006F2D9A" w:rsidRDefault="006F2D9A" w:rsidP="006F2D9A">
      <w:pPr>
        <w:spacing w:after="160" w:line="259" w:lineRule="auto"/>
        <w:jc w:val="both"/>
        <w:rPr>
          <w:rFonts w:cstheme="minorHAnsi"/>
          <w:sz w:val="22"/>
          <w:szCs w:val="22"/>
        </w:rPr>
      </w:pPr>
      <w:bookmarkStart w:id="40" w:name="_Toc103592141"/>
      <w:bookmarkEnd w:id="39"/>
    </w:p>
    <w:p w14:paraId="0E4A91CA"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The comments of the stakeholders during the Post-Study Workshop can be summarised as follows:</w:t>
      </w:r>
    </w:p>
    <w:p w14:paraId="5DC79A3E" w14:textId="77777777" w:rsidR="006F2D9A" w:rsidRPr="000A2AB8" w:rsidRDefault="006F2D9A" w:rsidP="006F2D9A">
      <w:pPr>
        <w:spacing w:line="259" w:lineRule="auto"/>
        <w:jc w:val="both"/>
        <w:rPr>
          <w:rFonts w:cstheme="minorHAnsi"/>
          <w:sz w:val="22"/>
          <w:szCs w:val="22"/>
        </w:rPr>
      </w:pPr>
      <w:r w:rsidRPr="000A2AB8">
        <w:rPr>
          <w:rFonts w:cstheme="minorHAnsi"/>
          <w:sz w:val="22"/>
          <w:szCs w:val="22"/>
        </w:rPr>
        <w:t>•</w:t>
      </w:r>
      <w:r w:rsidRPr="000A2AB8">
        <w:rPr>
          <w:rFonts w:cstheme="minorHAnsi"/>
          <w:sz w:val="22"/>
          <w:szCs w:val="22"/>
        </w:rPr>
        <w:tab/>
        <w:t xml:space="preserve">Identify WwDs in the data system; </w:t>
      </w:r>
    </w:p>
    <w:p w14:paraId="4D752EA4" w14:textId="77777777" w:rsidR="006F2D9A" w:rsidRPr="000A2AB8" w:rsidRDefault="006F2D9A" w:rsidP="006F2D9A">
      <w:pPr>
        <w:spacing w:line="259" w:lineRule="auto"/>
        <w:jc w:val="both"/>
        <w:rPr>
          <w:rFonts w:cstheme="minorHAnsi"/>
          <w:sz w:val="22"/>
          <w:szCs w:val="22"/>
        </w:rPr>
      </w:pPr>
      <w:r w:rsidRPr="000A2AB8">
        <w:rPr>
          <w:rFonts w:cstheme="minorHAnsi"/>
          <w:sz w:val="22"/>
          <w:szCs w:val="22"/>
        </w:rPr>
        <w:t>•</w:t>
      </w:r>
      <w:r w:rsidRPr="000A2AB8">
        <w:rPr>
          <w:rFonts w:cstheme="minorHAnsi"/>
          <w:sz w:val="22"/>
          <w:szCs w:val="22"/>
        </w:rPr>
        <w:tab/>
        <w:t>Improve the action of Employment services;</w:t>
      </w:r>
    </w:p>
    <w:p w14:paraId="238B158F"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w:t>
      </w:r>
      <w:r w:rsidRPr="000A2AB8">
        <w:rPr>
          <w:rFonts w:cstheme="minorHAnsi"/>
          <w:sz w:val="22"/>
          <w:szCs w:val="22"/>
        </w:rPr>
        <w:tab/>
        <w:t>Increase the courses for WwDs on the new digital skills</w:t>
      </w:r>
    </w:p>
    <w:p w14:paraId="29C6C978" w14:textId="3EFCC9F5" w:rsidR="006F2D9A" w:rsidRPr="00273C67" w:rsidRDefault="00BE1B2C" w:rsidP="006F2D9A">
      <w:pPr>
        <w:spacing w:after="160" w:line="259" w:lineRule="auto"/>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w:t>
      </w:r>
      <w:r w:rsidR="006F2D9A" w:rsidRPr="00273C67">
        <w:rPr>
          <w:rFonts w:asciiTheme="majorHAnsi" w:eastAsiaTheme="majorEastAsia" w:hAnsiTheme="majorHAnsi" w:cstheme="majorBidi"/>
          <w:color w:val="2F5496" w:themeColor="accent1" w:themeShade="BF"/>
          <w:sz w:val="26"/>
          <w:szCs w:val="26"/>
        </w:rPr>
        <w:t>.7.  Other Recommendations</w:t>
      </w:r>
      <w:bookmarkEnd w:id="40"/>
    </w:p>
    <w:p w14:paraId="4A2BD51D"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lastRenderedPageBreak/>
        <w:t>In addition to the above thematic recommendations, suggestions were also obtained from the Stakeholders during meetings and the Pre-Study Workshop touched on the following:</w:t>
      </w:r>
    </w:p>
    <w:p w14:paraId="0E9B8F2E" w14:textId="77777777" w:rsidR="006F2D9A" w:rsidRDefault="006F2D9A" w:rsidP="00073158">
      <w:pPr>
        <w:pStyle w:val="ListParagraph"/>
        <w:numPr>
          <w:ilvl w:val="0"/>
          <w:numId w:val="24"/>
        </w:numPr>
        <w:spacing w:after="160" w:line="259" w:lineRule="auto"/>
        <w:jc w:val="both"/>
        <w:rPr>
          <w:rFonts w:cstheme="minorHAnsi"/>
          <w:sz w:val="22"/>
          <w:szCs w:val="22"/>
        </w:rPr>
      </w:pPr>
      <w:r w:rsidRPr="00273C67">
        <w:rPr>
          <w:rFonts w:cstheme="minorHAnsi"/>
          <w:sz w:val="22"/>
          <w:szCs w:val="22"/>
        </w:rPr>
        <w:t>PwDs and their families might be directly involved in decision-making;</w:t>
      </w:r>
    </w:p>
    <w:p w14:paraId="00D0A2CB" w14:textId="77777777" w:rsidR="006F2D9A" w:rsidRDefault="006F2D9A" w:rsidP="00073158">
      <w:pPr>
        <w:pStyle w:val="ListParagraph"/>
        <w:numPr>
          <w:ilvl w:val="0"/>
          <w:numId w:val="24"/>
        </w:numPr>
        <w:spacing w:after="160" w:line="259" w:lineRule="auto"/>
        <w:jc w:val="both"/>
        <w:rPr>
          <w:rFonts w:cstheme="minorHAnsi"/>
          <w:sz w:val="22"/>
          <w:szCs w:val="22"/>
        </w:rPr>
      </w:pPr>
      <w:r w:rsidRPr="00273C67">
        <w:rPr>
          <w:rFonts w:cstheme="minorHAnsi"/>
          <w:sz w:val="22"/>
          <w:szCs w:val="22"/>
        </w:rPr>
        <w:t>The implementation of the decisions taken and the immediate implementation of the necessary sanctions;</w:t>
      </w:r>
    </w:p>
    <w:p w14:paraId="5F01F95F" w14:textId="77777777" w:rsidR="006F2D9A" w:rsidRDefault="006F2D9A" w:rsidP="00073158">
      <w:pPr>
        <w:pStyle w:val="ListParagraph"/>
        <w:numPr>
          <w:ilvl w:val="0"/>
          <w:numId w:val="24"/>
        </w:numPr>
        <w:spacing w:after="160" w:line="259" w:lineRule="auto"/>
        <w:jc w:val="both"/>
        <w:rPr>
          <w:rFonts w:cstheme="minorHAnsi"/>
          <w:sz w:val="22"/>
          <w:szCs w:val="22"/>
        </w:rPr>
      </w:pPr>
      <w:r w:rsidRPr="00273C67">
        <w:rPr>
          <w:rFonts w:cstheme="minorHAnsi"/>
          <w:sz w:val="22"/>
          <w:szCs w:val="22"/>
        </w:rPr>
        <w:t>Further development of barrier-based communication channels;</w:t>
      </w:r>
    </w:p>
    <w:p w14:paraId="69C8911F" w14:textId="77777777" w:rsidR="006F2D9A" w:rsidRDefault="006F2D9A" w:rsidP="00073158">
      <w:pPr>
        <w:pStyle w:val="ListParagraph"/>
        <w:numPr>
          <w:ilvl w:val="0"/>
          <w:numId w:val="24"/>
        </w:numPr>
        <w:spacing w:after="160" w:line="259" w:lineRule="auto"/>
        <w:jc w:val="both"/>
        <w:rPr>
          <w:rFonts w:cstheme="minorHAnsi"/>
          <w:sz w:val="22"/>
          <w:szCs w:val="22"/>
        </w:rPr>
      </w:pPr>
      <w:r w:rsidRPr="00273C67">
        <w:rPr>
          <w:rFonts w:cstheme="minorHAnsi"/>
          <w:sz w:val="22"/>
          <w:szCs w:val="22"/>
        </w:rPr>
        <w:t>Wider dissemination of on-the-job training;</w:t>
      </w:r>
    </w:p>
    <w:p w14:paraId="4E742EDF" w14:textId="61081038" w:rsidR="006F2D9A" w:rsidRPr="00273C67" w:rsidRDefault="006F2D9A" w:rsidP="00073158">
      <w:pPr>
        <w:pStyle w:val="ListParagraph"/>
        <w:numPr>
          <w:ilvl w:val="0"/>
          <w:numId w:val="24"/>
        </w:numPr>
        <w:spacing w:after="160" w:line="259" w:lineRule="auto"/>
        <w:jc w:val="both"/>
        <w:rPr>
          <w:rFonts w:cstheme="minorHAnsi"/>
          <w:sz w:val="22"/>
          <w:szCs w:val="22"/>
        </w:rPr>
      </w:pPr>
      <w:r w:rsidRPr="00273C67">
        <w:rPr>
          <w:rFonts w:cstheme="minorHAnsi"/>
          <w:sz w:val="22"/>
          <w:szCs w:val="22"/>
        </w:rPr>
        <w:t xml:space="preserve">A need to increase the awareness about </w:t>
      </w:r>
      <w:r w:rsidR="002F558B">
        <w:rPr>
          <w:rFonts w:cstheme="minorHAnsi"/>
          <w:sz w:val="22"/>
          <w:szCs w:val="22"/>
        </w:rPr>
        <w:t xml:space="preserve">the ways in which people with </w:t>
      </w:r>
      <w:r w:rsidRPr="00273C67">
        <w:rPr>
          <w:rFonts w:cstheme="minorHAnsi"/>
          <w:sz w:val="22"/>
          <w:szCs w:val="22"/>
        </w:rPr>
        <w:t>autism</w:t>
      </w:r>
      <w:r w:rsidR="002F558B">
        <w:rPr>
          <w:rFonts w:cstheme="minorHAnsi"/>
          <w:sz w:val="22"/>
          <w:szCs w:val="22"/>
        </w:rPr>
        <w:t xml:space="preserve"> can be integrated into the workforce</w:t>
      </w:r>
      <w:r w:rsidRPr="00273C67">
        <w:rPr>
          <w:rFonts w:cstheme="minorHAnsi"/>
          <w:sz w:val="22"/>
          <w:szCs w:val="22"/>
        </w:rPr>
        <w:t>, and to deploy earlier diagnostic methods towards the detection of autism.</w:t>
      </w:r>
    </w:p>
    <w:p w14:paraId="5A370E55" w14:textId="77777777"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are: </w:t>
      </w:r>
    </w:p>
    <w:p w14:paraId="0D2DAD3F"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Consider the involvement of PwDs and their families in decision-making processes related to PwDs;</w:t>
      </w:r>
    </w:p>
    <w:p w14:paraId="2C5BFF9D" w14:textId="77777777" w:rsidR="006F2D9A" w:rsidRPr="000A2AB8" w:rsidRDefault="006F2D9A" w:rsidP="00073158">
      <w:pPr>
        <w:numPr>
          <w:ilvl w:val="0"/>
          <w:numId w:val="23"/>
        </w:numPr>
        <w:spacing w:after="160" w:line="259" w:lineRule="auto"/>
        <w:contextualSpacing/>
        <w:jc w:val="both"/>
        <w:rPr>
          <w:rFonts w:cstheme="minorHAnsi"/>
          <w:sz w:val="22"/>
          <w:szCs w:val="22"/>
        </w:rPr>
      </w:pPr>
      <w:r w:rsidRPr="000A2AB8">
        <w:rPr>
          <w:rFonts w:cstheme="minorHAnsi"/>
          <w:sz w:val="22"/>
          <w:szCs w:val="22"/>
        </w:rPr>
        <w:t>Evaluate the effectiveness of current sanctions for non-compliance with regulations affecting PwDs;</w:t>
      </w:r>
    </w:p>
    <w:p w14:paraId="7EC41016" w14:textId="478F209F" w:rsidR="004135C6" w:rsidRPr="0097329A" w:rsidRDefault="004135C6" w:rsidP="0097329A">
      <w:pPr>
        <w:pStyle w:val="ListParagraph"/>
        <w:numPr>
          <w:ilvl w:val="0"/>
          <w:numId w:val="23"/>
        </w:numPr>
        <w:spacing w:after="160" w:line="256" w:lineRule="auto"/>
        <w:jc w:val="both"/>
        <w:rPr>
          <w:rFonts w:cstheme="minorHAnsi"/>
          <w:sz w:val="22"/>
          <w:szCs w:val="22"/>
        </w:rPr>
      </w:pPr>
      <w:r w:rsidRPr="0097329A">
        <w:rPr>
          <w:rFonts w:cstheme="minorHAnsi"/>
          <w:sz w:val="22"/>
          <w:szCs w:val="22"/>
        </w:rPr>
        <w:t xml:space="preserve"> Develop awareness-raising programmes aimed at better integration into the workforce of people with autism.</w:t>
      </w:r>
    </w:p>
    <w:bookmarkEnd w:id="26"/>
    <w:p w14:paraId="4CC43346" w14:textId="77777777" w:rsidR="006F2D9A" w:rsidRPr="006F2D9A" w:rsidRDefault="006F2D9A" w:rsidP="006F2D9A"/>
    <w:p w14:paraId="23EE2361" w14:textId="7DE0AD84" w:rsidR="006B2F74" w:rsidRPr="00F56809" w:rsidRDefault="006B2F74" w:rsidP="00073158">
      <w:pPr>
        <w:pStyle w:val="Heading1"/>
        <w:numPr>
          <w:ilvl w:val="0"/>
          <w:numId w:val="12"/>
        </w:numPr>
      </w:pPr>
      <w:bookmarkStart w:id="41" w:name="_Toc118291580"/>
      <w:r w:rsidRPr="00F56809">
        <w:t>CONCLUSIONS</w:t>
      </w:r>
      <w:bookmarkEnd w:id="41"/>
    </w:p>
    <w:p w14:paraId="01CFF5BE" w14:textId="77777777" w:rsidR="006B2F74" w:rsidRDefault="006B2F74" w:rsidP="006B2F74">
      <w:pPr>
        <w:pStyle w:val="ListParagraph"/>
        <w:jc w:val="both"/>
        <w:rPr>
          <w:bCs/>
          <w:sz w:val="22"/>
          <w:szCs w:val="22"/>
        </w:rPr>
      </w:pPr>
    </w:p>
    <w:p w14:paraId="444AAF0D" w14:textId="77777777" w:rsidR="00BE1B2C" w:rsidRPr="00431188" w:rsidRDefault="00BE1B2C" w:rsidP="00073158">
      <w:pPr>
        <w:pStyle w:val="ListParagraph"/>
        <w:numPr>
          <w:ilvl w:val="0"/>
          <w:numId w:val="25"/>
        </w:numPr>
        <w:jc w:val="both"/>
        <w:rPr>
          <w:rFonts w:cstheme="minorHAnsi"/>
          <w:sz w:val="22"/>
          <w:szCs w:val="22"/>
        </w:rPr>
      </w:pPr>
      <w:r w:rsidRPr="00431188">
        <w:rPr>
          <w:rFonts w:cstheme="minorHAnsi"/>
          <w:sz w:val="22"/>
          <w:szCs w:val="22"/>
        </w:rPr>
        <w:t>It might be important to identify the factors that lead PwDs to be excluded from working life and to implement policies to prevent them. This can enable them to integrate into individual, economic and social life, as well as to lead a healthier and more integrated life with their family, social environment and society.</w:t>
      </w:r>
    </w:p>
    <w:p w14:paraId="002A4E1C" w14:textId="77A46592" w:rsidR="00BE1B2C" w:rsidRPr="00431188" w:rsidRDefault="00BE1B2C" w:rsidP="00073158">
      <w:pPr>
        <w:pStyle w:val="ListParagraph"/>
        <w:numPr>
          <w:ilvl w:val="0"/>
          <w:numId w:val="25"/>
        </w:numPr>
        <w:jc w:val="both"/>
        <w:rPr>
          <w:rFonts w:cstheme="minorHAnsi"/>
          <w:sz w:val="22"/>
          <w:szCs w:val="22"/>
        </w:rPr>
      </w:pPr>
      <w:r w:rsidRPr="00431188">
        <w:rPr>
          <w:rFonts w:cstheme="minorHAnsi"/>
          <w:sz w:val="22"/>
          <w:szCs w:val="22"/>
        </w:rPr>
        <w:t xml:space="preserve">A significant </w:t>
      </w:r>
      <w:r w:rsidR="00D40B7C">
        <w:rPr>
          <w:rFonts w:cstheme="minorHAnsi"/>
          <w:sz w:val="22"/>
          <w:szCs w:val="22"/>
        </w:rPr>
        <w:t>number</w:t>
      </w:r>
      <w:r w:rsidRPr="00431188">
        <w:rPr>
          <w:rFonts w:cstheme="minorHAnsi"/>
          <w:sz w:val="22"/>
          <w:szCs w:val="22"/>
        </w:rPr>
        <w:t xml:space="preserve"> of PwDs do not participate in the labour force. The main reasons why the labour participation rate of PwDs is so low is that social living areas restrict their mobility and that an adequate physical environment cannot be created in workplaces.</w:t>
      </w:r>
    </w:p>
    <w:p w14:paraId="7203271D" w14:textId="77777777" w:rsidR="00BE1B2C" w:rsidRPr="00431188" w:rsidRDefault="00BE1B2C" w:rsidP="00073158">
      <w:pPr>
        <w:pStyle w:val="ListParagraph"/>
        <w:numPr>
          <w:ilvl w:val="0"/>
          <w:numId w:val="25"/>
        </w:numPr>
        <w:jc w:val="both"/>
        <w:rPr>
          <w:rFonts w:cstheme="minorHAnsi"/>
          <w:sz w:val="22"/>
          <w:szCs w:val="22"/>
        </w:rPr>
      </w:pPr>
      <w:r w:rsidRPr="00431188">
        <w:rPr>
          <w:rFonts w:cstheme="minorHAnsi"/>
          <w:sz w:val="22"/>
          <w:szCs w:val="22"/>
        </w:rPr>
        <w:t xml:space="preserve">Accessing and benefiting from rights and services in all areas of life is of great importance in participation in social life. </w:t>
      </w:r>
    </w:p>
    <w:p w14:paraId="7E008469" w14:textId="77777777" w:rsidR="00BE1B2C" w:rsidRPr="00431188" w:rsidRDefault="00BE1B2C" w:rsidP="00073158">
      <w:pPr>
        <w:pStyle w:val="ListParagraph"/>
        <w:numPr>
          <w:ilvl w:val="0"/>
          <w:numId w:val="25"/>
        </w:numPr>
        <w:jc w:val="both"/>
        <w:rPr>
          <w:rFonts w:cstheme="minorHAnsi"/>
          <w:sz w:val="22"/>
          <w:szCs w:val="22"/>
        </w:rPr>
      </w:pPr>
      <w:r w:rsidRPr="00431188">
        <w:rPr>
          <w:rFonts w:cstheme="minorHAnsi"/>
          <w:sz w:val="22"/>
          <w:szCs w:val="22"/>
        </w:rPr>
        <w:t>The disability of PwDs that does not prevent them from social activities could become an obstacle due to inadequacies or errors in social or spatial arrangements. It is advisable to favour the physical environment for PwDs in order to facilitate access to employment; this issue is of great importance due to their impairments in physical functions and the limitations caused by it.</w:t>
      </w:r>
    </w:p>
    <w:p w14:paraId="74E4A88D" w14:textId="77777777" w:rsidR="00BE1B2C" w:rsidRPr="00431188" w:rsidRDefault="00BE1B2C" w:rsidP="00073158">
      <w:pPr>
        <w:pStyle w:val="ListParagraph"/>
        <w:numPr>
          <w:ilvl w:val="0"/>
          <w:numId w:val="25"/>
        </w:numPr>
        <w:jc w:val="both"/>
        <w:rPr>
          <w:rFonts w:cstheme="minorHAnsi"/>
          <w:sz w:val="22"/>
          <w:szCs w:val="22"/>
        </w:rPr>
      </w:pPr>
      <w:r w:rsidRPr="00431188">
        <w:rPr>
          <w:rFonts w:cstheme="minorHAnsi"/>
          <w:sz w:val="22"/>
          <w:szCs w:val="22"/>
        </w:rPr>
        <w:t xml:space="preserve">As already mentioned by the participants, the biggest obstacle to the employment of PwDs is the prejudice of society and especially of employers against their employment. </w:t>
      </w:r>
    </w:p>
    <w:p w14:paraId="03232588" w14:textId="77777777" w:rsidR="00BE1B2C" w:rsidRPr="00431188" w:rsidRDefault="00BE1B2C" w:rsidP="00073158">
      <w:pPr>
        <w:pStyle w:val="ListParagraph"/>
        <w:numPr>
          <w:ilvl w:val="0"/>
          <w:numId w:val="25"/>
        </w:numPr>
        <w:jc w:val="both"/>
        <w:rPr>
          <w:rFonts w:cstheme="minorHAnsi"/>
          <w:sz w:val="22"/>
          <w:szCs w:val="22"/>
        </w:rPr>
      </w:pPr>
      <w:r w:rsidRPr="00431188">
        <w:rPr>
          <w:rFonts w:cstheme="minorHAnsi"/>
          <w:sz w:val="22"/>
          <w:szCs w:val="22"/>
        </w:rPr>
        <w:t>Since an important part of society approaches PwDs with a feeling of pity, this might prevent them from using their skills/abilities.</w:t>
      </w:r>
    </w:p>
    <w:p w14:paraId="76639311" w14:textId="77777777" w:rsidR="00BE1B2C" w:rsidRPr="00431188" w:rsidRDefault="00BE1B2C" w:rsidP="00073158">
      <w:pPr>
        <w:pStyle w:val="ListParagraph"/>
        <w:numPr>
          <w:ilvl w:val="0"/>
          <w:numId w:val="25"/>
        </w:numPr>
        <w:jc w:val="both"/>
        <w:rPr>
          <w:rFonts w:cstheme="minorHAnsi"/>
          <w:sz w:val="22"/>
          <w:szCs w:val="22"/>
        </w:rPr>
      </w:pPr>
      <w:r w:rsidRPr="00431188">
        <w:rPr>
          <w:rFonts w:cstheme="minorHAnsi"/>
          <w:sz w:val="22"/>
          <w:szCs w:val="22"/>
        </w:rPr>
        <w:t xml:space="preserve">There is an unwillingness of employers to employ PwDs, they do not want to fulfil their obligations by taking advantage of loopholes in existing laws. </w:t>
      </w:r>
    </w:p>
    <w:p w14:paraId="650DEA03" w14:textId="77777777" w:rsidR="00BE1B2C" w:rsidRPr="00431188" w:rsidRDefault="00BE1B2C" w:rsidP="00073158">
      <w:pPr>
        <w:pStyle w:val="ListParagraph"/>
        <w:numPr>
          <w:ilvl w:val="0"/>
          <w:numId w:val="25"/>
        </w:numPr>
        <w:jc w:val="both"/>
        <w:rPr>
          <w:rFonts w:cstheme="minorHAnsi"/>
          <w:sz w:val="22"/>
          <w:szCs w:val="22"/>
        </w:rPr>
      </w:pPr>
      <w:r w:rsidRPr="00431188">
        <w:rPr>
          <w:rFonts w:cstheme="minorHAnsi"/>
          <w:sz w:val="22"/>
          <w:szCs w:val="22"/>
        </w:rPr>
        <w:t>Participants agree that employers generally see the PwDs workforce as a group of unproductive, unskilled people in need of special care from their family or the State.</w:t>
      </w:r>
    </w:p>
    <w:p w14:paraId="61D76927" w14:textId="77777777" w:rsidR="00BE1B2C" w:rsidRPr="00431188" w:rsidRDefault="00BE1B2C" w:rsidP="00073158">
      <w:pPr>
        <w:pStyle w:val="ListParagraph"/>
        <w:numPr>
          <w:ilvl w:val="0"/>
          <w:numId w:val="25"/>
        </w:numPr>
        <w:jc w:val="both"/>
        <w:rPr>
          <w:rFonts w:cstheme="minorHAnsi"/>
          <w:sz w:val="22"/>
          <w:szCs w:val="22"/>
        </w:rPr>
      </w:pPr>
      <w:r w:rsidRPr="00431188">
        <w:rPr>
          <w:rFonts w:cstheme="minorHAnsi"/>
          <w:sz w:val="22"/>
          <w:szCs w:val="22"/>
        </w:rPr>
        <w:lastRenderedPageBreak/>
        <w:t xml:space="preserve">For women with disabilities, intersectionality approach should be followed to consider the double disadvantages for women with disabilities which are caused by both disability and gender. </w:t>
      </w:r>
    </w:p>
    <w:p w14:paraId="692ADA3F" w14:textId="25302923" w:rsidR="00D45D49" w:rsidRPr="00CF6DEA" w:rsidRDefault="00D45D49" w:rsidP="00CF6DEA"/>
    <w:p w14:paraId="33915C42" w14:textId="2E50E22E" w:rsidR="00467BF6" w:rsidRPr="003C5FB1" w:rsidRDefault="003C5FB1" w:rsidP="003C5FB1">
      <w:pPr>
        <w:pStyle w:val="Heading1"/>
      </w:pPr>
      <w:bookmarkStart w:id="42" w:name="_Toc118291581"/>
      <w:r>
        <w:t xml:space="preserve">5. </w:t>
      </w:r>
      <w:r w:rsidR="00467BF6" w:rsidRPr="003C5FB1">
        <w:t>BIB</w:t>
      </w:r>
      <w:r w:rsidR="001F5B4F" w:rsidRPr="003C5FB1">
        <w:t>L</w:t>
      </w:r>
      <w:r w:rsidR="00467BF6" w:rsidRPr="003C5FB1">
        <w:t>IOGRAPHY</w:t>
      </w:r>
      <w:bookmarkEnd w:id="42"/>
    </w:p>
    <w:p w14:paraId="7ED6064A" w14:textId="34A932A8" w:rsidR="00467BF6" w:rsidRPr="00467BF6" w:rsidRDefault="00467BF6" w:rsidP="00DD72BE">
      <w:pPr>
        <w:pStyle w:val="Heading2"/>
      </w:pPr>
      <w:bookmarkStart w:id="43" w:name="_Toc118291582"/>
      <w:r w:rsidRPr="00467BF6">
        <w:t xml:space="preserve">References </w:t>
      </w:r>
      <w:r>
        <w:t>E</w:t>
      </w:r>
      <w:r w:rsidRPr="00467BF6">
        <w:t>xamined during Desk Research</w:t>
      </w:r>
      <w:bookmarkEnd w:id="43"/>
    </w:p>
    <w:p w14:paraId="73BC3D24" w14:textId="77777777" w:rsidR="00467BF6" w:rsidRPr="00A80B9D" w:rsidRDefault="00467BF6" w:rsidP="00467BF6">
      <w:pPr>
        <w:rPr>
          <w:sz w:val="22"/>
          <w:szCs w:val="22"/>
        </w:rPr>
      </w:pPr>
    </w:p>
    <w:p w14:paraId="4D395F50"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5 Must-Have Skills for Remote Work (2020). Forbes. </w:t>
      </w:r>
    </w:p>
    <w:p w14:paraId="2D0A6E82"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AI and Accessibility (2019). World Institute on Disability. </w:t>
      </w:r>
    </w:p>
    <w:p w14:paraId="043E4107"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An Introduction to Online Platforms and Their Role in the Digital Transformation (2019). OECD. </w:t>
      </w:r>
    </w:p>
    <w:p w14:paraId="63516E2D"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ANED (2018) European Comparative Data on Europe 2020 and People with Disabilities. Final report. Brussels, Belgium: Academic Network of European Disability Experts (ANED), February.</w:t>
      </w:r>
    </w:p>
    <w:p w14:paraId="45FC9CDF"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ARUN, O. (2014) Disability in </w:t>
      </w:r>
      <w:r>
        <w:rPr>
          <w:rFonts w:cstheme="minorHAnsi"/>
          <w:sz w:val="22"/>
          <w:szCs w:val="22"/>
        </w:rPr>
        <w:t>Türkiye</w:t>
      </w:r>
      <w:r w:rsidRPr="0096128D">
        <w:rPr>
          <w:rFonts w:cstheme="minorHAnsi"/>
          <w:sz w:val="22"/>
          <w:szCs w:val="22"/>
        </w:rPr>
        <w:t>: The Risks in Being Disabled for Accessing Educational Opportunities, Mediterranean Journal of Humanities, IV/1, 2014, 53-62</w:t>
      </w:r>
    </w:p>
    <w:p w14:paraId="071AFFC4"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Building tomorrow’s digital skills - what conclusions can we draw from international comparative indicators? (2018). UNESCO. </w:t>
      </w:r>
    </w:p>
    <w:p w14:paraId="31D2B322"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Considerations for AI Fairness for PwDs. AI Matters, Volume 5, Issue 3 (2019). ACM DL Digital Library. </w:t>
      </w:r>
    </w:p>
    <w:p w14:paraId="7B2EEA47"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COVID-19 and the Rights of Persons with Disabilities: Guidance (2020). United Nations Human Rights Office of the High Commissioner. </w:t>
      </w:r>
    </w:p>
    <w:p w14:paraId="51DE9835"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COVID-19 response: Considerations for Children and Adults with Disabilities (2020). UNICEF. </w:t>
      </w:r>
    </w:p>
    <w:p w14:paraId="6382112D"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COVID-19: How eGovernment and Trust Services can help citizens and businesses (2020). European Commission. </w:t>
      </w:r>
    </w:p>
    <w:p w14:paraId="0FD9E915"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Crowd work and the gig economy (2020). International Labour Organization. </w:t>
      </w:r>
    </w:p>
    <w:p w14:paraId="35CF762A"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Cultural Heritage @home (2020). European Commission. </w:t>
      </w:r>
    </w:p>
    <w:p w14:paraId="72F4F130"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de Groot, Nynke, and Koning, Pierre. 2016. “Assessing the Effects of Disability Insurance Experience Rating: The Case of the Netherlands.” IZA Discussion Paper 9742. Institute for the Study of Labor (IZA). </w:t>
      </w:r>
    </w:p>
    <w:p w14:paraId="39D5A6AA"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de Koning, Jaap. 2004. “The Reform of the Dutch Public Employment Service.” Erasmus University.</w:t>
      </w:r>
    </w:p>
    <w:p w14:paraId="546794B5"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Digital employment platforms gaining a foothold in Europe´s labour markets (2018). European Commission, EU Science Hub. </w:t>
      </w:r>
    </w:p>
    <w:p w14:paraId="24C0D280"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Digital Inclusion of PwDs: A Qualitative Study of Intra-disability Diversity in the Digital Realm (2019). </w:t>
      </w:r>
    </w:p>
    <w:p w14:paraId="14583DD0"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Draft Orientations for the preparation of the work programme(s) 2021-2022 (2020). European Commission. </w:t>
      </w:r>
    </w:p>
    <w:p w14:paraId="184808B7"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Employment and Social Developments in Europe 2019 (2019). European Commission. </w:t>
      </w:r>
    </w:p>
    <w:p w14:paraId="1E831825"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Europe 2020 data &amp; PwDs (2020). The Academic Network of European Disability Experts (ANED). </w:t>
      </w:r>
    </w:p>
    <w:p w14:paraId="2641F7BE"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EU Disability Strategy (2017). European Economic and Social Committee. </w:t>
      </w:r>
    </w:p>
    <w:p w14:paraId="4BCA059F"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Eurofound (2017), In-work poverty in the EU, Publications Office of the European Union, Luxembourg. </w:t>
      </w:r>
    </w:p>
    <w:p w14:paraId="2046772F"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Eurofound (2018), The social and employment situation of PwDs, Publications Office of the European Union, Luxembourg. </w:t>
      </w:r>
    </w:p>
    <w:p w14:paraId="4A57186C"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Eurofound (2019), How to respond to chronic health problems in the workplace? Publications Office of the European Union, Luxembourg. </w:t>
      </w:r>
    </w:p>
    <w:p w14:paraId="0A50B29E"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lastRenderedPageBreak/>
        <w:t xml:space="preserve">Eurofound (2020a), Role of social partners in tackling discrimination at work, Publications Office of the European Union, Luxembourg. </w:t>
      </w:r>
    </w:p>
    <w:p w14:paraId="54E10088"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Eurofound (2020b), ‘How to use the surge in teleworking as a real chance to include PwDs’, blog post, 17 August. </w:t>
      </w:r>
    </w:p>
    <w:p w14:paraId="56DE56E5"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Eurofound (2021), Integration of PwDs into the open labour market: Irish case study, Eurofound working paper, Dublin. </w:t>
      </w:r>
    </w:p>
    <w:p w14:paraId="2AB861D7"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Eurofound (2021), Disability and labour market integration: Policy trends and support in EU Member States, Publications Office of the European Union, Luxembourg</w:t>
      </w:r>
    </w:p>
    <w:p w14:paraId="7E8E35FD"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Europe investing in digital: The Digital Europe Programme (2020). European Commission. </w:t>
      </w:r>
    </w:p>
    <w:p w14:paraId="30BA36A7"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European Commission (2016a), Eighth Disability High Level Group report on the implementation of the UN Convention on the Rights of Persons with Disabilities, Publications Office of the European Union, Luxembourg. </w:t>
      </w:r>
    </w:p>
    <w:p w14:paraId="72CF755D" w14:textId="77777777" w:rsidR="003B53D5" w:rsidRPr="0096128D" w:rsidRDefault="003B53D5" w:rsidP="00073158">
      <w:pPr>
        <w:numPr>
          <w:ilvl w:val="0"/>
          <w:numId w:val="9"/>
        </w:numPr>
        <w:spacing w:after="160" w:line="259" w:lineRule="auto"/>
        <w:contextualSpacing/>
        <w:rPr>
          <w:rFonts w:cstheme="minorHAnsi"/>
          <w:sz w:val="22"/>
          <w:szCs w:val="22"/>
        </w:rPr>
      </w:pPr>
      <w:r w:rsidRPr="0096128D">
        <w:rPr>
          <w:rFonts w:cstheme="minorHAnsi"/>
          <w:sz w:val="22"/>
          <w:szCs w:val="22"/>
        </w:rPr>
        <w:t xml:space="preserve">Eurostat, 2019‘Part-time Employment and Temporary Contracts – Annual Data: Percentage of Total Employment [Dataset]’, available at https://ec.europa. eu/eurostat/databrowser/view/LFSI_PT_A__cus tom_658097/default/table?lang=en </w:t>
      </w:r>
    </w:p>
    <w:p w14:paraId="1BD662AE"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Global Risks Report 2018, 13th Edition (2018). World Economic Forum. </w:t>
      </w:r>
    </w:p>
    <w:p w14:paraId="0A946449"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7329A">
        <w:rPr>
          <w:rFonts w:cstheme="minorHAnsi"/>
          <w:sz w:val="22"/>
          <w:szCs w:val="22"/>
          <w:lang w:val="it-IT"/>
        </w:rPr>
        <w:t xml:space="preserve">Gentilini, Ugo, Mohamed Almenfi and Pamela Dale. 2020. </w:t>
      </w:r>
      <w:r w:rsidRPr="0096128D">
        <w:rPr>
          <w:rFonts w:cstheme="minorHAnsi"/>
          <w:sz w:val="22"/>
          <w:szCs w:val="22"/>
        </w:rPr>
        <w:t>“Social Protection and Jobs Responses to COVID-19: A Real-Time Review of Country Measures” (“living paper”, updated 24 April). http://documents.worldbank.org/curated/en/383541588017733025/pdf/Social-Protection-andJobs-Responses-to-COVID-19-A-Real-Time-Review-of-Country-Measures-April-24-2020.pdf.</w:t>
      </w:r>
    </w:p>
    <w:p w14:paraId="79D80B66"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Giermanowska, E., Racław, M., &amp; Szawarska, D. (2020). Multivariate Conditions of Introducing People with Disabilities to the Labour Market: Coupled Impact and the Effect of Synergy. In </w:t>
      </w:r>
      <w:r w:rsidRPr="0096128D">
        <w:rPr>
          <w:rFonts w:cstheme="minorHAnsi"/>
          <w:i/>
          <w:iCs/>
          <w:sz w:val="22"/>
          <w:szCs w:val="22"/>
        </w:rPr>
        <w:t>Employing People with Disabilities</w:t>
      </w:r>
      <w:r w:rsidRPr="0096128D">
        <w:rPr>
          <w:rFonts w:cstheme="minorHAnsi"/>
          <w:sz w:val="22"/>
          <w:szCs w:val="22"/>
        </w:rPr>
        <w:t> (pp. 37-65). Palgrave Pivot, Cham.</w:t>
      </w:r>
    </w:p>
    <w:p w14:paraId="703A41D0"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Global Commission on the Future of Work. (2019). Work for a brighter future, ILO</w:t>
      </w:r>
    </w:p>
    <w:p w14:paraId="05FBA8D9"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Greening the Global Economy – The Skills Challenge (2011). International Labour Organization. </w:t>
      </w:r>
    </w:p>
    <w:p w14:paraId="2289500B"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Greening with jobs. World Employment Social Outlook (2018). International Labour Organization. </w:t>
      </w:r>
    </w:p>
    <w:p w14:paraId="08D08D37"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ILO and OECD, 2018</w:t>
      </w:r>
      <w:r w:rsidRPr="0096128D">
        <w:rPr>
          <w:rFonts w:cstheme="minorHAnsi"/>
          <w:b/>
          <w:bCs/>
          <w:sz w:val="22"/>
          <w:szCs w:val="22"/>
        </w:rPr>
        <w:t xml:space="preserve"> Labour market inclusion of people with disabilities. </w:t>
      </w:r>
      <w:r w:rsidRPr="0096128D">
        <w:rPr>
          <w:rFonts w:cstheme="minorHAnsi"/>
          <w:sz w:val="22"/>
          <w:szCs w:val="22"/>
        </w:rPr>
        <w:t xml:space="preserve">Paper presented at the 1st Meeting of the G20 Employment Working Group </w:t>
      </w:r>
    </w:p>
    <w:p w14:paraId="43C63AF1"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ILO (2019) Persons with disabilities in a just transition to a low-carbon economy Available at: </w:t>
      </w:r>
      <w:hyperlink r:id="rId13" w:history="1">
        <w:r w:rsidRPr="0096128D">
          <w:rPr>
            <w:rFonts w:cstheme="minorHAnsi"/>
            <w:sz w:val="22"/>
            <w:szCs w:val="22"/>
            <w:u w:val="single"/>
          </w:rPr>
          <w:t>https://www.ilo.org/wcmsp5/groups/public/---ed_emp/---ifp_skills/documents/publication/wcms_727084.pdf</w:t>
        </w:r>
      </w:hyperlink>
    </w:p>
    <w:p w14:paraId="26CFFFBA"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ILO Monitor: COVID-19 and the world of work. Fifth edition. Updated estimates and analysis. ILO, 2020. </w:t>
      </w:r>
    </w:p>
    <w:p w14:paraId="149243B0"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Individuals who have basic or above basic overall digital skills (2020). Eurostat. </w:t>
      </w:r>
    </w:p>
    <w:p w14:paraId="4A3B647E"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Informal Economy: a hazardous activity (2021). International Labour Organization. </w:t>
      </w:r>
    </w:p>
    <w:p w14:paraId="638B2065"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Insights into skill shortages and skill mismatch (2018). CEDEFOP. </w:t>
      </w:r>
    </w:p>
    <w:p w14:paraId="6B66AEBC"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International Labour Organization (ILO) Organization for Economic Co-operation and Development (OECD) Paper presented at the 1st Meeting of the G20 Employment Working Group 20 - 22 February 2018 Buenos Aires, Argentina </w:t>
      </w:r>
    </w:p>
    <w:p w14:paraId="5D4A5FA7"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Jobs of Tomorrow. Mapping opportunity in the New Economy (2020). World Economic Forum. </w:t>
      </w:r>
    </w:p>
    <w:p w14:paraId="09445F2A" w14:textId="77777777" w:rsidR="003B53D5" w:rsidRPr="0096128D" w:rsidRDefault="003B53D5" w:rsidP="00073158">
      <w:pPr>
        <w:numPr>
          <w:ilvl w:val="0"/>
          <w:numId w:val="8"/>
        </w:numPr>
        <w:spacing w:after="160" w:line="259" w:lineRule="auto"/>
        <w:contextualSpacing/>
        <w:rPr>
          <w:rFonts w:cstheme="minorHAnsi"/>
          <w:sz w:val="22"/>
          <w:szCs w:val="22"/>
        </w:rPr>
      </w:pPr>
      <w:r w:rsidRPr="0096128D">
        <w:rPr>
          <w:rFonts w:cstheme="minorHAnsi"/>
          <w:sz w:val="22"/>
          <w:szCs w:val="22"/>
        </w:rPr>
        <w:t xml:space="preserve">Lieuw-Kie-Song, Maikel, Kate Philip, Mito Tsukamoto, and Marc Van Imschoot. 2010. “Towards the Right to Work: Innovations in Public Employment Programmes (IPEP)”, ILO Employment Sector </w:t>
      </w:r>
      <w:r w:rsidRPr="0096128D">
        <w:rPr>
          <w:rFonts w:cstheme="minorHAnsi"/>
          <w:sz w:val="22"/>
          <w:szCs w:val="22"/>
        </w:rPr>
        <w:lastRenderedPageBreak/>
        <w:t>Employment Working Paper No. 69. https://www.ilo.org/employment/Whatwedo/Publications/working-papers/WCMS_158483/lang-- en/index.htm.</w:t>
      </w:r>
    </w:p>
    <w:p w14:paraId="1F038B67"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Making the Future of Work Inclusive of Persons with Disabilities (2019). Fundación ONCE and ILO GBDN in the framework of Disability Hub Europe. </w:t>
      </w:r>
    </w:p>
    <w:p w14:paraId="6607AA49"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Measuring the Digital Transformation. A roadmap for the future (2019). OECD. </w:t>
      </w:r>
    </w:p>
    <w:p w14:paraId="4F1C9161"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On-Demand Digital Economy: Can Experience Ensure Work and Income Security for Microtask Workers? Journal of Economics and Statistics (2019). ILO. </w:t>
      </w:r>
    </w:p>
    <w:p w14:paraId="16020E6F"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Spiezia, V., &amp; Gierten, D. (2016). New markets and new jobs. OECD, Digital Economy papers</w:t>
      </w:r>
    </w:p>
    <w:p w14:paraId="67F063C8"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Strindlund, L., Abrandt-Dahlgren, M., &amp; Ståhl, C. (2019). Employers’ views on disability, employability, and labor market inclusion: a phenomenographic study. </w:t>
      </w:r>
      <w:r w:rsidRPr="0096128D">
        <w:rPr>
          <w:rFonts w:cstheme="minorHAnsi"/>
          <w:i/>
          <w:iCs/>
          <w:sz w:val="22"/>
          <w:szCs w:val="22"/>
        </w:rPr>
        <w:t>Disability and rehabilitation</w:t>
      </w:r>
      <w:r w:rsidRPr="0096128D">
        <w:rPr>
          <w:rFonts w:cstheme="minorHAnsi"/>
          <w:sz w:val="22"/>
          <w:szCs w:val="22"/>
        </w:rPr>
        <w:t>, </w:t>
      </w:r>
      <w:r w:rsidRPr="0096128D">
        <w:rPr>
          <w:rFonts w:cstheme="minorHAnsi"/>
          <w:i/>
          <w:iCs/>
          <w:sz w:val="22"/>
          <w:szCs w:val="22"/>
        </w:rPr>
        <w:t>41</w:t>
      </w:r>
      <w:r w:rsidRPr="0096128D">
        <w:rPr>
          <w:rFonts w:cstheme="minorHAnsi"/>
          <w:sz w:val="22"/>
          <w:szCs w:val="22"/>
        </w:rPr>
        <w:t>(24), 2910-2917.</w:t>
      </w:r>
    </w:p>
    <w:p w14:paraId="0C30D6FC"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Gök, C. and Sepin, S. (2020) The violations of the rights of women with disabilities during the COVID-19 Pandemics, The Turkish Federation of the Blind with the support of ETKINIZ EU Programme</w:t>
      </w:r>
    </w:p>
    <w:p w14:paraId="48B44788"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UN (2006), Convention on the Rights of Persons with Disabilities (CRPD), New York. </w:t>
      </w:r>
    </w:p>
    <w:p w14:paraId="4728F8E8"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UN (2020a), Policy brief: A disability-inclusive response to COVID-19, New York. </w:t>
      </w:r>
    </w:p>
    <w:p w14:paraId="09E1C795"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UN (2020b), COVID-19 and the rights of persons with disabilities, New York.</w:t>
      </w:r>
    </w:p>
    <w:p w14:paraId="35B256CD"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lang w:val="es-AR"/>
        </w:rPr>
        <w:t xml:space="preserve">Van der Zwan, R., &amp; de Beer, P. (2021). </w:t>
      </w:r>
      <w:r w:rsidRPr="0096128D">
        <w:rPr>
          <w:rFonts w:cstheme="minorHAnsi"/>
          <w:sz w:val="22"/>
          <w:szCs w:val="22"/>
        </w:rPr>
        <w:t>The disability employment gap in European countries: What is the role of labour market policy? </w:t>
      </w:r>
      <w:r w:rsidRPr="0096128D">
        <w:rPr>
          <w:rFonts w:cstheme="minorHAnsi"/>
          <w:i/>
          <w:iCs/>
          <w:sz w:val="22"/>
          <w:szCs w:val="22"/>
        </w:rPr>
        <w:t>Journal of European Social Policy</w:t>
      </w:r>
      <w:r w:rsidRPr="0096128D">
        <w:rPr>
          <w:rFonts w:cstheme="minorHAnsi"/>
          <w:sz w:val="22"/>
          <w:szCs w:val="22"/>
        </w:rPr>
        <w:t>, 09589287211002435.</w:t>
      </w:r>
    </w:p>
    <w:p w14:paraId="15B8CEBE" w14:textId="77777777" w:rsidR="003B53D5" w:rsidRPr="0096128D" w:rsidRDefault="003B53D5" w:rsidP="00073158">
      <w:pPr>
        <w:numPr>
          <w:ilvl w:val="0"/>
          <w:numId w:val="9"/>
        </w:numPr>
        <w:spacing w:after="160" w:line="259" w:lineRule="auto"/>
        <w:contextualSpacing/>
        <w:jc w:val="both"/>
        <w:rPr>
          <w:rFonts w:cstheme="minorHAnsi"/>
          <w:sz w:val="22"/>
          <w:szCs w:val="22"/>
        </w:rPr>
      </w:pPr>
      <w:r w:rsidRPr="0096128D">
        <w:rPr>
          <w:rFonts w:cstheme="minorHAnsi"/>
          <w:sz w:val="22"/>
          <w:szCs w:val="22"/>
        </w:rPr>
        <w:t xml:space="preserve">Work for a brighter future (2019). ILO Global Commission on the Future of Work. </w:t>
      </w:r>
    </w:p>
    <w:p w14:paraId="6DE00173"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 xml:space="preserve">World Employment and Social Outlook 2021: The role of digital labour platforms in transforming the world of work. ILO, (Forthcoming). </w:t>
      </w:r>
    </w:p>
    <w:p w14:paraId="45A47BFB" w14:textId="77777777" w:rsidR="003B53D5" w:rsidRPr="0096128D" w:rsidRDefault="003B53D5" w:rsidP="00073158">
      <w:pPr>
        <w:numPr>
          <w:ilvl w:val="0"/>
          <w:numId w:val="8"/>
        </w:numPr>
        <w:spacing w:after="160" w:line="259" w:lineRule="auto"/>
        <w:contextualSpacing/>
        <w:jc w:val="both"/>
        <w:rPr>
          <w:rFonts w:cstheme="minorHAnsi"/>
          <w:sz w:val="22"/>
          <w:szCs w:val="22"/>
        </w:rPr>
      </w:pPr>
      <w:r w:rsidRPr="0096128D">
        <w:rPr>
          <w:rFonts w:cstheme="minorHAnsi"/>
          <w:sz w:val="22"/>
          <w:szCs w:val="22"/>
        </w:rPr>
        <w:t>World Report on Disability (2011). World Health Organization and The World Bank.</w:t>
      </w:r>
    </w:p>
    <w:p w14:paraId="425981D1" w14:textId="77777777" w:rsidR="00467BF6" w:rsidRDefault="00467BF6">
      <w:pPr>
        <w:rPr>
          <w:b/>
          <w:sz w:val="22"/>
          <w:szCs w:val="22"/>
        </w:rPr>
      </w:pPr>
    </w:p>
    <w:p w14:paraId="7F925FCA" w14:textId="77777777" w:rsidR="0015658F" w:rsidRDefault="0015658F">
      <w:pPr>
        <w:rPr>
          <w:b/>
          <w:sz w:val="22"/>
          <w:szCs w:val="22"/>
        </w:rPr>
      </w:pPr>
    </w:p>
    <w:p w14:paraId="481DC0CB" w14:textId="3184EEC9" w:rsidR="001F5353" w:rsidRDefault="009C54EF">
      <w:pPr>
        <w:spacing w:after="160" w:line="259" w:lineRule="auto"/>
        <w:jc w:val="both"/>
        <w:rPr>
          <w:sz w:val="22"/>
          <w:szCs w:val="22"/>
        </w:rPr>
      </w:pPr>
      <w:bookmarkStart w:id="44" w:name="_heading=h.26in1rg" w:colFirst="0" w:colLast="0"/>
      <w:bookmarkEnd w:id="44"/>
      <w:r>
        <w:rPr>
          <w:sz w:val="22"/>
          <w:szCs w:val="22"/>
        </w:rPr>
        <w:t>Attached to this Report:</w:t>
      </w:r>
    </w:p>
    <w:p w14:paraId="6915F679" w14:textId="7E014F9C" w:rsidR="00807B42" w:rsidRDefault="002A11FD" w:rsidP="009C54EF">
      <w:pPr>
        <w:spacing w:after="160" w:line="259" w:lineRule="auto"/>
        <w:ind w:left="720"/>
        <w:jc w:val="both"/>
        <w:rPr>
          <w:sz w:val="22"/>
          <w:szCs w:val="22"/>
        </w:rPr>
      </w:pPr>
      <w:r>
        <w:rPr>
          <w:sz w:val="22"/>
          <w:szCs w:val="22"/>
        </w:rPr>
        <w:t>Annex 1: Desk Research Report;</w:t>
      </w:r>
    </w:p>
    <w:p w14:paraId="1B950057" w14:textId="2E5CA468" w:rsidR="002A11FD" w:rsidRDefault="002A11FD" w:rsidP="009C54EF">
      <w:pPr>
        <w:spacing w:after="160" w:line="259" w:lineRule="auto"/>
        <w:ind w:left="720"/>
        <w:jc w:val="both"/>
        <w:rPr>
          <w:sz w:val="22"/>
          <w:szCs w:val="22"/>
        </w:rPr>
      </w:pPr>
      <w:r>
        <w:rPr>
          <w:sz w:val="22"/>
          <w:szCs w:val="22"/>
        </w:rPr>
        <w:t xml:space="preserve">Annex </w:t>
      </w:r>
      <w:r w:rsidR="00056A3C">
        <w:rPr>
          <w:sz w:val="22"/>
          <w:szCs w:val="22"/>
        </w:rPr>
        <w:t>2</w:t>
      </w:r>
      <w:r>
        <w:rPr>
          <w:sz w:val="22"/>
          <w:szCs w:val="22"/>
        </w:rPr>
        <w:t>: Evaluation Report on Pre-Study Workshop;</w:t>
      </w:r>
    </w:p>
    <w:p w14:paraId="5C732564" w14:textId="556A74EF" w:rsidR="002A11FD" w:rsidRDefault="002A11FD" w:rsidP="009C54EF">
      <w:pPr>
        <w:spacing w:after="160" w:line="259" w:lineRule="auto"/>
        <w:ind w:left="720"/>
        <w:jc w:val="both"/>
        <w:rPr>
          <w:sz w:val="22"/>
          <w:szCs w:val="22"/>
        </w:rPr>
      </w:pPr>
      <w:r>
        <w:rPr>
          <w:sz w:val="22"/>
          <w:szCs w:val="22"/>
        </w:rPr>
        <w:t xml:space="preserve">Annex </w:t>
      </w:r>
      <w:r w:rsidR="00056A3C">
        <w:rPr>
          <w:sz w:val="22"/>
          <w:szCs w:val="22"/>
        </w:rPr>
        <w:t>3</w:t>
      </w:r>
      <w:r>
        <w:rPr>
          <w:sz w:val="22"/>
          <w:szCs w:val="22"/>
        </w:rPr>
        <w:t>: Evaluation Report on Post-Study Workshop.</w:t>
      </w:r>
    </w:p>
    <w:p w14:paraId="52652EF4" w14:textId="77777777" w:rsidR="00807B42" w:rsidRDefault="00807B42">
      <w:pPr>
        <w:spacing w:after="160" w:line="259" w:lineRule="auto"/>
        <w:jc w:val="both"/>
        <w:rPr>
          <w:sz w:val="22"/>
          <w:szCs w:val="22"/>
        </w:rPr>
      </w:pPr>
    </w:p>
    <w:p w14:paraId="5D8425AE" w14:textId="202E4E1C" w:rsidR="0015658F" w:rsidRDefault="006B2F74">
      <w:pPr>
        <w:jc w:val="both"/>
        <w:rPr>
          <w:b/>
          <w:sz w:val="22"/>
          <w:szCs w:val="22"/>
        </w:rPr>
      </w:pPr>
      <w:bookmarkStart w:id="45" w:name="_heading=h.44sinio" w:colFirst="0" w:colLast="0"/>
      <w:bookmarkEnd w:id="45"/>
      <w:r>
        <w:rPr>
          <w:b/>
          <w:sz w:val="22"/>
          <w:szCs w:val="22"/>
        </w:rPr>
        <w:t>Fo</w:t>
      </w:r>
      <w:r w:rsidR="006A3AF5">
        <w:rPr>
          <w:b/>
          <w:sz w:val="22"/>
          <w:szCs w:val="22"/>
        </w:rPr>
        <w:t>W TAT</w:t>
      </w:r>
    </w:p>
    <w:p w14:paraId="31A6732E" w14:textId="711A5434" w:rsidR="0015658F" w:rsidRDefault="009C54EF">
      <w:pPr>
        <w:jc w:val="both"/>
        <w:rPr>
          <w:b/>
          <w:sz w:val="22"/>
          <w:szCs w:val="22"/>
        </w:rPr>
      </w:pPr>
      <w:r>
        <w:rPr>
          <w:b/>
          <w:sz w:val="22"/>
          <w:szCs w:val="22"/>
        </w:rPr>
        <w:t>October</w:t>
      </w:r>
      <w:r w:rsidR="006B2F74">
        <w:rPr>
          <w:b/>
          <w:sz w:val="22"/>
          <w:szCs w:val="22"/>
        </w:rPr>
        <w:t xml:space="preserve"> </w:t>
      </w:r>
      <w:r w:rsidR="006A3AF5">
        <w:rPr>
          <w:b/>
          <w:sz w:val="22"/>
          <w:szCs w:val="22"/>
        </w:rPr>
        <w:t>2022</w:t>
      </w:r>
    </w:p>
    <w:p w14:paraId="700B9BFB" w14:textId="086BDF6D" w:rsidR="0095333C" w:rsidRDefault="0095333C">
      <w:pPr>
        <w:jc w:val="both"/>
        <w:rPr>
          <w:b/>
          <w:sz w:val="22"/>
          <w:szCs w:val="22"/>
        </w:rPr>
      </w:pPr>
    </w:p>
    <w:p w14:paraId="2D671A29" w14:textId="77777777" w:rsidR="0095333C" w:rsidRDefault="0095333C">
      <w:pPr>
        <w:jc w:val="both"/>
        <w:rPr>
          <w:b/>
          <w:sz w:val="22"/>
          <w:szCs w:val="22"/>
        </w:rPr>
      </w:pPr>
    </w:p>
    <w:p w14:paraId="599D85EC" w14:textId="0726AF3F" w:rsidR="0023103C" w:rsidRDefault="0023103C">
      <w:pPr>
        <w:rPr>
          <w:sz w:val="22"/>
          <w:szCs w:val="22"/>
        </w:rPr>
      </w:pPr>
      <w:r>
        <w:rPr>
          <w:sz w:val="22"/>
          <w:szCs w:val="22"/>
        </w:rPr>
        <w:br w:type="page"/>
      </w:r>
    </w:p>
    <w:p w14:paraId="0E6063DE" w14:textId="0308E205" w:rsidR="0015658F" w:rsidRDefault="00EB3532">
      <w:pPr>
        <w:rPr>
          <w:sz w:val="22"/>
          <w:szCs w:val="22"/>
        </w:rPr>
      </w:pPr>
      <w:r>
        <w:rPr>
          <w:noProof/>
          <w:lang w:eastAsia="en-GB"/>
        </w:rPr>
        <w:lastRenderedPageBreak/>
        <mc:AlternateContent>
          <mc:Choice Requires="wps">
            <w:drawing>
              <wp:anchor distT="0" distB="0" distL="114300" distR="114300" simplePos="0" relativeHeight="251664384" behindDoc="0" locked="0" layoutInCell="1" hidden="0" allowOverlap="1" wp14:anchorId="7A32BC69" wp14:editId="772BDD51">
                <wp:simplePos x="0" y="0"/>
                <wp:positionH relativeFrom="page">
                  <wp:align>center</wp:align>
                </wp:positionH>
                <wp:positionV relativeFrom="paragraph">
                  <wp:posOffset>7622135</wp:posOffset>
                </wp:positionV>
                <wp:extent cx="7179945" cy="611505"/>
                <wp:effectExtent l="0" t="0" r="1905" b="17145"/>
                <wp:wrapNone/>
                <wp:docPr id="31" name="Rectangle 31"/>
                <wp:cNvGraphicFramePr/>
                <a:graphic xmlns:a="http://schemas.openxmlformats.org/drawingml/2006/main">
                  <a:graphicData uri="http://schemas.microsoft.com/office/word/2010/wordprocessingShape">
                    <wps:wsp>
                      <wps:cNvSpPr/>
                      <wps:spPr>
                        <a:xfrm>
                          <a:off x="0" y="0"/>
                          <a:ext cx="7179945" cy="611505"/>
                        </a:xfrm>
                        <a:prstGeom prst="rect">
                          <a:avLst/>
                        </a:prstGeom>
                        <a:noFill/>
                        <a:ln>
                          <a:noFill/>
                        </a:ln>
                      </wps:spPr>
                      <wps:txbx>
                        <w:txbxContent>
                          <w:p w14:paraId="4C395050" w14:textId="4DA1F136" w:rsidR="00E56D14" w:rsidRDefault="00E56D14">
                            <w:pPr>
                              <w:spacing w:line="288" w:lineRule="auto"/>
                              <w:jc w:val="both"/>
                              <w:textDirection w:val="btLr"/>
                            </w:pPr>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p>
                        </w:txbxContent>
                      </wps:txbx>
                      <wps:bodyPr spcFirstLastPara="1" wrap="square" lIns="0" tIns="0" rIns="0" bIns="0" anchor="t" anchorCtr="0">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32BC69" id="Rectangle 31" o:spid="_x0000_s1027" style="position:absolute;margin-left:0;margin-top:600.15pt;width:565.35pt;height:48.15pt;z-index:25166438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" filled="f" stroked="f">
                <v:textbox inset="0,0,0,0">
                  <w:txbxContent>
                    <w:p w14:paraId="4C395050" w14:textId="4DA1F136" w:rsidR="00E56D14" w:rsidRDefault="00E56D14">
                      <w:pPr>
                        <w:spacing w:line="288" w:lineRule="auto"/>
                        <w:jc w:val="both"/>
                        <w:textDirection w:val="btLr"/>
                      </w:pPr>
                      <w:r>
                        <w:rPr>
                          <w:color w:val="002060"/>
                          <w:sz w:val="20"/>
                        </w:rPr>
                        <w:t xml:space="preserve">This publication was produced with the financial support of the European Union and the Republic of Türkiye. Its contents are the sole responsibility of the consortium led by WEglobal A.Ş. in consortium with WEglobal Italy, </w:t>
                      </w:r>
                      <w:proofErr w:type="spellStart"/>
                      <w:r>
                        <w:rPr>
                          <w:color w:val="002060"/>
                          <w:sz w:val="20"/>
                        </w:rPr>
                        <w:t>Archidata</w:t>
                      </w:r>
                      <w:proofErr w:type="spellEnd"/>
                      <w:r>
                        <w:rPr>
                          <w:color w:val="002060"/>
                          <w:sz w:val="20"/>
                        </w:rPr>
                        <w:t xml:space="preserve"> </w:t>
                      </w:r>
                      <w:proofErr w:type="spellStart"/>
                      <w:r>
                        <w:rPr>
                          <w:color w:val="002060"/>
                          <w:sz w:val="20"/>
                        </w:rPr>
                        <w:t>Srl</w:t>
                      </w:r>
                      <w:proofErr w:type="spellEnd"/>
                      <w:r>
                        <w:rPr>
                          <w:color w:val="002060"/>
                          <w:sz w:val="20"/>
                        </w:rPr>
                        <w:t xml:space="preserve">, and Federation of </w:t>
                      </w:r>
                      <w:proofErr w:type="spellStart"/>
                      <w:r>
                        <w:rPr>
                          <w:color w:val="002060"/>
                          <w:sz w:val="20"/>
                        </w:rPr>
                        <w:t>Trentina</w:t>
                      </w:r>
                      <w:proofErr w:type="spellEnd"/>
                      <w:r>
                        <w:rPr>
                          <w:color w:val="002060"/>
                          <w:sz w:val="20"/>
                        </w:rPr>
                        <w:t xml:space="preserve"> Cooperatives (FTC) and do not necessarily reflect the views of the European Union and the Republic of Türkiye.</w:t>
                      </w:r>
                    </w:p>
                  </w:txbxContent>
                </v:textbox>
                <w10:wrap anchorx="page"/>
              </v:rect>
            </w:pict>
          </mc:Fallback>
        </mc:AlternateContent>
      </w:r>
      <w:r>
        <w:rPr>
          <w:noProof/>
          <w:sz w:val="22"/>
          <w:szCs w:val="22"/>
          <w:lang w:eastAsia="en-GB"/>
        </w:rPr>
        <w:drawing>
          <wp:anchor distT="0" distB="0" distL="0" distR="0" simplePos="0" relativeHeight="251663360" behindDoc="1" locked="0" layoutInCell="1" hidden="0" allowOverlap="1" wp14:anchorId="73CD6CB0" wp14:editId="7372B4AC">
            <wp:simplePos x="0" y="0"/>
            <wp:positionH relativeFrom="page">
              <wp:align>center</wp:align>
            </wp:positionH>
            <wp:positionV relativeFrom="page">
              <wp:align>top</wp:align>
            </wp:positionV>
            <wp:extent cx="7560000" cy="10699200"/>
            <wp:effectExtent l="0" t="0" r="3175" b="6985"/>
            <wp:wrapNone/>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7560000" cy="10699200"/>
                    </a:xfrm>
                    <a:prstGeom prst="rect">
                      <a:avLst/>
                    </a:prstGeom>
                    <a:ln/>
                  </pic:spPr>
                </pic:pic>
              </a:graphicData>
            </a:graphic>
            <wp14:sizeRelH relativeFrom="margin">
              <wp14:pctWidth>0</wp14:pctWidth>
            </wp14:sizeRelH>
          </wp:anchor>
        </w:drawing>
      </w:r>
    </w:p>
    <w:sectPr w:rsidR="0015658F">
      <w:headerReference w:type="default" r:id="rId15"/>
      <w:footerReference w:type="default" r:id="rId16"/>
      <w:pgSz w:w="12240" w:h="15840"/>
      <w:pgMar w:top="1985" w:right="985" w:bottom="1843" w:left="1418" w:header="709" w:footer="98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F46A21" w16cid:durableId="27B4132F"/>
  <w16cid:commentId w16cid:paraId="4A148E43" w16cid:durableId="27B41758"/>
  <w16cid:commentId w16cid:paraId="6F9492F0" w16cid:durableId="27B41330"/>
  <w16cid:commentId w16cid:paraId="62F2AF83" w16cid:durableId="27B4151C"/>
  <w16cid:commentId w16cid:paraId="04DE68B9" w16cid:durableId="27B41331"/>
  <w16cid:commentId w16cid:paraId="07DF5A02" w16cid:durableId="27B415B9"/>
  <w16cid:commentId w16cid:paraId="318D6386" w16cid:durableId="27B41332"/>
  <w16cid:commentId w16cid:paraId="6FB7F52A" w16cid:durableId="27B41630"/>
  <w16cid:commentId w16cid:paraId="7BEBC168" w16cid:durableId="27B41333"/>
  <w16cid:commentId w16cid:paraId="43164605" w16cid:durableId="27B41627"/>
  <w16cid:commentId w16cid:paraId="711A6271" w16cid:durableId="27B41334"/>
  <w16cid:commentId w16cid:paraId="7B0BAE05" w16cid:durableId="27B41636"/>
  <w16cid:commentId w16cid:paraId="0D630C76" w16cid:durableId="27B41A2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57AF1" w14:textId="77777777" w:rsidR="001376E5" w:rsidRDefault="001376E5">
      <w:r>
        <w:separator/>
      </w:r>
    </w:p>
  </w:endnote>
  <w:endnote w:type="continuationSeparator" w:id="0">
    <w:p w14:paraId="6E7BBFBF" w14:textId="77777777" w:rsidR="001376E5" w:rsidRDefault="0013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26DB1" w14:textId="6E36B5E0" w:rsidR="00E56D14" w:rsidRDefault="00E56D1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83728">
      <w:rPr>
        <w:noProof/>
        <w:color w:val="000000"/>
      </w:rPr>
      <w:t>9</w:t>
    </w:r>
    <w:r>
      <w:rPr>
        <w:color w:val="000000"/>
      </w:rPr>
      <w:fldChar w:fldCharType="end"/>
    </w:r>
    <w:r>
      <w:rPr>
        <w:noProof/>
        <w:lang w:eastAsia="en-GB"/>
      </w:rPr>
      <w:drawing>
        <wp:anchor distT="0" distB="0" distL="0" distR="0" simplePos="0" relativeHeight="251661312" behindDoc="1" locked="0" layoutInCell="1" hidden="0" allowOverlap="1" wp14:anchorId="3EEA71FB" wp14:editId="432378A2">
          <wp:simplePos x="0" y="0"/>
          <wp:positionH relativeFrom="column">
            <wp:posOffset>-900429</wp:posOffset>
          </wp:positionH>
          <wp:positionV relativeFrom="paragraph">
            <wp:posOffset>0</wp:posOffset>
          </wp:positionV>
          <wp:extent cx="7556400" cy="8964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6400" cy="896400"/>
                  </a:xfrm>
                  <a:prstGeom prst="rect">
                    <a:avLst/>
                  </a:prstGeom>
                  <a:ln/>
                </pic:spPr>
              </pic:pic>
            </a:graphicData>
          </a:graphic>
        </wp:anchor>
      </w:drawing>
    </w:r>
  </w:p>
  <w:p w14:paraId="02A6EBBB" w14:textId="77777777" w:rsidR="00E56D14" w:rsidRDefault="00E56D1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40C70" w14:textId="77777777" w:rsidR="001376E5" w:rsidRDefault="001376E5">
      <w:r>
        <w:separator/>
      </w:r>
    </w:p>
  </w:footnote>
  <w:footnote w:type="continuationSeparator" w:id="0">
    <w:p w14:paraId="207BA6D2" w14:textId="77777777" w:rsidR="001376E5" w:rsidRDefault="001376E5">
      <w:r>
        <w:continuationSeparator/>
      </w:r>
    </w:p>
  </w:footnote>
  <w:footnote w:id="1">
    <w:p w14:paraId="414F032B" w14:textId="77777777" w:rsidR="00E56D14" w:rsidRPr="00DC5B29" w:rsidRDefault="00E56D14" w:rsidP="0020268B">
      <w:pPr>
        <w:pStyle w:val="FootnoteText"/>
        <w:rPr>
          <w:lang w:val="en-US"/>
        </w:rPr>
      </w:pPr>
      <w:r>
        <w:rPr>
          <w:rStyle w:val="FootnoteReference"/>
        </w:rPr>
        <w:footnoteRef/>
      </w:r>
      <w:r>
        <w:t xml:space="preserve"> </w:t>
      </w:r>
      <w:bookmarkStart w:id="4" w:name="_Hlk109651901"/>
      <w:r>
        <w:rPr>
          <w:lang w:val="en-US"/>
        </w:rPr>
        <w:t>World Bank, 2022, ‘Disability Inclusion’.</w:t>
      </w:r>
      <w:bookmarkEnd w:id="4"/>
    </w:p>
  </w:footnote>
  <w:footnote w:id="2">
    <w:p w14:paraId="7CFA7621" w14:textId="77777777" w:rsidR="00E56D14" w:rsidRPr="003544DB" w:rsidRDefault="00E56D14" w:rsidP="006F2D9A">
      <w:pPr>
        <w:pStyle w:val="FootnoteText"/>
        <w:rPr>
          <w:lang w:val="en-US"/>
        </w:rPr>
      </w:pPr>
      <w:r>
        <w:rPr>
          <w:rStyle w:val="FootnoteReference"/>
        </w:rPr>
        <w:footnoteRef/>
      </w:r>
      <w:r>
        <w:t xml:space="preserve"> </w:t>
      </w:r>
      <w:r w:rsidRPr="003544DB">
        <w:t>ILO: Disability-inclusive social protection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4ABB3" w14:textId="77777777" w:rsidR="00E56D14" w:rsidRDefault="00E56D14">
    <w:pPr>
      <w:pBdr>
        <w:top w:val="nil"/>
        <w:left w:val="nil"/>
        <w:bottom w:val="nil"/>
        <w:right w:val="nil"/>
        <w:between w:val="nil"/>
      </w:pBdr>
      <w:tabs>
        <w:tab w:val="center" w:pos="4680"/>
        <w:tab w:val="right" w:pos="9360"/>
      </w:tabs>
      <w:rPr>
        <w:color w:val="000000"/>
      </w:rPr>
    </w:pPr>
    <w:r>
      <w:rPr>
        <w:noProof/>
        <w:color w:val="000000"/>
        <w:lang w:eastAsia="en-GB"/>
      </w:rPr>
      <w:drawing>
        <wp:anchor distT="0" distB="0" distL="0" distR="0" simplePos="0" relativeHeight="251660288" behindDoc="1" locked="0" layoutInCell="1" hidden="0" allowOverlap="1" wp14:anchorId="6576D625" wp14:editId="1B023651">
          <wp:simplePos x="0" y="0"/>
          <wp:positionH relativeFrom="page">
            <wp:align>center</wp:align>
          </wp:positionH>
          <wp:positionV relativeFrom="page">
            <wp:align>top</wp:align>
          </wp:positionV>
          <wp:extent cx="6480000" cy="1256400"/>
          <wp:effectExtent l="0" t="0" r="0" b="0"/>
          <wp:wrapNone/>
          <wp:docPr id="33" name="image7.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application&#10;&#10;Description automatically generated"/>
                  <pic:cNvPicPr preferRelativeResize="0"/>
                </pic:nvPicPr>
                <pic:blipFill>
                  <a:blip r:embed="rId1"/>
                  <a:srcRect/>
                  <a:stretch>
                    <a:fillRect/>
                  </a:stretch>
                </pic:blipFill>
                <pic:spPr>
                  <a:xfrm>
                    <a:off x="0" y="0"/>
                    <a:ext cx="6480000" cy="125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9D8177"/>
    <w:multiLevelType w:val="hybridMultilevel"/>
    <w:tmpl w:val="6436CD10"/>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B450F8"/>
    <w:multiLevelType w:val="hybridMultilevel"/>
    <w:tmpl w:val="C82842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BD63C72"/>
    <w:multiLevelType w:val="hybridMultilevel"/>
    <w:tmpl w:val="3C308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91623A"/>
    <w:multiLevelType w:val="hybridMultilevel"/>
    <w:tmpl w:val="20AA9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E2DDE"/>
    <w:multiLevelType w:val="hybridMultilevel"/>
    <w:tmpl w:val="AF1898C8"/>
    <w:lvl w:ilvl="0" w:tplc="FFFFFFFF">
      <w:start w:val="1"/>
      <w:numFmt w:val="bullet"/>
      <w:lvlText w:val=""/>
      <w:lvlJc w:val="left"/>
      <w:pPr>
        <w:ind w:left="720" w:hanging="360"/>
      </w:pPr>
      <w:rPr>
        <w:rFonts w:ascii="Symbol" w:hAnsi="Symbol" w:hint="default"/>
      </w:rPr>
    </w:lvl>
    <w:lvl w:ilvl="1" w:tplc="97D68F04">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925E9F"/>
    <w:multiLevelType w:val="hybridMultilevel"/>
    <w:tmpl w:val="71FE7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6A09D2"/>
    <w:multiLevelType w:val="hybridMultilevel"/>
    <w:tmpl w:val="241822AE"/>
    <w:lvl w:ilvl="0" w:tplc="41CC9D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86572"/>
    <w:multiLevelType w:val="hybridMultilevel"/>
    <w:tmpl w:val="2636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1E1CAB"/>
    <w:multiLevelType w:val="hybridMultilevel"/>
    <w:tmpl w:val="E370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D1D95"/>
    <w:multiLevelType w:val="hybridMultilevel"/>
    <w:tmpl w:val="350EAE8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653A02"/>
    <w:multiLevelType w:val="multilevel"/>
    <w:tmpl w:val="DA1E5886"/>
    <w:lvl w:ilvl="0">
      <w:start w:val="1"/>
      <w:numFmt w:val="bullet"/>
      <w:pStyle w:val="TOC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58F63C1"/>
    <w:multiLevelType w:val="hybridMultilevel"/>
    <w:tmpl w:val="E8BAC238"/>
    <w:lvl w:ilvl="0" w:tplc="FFFFFFFF">
      <w:start w:val="1"/>
      <w:numFmt w:val="decimal"/>
      <w:lvlText w:val=""/>
      <w:lvlJc w:val="left"/>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6EF1DE7"/>
    <w:multiLevelType w:val="multilevel"/>
    <w:tmpl w:val="C226C48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3" w15:restartNumberingAfterBreak="0">
    <w:nsid w:val="43251B15"/>
    <w:multiLevelType w:val="hybridMultilevel"/>
    <w:tmpl w:val="5580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EC6D4F"/>
    <w:multiLevelType w:val="hybridMultilevel"/>
    <w:tmpl w:val="64D487E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515F6FC1"/>
    <w:multiLevelType w:val="hybridMultilevel"/>
    <w:tmpl w:val="41BAE0D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56D3320A"/>
    <w:multiLevelType w:val="hybridMultilevel"/>
    <w:tmpl w:val="B9EABFBE"/>
    <w:lvl w:ilvl="0" w:tplc="97D68F04">
      <w:start w:val="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D741F2"/>
    <w:multiLevelType w:val="hybridMultilevel"/>
    <w:tmpl w:val="32507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341014F"/>
    <w:multiLevelType w:val="hybridMultilevel"/>
    <w:tmpl w:val="B510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5B1B07"/>
    <w:multiLevelType w:val="hybridMultilevel"/>
    <w:tmpl w:val="47028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83E6E06"/>
    <w:multiLevelType w:val="hybridMultilevel"/>
    <w:tmpl w:val="4184BB7C"/>
    <w:lvl w:ilvl="0" w:tplc="F61A059E">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6BC12B15"/>
    <w:multiLevelType w:val="hybridMultilevel"/>
    <w:tmpl w:val="E488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5872BD"/>
    <w:multiLevelType w:val="hybridMultilevel"/>
    <w:tmpl w:val="1420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9526FD"/>
    <w:multiLevelType w:val="hybridMultilevel"/>
    <w:tmpl w:val="A754C126"/>
    <w:lvl w:ilvl="0" w:tplc="D55479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FF5AAB"/>
    <w:multiLevelType w:val="hybridMultilevel"/>
    <w:tmpl w:val="AE82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3"/>
  </w:num>
  <w:num w:numId="4">
    <w:abstractNumId w:val="15"/>
  </w:num>
  <w:num w:numId="5">
    <w:abstractNumId w:val="3"/>
  </w:num>
  <w:num w:numId="6">
    <w:abstractNumId w:val="4"/>
  </w:num>
  <w:num w:numId="7">
    <w:abstractNumId w:val="16"/>
  </w:num>
  <w:num w:numId="8">
    <w:abstractNumId w:val="20"/>
  </w:num>
  <w:num w:numId="9">
    <w:abstractNumId w:val="1"/>
  </w:num>
  <w:num w:numId="10">
    <w:abstractNumId w:val="14"/>
  </w:num>
  <w:num w:numId="11">
    <w:abstractNumId w:val="17"/>
  </w:num>
  <w:num w:numId="12">
    <w:abstractNumId w:val="9"/>
  </w:num>
  <w:num w:numId="13">
    <w:abstractNumId w:val="0"/>
  </w:num>
  <w:num w:numId="14">
    <w:abstractNumId w:val="24"/>
  </w:num>
  <w:num w:numId="15">
    <w:abstractNumId w:val="11"/>
  </w:num>
  <w:num w:numId="16">
    <w:abstractNumId w:val="5"/>
  </w:num>
  <w:num w:numId="17">
    <w:abstractNumId w:val="13"/>
  </w:num>
  <w:num w:numId="18">
    <w:abstractNumId w:val="21"/>
  </w:num>
  <w:num w:numId="19">
    <w:abstractNumId w:val="8"/>
  </w:num>
  <w:num w:numId="20">
    <w:abstractNumId w:val="18"/>
  </w:num>
  <w:num w:numId="21">
    <w:abstractNumId w:val="22"/>
  </w:num>
  <w:num w:numId="22">
    <w:abstractNumId w:val="2"/>
  </w:num>
  <w:num w:numId="23">
    <w:abstractNumId w:val="6"/>
  </w:num>
  <w:num w:numId="24">
    <w:abstractNumId w:val="19"/>
  </w:num>
  <w:num w:numId="25">
    <w:abstractNumId w:val="7"/>
  </w:num>
  <w:num w:numId="26">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AR" w:vendorID="64" w:dllVersion="4096" w:nlCheck="1" w:checkStyle="0"/>
  <w:activeWritingStyle w:appName="MSWord" w:lang="es-A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es-AR" w:vendorID="64" w:dllVersion="131078" w:nlCheck="1" w:checkStyle="0"/>
  <w:activeWritingStyle w:appName="MSWord" w:lang="fr-FR"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58F"/>
    <w:rsid w:val="0000707B"/>
    <w:rsid w:val="00012AEC"/>
    <w:rsid w:val="00014A54"/>
    <w:rsid w:val="00015C7A"/>
    <w:rsid w:val="00023E9E"/>
    <w:rsid w:val="000249EA"/>
    <w:rsid w:val="000367CB"/>
    <w:rsid w:val="0005213C"/>
    <w:rsid w:val="00056A3C"/>
    <w:rsid w:val="00064266"/>
    <w:rsid w:val="000675DB"/>
    <w:rsid w:val="00073158"/>
    <w:rsid w:val="00081D52"/>
    <w:rsid w:val="00094BF3"/>
    <w:rsid w:val="000A045D"/>
    <w:rsid w:val="000A587E"/>
    <w:rsid w:val="000B129E"/>
    <w:rsid w:val="000B2EF2"/>
    <w:rsid w:val="000B6DDB"/>
    <w:rsid w:val="000D7797"/>
    <w:rsid w:val="000E731B"/>
    <w:rsid w:val="000F0042"/>
    <w:rsid w:val="00101CEC"/>
    <w:rsid w:val="00106800"/>
    <w:rsid w:val="001102D7"/>
    <w:rsid w:val="00116461"/>
    <w:rsid w:val="00122B5B"/>
    <w:rsid w:val="001257B2"/>
    <w:rsid w:val="001376E5"/>
    <w:rsid w:val="0015658F"/>
    <w:rsid w:val="00156E1B"/>
    <w:rsid w:val="00162059"/>
    <w:rsid w:val="00165F90"/>
    <w:rsid w:val="00166256"/>
    <w:rsid w:val="0018502D"/>
    <w:rsid w:val="001D1FB4"/>
    <w:rsid w:val="001D4DD9"/>
    <w:rsid w:val="001E5ACA"/>
    <w:rsid w:val="001F3B55"/>
    <w:rsid w:val="001F5353"/>
    <w:rsid w:val="001F5B4F"/>
    <w:rsid w:val="0020268B"/>
    <w:rsid w:val="00210268"/>
    <w:rsid w:val="00210E60"/>
    <w:rsid w:val="00212A3B"/>
    <w:rsid w:val="00215907"/>
    <w:rsid w:val="0022335D"/>
    <w:rsid w:val="00225142"/>
    <w:rsid w:val="0023103C"/>
    <w:rsid w:val="00232633"/>
    <w:rsid w:val="00234B36"/>
    <w:rsid w:val="00251AD6"/>
    <w:rsid w:val="00257DD6"/>
    <w:rsid w:val="00262FEB"/>
    <w:rsid w:val="0026422F"/>
    <w:rsid w:val="002710B6"/>
    <w:rsid w:val="00275762"/>
    <w:rsid w:val="00284A67"/>
    <w:rsid w:val="00295606"/>
    <w:rsid w:val="002A112B"/>
    <w:rsid w:val="002A11FD"/>
    <w:rsid w:val="002A242B"/>
    <w:rsid w:val="002A2767"/>
    <w:rsid w:val="002A2FE4"/>
    <w:rsid w:val="002B4FB2"/>
    <w:rsid w:val="002C7B26"/>
    <w:rsid w:val="002D5970"/>
    <w:rsid w:val="002E01C1"/>
    <w:rsid w:val="002E6409"/>
    <w:rsid w:val="002E6728"/>
    <w:rsid w:val="002F558B"/>
    <w:rsid w:val="0030050D"/>
    <w:rsid w:val="003021FF"/>
    <w:rsid w:val="00305331"/>
    <w:rsid w:val="00333642"/>
    <w:rsid w:val="00346BC9"/>
    <w:rsid w:val="00353E78"/>
    <w:rsid w:val="00354F34"/>
    <w:rsid w:val="00360B91"/>
    <w:rsid w:val="0036203D"/>
    <w:rsid w:val="003731AC"/>
    <w:rsid w:val="0037442C"/>
    <w:rsid w:val="00377AF0"/>
    <w:rsid w:val="0038263B"/>
    <w:rsid w:val="0039017D"/>
    <w:rsid w:val="003A73E3"/>
    <w:rsid w:val="003A7785"/>
    <w:rsid w:val="003A797E"/>
    <w:rsid w:val="003B14DB"/>
    <w:rsid w:val="003B53D5"/>
    <w:rsid w:val="003B73E0"/>
    <w:rsid w:val="003C1DFF"/>
    <w:rsid w:val="003C5FB1"/>
    <w:rsid w:val="003E6881"/>
    <w:rsid w:val="003F0DAE"/>
    <w:rsid w:val="003F2490"/>
    <w:rsid w:val="0040732E"/>
    <w:rsid w:val="004110F4"/>
    <w:rsid w:val="00411A3B"/>
    <w:rsid w:val="00412E2F"/>
    <w:rsid w:val="004135C6"/>
    <w:rsid w:val="00416064"/>
    <w:rsid w:val="0041740B"/>
    <w:rsid w:val="0042322A"/>
    <w:rsid w:val="004249A1"/>
    <w:rsid w:val="00427701"/>
    <w:rsid w:val="004337DC"/>
    <w:rsid w:val="00447473"/>
    <w:rsid w:val="00454C77"/>
    <w:rsid w:val="00463DEA"/>
    <w:rsid w:val="00467BF6"/>
    <w:rsid w:val="004749AA"/>
    <w:rsid w:val="004846FD"/>
    <w:rsid w:val="004906BD"/>
    <w:rsid w:val="004A7890"/>
    <w:rsid w:val="004B4ABB"/>
    <w:rsid w:val="004B594B"/>
    <w:rsid w:val="004B5EEC"/>
    <w:rsid w:val="004C244C"/>
    <w:rsid w:val="004C32A5"/>
    <w:rsid w:val="004C6C97"/>
    <w:rsid w:val="004E4825"/>
    <w:rsid w:val="00517636"/>
    <w:rsid w:val="0052117F"/>
    <w:rsid w:val="00522E8B"/>
    <w:rsid w:val="00523BE3"/>
    <w:rsid w:val="00524321"/>
    <w:rsid w:val="00525B42"/>
    <w:rsid w:val="005468E2"/>
    <w:rsid w:val="00547073"/>
    <w:rsid w:val="0056099E"/>
    <w:rsid w:val="00573AA0"/>
    <w:rsid w:val="005804E8"/>
    <w:rsid w:val="00583728"/>
    <w:rsid w:val="005C49A4"/>
    <w:rsid w:val="005C6F02"/>
    <w:rsid w:val="005C7079"/>
    <w:rsid w:val="005D4FBF"/>
    <w:rsid w:val="005D5A8E"/>
    <w:rsid w:val="0060746D"/>
    <w:rsid w:val="00611D0E"/>
    <w:rsid w:val="00614803"/>
    <w:rsid w:val="00635C58"/>
    <w:rsid w:val="006431CC"/>
    <w:rsid w:val="00652C62"/>
    <w:rsid w:val="00657456"/>
    <w:rsid w:val="00667929"/>
    <w:rsid w:val="006778C9"/>
    <w:rsid w:val="00681F18"/>
    <w:rsid w:val="006935BA"/>
    <w:rsid w:val="006A07B1"/>
    <w:rsid w:val="006A3AF5"/>
    <w:rsid w:val="006B1AFC"/>
    <w:rsid w:val="006B2F74"/>
    <w:rsid w:val="006B7990"/>
    <w:rsid w:val="006B7B7A"/>
    <w:rsid w:val="006C7389"/>
    <w:rsid w:val="006D15E3"/>
    <w:rsid w:val="006E3D3C"/>
    <w:rsid w:val="006E5AB4"/>
    <w:rsid w:val="006F2D9A"/>
    <w:rsid w:val="006F577D"/>
    <w:rsid w:val="00705020"/>
    <w:rsid w:val="007107F2"/>
    <w:rsid w:val="00714C98"/>
    <w:rsid w:val="00716AD6"/>
    <w:rsid w:val="00720320"/>
    <w:rsid w:val="007364ED"/>
    <w:rsid w:val="00736EB0"/>
    <w:rsid w:val="0074741E"/>
    <w:rsid w:val="00751ADB"/>
    <w:rsid w:val="007532E9"/>
    <w:rsid w:val="00760235"/>
    <w:rsid w:val="00761C7B"/>
    <w:rsid w:val="00767B38"/>
    <w:rsid w:val="00773438"/>
    <w:rsid w:val="00775ED9"/>
    <w:rsid w:val="00792DA7"/>
    <w:rsid w:val="00795D6B"/>
    <w:rsid w:val="007A5887"/>
    <w:rsid w:val="007A75AA"/>
    <w:rsid w:val="007B369E"/>
    <w:rsid w:val="007B4233"/>
    <w:rsid w:val="007B5A4C"/>
    <w:rsid w:val="007C18A5"/>
    <w:rsid w:val="007D4635"/>
    <w:rsid w:val="007D6993"/>
    <w:rsid w:val="007E5146"/>
    <w:rsid w:val="007E6C41"/>
    <w:rsid w:val="007F5AE2"/>
    <w:rsid w:val="0080278C"/>
    <w:rsid w:val="00807B42"/>
    <w:rsid w:val="00813A9C"/>
    <w:rsid w:val="008178F7"/>
    <w:rsid w:val="00821B86"/>
    <w:rsid w:val="00823120"/>
    <w:rsid w:val="008262AD"/>
    <w:rsid w:val="0083651D"/>
    <w:rsid w:val="00836715"/>
    <w:rsid w:val="008378E0"/>
    <w:rsid w:val="00840602"/>
    <w:rsid w:val="008604A0"/>
    <w:rsid w:val="00863D29"/>
    <w:rsid w:val="008654D3"/>
    <w:rsid w:val="008838A1"/>
    <w:rsid w:val="00891E70"/>
    <w:rsid w:val="008923E4"/>
    <w:rsid w:val="008B7FA9"/>
    <w:rsid w:val="008E1AED"/>
    <w:rsid w:val="00901DF5"/>
    <w:rsid w:val="009063EF"/>
    <w:rsid w:val="00926815"/>
    <w:rsid w:val="009309DC"/>
    <w:rsid w:val="00930F83"/>
    <w:rsid w:val="00931782"/>
    <w:rsid w:val="009426A6"/>
    <w:rsid w:val="0094686B"/>
    <w:rsid w:val="00950724"/>
    <w:rsid w:val="009527C3"/>
    <w:rsid w:val="0095333C"/>
    <w:rsid w:val="009649DA"/>
    <w:rsid w:val="00966FCB"/>
    <w:rsid w:val="0097329A"/>
    <w:rsid w:val="00976C61"/>
    <w:rsid w:val="009827D6"/>
    <w:rsid w:val="009872E0"/>
    <w:rsid w:val="00987F9A"/>
    <w:rsid w:val="00997D3E"/>
    <w:rsid w:val="009A121E"/>
    <w:rsid w:val="009A22E4"/>
    <w:rsid w:val="009B0ADC"/>
    <w:rsid w:val="009B3DAC"/>
    <w:rsid w:val="009C0986"/>
    <w:rsid w:val="009C1F0E"/>
    <w:rsid w:val="009C2BE4"/>
    <w:rsid w:val="009C54EF"/>
    <w:rsid w:val="009D08C5"/>
    <w:rsid w:val="009D753B"/>
    <w:rsid w:val="009D7CE4"/>
    <w:rsid w:val="009E02A9"/>
    <w:rsid w:val="009E2CDB"/>
    <w:rsid w:val="009E5B12"/>
    <w:rsid w:val="009E76CB"/>
    <w:rsid w:val="009F44D3"/>
    <w:rsid w:val="00A02B4F"/>
    <w:rsid w:val="00A02D07"/>
    <w:rsid w:val="00A03972"/>
    <w:rsid w:val="00A11E4B"/>
    <w:rsid w:val="00A1307E"/>
    <w:rsid w:val="00A168F7"/>
    <w:rsid w:val="00A20305"/>
    <w:rsid w:val="00A276A8"/>
    <w:rsid w:val="00A456AB"/>
    <w:rsid w:val="00A558DE"/>
    <w:rsid w:val="00A64B20"/>
    <w:rsid w:val="00A729B8"/>
    <w:rsid w:val="00A73588"/>
    <w:rsid w:val="00A80B9D"/>
    <w:rsid w:val="00A8501B"/>
    <w:rsid w:val="00A8525C"/>
    <w:rsid w:val="00AA71D2"/>
    <w:rsid w:val="00AD7D12"/>
    <w:rsid w:val="00AE06AA"/>
    <w:rsid w:val="00AE45A3"/>
    <w:rsid w:val="00AF7119"/>
    <w:rsid w:val="00B0130C"/>
    <w:rsid w:val="00B11E96"/>
    <w:rsid w:val="00B30379"/>
    <w:rsid w:val="00B34FAE"/>
    <w:rsid w:val="00B35E43"/>
    <w:rsid w:val="00B52DDD"/>
    <w:rsid w:val="00B53955"/>
    <w:rsid w:val="00B5751D"/>
    <w:rsid w:val="00B81B66"/>
    <w:rsid w:val="00B83A53"/>
    <w:rsid w:val="00B85D11"/>
    <w:rsid w:val="00B95CB0"/>
    <w:rsid w:val="00BB106E"/>
    <w:rsid w:val="00BB4317"/>
    <w:rsid w:val="00BC250A"/>
    <w:rsid w:val="00BC2AB0"/>
    <w:rsid w:val="00BC6E84"/>
    <w:rsid w:val="00BC7202"/>
    <w:rsid w:val="00BD0068"/>
    <w:rsid w:val="00BE1B2C"/>
    <w:rsid w:val="00BF2E4E"/>
    <w:rsid w:val="00C03959"/>
    <w:rsid w:val="00C06DD1"/>
    <w:rsid w:val="00C11339"/>
    <w:rsid w:val="00C17363"/>
    <w:rsid w:val="00C2101B"/>
    <w:rsid w:val="00C247D3"/>
    <w:rsid w:val="00C24D1F"/>
    <w:rsid w:val="00C31C50"/>
    <w:rsid w:val="00C35671"/>
    <w:rsid w:val="00C5454B"/>
    <w:rsid w:val="00C5633A"/>
    <w:rsid w:val="00C56DBD"/>
    <w:rsid w:val="00C65A88"/>
    <w:rsid w:val="00C9458A"/>
    <w:rsid w:val="00C96923"/>
    <w:rsid w:val="00C96AA8"/>
    <w:rsid w:val="00CA580E"/>
    <w:rsid w:val="00CA5874"/>
    <w:rsid w:val="00CB3E04"/>
    <w:rsid w:val="00CE328D"/>
    <w:rsid w:val="00CE5CE1"/>
    <w:rsid w:val="00CE689F"/>
    <w:rsid w:val="00CF1BC5"/>
    <w:rsid w:val="00CF2C7E"/>
    <w:rsid w:val="00CF6DEA"/>
    <w:rsid w:val="00CF7CAD"/>
    <w:rsid w:val="00CF7FAE"/>
    <w:rsid w:val="00D105E4"/>
    <w:rsid w:val="00D157CD"/>
    <w:rsid w:val="00D40021"/>
    <w:rsid w:val="00D40B7C"/>
    <w:rsid w:val="00D45D49"/>
    <w:rsid w:val="00D47FE9"/>
    <w:rsid w:val="00D5023C"/>
    <w:rsid w:val="00D6680B"/>
    <w:rsid w:val="00D66E63"/>
    <w:rsid w:val="00D876E7"/>
    <w:rsid w:val="00D9335A"/>
    <w:rsid w:val="00DA4FA2"/>
    <w:rsid w:val="00DB08BA"/>
    <w:rsid w:val="00DB76EC"/>
    <w:rsid w:val="00DC1158"/>
    <w:rsid w:val="00DD72BE"/>
    <w:rsid w:val="00DF2475"/>
    <w:rsid w:val="00DF4F8F"/>
    <w:rsid w:val="00E06198"/>
    <w:rsid w:val="00E169CC"/>
    <w:rsid w:val="00E36DB6"/>
    <w:rsid w:val="00E46322"/>
    <w:rsid w:val="00E56D14"/>
    <w:rsid w:val="00E57177"/>
    <w:rsid w:val="00E57D09"/>
    <w:rsid w:val="00E645B6"/>
    <w:rsid w:val="00E77105"/>
    <w:rsid w:val="00E77B40"/>
    <w:rsid w:val="00E96632"/>
    <w:rsid w:val="00EA665D"/>
    <w:rsid w:val="00EB1E7E"/>
    <w:rsid w:val="00EB3532"/>
    <w:rsid w:val="00ED2561"/>
    <w:rsid w:val="00EE19B1"/>
    <w:rsid w:val="00EE3A74"/>
    <w:rsid w:val="00EE3FF0"/>
    <w:rsid w:val="00EE6543"/>
    <w:rsid w:val="00EF12CF"/>
    <w:rsid w:val="00F12C3E"/>
    <w:rsid w:val="00F13044"/>
    <w:rsid w:val="00F15579"/>
    <w:rsid w:val="00F17749"/>
    <w:rsid w:val="00F21EC1"/>
    <w:rsid w:val="00F22636"/>
    <w:rsid w:val="00F3093C"/>
    <w:rsid w:val="00F34812"/>
    <w:rsid w:val="00F3678E"/>
    <w:rsid w:val="00F56809"/>
    <w:rsid w:val="00F66BCB"/>
    <w:rsid w:val="00F67DF3"/>
    <w:rsid w:val="00F71376"/>
    <w:rsid w:val="00F85B39"/>
    <w:rsid w:val="00F878AB"/>
    <w:rsid w:val="00F92FA5"/>
    <w:rsid w:val="00F936D0"/>
    <w:rsid w:val="00FA0FF1"/>
    <w:rsid w:val="00FB2BEC"/>
    <w:rsid w:val="00FB49A9"/>
    <w:rsid w:val="00FC545C"/>
    <w:rsid w:val="00FE0F0F"/>
    <w:rsid w:val="00FE6676"/>
    <w:rsid w:val="00FE755C"/>
    <w:rsid w:val="00FF22E1"/>
    <w:rsid w:val="00FF4A61"/>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A9005"/>
  <w15:docId w15:val="{5D8EB2A8-EC12-4526-9851-BED9D10A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DD6"/>
  </w:style>
  <w:style w:type="paragraph" w:styleId="Heading1">
    <w:name w:val="heading 1"/>
    <w:basedOn w:val="Normal"/>
    <w:next w:val="Normal"/>
    <w:link w:val="Heading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A26F1"/>
    <w:pPr>
      <w:tabs>
        <w:tab w:val="center" w:pos="4680"/>
        <w:tab w:val="right" w:pos="9360"/>
      </w:tabs>
    </w:pPr>
  </w:style>
  <w:style w:type="character" w:customStyle="1" w:styleId="HeaderChar">
    <w:name w:val="Header Char"/>
    <w:basedOn w:val="DefaultParagraphFont"/>
    <w:link w:val="Header"/>
    <w:uiPriority w:val="99"/>
    <w:rsid w:val="001A26F1"/>
  </w:style>
  <w:style w:type="paragraph" w:styleId="Footer">
    <w:name w:val="footer"/>
    <w:basedOn w:val="Normal"/>
    <w:link w:val="FooterChar"/>
    <w:uiPriority w:val="99"/>
    <w:unhideWhenUsed/>
    <w:rsid w:val="001A26F1"/>
    <w:pPr>
      <w:tabs>
        <w:tab w:val="center" w:pos="4680"/>
        <w:tab w:val="right" w:pos="9360"/>
      </w:tabs>
    </w:pPr>
  </w:style>
  <w:style w:type="character" w:customStyle="1" w:styleId="FooterChar">
    <w:name w:val="Footer Char"/>
    <w:basedOn w:val="DefaultParagraphFont"/>
    <w:link w:val="Footer"/>
    <w:uiPriority w:val="99"/>
    <w:rsid w:val="001A26F1"/>
  </w:style>
  <w:style w:type="paragraph" w:styleId="FootnoteText">
    <w:name w:val="footnote text"/>
    <w:basedOn w:val="Normal"/>
    <w:link w:val="FootnoteTextChar"/>
    <w:uiPriority w:val="99"/>
    <w:unhideWhenUsed/>
    <w:rsid w:val="009548B8"/>
    <w:rPr>
      <w:sz w:val="20"/>
      <w:szCs w:val="20"/>
    </w:rPr>
  </w:style>
  <w:style w:type="character" w:customStyle="1" w:styleId="FootnoteTextChar">
    <w:name w:val="Footnote Text Char"/>
    <w:basedOn w:val="DefaultParagraphFont"/>
    <w:link w:val="FootnoteText"/>
    <w:uiPriority w:val="99"/>
    <w:rsid w:val="009548B8"/>
    <w:rPr>
      <w:sz w:val="20"/>
      <w:szCs w:val="20"/>
    </w:rPr>
  </w:style>
  <w:style w:type="character" w:styleId="FootnoteReference">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EndnoteText">
    <w:name w:val="endnote text"/>
    <w:basedOn w:val="Normal"/>
    <w:link w:val="EndnoteTextChar"/>
    <w:uiPriority w:val="99"/>
    <w:semiHidden/>
    <w:unhideWhenUsed/>
    <w:rsid w:val="009548B8"/>
    <w:rPr>
      <w:sz w:val="20"/>
      <w:szCs w:val="20"/>
    </w:rPr>
  </w:style>
  <w:style w:type="character" w:customStyle="1" w:styleId="EndnoteTextChar">
    <w:name w:val="Endnote Text Char"/>
    <w:basedOn w:val="DefaultParagraphFont"/>
    <w:link w:val="EndnoteText"/>
    <w:uiPriority w:val="99"/>
    <w:semiHidden/>
    <w:rsid w:val="009548B8"/>
    <w:rPr>
      <w:sz w:val="20"/>
      <w:szCs w:val="20"/>
      <w:lang w:val="en-GB"/>
    </w:rPr>
  </w:style>
  <w:style w:type="character" w:styleId="EndnoteReference">
    <w:name w:val="endnote reference"/>
    <w:basedOn w:val="DefaultParagraphFont"/>
    <w:uiPriority w:val="99"/>
    <w:semiHidden/>
    <w:unhideWhenUsed/>
    <w:rsid w:val="009548B8"/>
    <w:rPr>
      <w:vertAlign w:val="superscript"/>
    </w:rPr>
  </w:style>
  <w:style w:type="character" w:styleId="CommentReference">
    <w:name w:val="annotation reference"/>
    <w:basedOn w:val="DefaultParagraphFont"/>
    <w:uiPriority w:val="99"/>
    <w:semiHidden/>
    <w:unhideWhenUsed/>
    <w:rsid w:val="00FF1F29"/>
    <w:rPr>
      <w:sz w:val="16"/>
      <w:szCs w:val="16"/>
    </w:rPr>
  </w:style>
  <w:style w:type="paragraph" w:styleId="CommentText">
    <w:name w:val="annotation text"/>
    <w:basedOn w:val="Normal"/>
    <w:link w:val="CommentTextChar"/>
    <w:uiPriority w:val="99"/>
    <w:unhideWhenUsed/>
    <w:rsid w:val="00FF1F29"/>
    <w:rPr>
      <w:sz w:val="20"/>
      <w:szCs w:val="20"/>
    </w:rPr>
  </w:style>
  <w:style w:type="character" w:customStyle="1" w:styleId="CommentTextChar">
    <w:name w:val="Comment Text Char"/>
    <w:basedOn w:val="DefaultParagraphFont"/>
    <w:link w:val="CommentText"/>
    <w:uiPriority w:val="99"/>
    <w:rsid w:val="00FF1F29"/>
    <w:rPr>
      <w:sz w:val="20"/>
      <w:szCs w:val="20"/>
    </w:rPr>
  </w:style>
  <w:style w:type="paragraph" w:styleId="CommentSubject">
    <w:name w:val="annotation subject"/>
    <w:basedOn w:val="CommentText"/>
    <w:next w:val="CommentText"/>
    <w:link w:val="CommentSubjectChar"/>
    <w:uiPriority w:val="99"/>
    <w:semiHidden/>
    <w:unhideWhenUsed/>
    <w:rsid w:val="00FF1F29"/>
    <w:rPr>
      <w:b/>
      <w:bCs/>
    </w:rPr>
  </w:style>
  <w:style w:type="character" w:customStyle="1" w:styleId="CommentSubjectChar">
    <w:name w:val="Comment Subject Char"/>
    <w:basedOn w:val="CommentTextChar"/>
    <w:link w:val="CommentSubject"/>
    <w:uiPriority w:val="99"/>
    <w:semiHidden/>
    <w:rsid w:val="00FF1F29"/>
    <w:rPr>
      <w:b/>
      <w:bCs/>
      <w:sz w:val="20"/>
      <w:szCs w:val="20"/>
    </w:rPr>
  </w:style>
  <w:style w:type="paragraph" w:styleId="BalloonText">
    <w:name w:val="Balloon Text"/>
    <w:basedOn w:val="Normal"/>
    <w:link w:val="BalloonTextChar"/>
    <w:uiPriority w:val="99"/>
    <w:semiHidden/>
    <w:unhideWhenUsed/>
    <w:rsid w:val="00FF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F29"/>
    <w:rPr>
      <w:rFonts w:ascii="Segoe UI" w:hAnsi="Segoe UI" w:cs="Segoe UI"/>
      <w:sz w:val="18"/>
      <w:szCs w:val="18"/>
    </w:rPr>
  </w:style>
  <w:style w:type="character" w:customStyle="1" w:styleId="Heading1Char">
    <w:name w:val="Heading 1 Char"/>
    <w:basedOn w:val="DefaultParagraphFont"/>
    <w:link w:val="Heading1"/>
    <w:uiPriority w:val="9"/>
    <w:rsid w:val="00492ACD"/>
    <w:rPr>
      <w:rFonts w:asciiTheme="majorHAnsi" w:eastAsiaTheme="majorEastAsia" w:hAnsiTheme="majorHAnsi" w:cstheme="majorBidi"/>
      <w:color w:val="2F5496" w:themeColor="accent1" w:themeShade="BF"/>
      <w:sz w:val="32"/>
      <w:szCs w:val="32"/>
    </w:rPr>
  </w:style>
  <w:style w:type="paragraph" w:styleId="ListParagraph">
    <w:name w:val="List Paragraph"/>
    <w:aliases w:val="Bullet Points,Listenabsatz1,Llista Nivell1,Lista de nivel 1,Paragraphe de liste PBLH,Normal bullet 2,Graph &amp; Table tite,Table of contents numbered,Bullet list,Liststycke SKL,List Paragraph2,Foot note,UEDAŞ Bullet"/>
    <w:basedOn w:val="Normal"/>
    <w:link w:val="ListParagraphChar"/>
    <w:uiPriority w:val="34"/>
    <w:qFormat/>
    <w:rsid w:val="002F2BFB"/>
    <w:pPr>
      <w:ind w:left="720"/>
      <w:contextualSpacing/>
    </w:pPr>
  </w:style>
  <w:style w:type="table" w:customStyle="1" w:styleId="Tablaconcuadrcula1">
    <w:name w:val="Tabla con cuadrícula1"/>
    <w:basedOn w:val="TableNormal"/>
    <w:next w:val="TableGrid"/>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A35E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55470"/>
    <w:pPr>
      <w:spacing w:line="259" w:lineRule="auto"/>
      <w:outlineLvl w:val="9"/>
    </w:pPr>
    <w:rPr>
      <w:lang w:val="en-US"/>
    </w:rPr>
  </w:style>
  <w:style w:type="paragraph" w:styleId="TOC1">
    <w:name w:val="toc 1"/>
    <w:basedOn w:val="Normal"/>
    <w:next w:val="Normal"/>
    <w:autoRedefine/>
    <w:uiPriority w:val="39"/>
    <w:unhideWhenUsed/>
    <w:rsid w:val="009E5B12"/>
    <w:pPr>
      <w:numPr>
        <w:numId w:val="2"/>
      </w:numPr>
      <w:tabs>
        <w:tab w:val="left" w:pos="480"/>
        <w:tab w:val="right" w:leader="dot" w:pos="9487"/>
      </w:tabs>
      <w:spacing w:before="360"/>
    </w:pPr>
    <w:rPr>
      <w:rFonts w:cstheme="minorHAnsi"/>
      <w:b/>
      <w:bCs/>
      <w:caps/>
      <w:noProof/>
      <w:sz w:val="22"/>
      <w:szCs w:val="22"/>
    </w:rPr>
  </w:style>
  <w:style w:type="paragraph" w:styleId="TOC2">
    <w:name w:val="toc 2"/>
    <w:basedOn w:val="Normal"/>
    <w:next w:val="Normal"/>
    <w:autoRedefine/>
    <w:uiPriority w:val="39"/>
    <w:unhideWhenUsed/>
    <w:rsid w:val="002A2FE4"/>
    <w:pPr>
      <w:tabs>
        <w:tab w:val="right" w:leader="dot" w:pos="9350"/>
      </w:tabs>
      <w:spacing w:before="240"/>
    </w:pPr>
    <w:rPr>
      <w:rFonts w:cstheme="minorHAnsi"/>
      <w:b/>
      <w:bCs/>
      <w:sz w:val="20"/>
      <w:szCs w:val="20"/>
    </w:rPr>
  </w:style>
  <w:style w:type="character" w:customStyle="1" w:styleId="Heading3Char">
    <w:name w:val="Heading 3 Char"/>
    <w:basedOn w:val="DefaultParagraphFont"/>
    <w:link w:val="Heading3"/>
    <w:uiPriority w:val="9"/>
    <w:rsid w:val="00AA35E1"/>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492ACD"/>
    <w:pPr>
      <w:ind w:left="240"/>
    </w:pPr>
    <w:rPr>
      <w:rFonts w:cstheme="minorHAnsi"/>
      <w:sz w:val="20"/>
      <w:szCs w:val="20"/>
    </w:rPr>
  </w:style>
  <w:style w:type="paragraph" w:styleId="TOC4">
    <w:name w:val="toc 4"/>
    <w:basedOn w:val="Normal"/>
    <w:next w:val="Normal"/>
    <w:autoRedefine/>
    <w:uiPriority w:val="39"/>
    <w:unhideWhenUsed/>
    <w:rsid w:val="00492ACD"/>
    <w:pPr>
      <w:ind w:left="480"/>
    </w:pPr>
    <w:rPr>
      <w:rFonts w:cstheme="minorHAnsi"/>
      <w:sz w:val="20"/>
      <w:szCs w:val="20"/>
    </w:rPr>
  </w:style>
  <w:style w:type="paragraph" w:styleId="TOC5">
    <w:name w:val="toc 5"/>
    <w:basedOn w:val="Normal"/>
    <w:next w:val="Normal"/>
    <w:autoRedefine/>
    <w:uiPriority w:val="39"/>
    <w:unhideWhenUsed/>
    <w:rsid w:val="00492ACD"/>
    <w:pPr>
      <w:ind w:left="720"/>
    </w:pPr>
    <w:rPr>
      <w:rFonts w:cstheme="minorHAnsi"/>
      <w:sz w:val="20"/>
      <w:szCs w:val="20"/>
    </w:rPr>
  </w:style>
  <w:style w:type="paragraph" w:styleId="TOC6">
    <w:name w:val="toc 6"/>
    <w:basedOn w:val="Normal"/>
    <w:next w:val="Normal"/>
    <w:autoRedefine/>
    <w:uiPriority w:val="39"/>
    <w:unhideWhenUsed/>
    <w:rsid w:val="00492ACD"/>
    <w:pPr>
      <w:ind w:left="960"/>
    </w:pPr>
    <w:rPr>
      <w:rFonts w:cstheme="minorHAnsi"/>
      <w:sz w:val="20"/>
      <w:szCs w:val="20"/>
    </w:rPr>
  </w:style>
  <w:style w:type="paragraph" w:styleId="TOC7">
    <w:name w:val="toc 7"/>
    <w:basedOn w:val="Normal"/>
    <w:next w:val="Normal"/>
    <w:autoRedefine/>
    <w:uiPriority w:val="39"/>
    <w:unhideWhenUsed/>
    <w:rsid w:val="00492ACD"/>
    <w:pPr>
      <w:ind w:left="1200"/>
    </w:pPr>
    <w:rPr>
      <w:rFonts w:cstheme="minorHAnsi"/>
      <w:sz w:val="20"/>
      <w:szCs w:val="20"/>
    </w:rPr>
  </w:style>
  <w:style w:type="paragraph" w:styleId="TOC8">
    <w:name w:val="toc 8"/>
    <w:basedOn w:val="Normal"/>
    <w:next w:val="Normal"/>
    <w:autoRedefine/>
    <w:uiPriority w:val="39"/>
    <w:unhideWhenUsed/>
    <w:rsid w:val="00492ACD"/>
    <w:pPr>
      <w:ind w:left="1440"/>
    </w:pPr>
    <w:rPr>
      <w:rFonts w:cstheme="minorHAnsi"/>
      <w:sz w:val="20"/>
      <w:szCs w:val="20"/>
    </w:rPr>
  </w:style>
  <w:style w:type="paragraph" w:styleId="TOC9">
    <w:name w:val="toc 9"/>
    <w:basedOn w:val="Normal"/>
    <w:next w:val="Normal"/>
    <w:autoRedefine/>
    <w:uiPriority w:val="39"/>
    <w:unhideWhenUsed/>
    <w:rsid w:val="00492ACD"/>
    <w:pPr>
      <w:ind w:left="1680"/>
    </w:pPr>
    <w:rPr>
      <w:rFonts w:cstheme="minorHAnsi"/>
      <w:sz w:val="20"/>
      <w:szCs w:val="20"/>
    </w:rPr>
  </w:style>
  <w:style w:type="character" w:styleId="PageNumber">
    <w:name w:val="page number"/>
    <w:basedOn w:val="DefaultParagraphFont"/>
    <w:uiPriority w:val="99"/>
    <w:semiHidden/>
    <w:unhideWhenUsed/>
    <w:rsid w:val="00DF55E9"/>
  </w:style>
  <w:style w:type="character" w:customStyle="1" w:styleId="UnresolvedMention1">
    <w:name w:val="Unresolved Mention1"/>
    <w:basedOn w:val="DefaultParagraphFont"/>
    <w:uiPriority w:val="99"/>
    <w:semiHidden/>
    <w:unhideWhenUsed/>
    <w:rsid w:val="004B20FB"/>
    <w:rPr>
      <w:color w:val="605E5C"/>
      <w:shd w:val="clear" w:color="auto" w:fill="E1DFDD"/>
    </w:rPr>
  </w:style>
  <w:style w:type="paragraph" w:styleId="NormalWeb">
    <w:name w:val="Normal (Web)"/>
    <w:basedOn w:val="Normal"/>
    <w:uiPriority w:val="99"/>
    <w:unhideWhenUsed/>
    <w:rsid w:val="003E50F9"/>
    <w:rPr>
      <w:rFonts w:ascii="Times New Roman" w:hAnsi="Times New Roman" w:cs="Times New Roman"/>
    </w:rPr>
  </w:style>
  <w:style w:type="table" w:customStyle="1" w:styleId="TableGrid1">
    <w:name w:val="Table Grid1"/>
    <w:basedOn w:val="TableNormal"/>
    <w:next w:val="TableGrid"/>
    <w:uiPriority w:val="39"/>
    <w:rsid w:val="00860EB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37BE"/>
  </w:style>
  <w:style w:type="character" w:customStyle="1" w:styleId="UnresolvedMention2">
    <w:name w:val="Unresolved Mention2"/>
    <w:basedOn w:val="DefaultParagraphFont"/>
    <w:uiPriority w:val="99"/>
    <w:semiHidden/>
    <w:unhideWhenUsed/>
    <w:rsid w:val="007135B7"/>
    <w:rPr>
      <w:color w:val="605E5C"/>
      <w:shd w:val="clear" w:color="auto" w:fill="E1DFDD"/>
    </w:rPr>
  </w:style>
  <w:style w:type="paragraph" w:customStyle="1" w:styleId="Default">
    <w:name w:val="Default"/>
    <w:rsid w:val="006C68A7"/>
    <w:pPr>
      <w:autoSpaceDE w:val="0"/>
      <w:autoSpaceDN w:val="0"/>
      <w:adjustRightInd w:val="0"/>
    </w:pPr>
    <w:rPr>
      <w:rFonts w:ascii="Segoe UI" w:hAnsi="Segoe UI" w:cs="Segoe UI"/>
      <w:color w:val="000000"/>
      <w:lang w:val="en-US"/>
    </w:rPr>
  </w:style>
  <w:style w:type="paragraph" w:customStyle="1" w:styleId="Pa3">
    <w:name w:val="Pa3"/>
    <w:basedOn w:val="Default"/>
    <w:next w:val="Default"/>
    <w:uiPriority w:val="99"/>
    <w:rsid w:val="006C68A7"/>
    <w:pPr>
      <w:spacing w:line="201" w:lineRule="atLeast"/>
    </w:pPr>
    <w:rPr>
      <w:color w:val="auto"/>
    </w:rPr>
  </w:style>
  <w:style w:type="character" w:customStyle="1" w:styleId="UnresolvedMention3">
    <w:name w:val="Unresolved Mention3"/>
    <w:basedOn w:val="DefaultParagraphFont"/>
    <w:uiPriority w:val="99"/>
    <w:semiHidden/>
    <w:unhideWhenUsed/>
    <w:rsid w:val="00B8285A"/>
    <w:rPr>
      <w:color w:val="605E5C"/>
      <w:shd w:val="clear" w:color="auto" w:fill="E1DFDD"/>
    </w:rPr>
  </w:style>
  <w:style w:type="paragraph" w:styleId="HTMLPreformatted">
    <w:name w:val="HTML Preformatted"/>
    <w:basedOn w:val="Normal"/>
    <w:link w:val="HTMLPreformattedChar"/>
    <w:uiPriority w:val="99"/>
    <w:semiHidden/>
    <w:unhideWhenUsed/>
    <w:rsid w:val="00142C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2C66"/>
    <w:rPr>
      <w:rFonts w:ascii="Consolas" w:hAnsi="Consolas"/>
      <w:sz w:val="20"/>
      <w:szCs w:val="20"/>
      <w:lang w:val="en-GB"/>
    </w:rPr>
  </w:style>
  <w:style w:type="character" w:styleId="FollowedHyperlink">
    <w:name w:val="FollowedHyperlink"/>
    <w:basedOn w:val="DefaultParagraphFont"/>
    <w:uiPriority w:val="99"/>
    <w:semiHidden/>
    <w:unhideWhenUsed/>
    <w:rsid w:val="00142C66"/>
    <w:rPr>
      <w:color w:val="954F72" w:themeColor="followedHyperlink"/>
      <w:u w:val="single"/>
    </w:rPr>
  </w:style>
  <w:style w:type="character" w:customStyle="1" w:styleId="UnresolvedMention4">
    <w:name w:val="Unresolved Mention4"/>
    <w:basedOn w:val="DefaultParagraphFont"/>
    <w:uiPriority w:val="99"/>
    <w:semiHidden/>
    <w:unhideWhenUsed/>
    <w:rsid w:val="0092728A"/>
    <w:rPr>
      <w:color w:val="605E5C"/>
      <w:shd w:val="clear" w:color="auto" w:fill="E1DFDD"/>
    </w:rPr>
  </w:style>
  <w:style w:type="table" w:customStyle="1" w:styleId="TableNormal11">
    <w:name w:val="Table Normal11"/>
    <w:uiPriority w:val="2"/>
    <w:semiHidden/>
    <w:unhideWhenUsed/>
    <w:qFormat/>
    <w:rsid w:val="0048330A"/>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2">
    <w:name w:val="Table Grid2"/>
    <w:basedOn w:val="TableNormal"/>
    <w:next w:val="TableGrid"/>
    <w:uiPriority w:val="39"/>
    <w:rsid w:val="00AC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6E76C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C84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8C49B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val="0"/>
    </w:pPr>
    <w:rPr>
      <w:sz w:val="22"/>
      <w:szCs w:val="22"/>
    </w:rPr>
    <w:tblPr>
      <w:tblStyleRowBandSize w:val="1"/>
      <w:tblStyleColBandSize w:val="1"/>
      <w:tblCellMar>
        <w:left w:w="0" w:type="dxa"/>
        <w:right w:w="0" w:type="dxa"/>
      </w:tblCellMar>
    </w:tblPr>
  </w:style>
  <w:style w:type="table" w:customStyle="1" w:styleId="a1">
    <w:basedOn w:val="TableNormal"/>
    <w:rPr>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character" w:customStyle="1" w:styleId="UnresolvedMention6">
    <w:name w:val="Unresolved Mention6"/>
    <w:basedOn w:val="DefaultParagraphFont"/>
    <w:uiPriority w:val="99"/>
    <w:semiHidden/>
    <w:unhideWhenUsed/>
    <w:rsid w:val="007D6993"/>
    <w:rPr>
      <w:color w:val="605E5C"/>
      <w:shd w:val="clear" w:color="auto" w:fill="E1DFDD"/>
    </w:rPr>
  </w:style>
  <w:style w:type="character" w:customStyle="1" w:styleId="UnresolvedMention7">
    <w:name w:val="Unresolved Mention7"/>
    <w:basedOn w:val="DefaultParagraphFont"/>
    <w:uiPriority w:val="99"/>
    <w:semiHidden/>
    <w:unhideWhenUsed/>
    <w:rsid w:val="00FE6676"/>
    <w:rPr>
      <w:color w:val="605E5C"/>
      <w:shd w:val="clear" w:color="auto" w:fill="E1DFDD"/>
    </w:rPr>
  </w:style>
  <w:style w:type="character" w:customStyle="1" w:styleId="ListParagraphChar">
    <w:name w:val="List Paragraph Char"/>
    <w:aliases w:val="Bullet Points Char,Listenabsatz1 Char,Llista Nivell1 Char,Lista de nivel 1 Char,Paragraphe de liste PBLH Char,Normal bullet 2 Char,Graph &amp; Table tite Char,Table of contents numbered Char,Bullet list Char,Liststycke SKL Char"/>
    <w:link w:val="ListParagraph"/>
    <w:uiPriority w:val="34"/>
    <w:qFormat/>
    <w:locked/>
    <w:rsid w:val="00A80B9D"/>
  </w:style>
  <w:style w:type="character" w:customStyle="1" w:styleId="UnresolvedMention8">
    <w:name w:val="Unresolved Mention8"/>
    <w:basedOn w:val="DefaultParagraphFont"/>
    <w:uiPriority w:val="99"/>
    <w:semiHidden/>
    <w:unhideWhenUsed/>
    <w:rsid w:val="005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7618">
      <w:bodyDiv w:val="1"/>
      <w:marLeft w:val="0"/>
      <w:marRight w:val="0"/>
      <w:marTop w:val="0"/>
      <w:marBottom w:val="0"/>
      <w:divBdr>
        <w:top w:val="none" w:sz="0" w:space="0" w:color="auto"/>
        <w:left w:val="none" w:sz="0" w:space="0" w:color="auto"/>
        <w:bottom w:val="none" w:sz="0" w:space="0" w:color="auto"/>
        <w:right w:val="none" w:sz="0" w:space="0" w:color="auto"/>
      </w:divBdr>
    </w:div>
    <w:div w:id="86539226">
      <w:bodyDiv w:val="1"/>
      <w:marLeft w:val="0"/>
      <w:marRight w:val="0"/>
      <w:marTop w:val="0"/>
      <w:marBottom w:val="0"/>
      <w:divBdr>
        <w:top w:val="none" w:sz="0" w:space="0" w:color="auto"/>
        <w:left w:val="none" w:sz="0" w:space="0" w:color="auto"/>
        <w:bottom w:val="none" w:sz="0" w:space="0" w:color="auto"/>
        <w:right w:val="none" w:sz="0" w:space="0" w:color="auto"/>
      </w:divBdr>
    </w:div>
    <w:div w:id="183370444">
      <w:bodyDiv w:val="1"/>
      <w:marLeft w:val="0"/>
      <w:marRight w:val="0"/>
      <w:marTop w:val="0"/>
      <w:marBottom w:val="0"/>
      <w:divBdr>
        <w:top w:val="none" w:sz="0" w:space="0" w:color="auto"/>
        <w:left w:val="none" w:sz="0" w:space="0" w:color="auto"/>
        <w:bottom w:val="none" w:sz="0" w:space="0" w:color="auto"/>
        <w:right w:val="none" w:sz="0" w:space="0" w:color="auto"/>
      </w:divBdr>
    </w:div>
    <w:div w:id="224032030">
      <w:bodyDiv w:val="1"/>
      <w:marLeft w:val="0"/>
      <w:marRight w:val="0"/>
      <w:marTop w:val="0"/>
      <w:marBottom w:val="0"/>
      <w:divBdr>
        <w:top w:val="none" w:sz="0" w:space="0" w:color="auto"/>
        <w:left w:val="none" w:sz="0" w:space="0" w:color="auto"/>
        <w:bottom w:val="none" w:sz="0" w:space="0" w:color="auto"/>
        <w:right w:val="none" w:sz="0" w:space="0" w:color="auto"/>
      </w:divBdr>
    </w:div>
    <w:div w:id="234901858">
      <w:bodyDiv w:val="1"/>
      <w:marLeft w:val="0"/>
      <w:marRight w:val="0"/>
      <w:marTop w:val="0"/>
      <w:marBottom w:val="0"/>
      <w:divBdr>
        <w:top w:val="none" w:sz="0" w:space="0" w:color="auto"/>
        <w:left w:val="none" w:sz="0" w:space="0" w:color="auto"/>
        <w:bottom w:val="none" w:sz="0" w:space="0" w:color="auto"/>
        <w:right w:val="none" w:sz="0" w:space="0" w:color="auto"/>
      </w:divBdr>
    </w:div>
    <w:div w:id="310211383">
      <w:bodyDiv w:val="1"/>
      <w:marLeft w:val="0"/>
      <w:marRight w:val="0"/>
      <w:marTop w:val="0"/>
      <w:marBottom w:val="0"/>
      <w:divBdr>
        <w:top w:val="none" w:sz="0" w:space="0" w:color="auto"/>
        <w:left w:val="none" w:sz="0" w:space="0" w:color="auto"/>
        <w:bottom w:val="none" w:sz="0" w:space="0" w:color="auto"/>
        <w:right w:val="none" w:sz="0" w:space="0" w:color="auto"/>
      </w:divBdr>
    </w:div>
    <w:div w:id="322205171">
      <w:bodyDiv w:val="1"/>
      <w:marLeft w:val="0"/>
      <w:marRight w:val="0"/>
      <w:marTop w:val="0"/>
      <w:marBottom w:val="0"/>
      <w:divBdr>
        <w:top w:val="none" w:sz="0" w:space="0" w:color="auto"/>
        <w:left w:val="none" w:sz="0" w:space="0" w:color="auto"/>
        <w:bottom w:val="none" w:sz="0" w:space="0" w:color="auto"/>
        <w:right w:val="none" w:sz="0" w:space="0" w:color="auto"/>
      </w:divBdr>
    </w:div>
    <w:div w:id="362249767">
      <w:bodyDiv w:val="1"/>
      <w:marLeft w:val="0"/>
      <w:marRight w:val="0"/>
      <w:marTop w:val="0"/>
      <w:marBottom w:val="0"/>
      <w:divBdr>
        <w:top w:val="none" w:sz="0" w:space="0" w:color="auto"/>
        <w:left w:val="none" w:sz="0" w:space="0" w:color="auto"/>
        <w:bottom w:val="none" w:sz="0" w:space="0" w:color="auto"/>
        <w:right w:val="none" w:sz="0" w:space="0" w:color="auto"/>
      </w:divBdr>
    </w:div>
    <w:div w:id="521675948">
      <w:bodyDiv w:val="1"/>
      <w:marLeft w:val="0"/>
      <w:marRight w:val="0"/>
      <w:marTop w:val="0"/>
      <w:marBottom w:val="0"/>
      <w:divBdr>
        <w:top w:val="none" w:sz="0" w:space="0" w:color="auto"/>
        <w:left w:val="none" w:sz="0" w:space="0" w:color="auto"/>
        <w:bottom w:val="none" w:sz="0" w:space="0" w:color="auto"/>
        <w:right w:val="none" w:sz="0" w:space="0" w:color="auto"/>
      </w:divBdr>
    </w:div>
    <w:div w:id="597173823">
      <w:bodyDiv w:val="1"/>
      <w:marLeft w:val="0"/>
      <w:marRight w:val="0"/>
      <w:marTop w:val="0"/>
      <w:marBottom w:val="0"/>
      <w:divBdr>
        <w:top w:val="none" w:sz="0" w:space="0" w:color="auto"/>
        <w:left w:val="none" w:sz="0" w:space="0" w:color="auto"/>
        <w:bottom w:val="none" w:sz="0" w:space="0" w:color="auto"/>
        <w:right w:val="none" w:sz="0" w:space="0" w:color="auto"/>
      </w:divBdr>
    </w:div>
    <w:div w:id="691035769">
      <w:bodyDiv w:val="1"/>
      <w:marLeft w:val="0"/>
      <w:marRight w:val="0"/>
      <w:marTop w:val="0"/>
      <w:marBottom w:val="0"/>
      <w:divBdr>
        <w:top w:val="none" w:sz="0" w:space="0" w:color="auto"/>
        <w:left w:val="none" w:sz="0" w:space="0" w:color="auto"/>
        <w:bottom w:val="none" w:sz="0" w:space="0" w:color="auto"/>
        <w:right w:val="none" w:sz="0" w:space="0" w:color="auto"/>
      </w:divBdr>
    </w:div>
    <w:div w:id="842664435">
      <w:bodyDiv w:val="1"/>
      <w:marLeft w:val="0"/>
      <w:marRight w:val="0"/>
      <w:marTop w:val="0"/>
      <w:marBottom w:val="0"/>
      <w:divBdr>
        <w:top w:val="none" w:sz="0" w:space="0" w:color="auto"/>
        <w:left w:val="none" w:sz="0" w:space="0" w:color="auto"/>
        <w:bottom w:val="none" w:sz="0" w:space="0" w:color="auto"/>
        <w:right w:val="none" w:sz="0" w:space="0" w:color="auto"/>
      </w:divBdr>
    </w:div>
    <w:div w:id="890772246">
      <w:bodyDiv w:val="1"/>
      <w:marLeft w:val="0"/>
      <w:marRight w:val="0"/>
      <w:marTop w:val="0"/>
      <w:marBottom w:val="0"/>
      <w:divBdr>
        <w:top w:val="none" w:sz="0" w:space="0" w:color="auto"/>
        <w:left w:val="none" w:sz="0" w:space="0" w:color="auto"/>
        <w:bottom w:val="none" w:sz="0" w:space="0" w:color="auto"/>
        <w:right w:val="none" w:sz="0" w:space="0" w:color="auto"/>
      </w:divBdr>
    </w:div>
    <w:div w:id="961575006">
      <w:bodyDiv w:val="1"/>
      <w:marLeft w:val="0"/>
      <w:marRight w:val="0"/>
      <w:marTop w:val="0"/>
      <w:marBottom w:val="0"/>
      <w:divBdr>
        <w:top w:val="none" w:sz="0" w:space="0" w:color="auto"/>
        <w:left w:val="none" w:sz="0" w:space="0" w:color="auto"/>
        <w:bottom w:val="none" w:sz="0" w:space="0" w:color="auto"/>
        <w:right w:val="none" w:sz="0" w:space="0" w:color="auto"/>
      </w:divBdr>
    </w:div>
    <w:div w:id="1009139748">
      <w:bodyDiv w:val="1"/>
      <w:marLeft w:val="0"/>
      <w:marRight w:val="0"/>
      <w:marTop w:val="0"/>
      <w:marBottom w:val="0"/>
      <w:divBdr>
        <w:top w:val="none" w:sz="0" w:space="0" w:color="auto"/>
        <w:left w:val="none" w:sz="0" w:space="0" w:color="auto"/>
        <w:bottom w:val="none" w:sz="0" w:space="0" w:color="auto"/>
        <w:right w:val="none" w:sz="0" w:space="0" w:color="auto"/>
      </w:divBdr>
    </w:div>
    <w:div w:id="1110127640">
      <w:bodyDiv w:val="1"/>
      <w:marLeft w:val="0"/>
      <w:marRight w:val="0"/>
      <w:marTop w:val="0"/>
      <w:marBottom w:val="0"/>
      <w:divBdr>
        <w:top w:val="none" w:sz="0" w:space="0" w:color="auto"/>
        <w:left w:val="none" w:sz="0" w:space="0" w:color="auto"/>
        <w:bottom w:val="none" w:sz="0" w:space="0" w:color="auto"/>
        <w:right w:val="none" w:sz="0" w:space="0" w:color="auto"/>
      </w:divBdr>
      <w:divsChild>
        <w:div w:id="1588419909">
          <w:marLeft w:val="1080"/>
          <w:marRight w:val="0"/>
          <w:marTop w:val="100"/>
          <w:marBottom w:val="0"/>
          <w:divBdr>
            <w:top w:val="none" w:sz="0" w:space="0" w:color="auto"/>
            <w:left w:val="none" w:sz="0" w:space="0" w:color="auto"/>
            <w:bottom w:val="none" w:sz="0" w:space="0" w:color="auto"/>
            <w:right w:val="none" w:sz="0" w:space="0" w:color="auto"/>
          </w:divBdr>
        </w:div>
        <w:div w:id="1084451305">
          <w:marLeft w:val="1080"/>
          <w:marRight w:val="0"/>
          <w:marTop w:val="100"/>
          <w:marBottom w:val="0"/>
          <w:divBdr>
            <w:top w:val="none" w:sz="0" w:space="0" w:color="auto"/>
            <w:left w:val="none" w:sz="0" w:space="0" w:color="auto"/>
            <w:bottom w:val="none" w:sz="0" w:space="0" w:color="auto"/>
            <w:right w:val="none" w:sz="0" w:space="0" w:color="auto"/>
          </w:divBdr>
        </w:div>
      </w:divsChild>
    </w:div>
    <w:div w:id="1120611009">
      <w:bodyDiv w:val="1"/>
      <w:marLeft w:val="0"/>
      <w:marRight w:val="0"/>
      <w:marTop w:val="0"/>
      <w:marBottom w:val="0"/>
      <w:divBdr>
        <w:top w:val="none" w:sz="0" w:space="0" w:color="auto"/>
        <w:left w:val="none" w:sz="0" w:space="0" w:color="auto"/>
        <w:bottom w:val="none" w:sz="0" w:space="0" w:color="auto"/>
        <w:right w:val="none" w:sz="0" w:space="0" w:color="auto"/>
      </w:divBdr>
    </w:div>
    <w:div w:id="1128090155">
      <w:bodyDiv w:val="1"/>
      <w:marLeft w:val="0"/>
      <w:marRight w:val="0"/>
      <w:marTop w:val="0"/>
      <w:marBottom w:val="0"/>
      <w:divBdr>
        <w:top w:val="none" w:sz="0" w:space="0" w:color="auto"/>
        <w:left w:val="none" w:sz="0" w:space="0" w:color="auto"/>
        <w:bottom w:val="none" w:sz="0" w:space="0" w:color="auto"/>
        <w:right w:val="none" w:sz="0" w:space="0" w:color="auto"/>
      </w:divBdr>
    </w:div>
    <w:div w:id="1215116678">
      <w:bodyDiv w:val="1"/>
      <w:marLeft w:val="0"/>
      <w:marRight w:val="0"/>
      <w:marTop w:val="0"/>
      <w:marBottom w:val="0"/>
      <w:divBdr>
        <w:top w:val="none" w:sz="0" w:space="0" w:color="auto"/>
        <w:left w:val="none" w:sz="0" w:space="0" w:color="auto"/>
        <w:bottom w:val="none" w:sz="0" w:space="0" w:color="auto"/>
        <w:right w:val="none" w:sz="0" w:space="0" w:color="auto"/>
      </w:divBdr>
    </w:div>
    <w:div w:id="1259482863">
      <w:bodyDiv w:val="1"/>
      <w:marLeft w:val="0"/>
      <w:marRight w:val="0"/>
      <w:marTop w:val="0"/>
      <w:marBottom w:val="0"/>
      <w:divBdr>
        <w:top w:val="none" w:sz="0" w:space="0" w:color="auto"/>
        <w:left w:val="none" w:sz="0" w:space="0" w:color="auto"/>
        <w:bottom w:val="none" w:sz="0" w:space="0" w:color="auto"/>
        <w:right w:val="none" w:sz="0" w:space="0" w:color="auto"/>
      </w:divBdr>
    </w:div>
    <w:div w:id="1476096213">
      <w:bodyDiv w:val="1"/>
      <w:marLeft w:val="0"/>
      <w:marRight w:val="0"/>
      <w:marTop w:val="0"/>
      <w:marBottom w:val="0"/>
      <w:divBdr>
        <w:top w:val="none" w:sz="0" w:space="0" w:color="auto"/>
        <w:left w:val="none" w:sz="0" w:space="0" w:color="auto"/>
        <w:bottom w:val="none" w:sz="0" w:space="0" w:color="auto"/>
        <w:right w:val="none" w:sz="0" w:space="0" w:color="auto"/>
      </w:divBdr>
    </w:div>
    <w:div w:id="1492215317">
      <w:bodyDiv w:val="1"/>
      <w:marLeft w:val="0"/>
      <w:marRight w:val="0"/>
      <w:marTop w:val="0"/>
      <w:marBottom w:val="0"/>
      <w:divBdr>
        <w:top w:val="none" w:sz="0" w:space="0" w:color="auto"/>
        <w:left w:val="none" w:sz="0" w:space="0" w:color="auto"/>
        <w:bottom w:val="none" w:sz="0" w:space="0" w:color="auto"/>
        <w:right w:val="none" w:sz="0" w:space="0" w:color="auto"/>
      </w:divBdr>
    </w:div>
    <w:div w:id="1516269217">
      <w:bodyDiv w:val="1"/>
      <w:marLeft w:val="0"/>
      <w:marRight w:val="0"/>
      <w:marTop w:val="0"/>
      <w:marBottom w:val="0"/>
      <w:divBdr>
        <w:top w:val="none" w:sz="0" w:space="0" w:color="auto"/>
        <w:left w:val="none" w:sz="0" w:space="0" w:color="auto"/>
        <w:bottom w:val="none" w:sz="0" w:space="0" w:color="auto"/>
        <w:right w:val="none" w:sz="0" w:space="0" w:color="auto"/>
      </w:divBdr>
    </w:div>
    <w:div w:id="1517116208">
      <w:bodyDiv w:val="1"/>
      <w:marLeft w:val="0"/>
      <w:marRight w:val="0"/>
      <w:marTop w:val="0"/>
      <w:marBottom w:val="0"/>
      <w:divBdr>
        <w:top w:val="none" w:sz="0" w:space="0" w:color="auto"/>
        <w:left w:val="none" w:sz="0" w:space="0" w:color="auto"/>
        <w:bottom w:val="none" w:sz="0" w:space="0" w:color="auto"/>
        <w:right w:val="none" w:sz="0" w:space="0" w:color="auto"/>
      </w:divBdr>
    </w:div>
    <w:div w:id="1650203874">
      <w:bodyDiv w:val="1"/>
      <w:marLeft w:val="0"/>
      <w:marRight w:val="0"/>
      <w:marTop w:val="0"/>
      <w:marBottom w:val="0"/>
      <w:divBdr>
        <w:top w:val="none" w:sz="0" w:space="0" w:color="auto"/>
        <w:left w:val="none" w:sz="0" w:space="0" w:color="auto"/>
        <w:bottom w:val="none" w:sz="0" w:space="0" w:color="auto"/>
        <w:right w:val="none" w:sz="0" w:space="0" w:color="auto"/>
      </w:divBdr>
    </w:div>
    <w:div w:id="1673756102">
      <w:bodyDiv w:val="1"/>
      <w:marLeft w:val="0"/>
      <w:marRight w:val="0"/>
      <w:marTop w:val="0"/>
      <w:marBottom w:val="0"/>
      <w:divBdr>
        <w:top w:val="none" w:sz="0" w:space="0" w:color="auto"/>
        <w:left w:val="none" w:sz="0" w:space="0" w:color="auto"/>
        <w:bottom w:val="none" w:sz="0" w:space="0" w:color="auto"/>
        <w:right w:val="none" w:sz="0" w:space="0" w:color="auto"/>
      </w:divBdr>
    </w:div>
    <w:div w:id="1689718116">
      <w:bodyDiv w:val="1"/>
      <w:marLeft w:val="0"/>
      <w:marRight w:val="0"/>
      <w:marTop w:val="0"/>
      <w:marBottom w:val="0"/>
      <w:divBdr>
        <w:top w:val="none" w:sz="0" w:space="0" w:color="auto"/>
        <w:left w:val="none" w:sz="0" w:space="0" w:color="auto"/>
        <w:bottom w:val="none" w:sz="0" w:space="0" w:color="auto"/>
        <w:right w:val="none" w:sz="0" w:space="0" w:color="auto"/>
      </w:divBdr>
      <w:divsChild>
        <w:div w:id="2097045135">
          <w:marLeft w:val="0"/>
          <w:marRight w:val="0"/>
          <w:marTop w:val="0"/>
          <w:marBottom w:val="0"/>
          <w:divBdr>
            <w:top w:val="none" w:sz="0" w:space="0" w:color="auto"/>
            <w:left w:val="none" w:sz="0" w:space="0" w:color="auto"/>
            <w:bottom w:val="none" w:sz="0" w:space="0" w:color="auto"/>
            <w:right w:val="none" w:sz="0" w:space="0" w:color="auto"/>
          </w:divBdr>
          <w:divsChild>
            <w:div w:id="1788812406">
              <w:marLeft w:val="0"/>
              <w:marRight w:val="0"/>
              <w:marTop w:val="0"/>
              <w:marBottom w:val="0"/>
              <w:divBdr>
                <w:top w:val="none" w:sz="0" w:space="0" w:color="auto"/>
                <w:left w:val="none" w:sz="0" w:space="0" w:color="auto"/>
                <w:bottom w:val="none" w:sz="0" w:space="0" w:color="auto"/>
                <w:right w:val="none" w:sz="0" w:space="0" w:color="auto"/>
              </w:divBdr>
              <w:divsChild>
                <w:div w:id="2114324121">
                  <w:marLeft w:val="0"/>
                  <w:marRight w:val="0"/>
                  <w:marTop w:val="100"/>
                  <w:marBottom w:val="300"/>
                  <w:divBdr>
                    <w:top w:val="none" w:sz="0" w:space="0" w:color="auto"/>
                    <w:left w:val="none" w:sz="0" w:space="0" w:color="auto"/>
                    <w:bottom w:val="none" w:sz="0" w:space="0" w:color="auto"/>
                    <w:right w:val="none" w:sz="0" w:space="0" w:color="auto"/>
                  </w:divBdr>
                  <w:divsChild>
                    <w:div w:id="2095976065">
                      <w:marLeft w:val="0"/>
                      <w:marRight w:val="0"/>
                      <w:marTop w:val="0"/>
                      <w:marBottom w:val="0"/>
                      <w:divBdr>
                        <w:top w:val="none" w:sz="0" w:space="0" w:color="auto"/>
                        <w:left w:val="none" w:sz="0" w:space="0" w:color="auto"/>
                        <w:bottom w:val="none" w:sz="0" w:space="0" w:color="auto"/>
                        <w:right w:val="none" w:sz="0" w:space="0" w:color="auto"/>
                      </w:divBdr>
                      <w:divsChild>
                        <w:div w:id="38673717">
                          <w:marLeft w:val="0"/>
                          <w:marRight w:val="0"/>
                          <w:marTop w:val="0"/>
                          <w:marBottom w:val="0"/>
                          <w:divBdr>
                            <w:top w:val="none" w:sz="0" w:space="0" w:color="auto"/>
                            <w:left w:val="none" w:sz="0" w:space="0" w:color="auto"/>
                            <w:bottom w:val="none" w:sz="0" w:space="0" w:color="auto"/>
                            <w:right w:val="none" w:sz="0" w:space="0" w:color="auto"/>
                          </w:divBdr>
                          <w:divsChild>
                            <w:div w:id="781415802">
                              <w:marLeft w:val="0"/>
                              <w:marRight w:val="0"/>
                              <w:marTop w:val="0"/>
                              <w:marBottom w:val="0"/>
                              <w:divBdr>
                                <w:top w:val="none" w:sz="0" w:space="0" w:color="auto"/>
                                <w:left w:val="none" w:sz="0" w:space="0" w:color="auto"/>
                                <w:bottom w:val="none" w:sz="0" w:space="0" w:color="auto"/>
                                <w:right w:val="none" w:sz="0" w:space="0" w:color="auto"/>
                              </w:divBdr>
                              <w:divsChild>
                                <w:div w:id="853762790">
                                  <w:marLeft w:val="0"/>
                                  <w:marRight w:val="0"/>
                                  <w:marTop w:val="0"/>
                                  <w:marBottom w:val="0"/>
                                  <w:divBdr>
                                    <w:top w:val="none" w:sz="0" w:space="0" w:color="auto"/>
                                    <w:left w:val="none" w:sz="0" w:space="0" w:color="auto"/>
                                    <w:bottom w:val="none" w:sz="0" w:space="0" w:color="auto"/>
                                    <w:right w:val="none" w:sz="0" w:space="0" w:color="auto"/>
                                  </w:divBdr>
                                  <w:divsChild>
                                    <w:div w:id="827786739">
                                      <w:marLeft w:val="0"/>
                                      <w:marRight w:val="0"/>
                                      <w:marTop w:val="0"/>
                                      <w:marBottom w:val="0"/>
                                      <w:divBdr>
                                        <w:top w:val="none" w:sz="0" w:space="0" w:color="auto"/>
                                        <w:left w:val="none" w:sz="0" w:space="0" w:color="auto"/>
                                        <w:bottom w:val="none" w:sz="0" w:space="0" w:color="auto"/>
                                        <w:right w:val="none" w:sz="0" w:space="0" w:color="auto"/>
                                      </w:divBdr>
                                      <w:divsChild>
                                        <w:div w:id="1457214508">
                                          <w:marLeft w:val="0"/>
                                          <w:marRight w:val="0"/>
                                          <w:marTop w:val="0"/>
                                          <w:marBottom w:val="0"/>
                                          <w:divBdr>
                                            <w:top w:val="none" w:sz="0" w:space="0" w:color="auto"/>
                                            <w:left w:val="none" w:sz="0" w:space="0" w:color="auto"/>
                                            <w:bottom w:val="none" w:sz="0" w:space="0" w:color="auto"/>
                                            <w:right w:val="none" w:sz="0" w:space="0" w:color="auto"/>
                                          </w:divBdr>
                                          <w:divsChild>
                                            <w:div w:id="1125153401">
                                              <w:marLeft w:val="0"/>
                                              <w:marRight w:val="0"/>
                                              <w:marTop w:val="0"/>
                                              <w:marBottom w:val="0"/>
                                              <w:divBdr>
                                                <w:top w:val="none" w:sz="0" w:space="0" w:color="auto"/>
                                                <w:left w:val="none" w:sz="0" w:space="0" w:color="auto"/>
                                                <w:bottom w:val="none" w:sz="0" w:space="0" w:color="auto"/>
                                                <w:right w:val="none" w:sz="0" w:space="0" w:color="auto"/>
                                              </w:divBdr>
                                              <w:divsChild>
                                                <w:div w:id="1400252657">
                                                  <w:marLeft w:val="0"/>
                                                  <w:marRight w:val="0"/>
                                                  <w:marTop w:val="0"/>
                                                  <w:marBottom w:val="0"/>
                                                  <w:divBdr>
                                                    <w:top w:val="none" w:sz="0" w:space="0" w:color="auto"/>
                                                    <w:left w:val="none" w:sz="0" w:space="0" w:color="auto"/>
                                                    <w:bottom w:val="none" w:sz="0" w:space="0" w:color="auto"/>
                                                    <w:right w:val="none" w:sz="0" w:space="0" w:color="auto"/>
                                                  </w:divBdr>
                                                </w:div>
                                              </w:divsChild>
                                            </w:div>
                                            <w:div w:id="1134908950">
                                              <w:marLeft w:val="0"/>
                                              <w:marRight w:val="0"/>
                                              <w:marTop w:val="0"/>
                                              <w:marBottom w:val="0"/>
                                              <w:divBdr>
                                                <w:top w:val="none" w:sz="0" w:space="0" w:color="auto"/>
                                                <w:left w:val="none" w:sz="0" w:space="0" w:color="auto"/>
                                                <w:bottom w:val="none" w:sz="0" w:space="0" w:color="auto"/>
                                                <w:right w:val="none" w:sz="0" w:space="0" w:color="auto"/>
                                              </w:divBdr>
                                              <w:divsChild>
                                                <w:div w:id="1082801108">
                                                  <w:marLeft w:val="0"/>
                                                  <w:marRight w:val="0"/>
                                                  <w:marTop w:val="0"/>
                                                  <w:marBottom w:val="0"/>
                                                  <w:divBdr>
                                                    <w:top w:val="none" w:sz="0" w:space="0" w:color="auto"/>
                                                    <w:left w:val="none" w:sz="0" w:space="0" w:color="auto"/>
                                                    <w:bottom w:val="none" w:sz="0" w:space="0" w:color="auto"/>
                                                    <w:right w:val="none" w:sz="0" w:space="0" w:color="auto"/>
                                                  </w:divBdr>
                                                </w:div>
                                              </w:divsChild>
                                            </w:div>
                                            <w:div w:id="1697464041">
                                              <w:marLeft w:val="0"/>
                                              <w:marRight w:val="0"/>
                                              <w:marTop w:val="0"/>
                                              <w:marBottom w:val="0"/>
                                              <w:divBdr>
                                                <w:top w:val="none" w:sz="0" w:space="0" w:color="auto"/>
                                                <w:left w:val="none" w:sz="0" w:space="0" w:color="auto"/>
                                                <w:bottom w:val="none" w:sz="0" w:space="0" w:color="auto"/>
                                                <w:right w:val="none" w:sz="0" w:space="0" w:color="auto"/>
                                              </w:divBdr>
                                              <w:divsChild>
                                                <w:div w:id="1042486730">
                                                  <w:marLeft w:val="0"/>
                                                  <w:marRight w:val="0"/>
                                                  <w:marTop w:val="0"/>
                                                  <w:marBottom w:val="0"/>
                                                  <w:divBdr>
                                                    <w:top w:val="none" w:sz="0" w:space="0" w:color="auto"/>
                                                    <w:left w:val="none" w:sz="0" w:space="0" w:color="auto"/>
                                                    <w:bottom w:val="none" w:sz="0" w:space="0" w:color="auto"/>
                                                    <w:right w:val="none" w:sz="0" w:space="0" w:color="auto"/>
                                                  </w:divBdr>
                                                </w:div>
                                              </w:divsChild>
                                            </w:div>
                                            <w:div w:id="195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03279">
                  <w:marLeft w:val="0"/>
                  <w:marRight w:val="0"/>
                  <w:marTop w:val="100"/>
                  <w:marBottom w:val="300"/>
                  <w:divBdr>
                    <w:top w:val="none" w:sz="0" w:space="0" w:color="auto"/>
                    <w:left w:val="none" w:sz="0" w:space="0" w:color="auto"/>
                    <w:bottom w:val="none" w:sz="0" w:space="0" w:color="auto"/>
                    <w:right w:val="none" w:sz="0" w:space="0" w:color="auto"/>
                  </w:divBdr>
                  <w:divsChild>
                    <w:div w:id="253780902">
                      <w:marLeft w:val="0"/>
                      <w:marRight w:val="0"/>
                      <w:marTop w:val="0"/>
                      <w:marBottom w:val="0"/>
                      <w:divBdr>
                        <w:top w:val="none" w:sz="0" w:space="0" w:color="auto"/>
                        <w:left w:val="none" w:sz="0" w:space="0" w:color="auto"/>
                        <w:bottom w:val="none" w:sz="0" w:space="0" w:color="auto"/>
                        <w:right w:val="none" w:sz="0" w:space="0" w:color="auto"/>
                      </w:divBdr>
                      <w:divsChild>
                        <w:div w:id="744381427">
                          <w:marLeft w:val="0"/>
                          <w:marRight w:val="0"/>
                          <w:marTop w:val="0"/>
                          <w:marBottom w:val="0"/>
                          <w:divBdr>
                            <w:top w:val="none" w:sz="0" w:space="0" w:color="auto"/>
                            <w:left w:val="none" w:sz="0" w:space="0" w:color="auto"/>
                            <w:bottom w:val="none" w:sz="0" w:space="0" w:color="auto"/>
                            <w:right w:val="none" w:sz="0" w:space="0" w:color="auto"/>
                          </w:divBdr>
                          <w:divsChild>
                            <w:div w:id="1130391907">
                              <w:marLeft w:val="0"/>
                              <w:marRight w:val="0"/>
                              <w:marTop w:val="0"/>
                              <w:marBottom w:val="0"/>
                              <w:divBdr>
                                <w:top w:val="none" w:sz="0" w:space="0" w:color="auto"/>
                                <w:left w:val="none" w:sz="0" w:space="0" w:color="auto"/>
                                <w:bottom w:val="none" w:sz="0" w:space="0" w:color="auto"/>
                                <w:right w:val="none" w:sz="0" w:space="0" w:color="auto"/>
                              </w:divBdr>
                              <w:divsChild>
                                <w:div w:id="1580090198">
                                  <w:marLeft w:val="0"/>
                                  <w:marRight w:val="0"/>
                                  <w:marTop w:val="0"/>
                                  <w:marBottom w:val="0"/>
                                  <w:divBdr>
                                    <w:top w:val="none" w:sz="0" w:space="0" w:color="auto"/>
                                    <w:left w:val="none" w:sz="0" w:space="0" w:color="auto"/>
                                    <w:bottom w:val="none" w:sz="0" w:space="0" w:color="auto"/>
                                    <w:right w:val="none" w:sz="0" w:space="0" w:color="auto"/>
                                  </w:divBdr>
                                  <w:divsChild>
                                    <w:div w:id="1757169624">
                                      <w:marLeft w:val="0"/>
                                      <w:marRight w:val="0"/>
                                      <w:marTop w:val="0"/>
                                      <w:marBottom w:val="0"/>
                                      <w:divBdr>
                                        <w:top w:val="single" w:sz="6" w:space="0" w:color="DFDFDF"/>
                                        <w:left w:val="single" w:sz="6" w:space="0" w:color="DFDFDF"/>
                                        <w:bottom w:val="single" w:sz="6" w:space="0" w:color="DFDFDF"/>
                                        <w:right w:val="single" w:sz="6" w:space="0" w:color="DFDFDF"/>
                                      </w:divBdr>
                                      <w:divsChild>
                                        <w:div w:id="526872673">
                                          <w:marLeft w:val="0"/>
                                          <w:marRight w:val="0"/>
                                          <w:marTop w:val="0"/>
                                          <w:marBottom w:val="0"/>
                                          <w:divBdr>
                                            <w:top w:val="none" w:sz="0" w:space="0" w:color="auto"/>
                                            <w:left w:val="none" w:sz="0" w:space="0" w:color="auto"/>
                                            <w:bottom w:val="none" w:sz="0" w:space="0" w:color="auto"/>
                                            <w:right w:val="none" w:sz="0" w:space="0" w:color="auto"/>
                                          </w:divBdr>
                                          <w:divsChild>
                                            <w:div w:id="325859650">
                                              <w:marLeft w:val="0"/>
                                              <w:marRight w:val="0"/>
                                              <w:marTop w:val="0"/>
                                              <w:marBottom w:val="0"/>
                                              <w:divBdr>
                                                <w:top w:val="none" w:sz="0" w:space="0" w:color="auto"/>
                                                <w:left w:val="none" w:sz="0" w:space="0" w:color="auto"/>
                                                <w:bottom w:val="none" w:sz="0" w:space="0" w:color="auto"/>
                                                <w:right w:val="none" w:sz="0" w:space="0" w:color="auto"/>
                                              </w:divBdr>
                                            </w:div>
                                            <w:div w:id="800224542">
                                              <w:marLeft w:val="0"/>
                                              <w:marRight w:val="0"/>
                                              <w:marTop w:val="0"/>
                                              <w:marBottom w:val="0"/>
                                              <w:divBdr>
                                                <w:top w:val="none" w:sz="0" w:space="0" w:color="auto"/>
                                                <w:left w:val="none" w:sz="0" w:space="0" w:color="auto"/>
                                                <w:bottom w:val="none" w:sz="0" w:space="0" w:color="auto"/>
                                                <w:right w:val="none" w:sz="0" w:space="0" w:color="auto"/>
                                              </w:divBdr>
                                              <w:divsChild>
                                                <w:div w:id="1065030091">
                                                  <w:marLeft w:val="0"/>
                                                  <w:marRight w:val="0"/>
                                                  <w:marTop w:val="0"/>
                                                  <w:marBottom w:val="0"/>
                                                  <w:divBdr>
                                                    <w:top w:val="none" w:sz="0" w:space="0" w:color="auto"/>
                                                    <w:left w:val="none" w:sz="0" w:space="0" w:color="auto"/>
                                                    <w:bottom w:val="none" w:sz="0" w:space="0" w:color="auto"/>
                                                    <w:right w:val="none" w:sz="0" w:space="0" w:color="auto"/>
                                                  </w:divBdr>
                                                </w:div>
                                                <w:div w:id="534074418">
                                                  <w:marLeft w:val="0"/>
                                                  <w:marRight w:val="0"/>
                                                  <w:marTop w:val="0"/>
                                                  <w:marBottom w:val="0"/>
                                                  <w:divBdr>
                                                    <w:top w:val="none" w:sz="0" w:space="0" w:color="auto"/>
                                                    <w:left w:val="none" w:sz="0" w:space="0" w:color="auto"/>
                                                    <w:bottom w:val="none" w:sz="0" w:space="0" w:color="auto"/>
                                                    <w:right w:val="none" w:sz="0" w:space="0" w:color="auto"/>
                                                  </w:divBdr>
                                                  <w:divsChild>
                                                    <w:div w:id="9187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0114">
                                      <w:marLeft w:val="0"/>
                                      <w:marRight w:val="0"/>
                                      <w:marTop w:val="0"/>
                                      <w:marBottom w:val="0"/>
                                      <w:divBdr>
                                        <w:top w:val="single" w:sz="6" w:space="0" w:color="DFDFDF"/>
                                        <w:left w:val="single" w:sz="6" w:space="0" w:color="DFDFDF"/>
                                        <w:bottom w:val="single" w:sz="6" w:space="0" w:color="DFDFDF"/>
                                        <w:right w:val="single" w:sz="6" w:space="0" w:color="DFDFDF"/>
                                      </w:divBdr>
                                      <w:divsChild>
                                        <w:div w:id="723679472">
                                          <w:marLeft w:val="0"/>
                                          <w:marRight w:val="0"/>
                                          <w:marTop w:val="0"/>
                                          <w:marBottom w:val="0"/>
                                          <w:divBdr>
                                            <w:top w:val="none" w:sz="0" w:space="0" w:color="auto"/>
                                            <w:left w:val="none" w:sz="0" w:space="0" w:color="auto"/>
                                            <w:bottom w:val="none" w:sz="0" w:space="0" w:color="auto"/>
                                            <w:right w:val="none" w:sz="0" w:space="0" w:color="auto"/>
                                          </w:divBdr>
                                          <w:divsChild>
                                            <w:div w:id="1044720357">
                                              <w:marLeft w:val="0"/>
                                              <w:marRight w:val="0"/>
                                              <w:marTop w:val="0"/>
                                              <w:marBottom w:val="0"/>
                                              <w:divBdr>
                                                <w:top w:val="none" w:sz="0" w:space="0" w:color="auto"/>
                                                <w:left w:val="none" w:sz="0" w:space="0" w:color="auto"/>
                                                <w:bottom w:val="none" w:sz="0" w:space="0" w:color="auto"/>
                                                <w:right w:val="none" w:sz="0" w:space="0" w:color="auto"/>
                                              </w:divBdr>
                                            </w:div>
                                            <w:div w:id="1252425267">
                                              <w:marLeft w:val="0"/>
                                              <w:marRight w:val="0"/>
                                              <w:marTop w:val="0"/>
                                              <w:marBottom w:val="0"/>
                                              <w:divBdr>
                                                <w:top w:val="none" w:sz="0" w:space="0" w:color="auto"/>
                                                <w:left w:val="none" w:sz="0" w:space="0" w:color="auto"/>
                                                <w:bottom w:val="none" w:sz="0" w:space="0" w:color="auto"/>
                                                <w:right w:val="none" w:sz="0" w:space="0" w:color="auto"/>
                                              </w:divBdr>
                                              <w:divsChild>
                                                <w:div w:id="805314801">
                                                  <w:marLeft w:val="0"/>
                                                  <w:marRight w:val="0"/>
                                                  <w:marTop w:val="0"/>
                                                  <w:marBottom w:val="0"/>
                                                  <w:divBdr>
                                                    <w:top w:val="none" w:sz="0" w:space="0" w:color="auto"/>
                                                    <w:left w:val="none" w:sz="0" w:space="0" w:color="auto"/>
                                                    <w:bottom w:val="none" w:sz="0" w:space="0" w:color="auto"/>
                                                    <w:right w:val="none" w:sz="0" w:space="0" w:color="auto"/>
                                                  </w:divBdr>
                                                </w:div>
                                                <w:div w:id="68692306">
                                                  <w:marLeft w:val="0"/>
                                                  <w:marRight w:val="0"/>
                                                  <w:marTop w:val="0"/>
                                                  <w:marBottom w:val="0"/>
                                                  <w:divBdr>
                                                    <w:top w:val="none" w:sz="0" w:space="0" w:color="auto"/>
                                                    <w:left w:val="none" w:sz="0" w:space="0" w:color="auto"/>
                                                    <w:bottom w:val="none" w:sz="0" w:space="0" w:color="auto"/>
                                                    <w:right w:val="none" w:sz="0" w:space="0" w:color="auto"/>
                                                  </w:divBdr>
                                                  <w:divsChild>
                                                    <w:div w:id="13610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8489">
                                      <w:marLeft w:val="0"/>
                                      <w:marRight w:val="0"/>
                                      <w:marTop w:val="0"/>
                                      <w:marBottom w:val="0"/>
                                      <w:divBdr>
                                        <w:top w:val="single" w:sz="6" w:space="0" w:color="DFDFDF"/>
                                        <w:left w:val="single" w:sz="6" w:space="0" w:color="DFDFDF"/>
                                        <w:bottom w:val="single" w:sz="6" w:space="0" w:color="DFDFDF"/>
                                        <w:right w:val="single" w:sz="6" w:space="0" w:color="DFDFDF"/>
                                      </w:divBdr>
                                      <w:divsChild>
                                        <w:div w:id="1488668472">
                                          <w:marLeft w:val="0"/>
                                          <w:marRight w:val="0"/>
                                          <w:marTop w:val="0"/>
                                          <w:marBottom w:val="0"/>
                                          <w:divBdr>
                                            <w:top w:val="none" w:sz="0" w:space="0" w:color="auto"/>
                                            <w:left w:val="none" w:sz="0" w:space="0" w:color="auto"/>
                                            <w:bottom w:val="none" w:sz="0" w:space="0" w:color="auto"/>
                                            <w:right w:val="none" w:sz="0" w:space="0" w:color="auto"/>
                                          </w:divBdr>
                                          <w:divsChild>
                                            <w:div w:id="761875940">
                                              <w:marLeft w:val="0"/>
                                              <w:marRight w:val="0"/>
                                              <w:marTop w:val="0"/>
                                              <w:marBottom w:val="0"/>
                                              <w:divBdr>
                                                <w:top w:val="none" w:sz="0" w:space="0" w:color="auto"/>
                                                <w:left w:val="none" w:sz="0" w:space="0" w:color="auto"/>
                                                <w:bottom w:val="none" w:sz="0" w:space="0" w:color="auto"/>
                                                <w:right w:val="none" w:sz="0" w:space="0" w:color="auto"/>
                                              </w:divBdr>
                                            </w:div>
                                            <w:div w:id="111748034">
                                              <w:marLeft w:val="0"/>
                                              <w:marRight w:val="0"/>
                                              <w:marTop w:val="0"/>
                                              <w:marBottom w:val="0"/>
                                              <w:divBdr>
                                                <w:top w:val="none" w:sz="0" w:space="0" w:color="auto"/>
                                                <w:left w:val="none" w:sz="0" w:space="0" w:color="auto"/>
                                                <w:bottom w:val="none" w:sz="0" w:space="0" w:color="auto"/>
                                                <w:right w:val="none" w:sz="0" w:space="0" w:color="auto"/>
                                              </w:divBdr>
                                              <w:divsChild>
                                                <w:div w:id="983433798">
                                                  <w:marLeft w:val="0"/>
                                                  <w:marRight w:val="0"/>
                                                  <w:marTop w:val="0"/>
                                                  <w:marBottom w:val="0"/>
                                                  <w:divBdr>
                                                    <w:top w:val="none" w:sz="0" w:space="0" w:color="auto"/>
                                                    <w:left w:val="none" w:sz="0" w:space="0" w:color="auto"/>
                                                    <w:bottom w:val="none" w:sz="0" w:space="0" w:color="auto"/>
                                                    <w:right w:val="none" w:sz="0" w:space="0" w:color="auto"/>
                                                  </w:divBdr>
                                                </w:div>
                                                <w:div w:id="2118328489">
                                                  <w:marLeft w:val="0"/>
                                                  <w:marRight w:val="0"/>
                                                  <w:marTop w:val="0"/>
                                                  <w:marBottom w:val="0"/>
                                                  <w:divBdr>
                                                    <w:top w:val="none" w:sz="0" w:space="0" w:color="auto"/>
                                                    <w:left w:val="none" w:sz="0" w:space="0" w:color="auto"/>
                                                    <w:bottom w:val="none" w:sz="0" w:space="0" w:color="auto"/>
                                                    <w:right w:val="none" w:sz="0" w:space="0" w:color="auto"/>
                                                  </w:divBdr>
                                                  <w:divsChild>
                                                    <w:div w:id="12273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31918">
                                      <w:marLeft w:val="0"/>
                                      <w:marRight w:val="0"/>
                                      <w:marTop w:val="0"/>
                                      <w:marBottom w:val="0"/>
                                      <w:divBdr>
                                        <w:top w:val="single" w:sz="6" w:space="0" w:color="DFDFDF"/>
                                        <w:left w:val="single" w:sz="6" w:space="0" w:color="DFDFDF"/>
                                        <w:bottom w:val="single" w:sz="6" w:space="0" w:color="DFDFDF"/>
                                        <w:right w:val="single" w:sz="6" w:space="0" w:color="DFDFDF"/>
                                      </w:divBdr>
                                      <w:divsChild>
                                        <w:div w:id="1543596549">
                                          <w:marLeft w:val="0"/>
                                          <w:marRight w:val="0"/>
                                          <w:marTop w:val="0"/>
                                          <w:marBottom w:val="0"/>
                                          <w:divBdr>
                                            <w:top w:val="none" w:sz="0" w:space="0" w:color="auto"/>
                                            <w:left w:val="none" w:sz="0" w:space="0" w:color="auto"/>
                                            <w:bottom w:val="none" w:sz="0" w:space="0" w:color="auto"/>
                                            <w:right w:val="none" w:sz="0" w:space="0" w:color="auto"/>
                                          </w:divBdr>
                                          <w:divsChild>
                                            <w:div w:id="473564311">
                                              <w:marLeft w:val="0"/>
                                              <w:marRight w:val="0"/>
                                              <w:marTop w:val="0"/>
                                              <w:marBottom w:val="0"/>
                                              <w:divBdr>
                                                <w:top w:val="none" w:sz="0" w:space="0" w:color="auto"/>
                                                <w:left w:val="none" w:sz="0" w:space="0" w:color="auto"/>
                                                <w:bottom w:val="none" w:sz="0" w:space="0" w:color="auto"/>
                                                <w:right w:val="none" w:sz="0" w:space="0" w:color="auto"/>
                                              </w:divBdr>
                                            </w:div>
                                            <w:div w:id="792332334">
                                              <w:marLeft w:val="0"/>
                                              <w:marRight w:val="0"/>
                                              <w:marTop w:val="0"/>
                                              <w:marBottom w:val="0"/>
                                              <w:divBdr>
                                                <w:top w:val="none" w:sz="0" w:space="0" w:color="auto"/>
                                                <w:left w:val="none" w:sz="0" w:space="0" w:color="auto"/>
                                                <w:bottom w:val="none" w:sz="0" w:space="0" w:color="auto"/>
                                                <w:right w:val="none" w:sz="0" w:space="0" w:color="auto"/>
                                              </w:divBdr>
                                              <w:divsChild>
                                                <w:div w:id="710883979">
                                                  <w:marLeft w:val="0"/>
                                                  <w:marRight w:val="0"/>
                                                  <w:marTop w:val="0"/>
                                                  <w:marBottom w:val="0"/>
                                                  <w:divBdr>
                                                    <w:top w:val="none" w:sz="0" w:space="0" w:color="auto"/>
                                                    <w:left w:val="none" w:sz="0" w:space="0" w:color="auto"/>
                                                    <w:bottom w:val="none" w:sz="0" w:space="0" w:color="auto"/>
                                                    <w:right w:val="none" w:sz="0" w:space="0" w:color="auto"/>
                                                  </w:divBdr>
                                                </w:div>
                                                <w:div w:id="1217400794">
                                                  <w:marLeft w:val="0"/>
                                                  <w:marRight w:val="0"/>
                                                  <w:marTop w:val="0"/>
                                                  <w:marBottom w:val="0"/>
                                                  <w:divBdr>
                                                    <w:top w:val="none" w:sz="0" w:space="0" w:color="auto"/>
                                                    <w:left w:val="none" w:sz="0" w:space="0" w:color="auto"/>
                                                    <w:bottom w:val="none" w:sz="0" w:space="0" w:color="auto"/>
                                                    <w:right w:val="none" w:sz="0" w:space="0" w:color="auto"/>
                                                  </w:divBdr>
                                                  <w:divsChild>
                                                    <w:div w:id="2604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545374">
                                      <w:marLeft w:val="0"/>
                                      <w:marRight w:val="0"/>
                                      <w:marTop w:val="0"/>
                                      <w:marBottom w:val="0"/>
                                      <w:divBdr>
                                        <w:top w:val="single" w:sz="6" w:space="0" w:color="DFDFDF"/>
                                        <w:left w:val="single" w:sz="6" w:space="0" w:color="DFDFDF"/>
                                        <w:bottom w:val="single" w:sz="6" w:space="0" w:color="DFDFDF"/>
                                        <w:right w:val="single" w:sz="6" w:space="0" w:color="DFDFDF"/>
                                      </w:divBdr>
                                      <w:divsChild>
                                        <w:div w:id="1845513705">
                                          <w:marLeft w:val="0"/>
                                          <w:marRight w:val="0"/>
                                          <w:marTop w:val="0"/>
                                          <w:marBottom w:val="0"/>
                                          <w:divBdr>
                                            <w:top w:val="none" w:sz="0" w:space="0" w:color="auto"/>
                                            <w:left w:val="none" w:sz="0" w:space="0" w:color="auto"/>
                                            <w:bottom w:val="none" w:sz="0" w:space="0" w:color="auto"/>
                                            <w:right w:val="none" w:sz="0" w:space="0" w:color="auto"/>
                                          </w:divBdr>
                                          <w:divsChild>
                                            <w:div w:id="645010007">
                                              <w:marLeft w:val="0"/>
                                              <w:marRight w:val="0"/>
                                              <w:marTop w:val="0"/>
                                              <w:marBottom w:val="0"/>
                                              <w:divBdr>
                                                <w:top w:val="none" w:sz="0" w:space="0" w:color="auto"/>
                                                <w:left w:val="none" w:sz="0" w:space="0" w:color="auto"/>
                                                <w:bottom w:val="none" w:sz="0" w:space="0" w:color="auto"/>
                                                <w:right w:val="none" w:sz="0" w:space="0" w:color="auto"/>
                                              </w:divBdr>
                                            </w:div>
                                            <w:div w:id="839196190">
                                              <w:marLeft w:val="0"/>
                                              <w:marRight w:val="0"/>
                                              <w:marTop w:val="0"/>
                                              <w:marBottom w:val="0"/>
                                              <w:divBdr>
                                                <w:top w:val="none" w:sz="0" w:space="0" w:color="auto"/>
                                                <w:left w:val="none" w:sz="0" w:space="0" w:color="auto"/>
                                                <w:bottom w:val="none" w:sz="0" w:space="0" w:color="auto"/>
                                                <w:right w:val="none" w:sz="0" w:space="0" w:color="auto"/>
                                              </w:divBdr>
                                              <w:divsChild>
                                                <w:div w:id="644119854">
                                                  <w:marLeft w:val="0"/>
                                                  <w:marRight w:val="0"/>
                                                  <w:marTop w:val="0"/>
                                                  <w:marBottom w:val="0"/>
                                                  <w:divBdr>
                                                    <w:top w:val="none" w:sz="0" w:space="0" w:color="auto"/>
                                                    <w:left w:val="none" w:sz="0" w:space="0" w:color="auto"/>
                                                    <w:bottom w:val="none" w:sz="0" w:space="0" w:color="auto"/>
                                                    <w:right w:val="none" w:sz="0" w:space="0" w:color="auto"/>
                                                  </w:divBdr>
                                                </w:div>
                                                <w:div w:id="406418705">
                                                  <w:marLeft w:val="0"/>
                                                  <w:marRight w:val="0"/>
                                                  <w:marTop w:val="0"/>
                                                  <w:marBottom w:val="0"/>
                                                  <w:divBdr>
                                                    <w:top w:val="none" w:sz="0" w:space="0" w:color="auto"/>
                                                    <w:left w:val="none" w:sz="0" w:space="0" w:color="auto"/>
                                                    <w:bottom w:val="none" w:sz="0" w:space="0" w:color="auto"/>
                                                    <w:right w:val="none" w:sz="0" w:space="0" w:color="auto"/>
                                                  </w:divBdr>
                                                  <w:divsChild>
                                                    <w:div w:id="1719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66468">
          <w:marLeft w:val="0"/>
          <w:marRight w:val="0"/>
          <w:marTop w:val="0"/>
          <w:marBottom w:val="0"/>
          <w:divBdr>
            <w:top w:val="none" w:sz="0" w:space="0" w:color="auto"/>
            <w:left w:val="none" w:sz="0" w:space="0" w:color="auto"/>
            <w:bottom w:val="none" w:sz="0" w:space="0" w:color="auto"/>
            <w:right w:val="none" w:sz="0" w:space="0" w:color="auto"/>
          </w:divBdr>
          <w:divsChild>
            <w:div w:id="1588228982">
              <w:marLeft w:val="0"/>
              <w:marRight w:val="0"/>
              <w:marTop w:val="100"/>
              <w:marBottom w:val="300"/>
              <w:divBdr>
                <w:top w:val="none" w:sz="0" w:space="0" w:color="auto"/>
                <w:left w:val="none" w:sz="0" w:space="0" w:color="auto"/>
                <w:bottom w:val="none" w:sz="0" w:space="0" w:color="auto"/>
                <w:right w:val="none" w:sz="0" w:space="0" w:color="auto"/>
              </w:divBdr>
              <w:divsChild>
                <w:div w:id="1088774370">
                  <w:marLeft w:val="0"/>
                  <w:marRight w:val="0"/>
                  <w:marTop w:val="0"/>
                  <w:marBottom w:val="0"/>
                  <w:divBdr>
                    <w:top w:val="none" w:sz="0" w:space="0" w:color="auto"/>
                    <w:left w:val="none" w:sz="0" w:space="0" w:color="auto"/>
                    <w:bottom w:val="none" w:sz="0" w:space="0" w:color="auto"/>
                    <w:right w:val="none" w:sz="0" w:space="0" w:color="auto"/>
                  </w:divBdr>
                  <w:divsChild>
                    <w:div w:id="1089694155">
                      <w:marLeft w:val="0"/>
                      <w:marRight w:val="0"/>
                      <w:marTop w:val="0"/>
                      <w:marBottom w:val="0"/>
                      <w:divBdr>
                        <w:top w:val="none" w:sz="0" w:space="0" w:color="auto"/>
                        <w:left w:val="none" w:sz="0" w:space="0" w:color="auto"/>
                        <w:bottom w:val="none" w:sz="0" w:space="0" w:color="auto"/>
                        <w:right w:val="none" w:sz="0" w:space="0" w:color="auto"/>
                      </w:divBdr>
                      <w:divsChild>
                        <w:div w:id="1480655784">
                          <w:marLeft w:val="0"/>
                          <w:marRight w:val="0"/>
                          <w:marTop w:val="0"/>
                          <w:marBottom w:val="0"/>
                          <w:divBdr>
                            <w:top w:val="none" w:sz="0" w:space="0" w:color="auto"/>
                            <w:left w:val="none" w:sz="0" w:space="0" w:color="auto"/>
                            <w:bottom w:val="none" w:sz="0" w:space="0" w:color="auto"/>
                            <w:right w:val="none" w:sz="0" w:space="0" w:color="auto"/>
                          </w:divBdr>
                          <w:divsChild>
                            <w:div w:id="1966347778">
                              <w:marLeft w:val="0"/>
                              <w:marRight w:val="0"/>
                              <w:marTop w:val="0"/>
                              <w:marBottom w:val="0"/>
                              <w:divBdr>
                                <w:top w:val="none" w:sz="0" w:space="0" w:color="auto"/>
                                <w:left w:val="none" w:sz="0" w:space="0" w:color="auto"/>
                                <w:bottom w:val="none" w:sz="0" w:space="0" w:color="auto"/>
                                <w:right w:val="none" w:sz="0" w:space="0" w:color="auto"/>
                              </w:divBdr>
                              <w:divsChild>
                                <w:div w:id="1235821577">
                                  <w:marLeft w:val="0"/>
                                  <w:marRight w:val="0"/>
                                  <w:marTop w:val="0"/>
                                  <w:marBottom w:val="0"/>
                                  <w:divBdr>
                                    <w:top w:val="none" w:sz="0" w:space="0" w:color="auto"/>
                                    <w:left w:val="none" w:sz="0" w:space="0" w:color="auto"/>
                                    <w:bottom w:val="none" w:sz="0" w:space="0" w:color="auto"/>
                                    <w:right w:val="none" w:sz="0" w:space="0" w:color="auto"/>
                                  </w:divBdr>
                                </w:div>
                                <w:div w:id="473328293">
                                  <w:marLeft w:val="0"/>
                                  <w:marRight w:val="0"/>
                                  <w:marTop w:val="0"/>
                                  <w:marBottom w:val="0"/>
                                  <w:divBdr>
                                    <w:top w:val="none" w:sz="0" w:space="0" w:color="auto"/>
                                    <w:left w:val="none" w:sz="0" w:space="0" w:color="auto"/>
                                    <w:bottom w:val="none" w:sz="0" w:space="0" w:color="auto"/>
                                    <w:right w:val="none" w:sz="0" w:space="0" w:color="auto"/>
                                  </w:divBdr>
                                  <w:divsChild>
                                    <w:div w:id="2069571500">
                                      <w:marLeft w:val="0"/>
                                      <w:marRight w:val="0"/>
                                      <w:marTop w:val="0"/>
                                      <w:marBottom w:val="0"/>
                                      <w:divBdr>
                                        <w:top w:val="none" w:sz="0" w:space="0" w:color="auto"/>
                                        <w:left w:val="none" w:sz="0" w:space="0" w:color="auto"/>
                                        <w:bottom w:val="none" w:sz="0" w:space="0" w:color="auto"/>
                                        <w:right w:val="none" w:sz="0" w:space="0" w:color="auto"/>
                                      </w:divBdr>
                                      <w:divsChild>
                                        <w:div w:id="2131776450">
                                          <w:marLeft w:val="0"/>
                                          <w:marRight w:val="0"/>
                                          <w:marTop w:val="0"/>
                                          <w:marBottom w:val="0"/>
                                          <w:divBdr>
                                            <w:top w:val="none" w:sz="0" w:space="0" w:color="auto"/>
                                            <w:left w:val="none" w:sz="0" w:space="0" w:color="auto"/>
                                            <w:bottom w:val="none" w:sz="0" w:space="0" w:color="auto"/>
                                            <w:right w:val="none" w:sz="0" w:space="0" w:color="auto"/>
                                          </w:divBdr>
                                        </w:div>
                                        <w:div w:id="1461217640">
                                          <w:marLeft w:val="0"/>
                                          <w:marRight w:val="0"/>
                                          <w:marTop w:val="0"/>
                                          <w:marBottom w:val="0"/>
                                          <w:divBdr>
                                            <w:top w:val="none" w:sz="0" w:space="0" w:color="auto"/>
                                            <w:left w:val="none" w:sz="0" w:space="0" w:color="auto"/>
                                            <w:bottom w:val="none" w:sz="0" w:space="0" w:color="auto"/>
                                            <w:right w:val="none" w:sz="0" w:space="0" w:color="auto"/>
                                          </w:divBdr>
                                        </w:div>
                                        <w:div w:id="1398478460">
                                          <w:marLeft w:val="0"/>
                                          <w:marRight w:val="0"/>
                                          <w:marTop w:val="0"/>
                                          <w:marBottom w:val="0"/>
                                          <w:divBdr>
                                            <w:top w:val="none" w:sz="0" w:space="0" w:color="auto"/>
                                            <w:left w:val="none" w:sz="0" w:space="0" w:color="auto"/>
                                            <w:bottom w:val="none" w:sz="0" w:space="0" w:color="auto"/>
                                            <w:right w:val="none" w:sz="0" w:space="0" w:color="auto"/>
                                          </w:divBdr>
                                        </w:div>
                                        <w:div w:id="723453758">
                                          <w:marLeft w:val="0"/>
                                          <w:marRight w:val="0"/>
                                          <w:marTop w:val="0"/>
                                          <w:marBottom w:val="0"/>
                                          <w:divBdr>
                                            <w:top w:val="none" w:sz="0" w:space="0" w:color="auto"/>
                                            <w:left w:val="none" w:sz="0" w:space="0" w:color="auto"/>
                                            <w:bottom w:val="none" w:sz="0" w:space="0" w:color="auto"/>
                                            <w:right w:val="none" w:sz="0" w:space="0" w:color="auto"/>
                                          </w:divBdr>
                                        </w:div>
                                        <w:div w:id="1904633296">
                                          <w:marLeft w:val="0"/>
                                          <w:marRight w:val="0"/>
                                          <w:marTop w:val="0"/>
                                          <w:marBottom w:val="0"/>
                                          <w:divBdr>
                                            <w:top w:val="none" w:sz="0" w:space="0" w:color="auto"/>
                                            <w:left w:val="none" w:sz="0" w:space="0" w:color="auto"/>
                                            <w:bottom w:val="none" w:sz="0" w:space="0" w:color="auto"/>
                                            <w:right w:val="none" w:sz="0" w:space="0" w:color="auto"/>
                                          </w:divBdr>
                                        </w:div>
                                      </w:divsChild>
                                    </w:div>
                                    <w:div w:id="1764909737">
                                      <w:marLeft w:val="0"/>
                                      <w:marRight w:val="0"/>
                                      <w:marTop w:val="0"/>
                                      <w:marBottom w:val="0"/>
                                      <w:divBdr>
                                        <w:top w:val="none" w:sz="0" w:space="0" w:color="auto"/>
                                        <w:left w:val="none" w:sz="0" w:space="0" w:color="auto"/>
                                        <w:bottom w:val="none" w:sz="0" w:space="0" w:color="auto"/>
                                        <w:right w:val="none" w:sz="0" w:space="0" w:color="auto"/>
                                      </w:divBdr>
                                      <w:divsChild>
                                        <w:div w:id="193929559">
                                          <w:marLeft w:val="0"/>
                                          <w:marRight w:val="0"/>
                                          <w:marTop w:val="0"/>
                                          <w:marBottom w:val="0"/>
                                          <w:divBdr>
                                            <w:top w:val="none" w:sz="0" w:space="0" w:color="auto"/>
                                            <w:left w:val="none" w:sz="0" w:space="0" w:color="auto"/>
                                            <w:bottom w:val="none" w:sz="0" w:space="0" w:color="auto"/>
                                            <w:right w:val="none" w:sz="0" w:space="0" w:color="auto"/>
                                          </w:divBdr>
                                        </w:div>
                                        <w:div w:id="546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567797">
              <w:marLeft w:val="0"/>
              <w:marRight w:val="0"/>
              <w:marTop w:val="100"/>
              <w:marBottom w:val="300"/>
              <w:divBdr>
                <w:top w:val="none" w:sz="0" w:space="0" w:color="auto"/>
                <w:left w:val="none" w:sz="0" w:space="0" w:color="auto"/>
                <w:bottom w:val="none" w:sz="0" w:space="0" w:color="auto"/>
                <w:right w:val="none" w:sz="0" w:space="0" w:color="auto"/>
              </w:divBdr>
              <w:divsChild>
                <w:div w:id="1580408059">
                  <w:marLeft w:val="0"/>
                  <w:marRight w:val="0"/>
                  <w:marTop w:val="0"/>
                  <w:marBottom w:val="0"/>
                  <w:divBdr>
                    <w:top w:val="none" w:sz="0" w:space="0" w:color="auto"/>
                    <w:left w:val="none" w:sz="0" w:space="0" w:color="auto"/>
                    <w:bottom w:val="none" w:sz="0" w:space="0" w:color="auto"/>
                    <w:right w:val="none" w:sz="0" w:space="0" w:color="auto"/>
                  </w:divBdr>
                  <w:divsChild>
                    <w:div w:id="212430314">
                      <w:marLeft w:val="0"/>
                      <w:marRight w:val="0"/>
                      <w:marTop w:val="0"/>
                      <w:marBottom w:val="0"/>
                      <w:divBdr>
                        <w:top w:val="none" w:sz="0" w:space="0" w:color="auto"/>
                        <w:left w:val="none" w:sz="0" w:space="0" w:color="auto"/>
                        <w:bottom w:val="none" w:sz="0" w:space="0" w:color="auto"/>
                        <w:right w:val="none" w:sz="0" w:space="0" w:color="auto"/>
                      </w:divBdr>
                      <w:divsChild>
                        <w:div w:id="304706375">
                          <w:marLeft w:val="0"/>
                          <w:marRight w:val="0"/>
                          <w:marTop w:val="0"/>
                          <w:marBottom w:val="0"/>
                          <w:divBdr>
                            <w:top w:val="none" w:sz="0" w:space="0" w:color="auto"/>
                            <w:left w:val="none" w:sz="0" w:space="0" w:color="auto"/>
                            <w:bottom w:val="none" w:sz="0" w:space="0" w:color="auto"/>
                            <w:right w:val="none" w:sz="0" w:space="0" w:color="auto"/>
                          </w:divBdr>
                          <w:divsChild>
                            <w:div w:id="795295512">
                              <w:marLeft w:val="0"/>
                              <w:marRight w:val="0"/>
                              <w:marTop w:val="0"/>
                              <w:marBottom w:val="0"/>
                              <w:divBdr>
                                <w:top w:val="none" w:sz="0" w:space="0" w:color="auto"/>
                                <w:left w:val="none" w:sz="0" w:space="0" w:color="auto"/>
                                <w:bottom w:val="none" w:sz="0" w:space="0" w:color="auto"/>
                                <w:right w:val="none" w:sz="0" w:space="0" w:color="auto"/>
                              </w:divBdr>
                              <w:divsChild>
                                <w:div w:id="1871339758">
                                  <w:marLeft w:val="0"/>
                                  <w:marRight w:val="0"/>
                                  <w:marTop w:val="0"/>
                                  <w:marBottom w:val="0"/>
                                  <w:divBdr>
                                    <w:top w:val="none" w:sz="0" w:space="0" w:color="auto"/>
                                    <w:left w:val="none" w:sz="0" w:space="0" w:color="auto"/>
                                    <w:bottom w:val="none" w:sz="0" w:space="0" w:color="auto"/>
                                    <w:right w:val="none" w:sz="0" w:space="0" w:color="auto"/>
                                  </w:divBdr>
                                  <w:divsChild>
                                    <w:div w:id="807163136">
                                      <w:marLeft w:val="0"/>
                                      <w:marRight w:val="0"/>
                                      <w:marTop w:val="0"/>
                                      <w:marBottom w:val="0"/>
                                      <w:divBdr>
                                        <w:top w:val="none" w:sz="0" w:space="0" w:color="auto"/>
                                        <w:left w:val="none" w:sz="0" w:space="0" w:color="auto"/>
                                        <w:bottom w:val="none" w:sz="0" w:space="0" w:color="auto"/>
                                        <w:right w:val="none" w:sz="0" w:space="0" w:color="auto"/>
                                      </w:divBdr>
                                      <w:divsChild>
                                        <w:div w:id="5634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793239">
              <w:marLeft w:val="0"/>
              <w:marRight w:val="0"/>
              <w:marTop w:val="100"/>
              <w:marBottom w:val="300"/>
              <w:divBdr>
                <w:top w:val="none" w:sz="0" w:space="0" w:color="auto"/>
                <w:left w:val="none" w:sz="0" w:space="0" w:color="auto"/>
                <w:bottom w:val="none" w:sz="0" w:space="0" w:color="auto"/>
                <w:right w:val="none" w:sz="0" w:space="0" w:color="auto"/>
              </w:divBdr>
              <w:divsChild>
                <w:div w:id="38163482">
                  <w:marLeft w:val="0"/>
                  <w:marRight w:val="0"/>
                  <w:marTop w:val="0"/>
                  <w:marBottom w:val="0"/>
                  <w:divBdr>
                    <w:top w:val="none" w:sz="0" w:space="0" w:color="auto"/>
                    <w:left w:val="none" w:sz="0" w:space="0" w:color="auto"/>
                    <w:bottom w:val="none" w:sz="0" w:space="0" w:color="auto"/>
                    <w:right w:val="none" w:sz="0" w:space="0" w:color="auto"/>
                  </w:divBdr>
                  <w:divsChild>
                    <w:div w:id="781073422">
                      <w:marLeft w:val="0"/>
                      <w:marRight w:val="0"/>
                      <w:marTop w:val="0"/>
                      <w:marBottom w:val="0"/>
                      <w:divBdr>
                        <w:top w:val="none" w:sz="0" w:space="0" w:color="auto"/>
                        <w:left w:val="none" w:sz="0" w:space="0" w:color="auto"/>
                        <w:bottom w:val="none" w:sz="0" w:space="0" w:color="auto"/>
                        <w:right w:val="none" w:sz="0" w:space="0" w:color="auto"/>
                      </w:divBdr>
                      <w:divsChild>
                        <w:div w:id="513497119">
                          <w:marLeft w:val="0"/>
                          <w:marRight w:val="0"/>
                          <w:marTop w:val="0"/>
                          <w:marBottom w:val="0"/>
                          <w:divBdr>
                            <w:top w:val="none" w:sz="0" w:space="0" w:color="auto"/>
                            <w:left w:val="none" w:sz="0" w:space="0" w:color="auto"/>
                            <w:bottom w:val="none" w:sz="0" w:space="0" w:color="auto"/>
                            <w:right w:val="none" w:sz="0" w:space="0" w:color="auto"/>
                          </w:divBdr>
                          <w:divsChild>
                            <w:div w:id="890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47709">
              <w:marLeft w:val="0"/>
              <w:marRight w:val="0"/>
              <w:marTop w:val="100"/>
              <w:marBottom w:val="300"/>
              <w:divBdr>
                <w:top w:val="none" w:sz="0" w:space="0" w:color="auto"/>
                <w:left w:val="none" w:sz="0" w:space="0" w:color="auto"/>
                <w:bottom w:val="none" w:sz="0" w:space="0" w:color="auto"/>
                <w:right w:val="none" w:sz="0" w:space="0" w:color="auto"/>
              </w:divBdr>
              <w:divsChild>
                <w:div w:id="200435558">
                  <w:marLeft w:val="0"/>
                  <w:marRight w:val="0"/>
                  <w:marTop w:val="0"/>
                  <w:marBottom w:val="0"/>
                  <w:divBdr>
                    <w:top w:val="none" w:sz="0" w:space="0" w:color="auto"/>
                    <w:left w:val="none" w:sz="0" w:space="0" w:color="auto"/>
                    <w:bottom w:val="none" w:sz="0" w:space="0" w:color="auto"/>
                    <w:right w:val="none" w:sz="0" w:space="0" w:color="auto"/>
                  </w:divBdr>
                  <w:divsChild>
                    <w:div w:id="2049448038">
                      <w:marLeft w:val="0"/>
                      <w:marRight w:val="0"/>
                      <w:marTop w:val="0"/>
                      <w:marBottom w:val="0"/>
                      <w:divBdr>
                        <w:top w:val="none" w:sz="0" w:space="0" w:color="auto"/>
                        <w:left w:val="none" w:sz="0" w:space="0" w:color="auto"/>
                        <w:bottom w:val="none" w:sz="0" w:space="0" w:color="auto"/>
                        <w:right w:val="none" w:sz="0" w:space="0" w:color="auto"/>
                      </w:divBdr>
                      <w:divsChild>
                        <w:div w:id="544097875">
                          <w:marLeft w:val="0"/>
                          <w:marRight w:val="0"/>
                          <w:marTop w:val="0"/>
                          <w:marBottom w:val="0"/>
                          <w:divBdr>
                            <w:top w:val="none" w:sz="0" w:space="0" w:color="auto"/>
                            <w:left w:val="none" w:sz="0" w:space="0" w:color="auto"/>
                            <w:bottom w:val="none" w:sz="0" w:space="0" w:color="auto"/>
                            <w:right w:val="none" w:sz="0" w:space="0" w:color="auto"/>
                          </w:divBdr>
                          <w:divsChild>
                            <w:div w:id="460614991">
                              <w:marLeft w:val="0"/>
                              <w:marRight w:val="0"/>
                              <w:marTop w:val="0"/>
                              <w:marBottom w:val="0"/>
                              <w:divBdr>
                                <w:top w:val="none" w:sz="0" w:space="0" w:color="auto"/>
                                <w:left w:val="none" w:sz="0" w:space="0" w:color="auto"/>
                                <w:bottom w:val="none" w:sz="0" w:space="0" w:color="auto"/>
                                <w:right w:val="none" w:sz="0" w:space="0" w:color="auto"/>
                              </w:divBdr>
                              <w:divsChild>
                                <w:div w:id="6082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97156">
      <w:bodyDiv w:val="1"/>
      <w:marLeft w:val="0"/>
      <w:marRight w:val="0"/>
      <w:marTop w:val="0"/>
      <w:marBottom w:val="0"/>
      <w:divBdr>
        <w:top w:val="none" w:sz="0" w:space="0" w:color="auto"/>
        <w:left w:val="none" w:sz="0" w:space="0" w:color="auto"/>
        <w:bottom w:val="none" w:sz="0" w:space="0" w:color="auto"/>
        <w:right w:val="none" w:sz="0" w:space="0" w:color="auto"/>
      </w:divBdr>
    </w:div>
    <w:div w:id="1800491449">
      <w:bodyDiv w:val="1"/>
      <w:marLeft w:val="0"/>
      <w:marRight w:val="0"/>
      <w:marTop w:val="0"/>
      <w:marBottom w:val="0"/>
      <w:divBdr>
        <w:top w:val="none" w:sz="0" w:space="0" w:color="auto"/>
        <w:left w:val="none" w:sz="0" w:space="0" w:color="auto"/>
        <w:bottom w:val="none" w:sz="0" w:space="0" w:color="auto"/>
        <w:right w:val="none" w:sz="0" w:space="0" w:color="auto"/>
      </w:divBdr>
    </w:div>
    <w:div w:id="1807233954">
      <w:bodyDiv w:val="1"/>
      <w:marLeft w:val="0"/>
      <w:marRight w:val="0"/>
      <w:marTop w:val="0"/>
      <w:marBottom w:val="0"/>
      <w:divBdr>
        <w:top w:val="none" w:sz="0" w:space="0" w:color="auto"/>
        <w:left w:val="none" w:sz="0" w:space="0" w:color="auto"/>
        <w:bottom w:val="none" w:sz="0" w:space="0" w:color="auto"/>
        <w:right w:val="none" w:sz="0" w:space="0" w:color="auto"/>
      </w:divBdr>
      <w:divsChild>
        <w:div w:id="1829858356">
          <w:marLeft w:val="360"/>
          <w:marRight w:val="0"/>
          <w:marTop w:val="200"/>
          <w:marBottom w:val="0"/>
          <w:divBdr>
            <w:top w:val="none" w:sz="0" w:space="0" w:color="auto"/>
            <w:left w:val="none" w:sz="0" w:space="0" w:color="auto"/>
            <w:bottom w:val="none" w:sz="0" w:space="0" w:color="auto"/>
            <w:right w:val="none" w:sz="0" w:space="0" w:color="auto"/>
          </w:divBdr>
        </w:div>
        <w:div w:id="1942755403">
          <w:marLeft w:val="1080"/>
          <w:marRight w:val="0"/>
          <w:marTop w:val="100"/>
          <w:marBottom w:val="0"/>
          <w:divBdr>
            <w:top w:val="none" w:sz="0" w:space="0" w:color="auto"/>
            <w:left w:val="none" w:sz="0" w:space="0" w:color="auto"/>
            <w:bottom w:val="none" w:sz="0" w:space="0" w:color="auto"/>
            <w:right w:val="none" w:sz="0" w:space="0" w:color="auto"/>
          </w:divBdr>
        </w:div>
        <w:div w:id="721246474">
          <w:marLeft w:val="360"/>
          <w:marRight w:val="0"/>
          <w:marTop w:val="200"/>
          <w:marBottom w:val="0"/>
          <w:divBdr>
            <w:top w:val="none" w:sz="0" w:space="0" w:color="auto"/>
            <w:left w:val="none" w:sz="0" w:space="0" w:color="auto"/>
            <w:bottom w:val="none" w:sz="0" w:space="0" w:color="auto"/>
            <w:right w:val="none" w:sz="0" w:space="0" w:color="auto"/>
          </w:divBdr>
        </w:div>
      </w:divsChild>
    </w:div>
    <w:div w:id="1910072317">
      <w:bodyDiv w:val="1"/>
      <w:marLeft w:val="0"/>
      <w:marRight w:val="0"/>
      <w:marTop w:val="0"/>
      <w:marBottom w:val="0"/>
      <w:divBdr>
        <w:top w:val="none" w:sz="0" w:space="0" w:color="auto"/>
        <w:left w:val="none" w:sz="0" w:space="0" w:color="auto"/>
        <w:bottom w:val="none" w:sz="0" w:space="0" w:color="auto"/>
        <w:right w:val="none" w:sz="0" w:space="0" w:color="auto"/>
      </w:divBdr>
    </w:div>
    <w:div w:id="1954365042">
      <w:bodyDiv w:val="1"/>
      <w:marLeft w:val="0"/>
      <w:marRight w:val="0"/>
      <w:marTop w:val="0"/>
      <w:marBottom w:val="0"/>
      <w:divBdr>
        <w:top w:val="none" w:sz="0" w:space="0" w:color="auto"/>
        <w:left w:val="none" w:sz="0" w:space="0" w:color="auto"/>
        <w:bottom w:val="none" w:sz="0" w:space="0" w:color="auto"/>
        <w:right w:val="none" w:sz="0" w:space="0" w:color="auto"/>
      </w:divBdr>
      <w:divsChild>
        <w:div w:id="663361915">
          <w:marLeft w:val="360"/>
          <w:marRight w:val="0"/>
          <w:marTop w:val="200"/>
          <w:marBottom w:val="0"/>
          <w:divBdr>
            <w:top w:val="none" w:sz="0" w:space="0" w:color="auto"/>
            <w:left w:val="none" w:sz="0" w:space="0" w:color="auto"/>
            <w:bottom w:val="none" w:sz="0" w:space="0" w:color="auto"/>
            <w:right w:val="none" w:sz="0" w:space="0" w:color="auto"/>
          </w:divBdr>
        </w:div>
        <w:div w:id="166872945">
          <w:marLeft w:val="360"/>
          <w:marRight w:val="0"/>
          <w:marTop w:val="200"/>
          <w:marBottom w:val="0"/>
          <w:divBdr>
            <w:top w:val="none" w:sz="0" w:space="0" w:color="auto"/>
            <w:left w:val="none" w:sz="0" w:space="0" w:color="auto"/>
            <w:bottom w:val="none" w:sz="0" w:space="0" w:color="auto"/>
            <w:right w:val="none" w:sz="0" w:space="0" w:color="auto"/>
          </w:divBdr>
        </w:div>
        <w:div w:id="664363531">
          <w:marLeft w:val="360"/>
          <w:marRight w:val="0"/>
          <w:marTop w:val="200"/>
          <w:marBottom w:val="0"/>
          <w:divBdr>
            <w:top w:val="none" w:sz="0" w:space="0" w:color="auto"/>
            <w:left w:val="none" w:sz="0" w:space="0" w:color="auto"/>
            <w:bottom w:val="none" w:sz="0" w:space="0" w:color="auto"/>
            <w:right w:val="none" w:sz="0" w:space="0" w:color="auto"/>
          </w:divBdr>
        </w:div>
        <w:div w:id="1169521136">
          <w:marLeft w:val="360"/>
          <w:marRight w:val="0"/>
          <w:marTop w:val="200"/>
          <w:marBottom w:val="0"/>
          <w:divBdr>
            <w:top w:val="none" w:sz="0" w:space="0" w:color="auto"/>
            <w:left w:val="none" w:sz="0" w:space="0" w:color="auto"/>
            <w:bottom w:val="none" w:sz="0" w:space="0" w:color="auto"/>
            <w:right w:val="none" w:sz="0" w:space="0" w:color="auto"/>
          </w:divBdr>
        </w:div>
        <w:div w:id="1835728956">
          <w:marLeft w:val="360"/>
          <w:marRight w:val="0"/>
          <w:marTop w:val="200"/>
          <w:marBottom w:val="0"/>
          <w:divBdr>
            <w:top w:val="none" w:sz="0" w:space="0" w:color="auto"/>
            <w:left w:val="none" w:sz="0" w:space="0" w:color="auto"/>
            <w:bottom w:val="none" w:sz="0" w:space="0" w:color="auto"/>
            <w:right w:val="none" w:sz="0" w:space="0" w:color="auto"/>
          </w:divBdr>
        </w:div>
      </w:divsChild>
    </w:div>
    <w:div w:id="1971402074">
      <w:bodyDiv w:val="1"/>
      <w:marLeft w:val="0"/>
      <w:marRight w:val="0"/>
      <w:marTop w:val="0"/>
      <w:marBottom w:val="0"/>
      <w:divBdr>
        <w:top w:val="none" w:sz="0" w:space="0" w:color="auto"/>
        <w:left w:val="none" w:sz="0" w:space="0" w:color="auto"/>
        <w:bottom w:val="none" w:sz="0" w:space="0" w:color="auto"/>
        <w:right w:val="none" w:sz="0" w:space="0" w:color="auto"/>
      </w:divBdr>
    </w:div>
    <w:div w:id="2040737049">
      <w:bodyDiv w:val="1"/>
      <w:marLeft w:val="0"/>
      <w:marRight w:val="0"/>
      <w:marTop w:val="0"/>
      <w:marBottom w:val="0"/>
      <w:divBdr>
        <w:top w:val="none" w:sz="0" w:space="0" w:color="auto"/>
        <w:left w:val="none" w:sz="0" w:space="0" w:color="auto"/>
        <w:bottom w:val="none" w:sz="0" w:space="0" w:color="auto"/>
        <w:right w:val="none" w:sz="0" w:space="0" w:color="auto"/>
      </w:divBdr>
    </w:div>
    <w:div w:id="211324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BHRORmlhRvq2PpPjUrdJvjkoBQ==">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54EF50-B17B-4A8C-9CBA-0206EB7F5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7448</Words>
  <Characters>42460</Characters>
  <Application>Microsoft Office Word</Application>
  <DocSecurity>0</DocSecurity>
  <Lines>353</Lines>
  <Paragraphs>99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İpek Çetin</dc:creator>
  <cp:lastModifiedBy>Zeynep Tuğçe Yılmaz</cp:lastModifiedBy>
  <cp:revision>5</cp:revision>
  <dcterms:created xsi:type="dcterms:W3CDTF">2023-03-23T13:55:00Z</dcterms:created>
  <dcterms:modified xsi:type="dcterms:W3CDTF">2024-01-19T09:40:00Z</dcterms:modified>
</cp:coreProperties>
</file>