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81C949" w14:textId="77777777" w:rsidR="0015658F" w:rsidRDefault="006A3AF5">
      <w:pPr>
        <w:rPr>
          <w:sz w:val="22"/>
          <w:szCs w:val="22"/>
        </w:rPr>
      </w:pPr>
      <w:r>
        <w:rPr>
          <w:noProof/>
          <w:sz w:val="22"/>
          <w:szCs w:val="22"/>
          <w:lang w:eastAsia="en-GB"/>
        </w:rPr>
        <w:drawing>
          <wp:anchor distT="0" distB="0" distL="0" distR="0" simplePos="0" relativeHeight="251658240" behindDoc="1" locked="0" layoutInCell="1" hidden="0" allowOverlap="1" wp14:anchorId="22E3E589" wp14:editId="1BE980DA">
            <wp:simplePos x="0" y="0"/>
            <wp:positionH relativeFrom="margin">
              <wp:align>center</wp:align>
            </wp:positionH>
            <wp:positionV relativeFrom="page">
              <wp:posOffset>411480</wp:posOffset>
            </wp:positionV>
            <wp:extent cx="1990725" cy="1071880"/>
            <wp:effectExtent l="0" t="0" r="0" b="0"/>
            <wp:wrapNone/>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990725" cy="1071880"/>
                    </a:xfrm>
                    <a:prstGeom prst="rect">
                      <a:avLst/>
                    </a:prstGeom>
                    <a:ln/>
                  </pic:spPr>
                </pic:pic>
              </a:graphicData>
            </a:graphic>
          </wp:anchor>
        </w:drawing>
      </w:r>
      <w:r>
        <w:rPr>
          <w:noProof/>
          <w:sz w:val="22"/>
          <w:szCs w:val="22"/>
          <w:lang w:eastAsia="en-GB"/>
        </w:rPr>
        <w:drawing>
          <wp:anchor distT="0" distB="0" distL="0" distR="0" simplePos="0" relativeHeight="251659264" behindDoc="1" locked="0" layoutInCell="1" hidden="0" allowOverlap="1" wp14:anchorId="6800FAFE" wp14:editId="08A9CD46">
            <wp:simplePos x="0" y="0"/>
            <wp:positionH relativeFrom="page">
              <wp:align>left</wp:align>
            </wp:positionH>
            <wp:positionV relativeFrom="margin">
              <wp:posOffset>-1322704</wp:posOffset>
            </wp:positionV>
            <wp:extent cx="7560000" cy="10698601"/>
            <wp:effectExtent l="0" t="0" r="0" b="0"/>
            <wp:wrapNone/>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7560000" cy="10698601"/>
                    </a:xfrm>
                    <a:prstGeom prst="rect">
                      <a:avLst/>
                    </a:prstGeom>
                    <a:ln/>
                  </pic:spPr>
                </pic:pic>
              </a:graphicData>
            </a:graphic>
          </wp:anchor>
        </w:drawing>
      </w:r>
      <w:r>
        <w:rPr>
          <w:sz w:val="22"/>
          <w:szCs w:val="22"/>
        </w:rPr>
        <w:t xml:space="preserve">                                          </w:t>
      </w:r>
    </w:p>
    <w:p w14:paraId="7413A519" w14:textId="77777777" w:rsidR="0015658F" w:rsidRDefault="0015658F">
      <w:pPr>
        <w:rPr>
          <w:sz w:val="22"/>
          <w:szCs w:val="22"/>
        </w:rPr>
      </w:pPr>
    </w:p>
    <w:p w14:paraId="30B19709" w14:textId="624378B0" w:rsidR="0015658F" w:rsidRDefault="00E8794B">
      <w:pPr>
        <w:rPr>
          <w:b/>
          <w:sz w:val="22"/>
          <w:szCs w:val="22"/>
        </w:rPr>
      </w:pPr>
      <w:r>
        <w:rPr>
          <w:noProof/>
          <w:lang w:eastAsia="en-GB"/>
        </w:rPr>
        <mc:AlternateContent>
          <mc:Choice Requires="wps">
            <w:drawing>
              <wp:anchor distT="45720" distB="45720" distL="114300" distR="114300" simplePos="0" relativeHeight="251661312" behindDoc="0" locked="0" layoutInCell="1" hidden="0" allowOverlap="1" wp14:anchorId="779F4EBF" wp14:editId="13E6D769">
                <wp:simplePos x="0" y="0"/>
                <wp:positionH relativeFrom="column">
                  <wp:posOffset>-557530</wp:posOffset>
                </wp:positionH>
                <wp:positionV relativeFrom="paragraph">
                  <wp:posOffset>1625600</wp:posOffset>
                </wp:positionV>
                <wp:extent cx="6918960" cy="5653405"/>
                <wp:effectExtent l="0" t="0" r="0" b="4445"/>
                <wp:wrapSquare wrapText="bothSides" distT="45720" distB="45720" distL="114300" distR="114300"/>
                <wp:docPr id="32" name="Rectangle 32"/>
                <wp:cNvGraphicFramePr/>
                <a:graphic xmlns:a="http://schemas.openxmlformats.org/drawingml/2006/main">
                  <a:graphicData uri="http://schemas.microsoft.com/office/word/2010/wordprocessingShape">
                    <wps:wsp>
                      <wps:cNvSpPr/>
                      <wps:spPr>
                        <a:xfrm>
                          <a:off x="0" y="0"/>
                          <a:ext cx="6918960" cy="5653405"/>
                        </a:xfrm>
                        <a:prstGeom prst="rect">
                          <a:avLst/>
                        </a:prstGeom>
                        <a:noFill/>
                        <a:ln>
                          <a:noFill/>
                        </a:ln>
                      </wps:spPr>
                      <wps:txbx>
                        <w:txbxContent>
                          <w:p w14:paraId="06D2971F" w14:textId="77777777" w:rsidR="00CD0C1E" w:rsidRDefault="00CD0C1E">
                            <w:pPr>
                              <w:spacing w:after="160" w:line="258" w:lineRule="auto"/>
                              <w:textDirection w:val="btLr"/>
                            </w:pPr>
                            <w:r>
                              <w:rPr>
                                <w:rFonts w:ascii="Tahoma" w:eastAsia="Tahoma" w:hAnsi="Tahoma" w:cs="Tahoma"/>
                                <w:b/>
                                <w:color w:val="234B7D"/>
                                <w:sz w:val="40"/>
                              </w:rPr>
                              <w:t>TECHNICAL ASSISTANCE FOR PROMOTING</w:t>
                            </w:r>
                            <w:r>
                              <w:rPr>
                                <w:rFonts w:ascii="Tahoma" w:eastAsia="Tahoma" w:hAnsi="Tahoma" w:cs="Tahoma"/>
                                <w:b/>
                                <w:color w:val="234B7D"/>
                                <w:sz w:val="40"/>
                              </w:rPr>
                              <w:br/>
                              <w:t>DECENT FUTURE OF WORK APPROACH WITH</w:t>
                            </w:r>
                            <w:r>
                              <w:rPr>
                                <w:rFonts w:ascii="Tahoma" w:eastAsia="Tahoma" w:hAnsi="Tahoma" w:cs="Tahoma"/>
                                <w:b/>
                                <w:color w:val="234B7D"/>
                                <w:sz w:val="40"/>
                              </w:rPr>
                              <w:br/>
                              <w:t>A FOCUS ON GENDER EQUALITY</w:t>
                            </w:r>
                            <w:r>
                              <w:rPr>
                                <w:rFonts w:ascii="Tahoma" w:eastAsia="Tahoma" w:hAnsi="Tahoma" w:cs="Tahoma"/>
                                <w:b/>
                                <w:color w:val="234B7D"/>
                                <w:sz w:val="20"/>
                              </w:rPr>
                              <w:br/>
                            </w:r>
                            <w:r>
                              <w:rPr>
                                <w:rFonts w:ascii="Tahoma" w:eastAsia="Tahoma" w:hAnsi="Tahoma" w:cs="Tahoma"/>
                                <w:b/>
                                <w:color w:val="234B7D"/>
                                <w:sz w:val="20"/>
                              </w:rPr>
                              <w:br/>
                            </w:r>
                            <w:r>
                              <w:rPr>
                                <w:rFonts w:ascii="Tahoma" w:eastAsia="Tahoma" w:hAnsi="Tahoma" w:cs="Tahoma"/>
                                <w:b/>
                                <w:color w:val="234B7D"/>
                                <w:sz w:val="32"/>
                              </w:rPr>
                              <w:t>(TREESP1.3. FoW/P-01)</w:t>
                            </w:r>
                          </w:p>
                          <w:p w14:paraId="57FC32D6" w14:textId="3AF24AA7" w:rsidR="00CD0C1E" w:rsidRDefault="00CD0C1E">
                            <w:pPr>
                              <w:spacing w:after="160" w:line="258" w:lineRule="auto"/>
                              <w:textDirection w:val="btLr"/>
                              <w:rPr>
                                <w:rFonts w:ascii="Tahoma" w:eastAsia="Tahoma" w:hAnsi="Tahoma" w:cs="Tahoma"/>
                                <w:b/>
                                <w:color w:val="234B7D"/>
                                <w:sz w:val="32"/>
                              </w:rPr>
                            </w:pPr>
                            <w:r>
                              <w:rPr>
                                <w:rFonts w:ascii="Tahoma" w:eastAsia="Tahoma" w:hAnsi="Tahoma" w:cs="Tahoma"/>
                                <w:b/>
                                <w:color w:val="234B7D"/>
                                <w:sz w:val="32"/>
                              </w:rPr>
                              <w:t>TÜRKIYE</w:t>
                            </w:r>
                          </w:p>
                          <w:p w14:paraId="7C26CA39" w14:textId="7728D993" w:rsidR="00CD0C1E" w:rsidRDefault="00CD0C1E">
                            <w:pPr>
                              <w:spacing w:after="160" w:line="258" w:lineRule="auto"/>
                              <w:textDirection w:val="btLr"/>
                              <w:rPr>
                                <w:rFonts w:ascii="Tahoma" w:eastAsia="Tahoma" w:hAnsi="Tahoma" w:cs="Tahoma"/>
                                <w:b/>
                                <w:color w:val="234B7D"/>
                                <w:sz w:val="32"/>
                              </w:rPr>
                            </w:pPr>
                          </w:p>
                          <w:p w14:paraId="17C63DA1" w14:textId="77777777" w:rsidR="00CD0C1E" w:rsidRPr="004A2ED4" w:rsidRDefault="00CD0C1E" w:rsidP="00E8794B">
                            <w:pPr>
                              <w:spacing w:after="160" w:line="258" w:lineRule="auto"/>
                              <w:textDirection w:val="btLr"/>
                              <w:rPr>
                                <w:sz w:val="28"/>
                                <w:szCs w:val="28"/>
                              </w:rPr>
                            </w:pPr>
                            <w:r w:rsidRPr="004A2ED4">
                              <w:rPr>
                                <w:rFonts w:ascii="Tahoma" w:eastAsia="Tahoma" w:hAnsi="Tahoma" w:cs="Tahoma"/>
                                <w:b/>
                                <w:color w:val="234B7D"/>
                                <w:sz w:val="28"/>
                                <w:szCs w:val="28"/>
                              </w:rPr>
                              <w:t>CATEGORY 3: SCIENTIFIC AND TECHNICAL STUDIES</w:t>
                            </w:r>
                          </w:p>
                          <w:p w14:paraId="2B3717F1" w14:textId="5AC6ED7E" w:rsidR="00CD0C1E" w:rsidRDefault="00CD0C1E" w:rsidP="00E8794B">
                            <w:pPr>
                              <w:spacing w:line="258" w:lineRule="auto"/>
                              <w:textDirection w:val="btLr"/>
                              <w:rPr>
                                <w:rFonts w:ascii="Tahoma" w:eastAsia="Tahoma" w:hAnsi="Tahoma" w:cs="Tahoma"/>
                                <w:b/>
                                <w:color w:val="234B7D"/>
                                <w:sz w:val="28"/>
                                <w:szCs w:val="28"/>
                              </w:rPr>
                            </w:pPr>
                            <w:r w:rsidRPr="004A2ED4">
                              <w:rPr>
                                <w:rFonts w:ascii="Tahoma" w:eastAsia="Tahoma" w:hAnsi="Tahoma" w:cs="Tahoma"/>
                                <w:b/>
                                <w:color w:val="234B7D"/>
                                <w:sz w:val="28"/>
                                <w:szCs w:val="28"/>
                              </w:rPr>
                              <w:t>INTERVENTION 8: SECTOR STUDIES</w:t>
                            </w:r>
                          </w:p>
                          <w:p w14:paraId="1C91F223" w14:textId="2602E9C1" w:rsidR="00CD0C1E" w:rsidRDefault="00CD0C1E" w:rsidP="00E8794B">
                            <w:pPr>
                              <w:spacing w:line="258" w:lineRule="auto"/>
                              <w:textDirection w:val="btLr"/>
                              <w:rPr>
                                <w:rFonts w:ascii="Tahoma" w:eastAsia="Tahoma" w:hAnsi="Tahoma" w:cs="Tahoma"/>
                                <w:b/>
                                <w:color w:val="234B7D"/>
                                <w:sz w:val="28"/>
                                <w:szCs w:val="28"/>
                              </w:rPr>
                            </w:pPr>
                          </w:p>
                          <w:p w14:paraId="7F116E71" w14:textId="77777777" w:rsidR="00CD0C1E" w:rsidRPr="004A2ED4" w:rsidRDefault="00CD0C1E" w:rsidP="00E8794B">
                            <w:pPr>
                              <w:spacing w:line="258" w:lineRule="auto"/>
                              <w:textDirection w:val="btLr"/>
                              <w:rPr>
                                <w:sz w:val="32"/>
                                <w:szCs w:val="32"/>
                              </w:rPr>
                            </w:pPr>
                            <w:r w:rsidRPr="004A2ED4">
                              <w:rPr>
                                <w:rFonts w:ascii="Tahoma" w:eastAsia="Tahoma" w:hAnsi="Tahoma" w:cs="Tahoma"/>
                                <w:b/>
                                <w:color w:val="234B7D"/>
                                <w:sz w:val="32"/>
                                <w:szCs w:val="32"/>
                              </w:rPr>
                              <w:t>EXECUTIVE SUMMARY REPORT</w:t>
                            </w:r>
                            <w:r>
                              <w:rPr>
                                <w:rFonts w:ascii="Tahoma" w:eastAsia="Tahoma" w:hAnsi="Tahoma" w:cs="Tahoma"/>
                                <w:b/>
                                <w:color w:val="234B7D"/>
                                <w:sz w:val="32"/>
                                <w:szCs w:val="32"/>
                              </w:rPr>
                              <w:t xml:space="preserve"> </w:t>
                            </w:r>
                            <w:r w:rsidRPr="004A2ED4">
                              <w:rPr>
                                <w:rFonts w:ascii="Tahoma" w:eastAsia="Tahoma" w:hAnsi="Tahoma" w:cs="Tahoma"/>
                                <w:b/>
                                <w:color w:val="234B7D"/>
                                <w:sz w:val="32"/>
                                <w:szCs w:val="32"/>
                              </w:rPr>
                              <w:t>ON SECTOR STUDIES</w:t>
                            </w:r>
                          </w:p>
                          <w:p w14:paraId="752FD9C1" w14:textId="77777777" w:rsidR="00CD0C1E" w:rsidRDefault="00CD0C1E">
                            <w:pPr>
                              <w:spacing w:after="160" w:line="258" w:lineRule="auto"/>
                              <w:textDirection w:val="btLr"/>
                            </w:pPr>
                          </w:p>
                          <w:p w14:paraId="0480CB36" w14:textId="186581CA" w:rsidR="00CD0C1E" w:rsidRDefault="00CD0C1E">
                            <w:pPr>
                              <w:spacing w:after="160" w:line="258" w:lineRule="auto"/>
                              <w:textDirection w:val="btLr"/>
                              <w:rPr>
                                <w:rFonts w:ascii="Tahoma" w:eastAsia="Tahoma" w:hAnsi="Tahoma" w:cs="Tahoma"/>
                                <w:b/>
                                <w:color w:val="234B7D"/>
                              </w:rPr>
                            </w:pPr>
                          </w:p>
                          <w:p w14:paraId="0930E4B3" w14:textId="31C26D2F" w:rsidR="00CD0C1E" w:rsidRDefault="00CD0C1E">
                            <w:pPr>
                              <w:spacing w:after="160" w:line="258" w:lineRule="auto"/>
                              <w:textDirection w:val="btLr"/>
                              <w:rPr>
                                <w:rFonts w:ascii="Tahoma" w:eastAsia="Tahoma" w:hAnsi="Tahoma" w:cs="Tahoma"/>
                                <w:b/>
                                <w:color w:val="234B7D"/>
                              </w:rPr>
                            </w:pPr>
                          </w:p>
                          <w:p w14:paraId="0AE37886" w14:textId="77777777" w:rsidR="00CD0C1E" w:rsidRDefault="00CD0C1E">
                            <w:pPr>
                              <w:spacing w:after="160" w:line="258" w:lineRule="auto"/>
                              <w:textDirection w:val="btLr"/>
                              <w:rPr>
                                <w:rFonts w:ascii="Tahoma" w:eastAsia="Tahoma" w:hAnsi="Tahoma" w:cs="Tahoma"/>
                                <w:b/>
                                <w:color w:val="234B7D"/>
                              </w:rPr>
                            </w:pPr>
                          </w:p>
                          <w:p w14:paraId="7B38D659" w14:textId="77777777" w:rsidR="00CD0C1E" w:rsidRPr="004A2ED4" w:rsidRDefault="00CD0C1E">
                            <w:pPr>
                              <w:spacing w:line="258" w:lineRule="auto"/>
                              <w:textDirection w:val="btLr"/>
                              <w:rPr>
                                <w:rFonts w:ascii="Tahoma" w:eastAsia="Tahoma" w:hAnsi="Tahoma" w:cs="Tahoma"/>
                                <w:b/>
                                <w:color w:val="234B7D"/>
                                <w:sz w:val="28"/>
                                <w:szCs w:val="28"/>
                              </w:rPr>
                            </w:pPr>
                          </w:p>
                          <w:p w14:paraId="64ACE45A" w14:textId="57C13027" w:rsidR="00CD0C1E" w:rsidRDefault="00CD0C1E">
                            <w:pPr>
                              <w:spacing w:line="258" w:lineRule="auto"/>
                              <w:textDirection w:val="btLr"/>
                              <w:rPr>
                                <w:rFonts w:ascii="Tahoma" w:eastAsia="Tahoma" w:hAnsi="Tahoma" w:cs="Tahoma"/>
                                <w:b/>
                                <w:color w:val="234B7D"/>
                              </w:rPr>
                            </w:pPr>
                          </w:p>
                          <w:p w14:paraId="296131BE" w14:textId="10BE1D3E" w:rsidR="00CD0C1E" w:rsidRDefault="00CD0C1E">
                            <w:pPr>
                              <w:spacing w:line="258" w:lineRule="auto"/>
                              <w:textDirection w:val="btLr"/>
                              <w:rPr>
                                <w:rFonts w:ascii="Tahoma" w:eastAsia="Tahoma" w:hAnsi="Tahoma" w:cs="Tahoma"/>
                                <w:b/>
                                <w:color w:val="234B7D"/>
                              </w:rPr>
                            </w:pPr>
                          </w:p>
                          <w:p w14:paraId="6FB923DB" w14:textId="77777777" w:rsidR="00CD0C1E" w:rsidRDefault="00CD0C1E">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79F4EBF" id="Rectangle 32" o:spid="_x0000_s1026" style="position:absolute;margin-left:-43.9pt;margin-top:128pt;width:544.8pt;height:445.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" filled="f" stroked="f">
                <v:textbox inset="2.53958mm,1.2694mm,2.53958mm,1.2694mm">
                  <w:txbxContent>
                    <w:p w14:paraId="06D2971F" w14:textId="77777777" w:rsidR="00CD0C1E" w:rsidRDefault="00CD0C1E">
                      <w:pPr>
                        <w:spacing w:after="160" w:line="258" w:lineRule="auto"/>
                        <w:textDirection w:val="btLr"/>
                      </w:pPr>
                      <w:r>
                        <w:rPr>
                          <w:rFonts w:ascii="Tahoma" w:eastAsia="Tahoma" w:hAnsi="Tahoma" w:cs="Tahoma"/>
                          <w:b/>
                          <w:color w:val="234B7D"/>
                          <w:sz w:val="40"/>
                        </w:rPr>
                        <w:t>TECHNICAL ASSISTANCE FOR PROMOTING</w:t>
                      </w:r>
                      <w:r>
                        <w:rPr>
                          <w:rFonts w:ascii="Tahoma" w:eastAsia="Tahoma" w:hAnsi="Tahoma" w:cs="Tahoma"/>
                          <w:b/>
                          <w:color w:val="234B7D"/>
                          <w:sz w:val="40"/>
                        </w:rPr>
                        <w:br/>
                        <w:t>DECENT FUTURE OF WORK APPROACH WITH</w:t>
                      </w:r>
                      <w:r>
                        <w:rPr>
                          <w:rFonts w:ascii="Tahoma" w:eastAsia="Tahoma" w:hAnsi="Tahoma" w:cs="Tahoma"/>
                          <w:b/>
                          <w:color w:val="234B7D"/>
                          <w:sz w:val="40"/>
                        </w:rPr>
                        <w:br/>
                        <w:t>A FOCUS ON GENDER EQUALITY</w:t>
                      </w:r>
                      <w:r>
                        <w:rPr>
                          <w:rFonts w:ascii="Tahoma" w:eastAsia="Tahoma" w:hAnsi="Tahoma" w:cs="Tahoma"/>
                          <w:b/>
                          <w:color w:val="234B7D"/>
                          <w:sz w:val="20"/>
                        </w:rPr>
                        <w:br/>
                      </w:r>
                      <w:r>
                        <w:rPr>
                          <w:rFonts w:ascii="Tahoma" w:eastAsia="Tahoma" w:hAnsi="Tahoma" w:cs="Tahoma"/>
                          <w:b/>
                          <w:color w:val="234B7D"/>
                          <w:sz w:val="20"/>
                        </w:rPr>
                        <w:br/>
                      </w:r>
                      <w:r>
                        <w:rPr>
                          <w:rFonts w:ascii="Tahoma" w:eastAsia="Tahoma" w:hAnsi="Tahoma" w:cs="Tahoma"/>
                          <w:b/>
                          <w:color w:val="234B7D"/>
                          <w:sz w:val="32"/>
                        </w:rPr>
                        <w:t>(TREESP1.3. FoW/P-01)</w:t>
                      </w:r>
                    </w:p>
                    <w:p w14:paraId="57FC32D6" w14:textId="3AF24AA7" w:rsidR="00CD0C1E" w:rsidRDefault="00CD0C1E">
                      <w:pPr>
                        <w:spacing w:after="160" w:line="258" w:lineRule="auto"/>
                        <w:textDirection w:val="btLr"/>
                        <w:rPr>
                          <w:rFonts w:ascii="Tahoma" w:eastAsia="Tahoma" w:hAnsi="Tahoma" w:cs="Tahoma"/>
                          <w:b/>
                          <w:color w:val="234B7D"/>
                          <w:sz w:val="32"/>
                        </w:rPr>
                      </w:pPr>
                      <w:r>
                        <w:rPr>
                          <w:rFonts w:ascii="Tahoma" w:eastAsia="Tahoma" w:hAnsi="Tahoma" w:cs="Tahoma"/>
                          <w:b/>
                          <w:color w:val="234B7D"/>
                          <w:sz w:val="32"/>
                        </w:rPr>
                        <w:t>TÜRKIYE</w:t>
                      </w:r>
                    </w:p>
                    <w:p w14:paraId="7C26CA39" w14:textId="7728D993" w:rsidR="00CD0C1E" w:rsidRDefault="00CD0C1E">
                      <w:pPr>
                        <w:spacing w:after="160" w:line="258" w:lineRule="auto"/>
                        <w:textDirection w:val="btLr"/>
                        <w:rPr>
                          <w:rFonts w:ascii="Tahoma" w:eastAsia="Tahoma" w:hAnsi="Tahoma" w:cs="Tahoma"/>
                          <w:b/>
                          <w:color w:val="234B7D"/>
                          <w:sz w:val="32"/>
                        </w:rPr>
                      </w:pPr>
                    </w:p>
                    <w:p w14:paraId="17C63DA1" w14:textId="77777777" w:rsidR="00CD0C1E" w:rsidRPr="004A2ED4" w:rsidRDefault="00CD0C1E" w:rsidP="00E8794B">
                      <w:pPr>
                        <w:spacing w:after="160" w:line="258" w:lineRule="auto"/>
                        <w:textDirection w:val="btLr"/>
                        <w:rPr>
                          <w:sz w:val="28"/>
                          <w:szCs w:val="28"/>
                        </w:rPr>
                      </w:pPr>
                      <w:r w:rsidRPr="004A2ED4">
                        <w:rPr>
                          <w:rFonts w:ascii="Tahoma" w:eastAsia="Tahoma" w:hAnsi="Tahoma" w:cs="Tahoma"/>
                          <w:b/>
                          <w:color w:val="234B7D"/>
                          <w:sz w:val="28"/>
                          <w:szCs w:val="28"/>
                        </w:rPr>
                        <w:t>CATEGORY 3: SCIENTIFIC AND TECHNICAL STUDIES</w:t>
                      </w:r>
                    </w:p>
                    <w:p w14:paraId="2B3717F1" w14:textId="5AC6ED7E" w:rsidR="00CD0C1E" w:rsidRDefault="00CD0C1E" w:rsidP="00E8794B">
                      <w:pPr>
                        <w:spacing w:line="258" w:lineRule="auto"/>
                        <w:textDirection w:val="btLr"/>
                        <w:rPr>
                          <w:rFonts w:ascii="Tahoma" w:eastAsia="Tahoma" w:hAnsi="Tahoma" w:cs="Tahoma"/>
                          <w:b/>
                          <w:color w:val="234B7D"/>
                          <w:sz w:val="28"/>
                          <w:szCs w:val="28"/>
                        </w:rPr>
                      </w:pPr>
                      <w:r w:rsidRPr="004A2ED4">
                        <w:rPr>
                          <w:rFonts w:ascii="Tahoma" w:eastAsia="Tahoma" w:hAnsi="Tahoma" w:cs="Tahoma"/>
                          <w:b/>
                          <w:color w:val="234B7D"/>
                          <w:sz w:val="28"/>
                          <w:szCs w:val="28"/>
                        </w:rPr>
                        <w:t>INTERVENTION 8: SECTOR STUDIES</w:t>
                      </w:r>
                    </w:p>
                    <w:p w14:paraId="1C91F223" w14:textId="2602E9C1" w:rsidR="00CD0C1E" w:rsidRDefault="00CD0C1E" w:rsidP="00E8794B">
                      <w:pPr>
                        <w:spacing w:line="258" w:lineRule="auto"/>
                        <w:textDirection w:val="btLr"/>
                        <w:rPr>
                          <w:rFonts w:ascii="Tahoma" w:eastAsia="Tahoma" w:hAnsi="Tahoma" w:cs="Tahoma"/>
                          <w:b/>
                          <w:color w:val="234B7D"/>
                          <w:sz w:val="28"/>
                          <w:szCs w:val="28"/>
                        </w:rPr>
                      </w:pPr>
                    </w:p>
                    <w:p w14:paraId="7F116E71" w14:textId="77777777" w:rsidR="00CD0C1E" w:rsidRPr="004A2ED4" w:rsidRDefault="00CD0C1E" w:rsidP="00E8794B">
                      <w:pPr>
                        <w:spacing w:line="258" w:lineRule="auto"/>
                        <w:textDirection w:val="btLr"/>
                        <w:rPr>
                          <w:sz w:val="32"/>
                          <w:szCs w:val="32"/>
                        </w:rPr>
                      </w:pPr>
                      <w:r w:rsidRPr="004A2ED4">
                        <w:rPr>
                          <w:rFonts w:ascii="Tahoma" w:eastAsia="Tahoma" w:hAnsi="Tahoma" w:cs="Tahoma"/>
                          <w:b/>
                          <w:color w:val="234B7D"/>
                          <w:sz w:val="32"/>
                          <w:szCs w:val="32"/>
                        </w:rPr>
                        <w:t>EXECUTIVE SUMMARY REPORT</w:t>
                      </w:r>
                      <w:r>
                        <w:rPr>
                          <w:rFonts w:ascii="Tahoma" w:eastAsia="Tahoma" w:hAnsi="Tahoma" w:cs="Tahoma"/>
                          <w:b/>
                          <w:color w:val="234B7D"/>
                          <w:sz w:val="32"/>
                          <w:szCs w:val="32"/>
                        </w:rPr>
                        <w:t xml:space="preserve"> </w:t>
                      </w:r>
                      <w:r w:rsidRPr="004A2ED4">
                        <w:rPr>
                          <w:rFonts w:ascii="Tahoma" w:eastAsia="Tahoma" w:hAnsi="Tahoma" w:cs="Tahoma"/>
                          <w:b/>
                          <w:color w:val="234B7D"/>
                          <w:sz w:val="32"/>
                          <w:szCs w:val="32"/>
                        </w:rPr>
                        <w:t>ON SECTOR STUDIES</w:t>
                      </w:r>
                    </w:p>
                    <w:p w14:paraId="752FD9C1" w14:textId="77777777" w:rsidR="00CD0C1E" w:rsidRDefault="00CD0C1E">
                      <w:pPr>
                        <w:spacing w:after="160" w:line="258" w:lineRule="auto"/>
                        <w:textDirection w:val="btLr"/>
                      </w:pPr>
                    </w:p>
                    <w:p w14:paraId="0480CB36" w14:textId="186581CA" w:rsidR="00CD0C1E" w:rsidRDefault="00CD0C1E">
                      <w:pPr>
                        <w:spacing w:after="160" w:line="258" w:lineRule="auto"/>
                        <w:textDirection w:val="btLr"/>
                        <w:rPr>
                          <w:rFonts w:ascii="Tahoma" w:eastAsia="Tahoma" w:hAnsi="Tahoma" w:cs="Tahoma"/>
                          <w:b/>
                          <w:color w:val="234B7D"/>
                        </w:rPr>
                      </w:pPr>
                    </w:p>
                    <w:p w14:paraId="0930E4B3" w14:textId="31C26D2F" w:rsidR="00CD0C1E" w:rsidRDefault="00CD0C1E">
                      <w:pPr>
                        <w:spacing w:after="160" w:line="258" w:lineRule="auto"/>
                        <w:textDirection w:val="btLr"/>
                        <w:rPr>
                          <w:rFonts w:ascii="Tahoma" w:eastAsia="Tahoma" w:hAnsi="Tahoma" w:cs="Tahoma"/>
                          <w:b/>
                          <w:color w:val="234B7D"/>
                        </w:rPr>
                      </w:pPr>
                    </w:p>
                    <w:p w14:paraId="0AE37886" w14:textId="77777777" w:rsidR="00CD0C1E" w:rsidRDefault="00CD0C1E">
                      <w:pPr>
                        <w:spacing w:after="160" w:line="258" w:lineRule="auto"/>
                        <w:textDirection w:val="btLr"/>
                        <w:rPr>
                          <w:rFonts w:ascii="Tahoma" w:eastAsia="Tahoma" w:hAnsi="Tahoma" w:cs="Tahoma"/>
                          <w:b/>
                          <w:color w:val="234B7D"/>
                        </w:rPr>
                      </w:pPr>
                    </w:p>
                    <w:p w14:paraId="7B38D659" w14:textId="77777777" w:rsidR="00CD0C1E" w:rsidRPr="004A2ED4" w:rsidRDefault="00CD0C1E">
                      <w:pPr>
                        <w:spacing w:line="258" w:lineRule="auto"/>
                        <w:textDirection w:val="btLr"/>
                        <w:rPr>
                          <w:rFonts w:ascii="Tahoma" w:eastAsia="Tahoma" w:hAnsi="Tahoma" w:cs="Tahoma"/>
                          <w:b/>
                          <w:color w:val="234B7D"/>
                          <w:sz w:val="28"/>
                          <w:szCs w:val="28"/>
                        </w:rPr>
                      </w:pPr>
                    </w:p>
                    <w:p w14:paraId="64ACE45A" w14:textId="57C13027" w:rsidR="00CD0C1E" w:rsidRDefault="00CD0C1E">
                      <w:pPr>
                        <w:spacing w:line="258" w:lineRule="auto"/>
                        <w:textDirection w:val="btLr"/>
                        <w:rPr>
                          <w:rFonts w:ascii="Tahoma" w:eastAsia="Tahoma" w:hAnsi="Tahoma" w:cs="Tahoma"/>
                          <w:b/>
                          <w:color w:val="234B7D"/>
                        </w:rPr>
                      </w:pPr>
                    </w:p>
                    <w:p w14:paraId="296131BE" w14:textId="10BE1D3E" w:rsidR="00CD0C1E" w:rsidRDefault="00CD0C1E">
                      <w:pPr>
                        <w:spacing w:line="258" w:lineRule="auto"/>
                        <w:textDirection w:val="btLr"/>
                        <w:rPr>
                          <w:rFonts w:ascii="Tahoma" w:eastAsia="Tahoma" w:hAnsi="Tahoma" w:cs="Tahoma"/>
                          <w:b/>
                          <w:color w:val="234B7D"/>
                        </w:rPr>
                      </w:pPr>
                    </w:p>
                    <w:p w14:paraId="6FB923DB" w14:textId="77777777" w:rsidR="00CD0C1E" w:rsidRDefault="00CD0C1E">
                      <w:pPr>
                        <w:spacing w:line="258" w:lineRule="auto"/>
                        <w:textDirection w:val="btLr"/>
                      </w:pPr>
                    </w:p>
                  </w:txbxContent>
                </v:textbox>
                <w10:wrap type="square"/>
              </v:rect>
            </w:pict>
          </mc:Fallback>
        </mc:AlternateContent>
      </w:r>
      <w:r w:rsidR="006A3AF5">
        <w:rPr>
          <w:noProof/>
          <w:sz w:val="22"/>
          <w:szCs w:val="22"/>
          <w:lang w:eastAsia="en-GB"/>
        </w:rPr>
        <w:drawing>
          <wp:anchor distT="0" distB="0" distL="0" distR="0" simplePos="0" relativeHeight="251660288" behindDoc="1" locked="0" layoutInCell="1" hidden="0" allowOverlap="1" wp14:anchorId="7534B897" wp14:editId="3793549A">
            <wp:simplePos x="0" y="0"/>
            <wp:positionH relativeFrom="margin">
              <wp:posOffset>-276340</wp:posOffset>
            </wp:positionH>
            <wp:positionV relativeFrom="bottomMargin">
              <wp:posOffset>-90054</wp:posOffset>
            </wp:positionV>
            <wp:extent cx="6479540" cy="644525"/>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479540" cy="644525"/>
                    </a:xfrm>
                    <a:prstGeom prst="rect">
                      <a:avLst/>
                    </a:prstGeom>
                    <a:ln/>
                  </pic:spPr>
                </pic:pic>
              </a:graphicData>
            </a:graphic>
          </wp:anchor>
        </w:drawing>
      </w:r>
      <w:r w:rsidR="006A3AF5">
        <w:br w:type="page"/>
      </w:r>
    </w:p>
    <w:p w14:paraId="7AE84E61" w14:textId="00E05B0B" w:rsidR="0015658F" w:rsidRPr="00F22636" w:rsidRDefault="006A3AF5" w:rsidP="00F22636">
      <w:pPr>
        <w:rPr>
          <w:b/>
          <w:sz w:val="22"/>
          <w:szCs w:val="22"/>
        </w:rPr>
      </w:pPr>
      <w:r>
        <w:rPr>
          <w:b/>
          <w:noProof/>
          <w:sz w:val="22"/>
          <w:szCs w:val="22"/>
          <w:lang w:eastAsia="en-GB"/>
        </w:rPr>
        <w:lastRenderedPageBreak/>
        <w:drawing>
          <wp:anchor distT="0" distB="0" distL="0" distR="0" simplePos="0" relativeHeight="251662336" behindDoc="1" locked="0" layoutInCell="1" hidden="0" allowOverlap="1" wp14:anchorId="61612C49" wp14:editId="67ECD305">
            <wp:simplePos x="0" y="0"/>
            <wp:positionH relativeFrom="page">
              <wp:posOffset>8890</wp:posOffset>
            </wp:positionH>
            <wp:positionV relativeFrom="page">
              <wp:align>bottom</wp:align>
            </wp:positionV>
            <wp:extent cx="7560000" cy="10699362"/>
            <wp:effectExtent l="0" t="0" r="0" b="0"/>
            <wp:wrapNone/>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7560000" cy="10699362"/>
                    </a:xfrm>
                    <a:prstGeom prst="rect">
                      <a:avLst/>
                    </a:prstGeom>
                    <a:ln/>
                  </pic:spPr>
                </pic:pic>
              </a:graphicData>
            </a:graphic>
          </wp:anchor>
        </w:drawing>
      </w:r>
      <w:r>
        <w:br w:type="page"/>
      </w:r>
      <w:bookmarkStart w:id="0" w:name="_heading=h.gjdgxs" w:colFirst="0" w:colLast="0"/>
      <w:bookmarkEnd w:id="0"/>
    </w:p>
    <w:p w14:paraId="3D13D1A7" w14:textId="77777777" w:rsidR="0015658F" w:rsidRDefault="0015658F">
      <w:pPr>
        <w:jc w:val="both"/>
        <w:rPr>
          <w:b/>
          <w:sz w:val="22"/>
          <w:szCs w:val="22"/>
        </w:rPr>
      </w:pPr>
    </w:p>
    <w:bookmarkStart w:id="1" w:name="_heading=h.30j0zll" w:colFirst="0" w:colLast="0" w:displacedByCustomXml="next"/>
    <w:bookmarkEnd w:id="1" w:displacedByCustomXml="next"/>
    <w:sdt>
      <w:sdtPr>
        <w:rPr>
          <w:rFonts w:ascii="Calibri" w:eastAsia="Calibri" w:hAnsi="Calibri" w:cs="Calibri"/>
          <w:color w:val="auto"/>
          <w:sz w:val="24"/>
          <w:szCs w:val="24"/>
          <w:lang w:val="en-GB"/>
        </w:rPr>
        <w:id w:val="-772477940"/>
        <w:docPartObj>
          <w:docPartGallery w:val="Table of Contents"/>
          <w:docPartUnique/>
        </w:docPartObj>
      </w:sdtPr>
      <w:sdtEndPr>
        <w:rPr>
          <w:b/>
          <w:bCs/>
          <w:noProof/>
        </w:rPr>
      </w:sdtEndPr>
      <w:sdtContent>
        <w:p w14:paraId="6F157FD2" w14:textId="3240AA0B" w:rsidR="00F22636" w:rsidRDefault="00EB3532">
          <w:pPr>
            <w:pStyle w:val="TOCHeading"/>
          </w:pPr>
          <w:r>
            <w:t xml:space="preserve">Table of </w:t>
          </w:r>
          <w:r w:rsidR="00F22636">
            <w:t>Contents</w:t>
          </w:r>
        </w:p>
        <w:p w14:paraId="1A2C39D4" w14:textId="0EB9D09A" w:rsidR="005C54FC" w:rsidRDefault="00F22636">
          <w:pPr>
            <w:pStyle w:val="TOC1"/>
            <w:rPr>
              <w:rFonts w:asciiTheme="minorHAnsi" w:eastAsiaTheme="minorEastAsia" w:hAnsiTheme="minorHAnsi" w:cstheme="minorBidi"/>
              <w:b w:val="0"/>
              <w:bCs w:val="0"/>
              <w:caps w:val="0"/>
              <w:lang w:val="en-US"/>
            </w:rPr>
          </w:pPr>
          <w:r>
            <w:fldChar w:fldCharType="begin"/>
          </w:r>
          <w:r>
            <w:instrText xml:space="preserve"> TOC \o "1-3" \h \z \u </w:instrText>
          </w:r>
          <w:r>
            <w:fldChar w:fldCharType="separate"/>
          </w:r>
          <w:hyperlink w:anchor="_Toc118366137" w:history="1">
            <w:r w:rsidR="005C54FC" w:rsidRPr="008240DC">
              <w:rPr>
                <w:rStyle w:val="Hyperlink"/>
              </w:rPr>
              <w:t>EXECUTIVE SUMMARY</w:t>
            </w:r>
            <w:r w:rsidR="005C54FC">
              <w:rPr>
                <w:webHidden/>
              </w:rPr>
              <w:tab/>
            </w:r>
            <w:r w:rsidR="005C54FC">
              <w:rPr>
                <w:webHidden/>
              </w:rPr>
              <w:fldChar w:fldCharType="begin"/>
            </w:r>
            <w:r w:rsidR="005C54FC">
              <w:rPr>
                <w:webHidden/>
              </w:rPr>
              <w:instrText xml:space="preserve"> PAGEREF _Toc118366137 \h </w:instrText>
            </w:r>
            <w:r w:rsidR="005C54FC">
              <w:rPr>
                <w:webHidden/>
              </w:rPr>
            </w:r>
            <w:r w:rsidR="005C54FC">
              <w:rPr>
                <w:webHidden/>
              </w:rPr>
              <w:fldChar w:fldCharType="separate"/>
            </w:r>
            <w:r w:rsidR="005C54FC">
              <w:rPr>
                <w:webHidden/>
              </w:rPr>
              <w:t>7</w:t>
            </w:r>
            <w:r w:rsidR="005C54FC">
              <w:rPr>
                <w:webHidden/>
              </w:rPr>
              <w:fldChar w:fldCharType="end"/>
            </w:r>
          </w:hyperlink>
        </w:p>
        <w:p w14:paraId="2DB326F9" w14:textId="618F3F85" w:rsidR="005C54FC" w:rsidRDefault="00CD0C1E">
          <w:pPr>
            <w:pStyle w:val="TOC1"/>
            <w:rPr>
              <w:rFonts w:asciiTheme="minorHAnsi" w:eastAsiaTheme="minorEastAsia" w:hAnsiTheme="minorHAnsi" w:cstheme="minorBidi"/>
              <w:b w:val="0"/>
              <w:bCs w:val="0"/>
              <w:caps w:val="0"/>
              <w:lang w:val="en-US"/>
            </w:rPr>
          </w:pPr>
          <w:hyperlink w:anchor="_Toc118366138" w:history="1">
            <w:r w:rsidR="005C54FC" w:rsidRPr="008240DC">
              <w:rPr>
                <w:rStyle w:val="Hyperlink"/>
              </w:rPr>
              <w:t>1. INTRODUCTION AND BACKGROUND OF THE STUDY</w:t>
            </w:r>
            <w:r w:rsidR="005C54FC">
              <w:rPr>
                <w:webHidden/>
              </w:rPr>
              <w:tab/>
            </w:r>
            <w:r w:rsidR="005C54FC">
              <w:rPr>
                <w:webHidden/>
              </w:rPr>
              <w:fldChar w:fldCharType="begin"/>
            </w:r>
            <w:r w:rsidR="005C54FC">
              <w:rPr>
                <w:webHidden/>
              </w:rPr>
              <w:instrText xml:space="preserve"> PAGEREF _Toc118366138 \h </w:instrText>
            </w:r>
            <w:r w:rsidR="005C54FC">
              <w:rPr>
                <w:webHidden/>
              </w:rPr>
            </w:r>
            <w:r w:rsidR="005C54FC">
              <w:rPr>
                <w:webHidden/>
              </w:rPr>
              <w:fldChar w:fldCharType="separate"/>
            </w:r>
            <w:r w:rsidR="005C54FC">
              <w:rPr>
                <w:webHidden/>
              </w:rPr>
              <w:t>9</w:t>
            </w:r>
            <w:r w:rsidR="005C54FC">
              <w:rPr>
                <w:webHidden/>
              </w:rPr>
              <w:fldChar w:fldCharType="end"/>
            </w:r>
          </w:hyperlink>
        </w:p>
        <w:p w14:paraId="4CEAF7B2" w14:textId="715BFE34" w:rsidR="005C54FC" w:rsidRDefault="00CD0C1E">
          <w:pPr>
            <w:pStyle w:val="TOC2"/>
            <w:rPr>
              <w:rFonts w:asciiTheme="minorHAnsi" w:eastAsiaTheme="minorEastAsia" w:hAnsiTheme="minorHAnsi" w:cstheme="minorBidi"/>
              <w:b w:val="0"/>
              <w:bCs w:val="0"/>
              <w:noProof/>
              <w:sz w:val="22"/>
              <w:szCs w:val="22"/>
              <w:lang w:val="en-US"/>
            </w:rPr>
          </w:pPr>
          <w:hyperlink w:anchor="_Toc118366139" w:history="1">
            <w:r w:rsidR="005C54FC" w:rsidRPr="008240DC">
              <w:rPr>
                <w:rStyle w:val="Hyperlink"/>
                <w:noProof/>
              </w:rPr>
              <w:t>1.1 Aim</w:t>
            </w:r>
            <w:r w:rsidR="005C54FC">
              <w:rPr>
                <w:noProof/>
                <w:webHidden/>
              </w:rPr>
              <w:tab/>
            </w:r>
            <w:r w:rsidR="005C54FC">
              <w:rPr>
                <w:noProof/>
                <w:webHidden/>
              </w:rPr>
              <w:fldChar w:fldCharType="begin"/>
            </w:r>
            <w:r w:rsidR="005C54FC">
              <w:rPr>
                <w:noProof/>
                <w:webHidden/>
              </w:rPr>
              <w:instrText xml:space="preserve"> PAGEREF _Toc118366139 \h </w:instrText>
            </w:r>
            <w:r w:rsidR="005C54FC">
              <w:rPr>
                <w:noProof/>
                <w:webHidden/>
              </w:rPr>
            </w:r>
            <w:r w:rsidR="005C54FC">
              <w:rPr>
                <w:noProof/>
                <w:webHidden/>
              </w:rPr>
              <w:fldChar w:fldCharType="separate"/>
            </w:r>
            <w:r w:rsidR="005C54FC">
              <w:rPr>
                <w:noProof/>
                <w:webHidden/>
              </w:rPr>
              <w:t>9</w:t>
            </w:r>
            <w:r w:rsidR="005C54FC">
              <w:rPr>
                <w:noProof/>
                <w:webHidden/>
              </w:rPr>
              <w:fldChar w:fldCharType="end"/>
            </w:r>
          </w:hyperlink>
        </w:p>
        <w:p w14:paraId="6D2D4E50" w14:textId="7DD9D4CA" w:rsidR="005C54FC" w:rsidRDefault="00CD0C1E">
          <w:pPr>
            <w:pStyle w:val="TOC2"/>
            <w:rPr>
              <w:rFonts w:asciiTheme="minorHAnsi" w:eastAsiaTheme="minorEastAsia" w:hAnsiTheme="minorHAnsi" w:cstheme="minorBidi"/>
              <w:b w:val="0"/>
              <w:bCs w:val="0"/>
              <w:noProof/>
              <w:sz w:val="22"/>
              <w:szCs w:val="22"/>
              <w:lang w:val="en-US"/>
            </w:rPr>
          </w:pPr>
          <w:hyperlink w:anchor="_Toc118366140" w:history="1">
            <w:r w:rsidR="005C54FC" w:rsidRPr="008240DC">
              <w:rPr>
                <w:rStyle w:val="Hyperlink"/>
                <w:noProof/>
              </w:rPr>
              <w:t>1.2 Scope</w:t>
            </w:r>
            <w:r w:rsidR="005C54FC">
              <w:rPr>
                <w:noProof/>
                <w:webHidden/>
              </w:rPr>
              <w:tab/>
            </w:r>
            <w:r w:rsidR="005C54FC">
              <w:rPr>
                <w:noProof/>
                <w:webHidden/>
              </w:rPr>
              <w:fldChar w:fldCharType="begin"/>
            </w:r>
            <w:r w:rsidR="005C54FC">
              <w:rPr>
                <w:noProof/>
                <w:webHidden/>
              </w:rPr>
              <w:instrText xml:space="preserve"> PAGEREF _Toc118366140 \h </w:instrText>
            </w:r>
            <w:r w:rsidR="005C54FC">
              <w:rPr>
                <w:noProof/>
                <w:webHidden/>
              </w:rPr>
            </w:r>
            <w:r w:rsidR="005C54FC">
              <w:rPr>
                <w:noProof/>
                <w:webHidden/>
              </w:rPr>
              <w:fldChar w:fldCharType="separate"/>
            </w:r>
            <w:r w:rsidR="005C54FC">
              <w:rPr>
                <w:noProof/>
                <w:webHidden/>
              </w:rPr>
              <w:t>9</w:t>
            </w:r>
            <w:r w:rsidR="005C54FC">
              <w:rPr>
                <w:noProof/>
                <w:webHidden/>
              </w:rPr>
              <w:fldChar w:fldCharType="end"/>
            </w:r>
          </w:hyperlink>
        </w:p>
        <w:p w14:paraId="7E224D6B" w14:textId="1150139B" w:rsidR="005C54FC" w:rsidRDefault="00CD0C1E">
          <w:pPr>
            <w:pStyle w:val="TOC2"/>
            <w:rPr>
              <w:rFonts w:asciiTheme="minorHAnsi" w:eastAsiaTheme="minorEastAsia" w:hAnsiTheme="minorHAnsi" w:cstheme="minorBidi"/>
              <w:b w:val="0"/>
              <w:bCs w:val="0"/>
              <w:noProof/>
              <w:sz w:val="22"/>
              <w:szCs w:val="22"/>
              <w:lang w:val="en-US"/>
            </w:rPr>
          </w:pPr>
          <w:hyperlink w:anchor="_Toc118366141" w:history="1">
            <w:r w:rsidR="005C54FC" w:rsidRPr="008240DC">
              <w:rPr>
                <w:rStyle w:val="Hyperlink"/>
                <w:noProof/>
              </w:rPr>
              <w:t>1.3 Commissioning the Work</w:t>
            </w:r>
            <w:r w:rsidR="005C54FC">
              <w:rPr>
                <w:noProof/>
                <w:webHidden/>
              </w:rPr>
              <w:tab/>
            </w:r>
            <w:r w:rsidR="005C54FC">
              <w:rPr>
                <w:noProof/>
                <w:webHidden/>
              </w:rPr>
              <w:fldChar w:fldCharType="begin"/>
            </w:r>
            <w:r w:rsidR="005C54FC">
              <w:rPr>
                <w:noProof/>
                <w:webHidden/>
              </w:rPr>
              <w:instrText xml:space="preserve"> PAGEREF _Toc118366141 \h </w:instrText>
            </w:r>
            <w:r w:rsidR="005C54FC">
              <w:rPr>
                <w:noProof/>
                <w:webHidden/>
              </w:rPr>
            </w:r>
            <w:r w:rsidR="005C54FC">
              <w:rPr>
                <w:noProof/>
                <w:webHidden/>
              </w:rPr>
              <w:fldChar w:fldCharType="separate"/>
            </w:r>
            <w:r w:rsidR="005C54FC">
              <w:rPr>
                <w:noProof/>
                <w:webHidden/>
              </w:rPr>
              <w:t>9</w:t>
            </w:r>
            <w:r w:rsidR="005C54FC">
              <w:rPr>
                <w:noProof/>
                <w:webHidden/>
              </w:rPr>
              <w:fldChar w:fldCharType="end"/>
            </w:r>
          </w:hyperlink>
        </w:p>
        <w:p w14:paraId="0500F38B" w14:textId="3B64F242" w:rsidR="005C54FC" w:rsidRDefault="00CD0C1E">
          <w:pPr>
            <w:pStyle w:val="TOC2"/>
            <w:rPr>
              <w:rFonts w:asciiTheme="minorHAnsi" w:eastAsiaTheme="minorEastAsia" w:hAnsiTheme="minorHAnsi" w:cstheme="minorBidi"/>
              <w:b w:val="0"/>
              <w:bCs w:val="0"/>
              <w:noProof/>
              <w:sz w:val="22"/>
              <w:szCs w:val="22"/>
              <w:lang w:val="en-US"/>
            </w:rPr>
          </w:pPr>
          <w:hyperlink w:anchor="_Toc118366142" w:history="1">
            <w:r w:rsidR="005C54FC" w:rsidRPr="008240DC">
              <w:rPr>
                <w:rStyle w:val="Hyperlink"/>
                <w:noProof/>
              </w:rPr>
              <w:t>1.4 Context and Focus</w:t>
            </w:r>
            <w:r w:rsidR="005C54FC">
              <w:rPr>
                <w:noProof/>
                <w:webHidden/>
              </w:rPr>
              <w:tab/>
            </w:r>
            <w:r w:rsidR="005C54FC">
              <w:rPr>
                <w:noProof/>
                <w:webHidden/>
              </w:rPr>
              <w:fldChar w:fldCharType="begin"/>
            </w:r>
            <w:r w:rsidR="005C54FC">
              <w:rPr>
                <w:noProof/>
                <w:webHidden/>
              </w:rPr>
              <w:instrText xml:space="preserve"> PAGEREF _Toc118366142 \h </w:instrText>
            </w:r>
            <w:r w:rsidR="005C54FC">
              <w:rPr>
                <w:noProof/>
                <w:webHidden/>
              </w:rPr>
            </w:r>
            <w:r w:rsidR="005C54FC">
              <w:rPr>
                <w:noProof/>
                <w:webHidden/>
              </w:rPr>
              <w:fldChar w:fldCharType="separate"/>
            </w:r>
            <w:r w:rsidR="005C54FC">
              <w:rPr>
                <w:noProof/>
                <w:webHidden/>
              </w:rPr>
              <w:t>9</w:t>
            </w:r>
            <w:r w:rsidR="005C54FC">
              <w:rPr>
                <w:noProof/>
                <w:webHidden/>
              </w:rPr>
              <w:fldChar w:fldCharType="end"/>
            </w:r>
          </w:hyperlink>
        </w:p>
        <w:p w14:paraId="108BBDBE" w14:textId="215AAFA0" w:rsidR="005C54FC" w:rsidRDefault="00CD0C1E">
          <w:pPr>
            <w:pStyle w:val="TOC1"/>
            <w:rPr>
              <w:rFonts w:asciiTheme="minorHAnsi" w:eastAsiaTheme="minorEastAsia" w:hAnsiTheme="minorHAnsi" w:cstheme="minorBidi"/>
              <w:b w:val="0"/>
              <w:bCs w:val="0"/>
              <w:caps w:val="0"/>
              <w:lang w:val="en-US"/>
            </w:rPr>
          </w:pPr>
          <w:hyperlink w:anchor="_Toc118366143" w:history="1">
            <w:r w:rsidR="005C54FC" w:rsidRPr="008240DC">
              <w:rPr>
                <w:rStyle w:val="Hyperlink"/>
              </w:rPr>
              <w:t>2. RESEARCH METHODOLOGY AND APPROACH</w:t>
            </w:r>
            <w:r w:rsidR="005C54FC">
              <w:rPr>
                <w:webHidden/>
              </w:rPr>
              <w:tab/>
            </w:r>
            <w:r w:rsidR="005C54FC">
              <w:rPr>
                <w:webHidden/>
              </w:rPr>
              <w:fldChar w:fldCharType="begin"/>
            </w:r>
            <w:r w:rsidR="005C54FC">
              <w:rPr>
                <w:webHidden/>
              </w:rPr>
              <w:instrText xml:space="preserve"> PAGEREF _Toc118366143 \h </w:instrText>
            </w:r>
            <w:r w:rsidR="005C54FC">
              <w:rPr>
                <w:webHidden/>
              </w:rPr>
            </w:r>
            <w:r w:rsidR="005C54FC">
              <w:rPr>
                <w:webHidden/>
              </w:rPr>
              <w:fldChar w:fldCharType="separate"/>
            </w:r>
            <w:r w:rsidR="005C54FC">
              <w:rPr>
                <w:webHidden/>
              </w:rPr>
              <w:t>10</w:t>
            </w:r>
            <w:r w:rsidR="005C54FC">
              <w:rPr>
                <w:webHidden/>
              </w:rPr>
              <w:fldChar w:fldCharType="end"/>
            </w:r>
          </w:hyperlink>
        </w:p>
        <w:p w14:paraId="5BFAD5DF" w14:textId="19F1AE69" w:rsidR="005C54FC" w:rsidRDefault="00CD0C1E">
          <w:pPr>
            <w:pStyle w:val="TOC2"/>
            <w:rPr>
              <w:rFonts w:asciiTheme="minorHAnsi" w:eastAsiaTheme="minorEastAsia" w:hAnsiTheme="minorHAnsi" w:cstheme="minorBidi"/>
              <w:b w:val="0"/>
              <w:bCs w:val="0"/>
              <w:noProof/>
              <w:sz w:val="22"/>
              <w:szCs w:val="22"/>
              <w:lang w:val="en-US"/>
            </w:rPr>
          </w:pPr>
          <w:hyperlink w:anchor="_Toc118366144" w:history="1">
            <w:r w:rsidR="005C54FC" w:rsidRPr="008240DC">
              <w:rPr>
                <w:rStyle w:val="Hyperlink"/>
                <w:noProof/>
              </w:rPr>
              <w:t>2.1 Outline Methodology</w:t>
            </w:r>
            <w:r w:rsidR="005C54FC">
              <w:rPr>
                <w:noProof/>
                <w:webHidden/>
              </w:rPr>
              <w:tab/>
            </w:r>
            <w:r w:rsidR="005C54FC">
              <w:rPr>
                <w:noProof/>
                <w:webHidden/>
              </w:rPr>
              <w:fldChar w:fldCharType="begin"/>
            </w:r>
            <w:r w:rsidR="005C54FC">
              <w:rPr>
                <w:noProof/>
                <w:webHidden/>
              </w:rPr>
              <w:instrText xml:space="preserve"> PAGEREF _Toc118366144 \h </w:instrText>
            </w:r>
            <w:r w:rsidR="005C54FC">
              <w:rPr>
                <w:noProof/>
                <w:webHidden/>
              </w:rPr>
            </w:r>
            <w:r w:rsidR="005C54FC">
              <w:rPr>
                <w:noProof/>
                <w:webHidden/>
              </w:rPr>
              <w:fldChar w:fldCharType="separate"/>
            </w:r>
            <w:r w:rsidR="005C54FC">
              <w:rPr>
                <w:noProof/>
                <w:webHidden/>
              </w:rPr>
              <w:t>10</w:t>
            </w:r>
            <w:r w:rsidR="005C54FC">
              <w:rPr>
                <w:noProof/>
                <w:webHidden/>
              </w:rPr>
              <w:fldChar w:fldCharType="end"/>
            </w:r>
          </w:hyperlink>
        </w:p>
        <w:p w14:paraId="40EBC087" w14:textId="6403AF9B" w:rsidR="005C54FC" w:rsidRDefault="00CD0C1E">
          <w:pPr>
            <w:pStyle w:val="TOC3"/>
            <w:tabs>
              <w:tab w:val="right" w:leader="dot" w:pos="9827"/>
            </w:tabs>
            <w:rPr>
              <w:rFonts w:asciiTheme="minorHAnsi" w:eastAsiaTheme="minorEastAsia" w:hAnsiTheme="minorHAnsi" w:cstheme="minorBidi"/>
              <w:noProof/>
              <w:sz w:val="22"/>
              <w:szCs w:val="22"/>
              <w:lang w:val="en-US"/>
            </w:rPr>
          </w:pPr>
          <w:hyperlink w:anchor="_Toc118366145" w:history="1">
            <w:r w:rsidR="005C54FC" w:rsidRPr="008240DC">
              <w:rPr>
                <w:rStyle w:val="Hyperlink"/>
                <w:noProof/>
              </w:rPr>
              <w:t>2.1.2 Desk Research (see Annex 1)</w:t>
            </w:r>
            <w:r w:rsidR="005C54FC">
              <w:rPr>
                <w:noProof/>
                <w:webHidden/>
              </w:rPr>
              <w:tab/>
            </w:r>
            <w:r w:rsidR="005C54FC">
              <w:rPr>
                <w:noProof/>
                <w:webHidden/>
              </w:rPr>
              <w:fldChar w:fldCharType="begin"/>
            </w:r>
            <w:r w:rsidR="005C54FC">
              <w:rPr>
                <w:noProof/>
                <w:webHidden/>
              </w:rPr>
              <w:instrText xml:space="preserve"> PAGEREF _Toc118366145 \h </w:instrText>
            </w:r>
            <w:r w:rsidR="005C54FC">
              <w:rPr>
                <w:noProof/>
                <w:webHidden/>
              </w:rPr>
            </w:r>
            <w:r w:rsidR="005C54FC">
              <w:rPr>
                <w:noProof/>
                <w:webHidden/>
              </w:rPr>
              <w:fldChar w:fldCharType="separate"/>
            </w:r>
            <w:r w:rsidR="005C54FC">
              <w:rPr>
                <w:noProof/>
                <w:webHidden/>
              </w:rPr>
              <w:t>10</w:t>
            </w:r>
            <w:r w:rsidR="005C54FC">
              <w:rPr>
                <w:noProof/>
                <w:webHidden/>
              </w:rPr>
              <w:fldChar w:fldCharType="end"/>
            </w:r>
          </w:hyperlink>
        </w:p>
        <w:p w14:paraId="2F45BFD4" w14:textId="435918AC" w:rsidR="005C54FC" w:rsidRDefault="00CD0C1E">
          <w:pPr>
            <w:pStyle w:val="TOC3"/>
            <w:tabs>
              <w:tab w:val="right" w:leader="dot" w:pos="9827"/>
            </w:tabs>
            <w:rPr>
              <w:rFonts w:asciiTheme="minorHAnsi" w:eastAsiaTheme="minorEastAsia" w:hAnsiTheme="minorHAnsi" w:cstheme="minorBidi"/>
              <w:noProof/>
              <w:sz w:val="22"/>
              <w:szCs w:val="22"/>
              <w:lang w:val="en-US"/>
            </w:rPr>
          </w:pPr>
          <w:hyperlink w:anchor="_Toc118366146" w:history="1">
            <w:r w:rsidR="005C54FC" w:rsidRPr="008240DC">
              <w:rPr>
                <w:rStyle w:val="Hyperlink"/>
                <w:noProof/>
              </w:rPr>
              <w:t>2.1.3 Structure of Desk Research Report</w:t>
            </w:r>
            <w:r w:rsidR="005C54FC">
              <w:rPr>
                <w:noProof/>
                <w:webHidden/>
              </w:rPr>
              <w:tab/>
            </w:r>
            <w:r w:rsidR="005C54FC">
              <w:rPr>
                <w:noProof/>
                <w:webHidden/>
              </w:rPr>
              <w:fldChar w:fldCharType="begin"/>
            </w:r>
            <w:r w:rsidR="005C54FC">
              <w:rPr>
                <w:noProof/>
                <w:webHidden/>
              </w:rPr>
              <w:instrText xml:space="preserve"> PAGEREF _Toc118366146 \h </w:instrText>
            </w:r>
            <w:r w:rsidR="005C54FC">
              <w:rPr>
                <w:noProof/>
                <w:webHidden/>
              </w:rPr>
            </w:r>
            <w:r w:rsidR="005C54FC">
              <w:rPr>
                <w:noProof/>
                <w:webHidden/>
              </w:rPr>
              <w:fldChar w:fldCharType="separate"/>
            </w:r>
            <w:r w:rsidR="005C54FC">
              <w:rPr>
                <w:noProof/>
                <w:webHidden/>
              </w:rPr>
              <w:t>10</w:t>
            </w:r>
            <w:r w:rsidR="005C54FC">
              <w:rPr>
                <w:noProof/>
                <w:webHidden/>
              </w:rPr>
              <w:fldChar w:fldCharType="end"/>
            </w:r>
          </w:hyperlink>
        </w:p>
        <w:p w14:paraId="21DCF81E" w14:textId="042F8F25" w:rsidR="005C54FC" w:rsidRDefault="00CD0C1E">
          <w:pPr>
            <w:pStyle w:val="TOC3"/>
            <w:tabs>
              <w:tab w:val="right" w:leader="dot" w:pos="9827"/>
            </w:tabs>
            <w:rPr>
              <w:rFonts w:asciiTheme="minorHAnsi" w:eastAsiaTheme="minorEastAsia" w:hAnsiTheme="minorHAnsi" w:cstheme="minorBidi"/>
              <w:noProof/>
              <w:sz w:val="22"/>
              <w:szCs w:val="22"/>
              <w:lang w:val="en-US"/>
            </w:rPr>
          </w:pPr>
          <w:hyperlink w:anchor="_Toc118366147" w:history="1">
            <w:r w:rsidR="005C54FC" w:rsidRPr="008240DC">
              <w:rPr>
                <w:rStyle w:val="Hyperlink"/>
                <w:noProof/>
              </w:rPr>
              <w:t>2.1.5 References Consulted for Desk Research</w:t>
            </w:r>
            <w:r w:rsidR="005C54FC">
              <w:rPr>
                <w:noProof/>
                <w:webHidden/>
              </w:rPr>
              <w:tab/>
            </w:r>
            <w:r w:rsidR="005C54FC">
              <w:rPr>
                <w:noProof/>
                <w:webHidden/>
              </w:rPr>
              <w:fldChar w:fldCharType="begin"/>
            </w:r>
            <w:r w:rsidR="005C54FC">
              <w:rPr>
                <w:noProof/>
                <w:webHidden/>
              </w:rPr>
              <w:instrText xml:space="preserve"> PAGEREF _Toc118366147 \h </w:instrText>
            </w:r>
            <w:r w:rsidR="005C54FC">
              <w:rPr>
                <w:noProof/>
                <w:webHidden/>
              </w:rPr>
            </w:r>
            <w:r w:rsidR="005C54FC">
              <w:rPr>
                <w:noProof/>
                <w:webHidden/>
              </w:rPr>
              <w:fldChar w:fldCharType="separate"/>
            </w:r>
            <w:r w:rsidR="005C54FC">
              <w:rPr>
                <w:noProof/>
                <w:webHidden/>
              </w:rPr>
              <w:t>11</w:t>
            </w:r>
            <w:r w:rsidR="005C54FC">
              <w:rPr>
                <w:noProof/>
                <w:webHidden/>
              </w:rPr>
              <w:fldChar w:fldCharType="end"/>
            </w:r>
          </w:hyperlink>
        </w:p>
        <w:p w14:paraId="3527510B" w14:textId="5C23E9D3" w:rsidR="005C54FC" w:rsidRDefault="00CD0C1E">
          <w:pPr>
            <w:pStyle w:val="TOC2"/>
            <w:rPr>
              <w:rFonts w:asciiTheme="minorHAnsi" w:eastAsiaTheme="minorEastAsia" w:hAnsiTheme="minorHAnsi" w:cstheme="minorBidi"/>
              <w:b w:val="0"/>
              <w:bCs w:val="0"/>
              <w:noProof/>
              <w:sz w:val="22"/>
              <w:szCs w:val="22"/>
              <w:lang w:val="en-US"/>
            </w:rPr>
          </w:pPr>
          <w:hyperlink w:anchor="_Toc118366148" w:history="1">
            <w:r w:rsidR="005C54FC" w:rsidRPr="008240DC">
              <w:rPr>
                <w:rStyle w:val="Hyperlink"/>
                <w:noProof/>
              </w:rPr>
              <w:t>2.2 SWOT Analysis Workshop (see Annex 2)</w:t>
            </w:r>
            <w:r w:rsidR="005C54FC">
              <w:rPr>
                <w:noProof/>
                <w:webHidden/>
              </w:rPr>
              <w:tab/>
            </w:r>
            <w:r w:rsidR="005C54FC">
              <w:rPr>
                <w:noProof/>
                <w:webHidden/>
              </w:rPr>
              <w:fldChar w:fldCharType="begin"/>
            </w:r>
            <w:r w:rsidR="005C54FC">
              <w:rPr>
                <w:noProof/>
                <w:webHidden/>
              </w:rPr>
              <w:instrText xml:space="preserve"> PAGEREF _Toc118366148 \h </w:instrText>
            </w:r>
            <w:r w:rsidR="005C54FC">
              <w:rPr>
                <w:noProof/>
                <w:webHidden/>
              </w:rPr>
            </w:r>
            <w:r w:rsidR="005C54FC">
              <w:rPr>
                <w:noProof/>
                <w:webHidden/>
              </w:rPr>
              <w:fldChar w:fldCharType="separate"/>
            </w:r>
            <w:r w:rsidR="005C54FC">
              <w:rPr>
                <w:noProof/>
                <w:webHidden/>
              </w:rPr>
              <w:t>11</w:t>
            </w:r>
            <w:r w:rsidR="005C54FC">
              <w:rPr>
                <w:noProof/>
                <w:webHidden/>
              </w:rPr>
              <w:fldChar w:fldCharType="end"/>
            </w:r>
          </w:hyperlink>
        </w:p>
        <w:p w14:paraId="405CEB0A" w14:textId="1892D082" w:rsidR="005C54FC" w:rsidRDefault="00CD0C1E">
          <w:pPr>
            <w:pStyle w:val="TOC3"/>
            <w:tabs>
              <w:tab w:val="right" w:leader="dot" w:pos="9827"/>
            </w:tabs>
            <w:rPr>
              <w:rFonts w:asciiTheme="minorHAnsi" w:eastAsiaTheme="minorEastAsia" w:hAnsiTheme="minorHAnsi" w:cstheme="minorBidi"/>
              <w:noProof/>
              <w:sz w:val="22"/>
              <w:szCs w:val="22"/>
              <w:lang w:val="en-US"/>
            </w:rPr>
          </w:pPr>
          <w:hyperlink w:anchor="_Toc118366149" w:history="1">
            <w:r w:rsidR="005C54FC" w:rsidRPr="008240DC">
              <w:rPr>
                <w:rStyle w:val="Hyperlink"/>
                <w:noProof/>
              </w:rPr>
              <w:t>2.2.3 Main Findings</w:t>
            </w:r>
            <w:r w:rsidR="005C54FC">
              <w:rPr>
                <w:noProof/>
                <w:webHidden/>
              </w:rPr>
              <w:tab/>
            </w:r>
            <w:r w:rsidR="005C54FC">
              <w:rPr>
                <w:noProof/>
                <w:webHidden/>
              </w:rPr>
              <w:fldChar w:fldCharType="begin"/>
            </w:r>
            <w:r w:rsidR="005C54FC">
              <w:rPr>
                <w:noProof/>
                <w:webHidden/>
              </w:rPr>
              <w:instrText xml:space="preserve"> PAGEREF _Toc118366149 \h </w:instrText>
            </w:r>
            <w:r w:rsidR="005C54FC">
              <w:rPr>
                <w:noProof/>
                <w:webHidden/>
              </w:rPr>
            </w:r>
            <w:r w:rsidR="005C54FC">
              <w:rPr>
                <w:noProof/>
                <w:webHidden/>
              </w:rPr>
              <w:fldChar w:fldCharType="separate"/>
            </w:r>
            <w:r w:rsidR="005C54FC">
              <w:rPr>
                <w:noProof/>
                <w:webHidden/>
              </w:rPr>
              <w:t>11</w:t>
            </w:r>
            <w:r w:rsidR="005C54FC">
              <w:rPr>
                <w:noProof/>
                <w:webHidden/>
              </w:rPr>
              <w:fldChar w:fldCharType="end"/>
            </w:r>
          </w:hyperlink>
        </w:p>
        <w:p w14:paraId="47B1A285" w14:textId="1F0C0E2D" w:rsidR="005C54FC" w:rsidRDefault="00CD0C1E">
          <w:pPr>
            <w:pStyle w:val="TOC2"/>
            <w:rPr>
              <w:rFonts w:asciiTheme="minorHAnsi" w:eastAsiaTheme="minorEastAsia" w:hAnsiTheme="minorHAnsi" w:cstheme="minorBidi"/>
              <w:b w:val="0"/>
              <w:bCs w:val="0"/>
              <w:noProof/>
              <w:sz w:val="22"/>
              <w:szCs w:val="22"/>
              <w:lang w:val="en-US"/>
            </w:rPr>
          </w:pPr>
          <w:hyperlink w:anchor="_Toc118366150" w:history="1">
            <w:r w:rsidR="005C54FC" w:rsidRPr="008240DC">
              <w:rPr>
                <w:rStyle w:val="Hyperlink"/>
                <w:noProof/>
              </w:rPr>
              <w:t>2.3 Pre-Study Workshop (see Annex 3)</w:t>
            </w:r>
            <w:r w:rsidR="005C54FC">
              <w:rPr>
                <w:noProof/>
                <w:webHidden/>
              </w:rPr>
              <w:tab/>
            </w:r>
            <w:r w:rsidR="005C54FC">
              <w:rPr>
                <w:noProof/>
                <w:webHidden/>
              </w:rPr>
              <w:fldChar w:fldCharType="begin"/>
            </w:r>
            <w:r w:rsidR="005C54FC">
              <w:rPr>
                <w:noProof/>
                <w:webHidden/>
              </w:rPr>
              <w:instrText xml:space="preserve"> PAGEREF _Toc118366150 \h </w:instrText>
            </w:r>
            <w:r w:rsidR="005C54FC">
              <w:rPr>
                <w:noProof/>
                <w:webHidden/>
              </w:rPr>
            </w:r>
            <w:r w:rsidR="005C54FC">
              <w:rPr>
                <w:noProof/>
                <w:webHidden/>
              </w:rPr>
              <w:fldChar w:fldCharType="separate"/>
            </w:r>
            <w:r w:rsidR="005C54FC">
              <w:rPr>
                <w:noProof/>
                <w:webHidden/>
              </w:rPr>
              <w:t>12</w:t>
            </w:r>
            <w:r w:rsidR="005C54FC">
              <w:rPr>
                <w:noProof/>
                <w:webHidden/>
              </w:rPr>
              <w:fldChar w:fldCharType="end"/>
            </w:r>
          </w:hyperlink>
        </w:p>
        <w:p w14:paraId="04B49186" w14:textId="058420AB" w:rsidR="005C54FC" w:rsidRDefault="00CD0C1E">
          <w:pPr>
            <w:pStyle w:val="TOC3"/>
            <w:tabs>
              <w:tab w:val="right" w:leader="dot" w:pos="9827"/>
            </w:tabs>
            <w:rPr>
              <w:rFonts w:asciiTheme="minorHAnsi" w:eastAsiaTheme="minorEastAsia" w:hAnsiTheme="minorHAnsi" w:cstheme="minorBidi"/>
              <w:noProof/>
              <w:sz w:val="22"/>
              <w:szCs w:val="22"/>
              <w:lang w:val="en-US"/>
            </w:rPr>
          </w:pPr>
          <w:hyperlink w:anchor="_Toc118366151" w:history="1">
            <w:r w:rsidR="005C54FC" w:rsidRPr="008240DC">
              <w:rPr>
                <w:rStyle w:val="Hyperlink"/>
                <w:noProof/>
              </w:rPr>
              <w:t>2.3.1 Workshop Structure</w:t>
            </w:r>
            <w:r w:rsidR="005C54FC">
              <w:rPr>
                <w:noProof/>
                <w:webHidden/>
              </w:rPr>
              <w:tab/>
            </w:r>
            <w:r w:rsidR="005C54FC">
              <w:rPr>
                <w:noProof/>
                <w:webHidden/>
              </w:rPr>
              <w:fldChar w:fldCharType="begin"/>
            </w:r>
            <w:r w:rsidR="005C54FC">
              <w:rPr>
                <w:noProof/>
                <w:webHidden/>
              </w:rPr>
              <w:instrText xml:space="preserve"> PAGEREF _Toc118366151 \h </w:instrText>
            </w:r>
            <w:r w:rsidR="005C54FC">
              <w:rPr>
                <w:noProof/>
                <w:webHidden/>
              </w:rPr>
            </w:r>
            <w:r w:rsidR="005C54FC">
              <w:rPr>
                <w:noProof/>
                <w:webHidden/>
              </w:rPr>
              <w:fldChar w:fldCharType="separate"/>
            </w:r>
            <w:r w:rsidR="005C54FC">
              <w:rPr>
                <w:noProof/>
                <w:webHidden/>
              </w:rPr>
              <w:t>12</w:t>
            </w:r>
            <w:r w:rsidR="005C54FC">
              <w:rPr>
                <w:noProof/>
                <w:webHidden/>
              </w:rPr>
              <w:fldChar w:fldCharType="end"/>
            </w:r>
          </w:hyperlink>
        </w:p>
        <w:p w14:paraId="1E3F86EA" w14:textId="1FC1D24C" w:rsidR="005C54FC" w:rsidRDefault="00CD0C1E">
          <w:pPr>
            <w:pStyle w:val="TOC2"/>
            <w:rPr>
              <w:rFonts w:asciiTheme="minorHAnsi" w:eastAsiaTheme="minorEastAsia" w:hAnsiTheme="minorHAnsi" w:cstheme="minorBidi"/>
              <w:b w:val="0"/>
              <w:bCs w:val="0"/>
              <w:noProof/>
              <w:sz w:val="22"/>
              <w:szCs w:val="22"/>
              <w:lang w:val="en-US"/>
            </w:rPr>
          </w:pPr>
          <w:hyperlink w:anchor="_Toc118366152" w:history="1">
            <w:r w:rsidR="005C54FC" w:rsidRPr="008240DC">
              <w:rPr>
                <w:rStyle w:val="Hyperlink"/>
                <w:noProof/>
              </w:rPr>
              <w:t>2.4 Field Research (see Annex 4)</w:t>
            </w:r>
            <w:r w:rsidR="005C54FC">
              <w:rPr>
                <w:noProof/>
                <w:webHidden/>
              </w:rPr>
              <w:tab/>
            </w:r>
            <w:r w:rsidR="005C54FC">
              <w:rPr>
                <w:noProof/>
                <w:webHidden/>
              </w:rPr>
              <w:fldChar w:fldCharType="begin"/>
            </w:r>
            <w:r w:rsidR="005C54FC">
              <w:rPr>
                <w:noProof/>
                <w:webHidden/>
              </w:rPr>
              <w:instrText xml:space="preserve"> PAGEREF _Toc118366152 \h </w:instrText>
            </w:r>
            <w:r w:rsidR="005C54FC">
              <w:rPr>
                <w:noProof/>
                <w:webHidden/>
              </w:rPr>
            </w:r>
            <w:r w:rsidR="005C54FC">
              <w:rPr>
                <w:noProof/>
                <w:webHidden/>
              </w:rPr>
              <w:fldChar w:fldCharType="separate"/>
            </w:r>
            <w:r w:rsidR="005C54FC">
              <w:rPr>
                <w:noProof/>
                <w:webHidden/>
              </w:rPr>
              <w:t>12</w:t>
            </w:r>
            <w:r w:rsidR="005C54FC">
              <w:rPr>
                <w:noProof/>
                <w:webHidden/>
              </w:rPr>
              <w:fldChar w:fldCharType="end"/>
            </w:r>
          </w:hyperlink>
        </w:p>
        <w:p w14:paraId="0627928F" w14:textId="5B31EA87" w:rsidR="005C54FC" w:rsidRDefault="00CD0C1E">
          <w:pPr>
            <w:pStyle w:val="TOC3"/>
            <w:tabs>
              <w:tab w:val="right" w:leader="dot" w:pos="9827"/>
            </w:tabs>
            <w:rPr>
              <w:rFonts w:asciiTheme="minorHAnsi" w:eastAsiaTheme="minorEastAsia" w:hAnsiTheme="minorHAnsi" w:cstheme="minorBidi"/>
              <w:noProof/>
              <w:sz w:val="22"/>
              <w:szCs w:val="22"/>
              <w:lang w:val="en-US"/>
            </w:rPr>
          </w:pPr>
          <w:hyperlink w:anchor="_Toc118366153" w:history="1">
            <w:r w:rsidR="005C54FC" w:rsidRPr="008240DC">
              <w:rPr>
                <w:rStyle w:val="Hyperlink"/>
                <w:noProof/>
              </w:rPr>
              <w:t>2.4.1 Methodology</w:t>
            </w:r>
            <w:r w:rsidR="005C54FC">
              <w:rPr>
                <w:noProof/>
                <w:webHidden/>
              </w:rPr>
              <w:tab/>
            </w:r>
            <w:r w:rsidR="005C54FC">
              <w:rPr>
                <w:noProof/>
                <w:webHidden/>
              </w:rPr>
              <w:fldChar w:fldCharType="begin"/>
            </w:r>
            <w:r w:rsidR="005C54FC">
              <w:rPr>
                <w:noProof/>
                <w:webHidden/>
              </w:rPr>
              <w:instrText xml:space="preserve"> PAGEREF _Toc118366153 \h </w:instrText>
            </w:r>
            <w:r w:rsidR="005C54FC">
              <w:rPr>
                <w:noProof/>
                <w:webHidden/>
              </w:rPr>
            </w:r>
            <w:r w:rsidR="005C54FC">
              <w:rPr>
                <w:noProof/>
                <w:webHidden/>
              </w:rPr>
              <w:fldChar w:fldCharType="separate"/>
            </w:r>
            <w:r w:rsidR="005C54FC">
              <w:rPr>
                <w:noProof/>
                <w:webHidden/>
              </w:rPr>
              <w:t>12</w:t>
            </w:r>
            <w:r w:rsidR="005C54FC">
              <w:rPr>
                <w:noProof/>
                <w:webHidden/>
              </w:rPr>
              <w:fldChar w:fldCharType="end"/>
            </w:r>
          </w:hyperlink>
        </w:p>
        <w:p w14:paraId="372E195E" w14:textId="535781C3" w:rsidR="005C54FC" w:rsidRDefault="00CD0C1E">
          <w:pPr>
            <w:pStyle w:val="TOC3"/>
            <w:tabs>
              <w:tab w:val="right" w:leader="dot" w:pos="9827"/>
            </w:tabs>
            <w:rPr>
              <w:rFonts w:asciiTheme="minorHAnsi" w:eastAsiaTheme="minorEastAsia" w:hAnsiTheme="minorHAnsi" w:cstheme="minorBidi"/>
              <w:noProof/>
              <w:sz w:val="22"/>
              <w:szCs w:val="22"/>
              <w:lang w:val="en-US"/>
            </w:rPr>
          </w:pPr>
          <w:hyperlink w:anchor="_Toc118366154" w:history="1">
            <w:r w:rsidR="005C54FC" w:rsidRPr="008240DC">
              <w:rPr>
                <w:rStyle w:val="Hyperlink"/>
                <w:noProof/>
              </w:rPr>
              <w:t>2.4.2 Focus of Questioning</w:t>
            </w:r>
            <w:r w:rsidR="005C54FC">
              <w:rPr>
                <w:noProof/>
                <w:webHidden/>
              </w:rPr>
              <w:tab/>
            </w:r>
            <w:r w:rsidR="005C54FC">
              <w:rPr>
                <w:noProof/>
                <w:webHidden/>
              </w:rPr>
              <w:fldChar w:fldCharType="begin"/>
            </w:r>
            <w:r w:rsidR="005C54FC">
              <w:rPr>
                <w:noProof/>
                <w:webHidden/>
              </w:rPr>
              <w:instrText xml:space="preserve"> PAGEREF _Toc118366154 \h </w:instrText>
            </w:r>
            <w:r w:rsidR="005C54FC">
              <w:rPr>
                <w:noProof/>
                <w:webHidden/>
              </w:rPr>
            </w:r>
            <w:r w:rsidR="005C54FC">
              <w:rPr>
                <w:noProof/>
                <w:webHidden/>
              </w:rPr>
              <w:fldChar w:fldCharType="separate"/>
            </w:r>
            <w:r w:rsidR="005C54FC">
              <w:rPr>
                <w:noProof/>
                <w:webHidden/>
              </w:rPr>
              <w:t>12</w:t>
            </w:r>
            <w:r w:rsidR="005C54FC">
              <w:rPr>
                <w:noProof/>
                <w:webHidden/>
              </w:rPr>
              <w:fldChar w:fldCharType="end"/>
            </w:r>
          </w:hyperlink>
        </w:p>
        <w:p w14:paraId="7E90056F" w14:textId="17FA1D3B" w:rsidR="005C54FC" w:rsidRDefault="00CD0C1E">
          <w:pPr>
            <w:pStyle w:val="TOC3"/>
            <w:tabs>
              <w:tab w:val="right" w:leader="dot" w:pos="9827"/>
            </w:tabs>
            <w:rPr>
              <w:rFonts w:asciiTheme="minorHAnsi" w:eastAsiaTheme="minorEastAsia" w:hAnsiTheme="minorHAnsi" w:cstheme="minorBidi"/>
              <w:noProof/>
              <w:sz w:val="22"/>
              <w:szCs w:val="22"/>
              <w:lang w:val="en-US"/>
            </w:rPr>
          </w:pPr>
          <w:hyperlink w:anchor="_Toc118366155" w:history="1">
            <w:r w:rsidR="005C54FC" w:rsidRPr="008240DC">
              <w:rPr>
                <w:rStyle w:val="Hyperlink"/>
                <w:noProof/>
              </w:rPr>
              <w:t>2.4.3 Data Analysis</w:t>
            </w:r>
            <w:r w:rsidR="005C54FC">
              <w:rPr>
                <w:noProof/>
                <w:webHidden/>
              </w:rPr>
              <w:tab/>
            </w:r>
            <w:r w:rsidR="005C54FC">
              <w:rPr>
                <w:noProof/>
                <w:webHidden/>
              </w:rPr>
              <w:fldChar w:fldCharType="begin"/>
            </w:r>
            <w:r w:rsidR="005C54FC">
              <w:rPr>
                <w:noProof/>
                <w:webHidden/>
              </w:rPr>
              <w:instrText xml:space="preserve"> PAGEREF _Toc118366155 \h </w:instrText>
            </w:r>
            <w:r w:rsidR="005C54FC">
              <w:rPr>
                <w:noProof/>
                <w:webHidden/>
              </w:rPr>
            </w:r>
            <w:r w:rsidR="005C54FC">
              <w:rPr>
                <w:noProof/>
                <w:webHidden/>
              </w:rPr>
              <w:fldChar w:fldCharType="separate"/>
            </w:r>
            <w:r w:rsidR="005C54FC">
              <w:rPr>
                <w:noProof/>
                <w:webHidden/>
              </w:rPr>
              <w:t>13</w:t>
            </w:r>
            <w:r w:rsidR="005C54FC">
              <w:rPr>
                <w:noProof/>
                <w:webHidden/>
              </w:rPr>
              <w:fldChar w:fldCharType="end"/>
            </w:r>
          </w:hyperlink>
        </w:p>
        <w:p w14:paraId="762D6ECE" w14:textId="774232BF" w:rsidR="005C54FC" w:rsidRDefault="00CD0C1E">
          <w:pPr>
            <w:pStyle w:val="TOC2"/>
            <w:rPr>
              <w:rFonts w:asciiTheme="minorHAnsi" w:eastAsiaTheme="minorEastAsia" w:hAnsiTheme="minorHAnsi" w:cstheme="minorBidi"/>
              <w:b w:val="0"/>
              <w:bCs w:val="0"/>
              <w:noProof/>
              <w:sz w:val="22"/>
              <w:szCs w:val="22"/>
              <w:lang w:val="en-US"/>
            </w:rPr>
          </w:pPr>
          <w:hyperlink w:anchor="_Toc118366156" w:history="1">
            <w:r w:rsidR="005C54FC" w:rsidRPr="008240DC">
              <w:rPr>
                <w:rStyle w:val="Hyperlink"/>
                <w:noProof/>
              </w:rPr>
              <w:t>2.5 Post-Study Workshop (see Annex 5)</w:t>
            </w:r>
            <w:r w:rsidR="005C54FC">
              <w:rPr>
                <w:noProof/>
                <w:webHidden/>
              </w:rPr>
              <w:tab/>
            </w:r>
            <w:r w:rsidR="005C54FC">
              <w:rPr>
                <w:noProof/>
                <w:webHidden/>
              </w:rPr>
              <w:fldChar w:fldCharType="begin"/>
            </w:r>
            <w:r w:rsidR="005C54FC">
              <w:rPr>
                <w:noProof/>
                <w:webHidden/>
              </w:rPr>
              <w:instrText xml:space="preserve"> PAGEREF _Toc118366156 \h </w:instrText>
            </w:r>
            <w:r w:rsidR="005C54FC">
              <w:rPr>
                <w:noProof/>
                <w:webHidden/>
              </w:rPr>
            </w:r>
            <w:r w:rsidR="005C54FC">
              <w:rPr>
                <w:noProof/>
                <w:webHidden/>
              </w:rPr>
              <w:fldChar w:fldCharType="separate"/>
            </w:r>
            <w:r w:rsidR="005C54FC">
              <w:rPr>
                <w:noProof/>
                <w:webHidden/>
              </w:rPr>
              <w:t>13</w:t>
            </w:r>
            <w:r w:rsidR="005C54FC">
              <w:rPr>
                <w:noProof/>
                <w:webHidden/>
              </w:rPr>
              <w:fldChar w:fldCharType="end"/>
            </w:r>
          </w:hyperlink>
        </w:p>
        <w:p w14:paraId="4800BBDD" w14:textId="7F1D0E76" w:rsidR="005C54FC" w:rsidRDefault="00CD0C1E">
          <w:pPr>
            <w:pStyle w:val="TOC3"/>
            <w:tabs>
              <w:tab w:val="right" w:leader="dot" w:pos="9827"/>
            </w:tabs>
            <w:rPr>
              <w:rFonts w:asciiTheme="minorHAnsi" w:eastAsiaTheme="minorEastAsia" w:hAnsiTheme="minorHAnsi" w:cstheme="minorBidi"/>
              <w:noProof/>
              <w:sz w:val="22"/>
              <w:szCs w:val="22"/>
              <w:lang w:val="en-US"/>
            </w:rPr>
          </w:pPr>
          <w:hyperlink w:anchor="_Toc118366157" w:history="1">
            <w:r w:rsidR="005C54FC" w:rsidRPr="008240DC">
              <w:rPr>
                <w:rStyle w:val="Hyperlink"/>
                <w:noProof/>
              </w:rPr>
              <w:t>2.5.1 Workshop Structure</w:t>
            </w:r>
            <w:r w:rsidR="005C54FC">
              <w:rPr>
                <w:noProof/>
                <w:webHidden/>
              </w:rPr>
              <w:tab/>
            </w:r>
            <w:r w:rsidR="005C54FC">
              <w:rPr>
                <w:noProof/>
                <w:webHidden/>
              </w:rPr>
              <w:fldChar w:fldCharType="begin"/>
            </w:r>
            <w:r w:rsidR="005C54FC">
              <w:rPr>
                <w:noProof/>
                <w:webHidden/>
              </w:rPr>
              <w:instrText xml:space="preserve"> PAGEREF _Toc118366157 \h </w:instrText>
            </w:r>
            <w:r w:rsidR="005C54FC">
              <w:rPr>
                <w:noProof/>
                <w:webHidden/>
              </w:rPr>
            </w:r>
            <w:r w:rsidR="005C54FC">
              <w:rPr>
                <w:noProof/>
                <w:webHidden/>
              </w:rPr>
              <w:fldChar w:fldCharType="separate"/>
            </w:r>
            <w:r w:rsidR="005C54FC">
              <w:rPr>
                <w:noProof/>
                <w:webHidden/>
              </w:rPr>
              <w:t>13</w:t>
            </w:r>
            <w:r w:rsidR="005C54FC">
              <w:rPr>
                <w:noProof/>
                <w:webHidden/>
              </w:rPr>
              <w:fldChar w:fldCharType="end"/>
            </w:r>
          </w:hyperlink>
        </w:p>
        <w:p w14:paraId="5F33DDD5" w14:textId="2E0A01E7" w:rsidR="005C54FC" w:rsidRDefault="00CD0C1E">
          <w:pPr>
            <w:pStyle w:val="TOC3"/>
            <w:tabs>
              <w:tab w:val="right" w:leader="dot" w:pos="9827"/>
            </w:tabs>
            <w:rPr>
              <w:rFonts w:asciiTheme="minorHAnsi" w:eastAsiaTheme="minorEastAsia" w:hAnsiTheme="minorHAnsi" w:cstheme="minorBidi"/>
              <w:noProof/>
              <w:sz w:val="22"/>
              <w:szCs w:val="22"/>
              <w:lang w:val="en-US"/>
            </w:rPr>
          </w:pPr>
          <w:hyperlink w:anchor="_Toc118366158" w:history="1">
            <w:r w:rsidR="005C54FC" w:rsidRPr="008240DC">
              <w:rPr>
                <w:rStyle w:val="Hyperlink"/>
                <w:noProof/>
              </w:rPr>
              <w:t>2.5.2 Summary of Key Findings</w:t>
            </w:r>
            <w:r w:rsidR="005C54FC">
              <w:rPr>
                <w:noProof/>
                <w:webHidden/>
              </w:rPr>
              <w:tab/>
            </w:r>
            <w:r w:rsidR="005C54FC">
              <w:rPr>
                <w:noProof/>
                <w:webHidden/>
              </w:rPr>
              <w:fldChar w:fldCharType="begin"/>
            </w:r>
            <w:r w:rsidR="005C54FC">
              <w:rPr>
                <w:noProof/>
                <w:webHidden/>
              </w:rPr>
              <w:instrText xml:space="preserve"> PAGEREF _Toc118366158 \h </w:instrText>
            </w:r>
            <w:r w:rsidR="005C54FC">
              <w:rPr>
                <w:noProof/>
                <w:webHidden/>
              </w:rPr>
            </w:r>
            <w:r w:rsidR="005C54FC">
              <w:rPr>
                <w:noProof/>
                <w:webHidden/>
              </w:rPr>
              <w:fldChar w:fldCharType="separate"/>
            </w:r>
            <w:r w:rsidR="005C54FC">
              <w:rPr>
                <w:noProof/>
                <w:webHidden/>
              </w:rPr>
              <w:t>13</w:t>
            </w:r>
            <w:r w:rsidR="005C54FC">
              <w:rPr>
                <w:noProof/>
                <w:webHidden/>
              </w:rPr>
              <w:fldChar w:fldCharType="end"/>
            </w:r>
          </w:hyperlink>
        </w:p>
        <w:p w14:paraId="63D21855" w14:textId="766D3F97" w:rsidR="005C54FC" w:rsidRDefault="00CD0C1E">
          <w:pPr>
            <w:pStyle w:val="TOC1"/>
            <w:rPr>
              <w:rFonts w:asciiTheme="minorHAnsi" w:eastAsiaTheme="minorEastAsia" w:hAnsiTheme="minorHAnsi" w:cstheme="minorBidi"/>
              <w:b w:val="0"/>
              <w:bCs w:val="0"/>
              <w:caps w:val="0"/>
              <w:lang w:val="en-US"/>
            </w:rPr>
          </w:pPr>
          <w:hyperlink w:anchor="_Toc118366159" w:history="1">
            <w:r w:rsidR="005C54FC" w:rsidRPr="008240DC">
              <w:rPr>
                <w:rStyle w:val="Hyperlink"/>
              </w:rPr>
              <w:t>3. RECOMMENDATIONS</w:t>
            </w:r>
            <w:r w:rsidR="005C54FC">
              <w:rPr>
                <w:webHidden/>
              </w:rPr>
              <w:tab/>
            </w:r>
            <w:r w:rsidR="005C54FC">
              <w:rPr>
                <w:webHidden/>
              </w:rPr>
              <w:fldChar w:fldCharType="begin"/>
            </w:r>
            <w:r w:rsidR="005C54FC">
              <w:rPr>
                <w:webHidden/>
              </w:rPr>
              <w:instrText xml:space="preserve"> PAGEREF _Toc118366159 \h </w:instrText>
            </w:r>
            <w:r w:rsidR="005C54FC">
              <w:rPr>
                <w:webHidden/>
              </w:rPr>
            </w:r>
            <w:r w:rsidR="005C54FC">
              <w:rPr>
                <w:webHidden/>
              </w:rPr>
              <w:fldChar w:fldCharType="separate"/>
            </w:r>
            <w:r w:rsidR="005C54FC">
              <w:rPr>
                <w:webHidden/>
              </w:rPr>
              <w:t>13</w:t>
            </w:r>
            <w:r w:rsidR="005C54FC">
              <w:rPr>
                <w:webHidden/>
              </w:rPr>
              <w:fldChar w:fldCharType="end"/>
            </w:r>
          </w:hyperlink>
        </w:p>
        <w:p w14:paraId="0DFC5A8F" w14:textId="131C1522" w:rsidR="005C54FC" w:rsidRDefault="00CD0C1E">
          <w:pPr>
            <w:pStyle w:val="TOC1"/>
            <w:rPr>
              <w:rFonts w:asciiTheme="minorHAnsi" w:eastAsiaTheme="minorEastAsia" w:hAnsiTheme="minorHAnsi" w:cstheme="minorBidi"/>
              <w:b w:val="0"/>
              <w:bCs w:val="0"/>
              <w:caps w:val="0"/>
              <w:lang w:val="en-US"/>
            </w:rPr>
          </w:pPr>
          <w:hyperlink w:anchor="_Toc118366160" w:history="1">
            <w:r w:rsidR="005C54FC" w:rsidRPr="008240DC">
              <w:rPr>
                <w:rStyle w:val="Hyperlink"/>
              </w:rPr>
              <w:t>3.1</w:t>
            </w:r>
            <w:r w:rsidR="005C54FC">
              <w:rPr>
                <w:rFonts w:asciiTheme="minorHAnsi" w:eastAsiaTheme="minorEastAsia" w:hAnsiTheme="minorHAnsi" w:cstheme="minorBidi"/>
                <w:b w:val="0"/>
                <w:bCs w:val="0"/>
                <w:caps w:val="0"/>
                <w:lang w:val="en-US"/>
              </w:rPr>
              <w:tab/>
            </w:r>
            <w:r w:rsidR="005C54FC" w:rsidRPr="008240DC">
              <w:rPr>
                <w:rStyle w:val="Hyperlink"/>
              </w:rPr>
              <w:t>. All sectors (Common)</w:t>
            </w:r>
            <w:r w:rsidR="005C54FC">
              <w:rPr>
                <w:webHidden/>
              </w:rPr>
              <w:tab/>
            </w:r>
            <w:r w:rsidR="005C54FC">
              <w:rPr>
                <w:webHidden/>
              </w:rPr>
              <w:fldChar w:fldCharType="begin"/>
            </w:r>
            <w:r w:rsidR="005C54FC">
              <w:rPr>
                <w:webHidden/>
              </w:rPr>
              <w:instrText xml:space="preserve"> PAGEREF _Toc118366160 \h </w:instrText>
            </w:r>
            <w:r w:rsidR="005C54FC">
              <w:rPr>
                <w:webHidden/>
              </w:rPr>
            </w:r>
            <w:r w:rsidR="005C54FC">
              <w:rPr>
                <w:webHidden/>
              </w:rPr>
              <w:fldChar w:fldCharType="separate"/>
            </w:r>
            <w:r w:rsidR="005C54FC">
              <w:rPr>
                <w:webHidden/>
              </w:rPr>
              <w:t>13</w:t>
            </w:r>
            <w:r w:rsidR="005C54FC">
              <w:rPr>
                <w:webHidden/>
              </w:rPr>
              <w:fldChar w:fldCharType="end"/>
            </w:r>
          </w:hyperlink>
        </w:p>
        <w:p w14:paraId="252AE616" w14:textId="3DCC53A6" w:rsidR="005C54FC" w:rsidRDefault="00CD0C1E">
          <w:pPr>
            <w:pStyle w:val="TOC1"/>
            <w:rPr>
              <w:rFonts w:asciiTheme="minorHAnsi" w:eastAsiaTheme="minorEastAsia" w:hAnsiTheme="minorHAnsi" w:cstheme="minorBidi"/>
              <w:b w:val="0"/>
              <w:bCs w:val="0"/>
              <w:caps w:val="0"/>
              <w:lang w:val="en-US"/>
            </w:rPr>
          </w:pPr>
          <w:hyperlink w:anchor="_Toc118366161" w:history="1">
            <w:r w:rsidR="005C54FC" w:rsidRPr="008240DC">
              <w:rPr>
                <w:rStyle w:val="Hyperlink"/>
              </w:rPr>
              <w:t>3.1</w:t>
            </w:r>
            <w:r w:rsidR="005C54FC">
              <w:rPr>
                <w:rFonts w:asciiTheme="minorHAnsi" w:eastAsiaTheme="minorEastAsia" w:hAnsiTheme="minorHAnsi" w:cstheme="minorBidi"/>
                <w:b w:val="0"/>
                <w:bCs w:val="0"/>
                <w:caps w:val="0"/>
                <w:lang w:val="en-US"/>
              </w:rPr>
              <w:tab/>
            </w:r>
            <w:r w:rsidR="005C54FC" w:rsidRPr="008240DC">
              <w:rPr>
                <w:rStyle w:val="Hyperlink"/>
              </w:rPr>
              <w:t>. Sector specific recommendations</w:t>
            </w:r>
            <w:r w:rsidR="005C54FC">
              <w:rPr>
                <w:webHidden/>
              </w:rPr>
              <w:tab/>
            </w:r>
            <w:r w:rsidR="005C54FC">
              <w:rPr>
                <w:webHidden/>
              </w:rPr>
              <w:fldChar w:fldCharType="begin"/>
            </w:r>
            <w:r w:rsidR="005C54FC">
              <w:rPr>
                <w:webHidden/>
              </w:rPr>
              <w:instrText xml:space="preserve"> PAGEREF _Toc118366161 \h </w:instrText>
            </w:r>
            <w:r w:rsidR="005C54FC">
              <w:rPr>
                <w:webHidden/>
              </w:rPr>
            </w:r>
            <w:r w:rsidR="005C54FC">
              <w:rPr>
                <w:webHidden/>
              </w:rPr>
              <w:fldChar w:fldCharType="separate"/>
            </w:r>
            <w:r w:rsidR="005C54FC">
              <w:rPr>
                <w:webHidden/>
              </w:rPr>
              <w:t>18</w:t>
            </w:r>
            <w:r w:rsidR="005C54FC">
              <w:rPr>
                <w:webHidden/>
              </w:rPr>
              <w:fldChar w:fldCharType="end"/>
            </w:r>
          </w:hyperlink>
        </w:p>
        <w:p w14:paraId="79C98E10" w14:textId="3D791859" w:rsidR="005C54FC" w:rsidRDefault="00CD0C1E">
          <w:pPr>
            <w:pStyle w:val="TOC1"/>
            <w:rPr>
              <w:rFonts w:asciiTheme="minorHAnsi" w:eastAsiaTheme="minorEastAsia" w:hAnsiTheme="minorHAnsi" w:cstheme="minorBidi"/>
              <w:b w:val="0"/>
              <w:bCs w:val="0"/>
              <w:caps w:val="0"/>
              <w:lang w:val="en-US"/>
            </w:rPr>
          </w:pPr>
          <w:hyperlink w:anchor="_Toc118366162" w:history="1">
            <w:r w:rsidR="005C54FC" w:rsidRPr="008240DC">
              <w:rPr>
                <w:rStyle w:val="Hyperlink"/>
              </w:rPr>
              <w:t>3.3.</w:t>
            </w:r>
            <w:r w:rsidR="005C54FC">
              <w:rPr>
                <w:rFonts w:asciiTheme="minorHAnsi" w:eastAsiaTheme="minorEastAsia" w:hAnsiTheme="minorHAnsi" w:cstheme="minorBidi"/>
                <w:b w:val="0"/>
                <w:bCs w:val="0"/>
                <w:caps w:val="0"/>
                <w:lang w:val="en-US"/>
              </w:rPr>
              <w:tab/>
            </w:r>
            <w:r w:rsidR="005C54FC" w:rsidRPr="008240DC">
              <w:rPr>
                <w:rStyle w:val="Hyperlink"/>
              </w:rPr>
              <w:t>Recommendations by sector experts</w:t>
            </w:r>
            <w:r w:rsidR="005C54FC">
              <w:rPr>
                <w:webHidden/>
              </w:rPr>
              <w:tab/>
            </w:r>
            <w:r w:rsidR="005C54FC">
              <w:rPr>
                <w:webHidden/>
              </w:rPr>
              <w:fldChar w:fldCharType="begin"/>
            </w:r>
            <w:r w:rsidR="005C54FC">
              <w:rPr>
                <w:webHidden/>
              </w:rPr>
              <w:instrText xml:space="preserve"> PAGEREF _Toc118366162 \h </w:instrText>
            </w:r>
            <w:r w:rsidR="005C54FC">
              <w:rPr>
                <w:webHidden/>
              </w:rPr>
            </w:r>
            <w:r w:rsidR="005C54FC">
              <w:rPr>
                <w:webHidden/>
              </w:rPr>
              <w:fldChar w:fldCharType="separate"/>
            </w:r>
            <w:r w:rsidR="005C54FC">
              <w:rPr>
                <w:webHidden/>
              </w:rPr>
              <w:t>19</w:t>
            </w:r>
            <w:r w:rsidR="005C54FC">
              <w:rPr>
                <w:webHidden/>
              </w:rPr>
              <w:fldChar w:fldCharType="end"/>
            </w:r>
          </w:hyperlink>
        </w:p>
        <w:p w14:paraId="445C053B" w14:textId="2A8F6104" w:rsidR="005C54FC" w:rsidRDefault="00CD0C1E">
          <w:pPr>
            <w:pStyle w:val="TOC1"/>
            <w:tabs>
              <w:tab w:val="left" w:pos="960"/>
            </w:tabs>
            <w:rPr>
              <w:rFonts w:asciiTheme="minorHAnsi" w:eastAsiaTheme="minorEastAsia" w:hAnsiTheme="minorHAnsi" w:cstheme="minorBidi"/>
              <w:b w:val="0"/>
              <w:bCs w:val="0"/>
              <w:caps w:val="0"/>
              <w:lang w:val="en-US"/>
            </w:rPr>
          </w:pPr>
          <w:hyperlink w:anchor="_Toc118366163" w:history="1">
            <w:r w:rsidR="005C54FC" w:rsidRPr="008240DC">
              <w:rPr>
                <w:rStyle w:val="Hyperlink"/>
              </w:rPr>
              <w:t>3.3.1.</w:t>
            </w:r>
            <w:r w:rsidR="005C54FC">
              <w:rPr>
                <w:rFonts w:asciiTheme="minorHAnsi" w:eastAsiaTheme="minorEastAsia" w:hAnsiTheme="minorHAnsi" w:cstheme="minorBidi"/>
                <w:b w:val="0"/>
                <w:bCs w:val="0"/>
                <w:caps w:val="0"/>
                <w:lang w:val="en-US"/>
              </w:rPr>
              <w:tab/>
            </w:r>
            <w:r w:rsidR="005C54FC" w:rsidRPr="008240DC">
              <w:rPr>
                <w:rStyle w:val="Hyperlink"/>
              </w:rPr>
              <w:t>Education</w:t>
            </w:r>
            <w:r w:rsidR="005C54FC">
              <w:rPr>
                <w:webHidden/>
              </w:rPr>
              <w:tab/>
            </w:r>
            <w:r w:rsidR="005C54FC">
              <w:rPr>
                <w:webHidden/>
              </w:rPr>
              <w:fldChar w:fldCharType="begin"/>
            </w:r>
            <w:r w:rsidR="005C54FC">
              <w:rPr>
                <w:webHidden/>
              </w:rPr>
              <w:instrText xml:space="preserve"> PAGEREF _Toc118366163 \h </w:instrText>
            </w:r>
            <w:r w:rsidR="005C54FC">
              <w:rPr>
                <w:webHidden/>
              </w:rPr>
            </w:r>
            <w:r w:rsidR="005C54FC">
              <w:rPr>
                <w:webHidden/>
              </w:rPr>
              <w:fldChar w:fldCharType="separate"/>
            </w:r>
            <w:r w:rsidR="005C54FC">
              <w:rPr>
                <w:webHidden/>
              </w:rPr>
              <w:t>19</w:t>
            </w:r>
            <w:r w:rsidR="005C54FC">
              <w:rPr>
                <w:webHidden/>
              </w:rPr>
              <w:fldChar w:fldCharType="end"/>
            </w:r>
          </w:hyperlink>
        </w:p>
        <w:p w14:paraId="1941875F" w14:textId="532BB243" w:rsidR="005C54FC" w:rsidRDefault="00CD0C1E">
          <w:pPr>
            <w:pStyle w:val="TOC1"/>
            <w:tabs>
              <w:tab w:val="left" w:pos="960"/>
            </w:tabs>
            <w:rPr>
              <w:rFonts w:asciiTheme="minorHAnsi" w:eastAsiaTheme="minorEastAsia" w:hAnsiTheme="minorHAnsi" w:cstheme="minorBidi"/>
              <w:b w:val="0"/>
              <w:bCs w:val="0"/>
              <w:caps w:val="0"/>
              <w:lang w:val="en-US"/>
            </w:rPr>
          </w:pPr>
          <w:hyperlink w:anchor="_Toc118366164" w:history="1">
            <w:r w:rsidR="005C54FC" w:rsidRPr="008240DC">
              <w:rPr>
                <w:rStyle w:val="Hyperlink"/>
              </w:rPr>
              <w:t>3.3.2.</w:t>
            </w:r>
            <w:r w:rsidR="005C54FC">
              <w:rPr>
                <w:rFonts w:asciiTheme="minorHAnsi" w:eastAsiaTheme="minorEastAsia" w:hAnsiTheme="minorHAnsi" w:cstheme="minorBidi"/>
                <w:b w:val="0"/>
                <w:bCs w:val="0"/>
                <w:caps w:val="0"/>
                <w:lang w:val="en-US"/>
              </w:rPr>
              <w:tab/>
            </w:r>
            <w:r w:rsidR="005C54FC" w:rsidRPr="008240DC">
              <w:rPr>
                <w:rStyle w:val="Hyperlink"/>
              </w:rPr>
              <w:t>Health</w:t>
            </w:r>
            <w:r w:rsidR="005C54FC">
              <w:rPr>
                <w:webHidden/>
              </w:rPr>
              <w:tab/>
            </w:r>
            <w:r w:rsidR="005C54FC">
              <w:rPr>
                <w:webHidden/>
              </w:rPr>
              <w:fldChar w:fldCharType="begin"/>
            </w:r>
            <w:r w:rsidR="005C54FC">
              <w:rPr>
                <w:webHidden/>
              </w:rPr>
              <w:instrText xml:space="preserve"> PAGEREF _Toc118366164 \h </w:instrText>
            </w:r>
            <w:r w:rsidR="005C54FC">
              <w:rPr>
                <w:webHidden/>
              </w:rPr>
            </w:r>
            <w:r w:rsidR="005C54FC">
              <w:rPr>
                <w:webHidden/>
              </w:rPr>
              <w:fldChar w:fldCharType="separate"/>
            </w:r>
            <w:r w:rsidR="005C54FC">
              <w:rPr>
                <w:webHidden/>
              </w:rPr>
              <w:t>20</w:t>
            </w:r>
            <w:r w:rsidR="005C54FC">
              <w:rPr>
                <w:webHidden/>
              </w:rPr>
              <w:fldChar w:fldCharType="end"/>
            </w:r>
          </w:hyperlink>
        </w:p>
        <w:p w14:paraId="01F30050" w14:textId="00248804" w:rsidR="005C54FC" w:rsidRDefault="00CD0C1E">
          <w:pPr>
            <w:pStyle w:val="TOC1"/>
            <w:tabs>
              <w:tab w:val="left" w:pos="960"/>
            </w:tabs>
            <w:rPr>
              <w:rFonts w:asciiTheme="minorHAnsi" w:eastAsiaTheme="minorEastAsia" w:hAnsiTheme="minorHAnsi" w:cstheme="minorBidi"/>
              <w:b w:val="0"/>
              <w:bCs w:val="0"/>
              <w:caps w:val="0"/>
              <w:lang w:val="en-US"/>
            </w:rPr>
          </w:pPr>
          <w:hyperlink w:anchor="_Toc118366165" w:history="1">
            <w:r w:rsidR="005C54FC" w:rsidRPr="008240DC">
              <w:rPr>
                <w:rStyle w:val="Hyperlink"/>
              </w:rPr>
              <w:t>3.3.3.</w:t>
            </w:r>
            <w:r w:rsidR="005C54FC">
              <w:rPr>
                <w:rFonts w:asciiTheme="minorHAnsi" w:eastAsiaTheme="minorEastAsia" w:hAnsiTheme="minorHAnsi" w:cstheme="minorBidi"/>
                <w:b w:val="0"/>
                <w:bCs w:val="0"/>
                <w:caps w:val="0"/>
                <w:lang w:val="en-US"/>
              </w:rPr>
              <w:tab/>
            </w:r>
            <w:r w:rsidR="005C54FC" w:rsidRPr="008240DC">
              <w:rPr>
                <w:rStyle w:val="Hyperlink"/>
              </w:rPr>
              <w:t>Energy</w:t>
            </w:r>
            <w:r w:rsidR="005C54FC">
              <w:rPr>
                <w:webHidden/>
              </w:rPr>
              <w:tab/>
            </w:r>
            <w:r w:rsidR="005C54FC">
              <w:rPr>
                <w:webHidden/>
              </w:rPr>
              <w:fldChar w:fldCharType="begin"/>
            </w:r>
            <w:r w:rsidR="005C54FC">
              <w:rPr>
                <w:webHidden/>
              </w:rPr>
              <w:instrText xml:space="preserve"> PAGEREF _Toc118366165 \h </w:instrText>
            </w:r>
            <w:r w:rsidR="005C54FC">
              <w:rPr>
                <w:webHidden/>
              </w:rPr>
            </w:r>
            <w:r w:rsidR="005C54FC">
              <w:rPr>
                <w:webHidden/>
              </w:rPr>
              <w:fldChar w:fldCharType="separate"/>
            </w:r>
            <w:r w:rsidR="005C54FC">
              <w:rPr>
                <w:webHidden/>
              </w:rPr>
              <w:t>20</w:t>
            </w:r>
            <w:r w:rsidR="005C54FC">
              <w:rPr>
                <w:webHidden/>
              </w:rPr>
              <w:fldChar w:fldCharType="end"/>
            </w:r>
          </w:hyperlink>
        </w:p>
        <w:p w14:paraId="625FA466" w14:textId="1E67017E" w:rsidR="005C54FC" w:rsidRDefault="00CD0C1E">
          <w:pPr>
            <w:pStyle w:val="TOC1"/>
            <w:tabs>
              <w:tab w:val="left" w:pos="960"/>
            </w:tabs>
            <w:rPr>
              <w:rFonts w:asciiTheme="minorHAnsi" w:eastAsiaTheme="minorEastAsia" w:hAnsiTheme="minorHAnsi" w:cstheme="minorBidi"/>
              <w:b w:val="0"/>
              <w:bCs w:val="0"/>
              <w:caps w:val="0"/>
              <w:lang w:val="en-US"/>
            </w:rPr>
          </w:pPr>
          <w:hyperlink w:anchor="_Toc118366166" w:history="1">
            <w:r w:rsidR="005C54FC" w:rsidRPr="008240DC">
              <w:rPr>
                <w:rStyle w:val="Hyperlink"/>
              </w:rPr>
              <w:t>3.3.4.</w:t>
            </w:r>
            <w:r w:rsidR="005C54FC">
              <w:rPr>
                <w:rFonts w:asciiTheme="minorHAnsi" w:eastAsiaTheme="minorEastAsia" w:hAnsiTheme="minorHAnsi" w:cstheme="minorBidi"/>
                <w:b w:val="0"/>
                <w:bCs w:val="0"/>
                <w:caps w:val="0"/>
                <w:lang w:val="en-US"/>
              </w:rPr>
              <w:tab/>
            </w:r>
            <w:r w:rsidR="005C54FC" w:rsidRPr="008240DC">
              <w:rPr>
                <w:rStyle w:val="Hyperlink"/>
              </w:rPr>
              <w:t>Finance and Banking</w:t>
            </w:r>
            <w:r w:rsidR="005C54FC">
              <w:rPr>
                <w:webHidden/>
              </w:rPr>
              <w:tab/>
            </w:r>
            <w:r w:rsidR="005C54FC">
              <w:rPr>
                <w:webHidden/>
              </w:rPr>
              <w:fldChar w:fldCharType="begin"/>
            </w:r>
            <w:r w:rsidR="005C54FC">
              <w:rPr>
                <w:webHidden/>
              </w:rPr>
              <w:instrText xml:space="preserve"> PAGEREF _Toc118366166 \h </w:instrText>
            </w:r>
            <w:r w:rsidR="005C54FC">
              <w:rPr>
                <w:webHidden/>
              </w:rPr>
            </w:r>
            <w:r w:rsidR="005C54FC">
              <w:rPr>
                <w:webHidden/>
              </w:rPr>
              <w:fldChar w:fldCharType="separate"/>
            </w:r>
            <w:r w:rsidR="005C54FC">
              <w:rPr>
                <w:webHidden/>
              </w:rPr>
              <w:t>20</w:t>
            </w:r>
            <w:r w:rsidR="005C54FC">
              <w:rPr>
                <w:webHidden/>
              </w:rPr>
              <w:fldChar w:fldCharType="end"/>
            </w:r>
          </w:hyperlink>
        </w:p>
        <w:p w14:paraId="0A32C4C3" w14:textId="4ACAEB84" w:rsidR="005C54FC" w:rsidRDefault="00CD0C1E">
          <w:pPr>
            <w:pStyle w:val="TOC1"/>
            <w:tabs>
              <w:tab w:val="left" w:pos="960"/>
            </w:tabs>
            <w:rPr>
              <w:rFonts w:asciiTheme="minorHAnsi" w:eastAsiaTheme="minorEastAsia" w:hAnsiTheme="minorHAnsi" w:cstheme="minorBidi"/>
              <w:b w:val="0"/>
              <w:bCs w:val="0"/>
              <w:caps w:val="0"/>
              <w:lang w:val="en-US"/>
            </w:rPr>
          </w:pPr>
          <w:hyperlink w:anchor="_Toc118366167" w:history="1">
            <w:r w:rsidR="005C54FC" w:rsidRPr="008240DC">
              <w:rPr>
                <w:rStyle w:val="Hyperlink"/>
              </w:rPr>
              <w:t>3.3.5.</w:t>
            </w:r>
            <w:r w:rsidR="005C54FC">
              <w:rPr>
                <w:rFonts w:asciiTheme="minorHAnsi" w:eastAsiaTheme="minorEastAsia" w:hAnsiTheme="minorHAnsi" w:cstheme="minorBidi"/>
                <w:b w:val="0"/>
                <w:bCs w:val="0"/>
                <w:caps w:val="0"/>
                <w:lang w:val="en-US"/>
              </w:rPr>
              <w:tab/>
            </w:r>
            <w:r w:rsidR="005C54FC" w:rsidRPr="008240DC">
              <w:rPr>
                <w:rStyle w:val="Hyperlink"/>
              </w:rPr>
              <w:t>ICT</w:t>
            </w:r>
            <w:r w:rsidR="005C54FC">
              <w:rPr>
                <w:webHidden/>
              </w:rPr>
              <w:tab/>
            </w:r>
            <w:r w:rsidR="005C54FC">
              <w:rPr>
                <w:webHidden/>
              </w:rPr>
              <w:fldChar w:fldCharType="begin"/>
            </w:r>
            <w:r w:rsidR="005C54FC">
              <w:rPr>
                <w:webHidden/>
              </w:rPr>
              <w:instrText xml:space="preserve"> PAGEREF _Toc118366167 \h </w:instrText>
            </w:r>
            <w:r w:rsidR="005C54FC">
              <w:rPr>
                <w:webHidden/>
              </w:rPr>
            </w:r>
            <w:r w:rsidR="005C54FC">
              <w:rPr>
                <w:webHidden/>
              </w:rPr>
              <w:fldChar w:fldCharType="separate"/>
            </w:r>
            <w:r w:rsidR="005C54FC">
              <w:rPr>
                <w:webHidden/>
              </w:rPr>
              <w:t>20</w:t>
            </w:r>
            <w:r w:rsidR="005C54FC">
              <w:rPr>
                <w:webHidden/>
              </w:rPr>
              <w:fldChar w:fldCharType="end"/>
            </w:r>
          </w:hyperlink>
        </w:p>
        <w:p w14:paraId="58B31FF1" w14:textId="034EFEA9" w:rsidR="005C54FC" w:rsidRDefault="00CD0C1E">
          <w:pPr>
            <w:pStyle w:val="TOC1"/>
            <w:rPr>
              <w:rFonts w:asciiTheme="minorHAnsi" w:eastAsiaTheme="minorEastAsia" w:hAnsiTheme="minorHAnsi" w:cstheme="minorBidi"/>
              <w:b w:val="0"/>
              <w:bCs w:val="0"/>
              <w:caps w:val="0"/>
              <w:lang w:val="en-US"/>
            </w:rPr>
          </w:pPr>
          <w:hyperlink w:anchor="_Toc118366168" w:history="1">
            <w:r w:rsidR="005C54FC" w:rsidRPr="008240DC">
              <w:rPr>
                <w:rStyle w:val="Hyperlink"/>
                <w:rFonts w:cs="Calibri"/>
              </w:rPr>
              <w:t>1.</w:t>
            </w:r>
            <w:r w:rsidR="005C54FC">
              <w:rPr>
                <w:rFonts w:asciiTheme="minorHAnsi" w:eastAsiaTheme="minorEastAsia" w:hAnsiTheme="minorHAnsi" w:cstheme="minorBidi"/>
                <w:b w:val="0"/>
                <w:bCs w:val="0"/>
                <w:caps w:val="0"/>
                <w:lang w:val="en-US"/>
              </w:rPr>
              <w:tab/>
            </w:r>
            <w:r w:rsidR="005C54FC" w:rsidRPr="008240DC">
              <w:rPr>
                <w:rStyle w:val="Hyperlink"/>
              </w:rPr>
              <w:t>CONCLUSIONS AND SECTORAL COMPARISONS</w:t>
            </w:r>
            <w:r w:rsidR="005C54FC">
              <w:rPr>
                <w:webHidden/>
              </w:rPr>
              <w:tab/>
            </w:r>
            <w:r w:rsidR="005C54FC">
              <w:rPr>
                <w:webHidden/>
              </w:rPr>
              <w:fldChar w:fldCharType="begin"/>
            </w:r>
            <w:r w:rsidR="005C54FC">
              <w:rPr>
                <w:webHidden/>
              </w:rPr>
              <w:instrText xml:space="preserve"> PAGEREF _Toc118366168 \h </w:instrText>
            </w:r>
            <w:r w:rsidR="005C54FC">
              <w:rPr>
                <w:webHidden/>
              </w:rPr>
            </w:r>
            <w:r w:rsidR="005C54FC">
              <w:rPr>
                <w:webHidden/>
              </w:rPr>
              <w:fldChar w:fldCharType="separate"/>
            </w:r>
            <w:r w:rsidR="005C54FC">
              <w:rPr>
                <w:webHidden/>
              </w:rPr>
              <w:t>21</w:t>
            </w:r>
            <w:r w:rsidR="005C54FC">
              <w:rPr>
                <w:webHidden/>
              </w:rPr>
              <w:fldChar w:fldCharType="end"/>
            </w:r>
          </w:hyperlink>
        </w:p>
        <w:p w14:paraId="6ADD35BE" w14:textId="0B624EF5" w:rsidR="005C54FC" w:rsidRDefault="00CD0C1E">
          <w:pPr>
            <w:pStyle w:val="TOC1"/>
            <w:rPr>
              <w:rFonts w:asciiTheme="minorHAnsi" w:eastAsiaTheme="minorEastAsia" w:hAnsiTheme="minorHAnsi" w:cstheme="minorBidi"/>
              <w:b w:val="0"/>
              <w:bCs w:val="0"/>
              <w:caps w:val="0"/>
              <w:lang w:val="en-US"/>
            </w:rPr>
          </w:pPr>
          <w:hyperlink w:anchor="_Toc118366169" w:history="1">
            <w:r w:rsidR="005C54FC" w:rsidRPr="008240DC">
              <w:rPr>
                <w:rStyle w:val="Hyperlink"/>
              </w:rPr>
              <w:t>4.1.</w:t>
            </w:r>
            <w:r w:rsidR="005C54FC">
              <w:rPr>
                <w:rFonts w:asciiTheme="minorHAnsi" w:eastAsiaTheme="minorEastAsia" w:hAnsiTheme="minorHAnsi" w:cstheme="minorBidi"/>
                <w:b w:val="0"/>
                <w:bCs w:val="0"/>
                <w:caps w:val="0"/>
                <w:lang w:val="en-US"/>
              </w:rPr>
              <w:tab/>
            </w:r>
            <w:r w:rsidR="005C54FC" w:rsidRPr="008240DC">
              <w:rPr>
                <w:rStyle w:val="Hyperlink"/>
              </w:rPr>
              <w:t>The decent future of work</w:t>
            </w:r>
            <w:r w:rsidR="005C54FC">
              <w:rPr>
                <w:webHidden/>
              </w:rPr>
              <w:tab/>
            </w:r>
            <w:r w:rsidR="005C54FC">
              <w:rPr>
                <w:webHidden/>
              </w:rPr>
              <w:fldChar w:fldCharType="begin"/>
            </w:r>
            <w:r w:rsidR="005C54FC">
              <w:rPr>
                <w:webHidden/>
              </w:rPr>
              <w:instrText xml:space="preserve"> PAGEREF _Toc118366169 \h </w:instrText>
            </w:r>
            <w:r w:rsidR="005C54FC">
              <w:rPr>
                <w:webHidden/>
              </w:rPr>
            </w:r>
            <w:r w:rsidR="005C54FC">
              <w:rPr>
                <w:webHidden/>
              </w:rPr>
              <w:fldChar w:fldCharType="separate"/>
            </w:r>
            <w:r w:rsidR="005C54FC">
              <w:rPr>
                <w:webHidden/>
              </w:rPr>
              <w:t>21</w:t>
            </w:r>
            <w:r w:rsidR="005C54FC">
              <w:rPr>
                <w:webHidden/>
              </w:rPr>
              <w:fldChar w:fldCharType="end"/>
            </w:r>
          </w:hyperlink>
        </w:p>
        <w:p w14:paraId="4363A805" w14:textId="7FCEA792" w:rsidR="005C54FC" w:rsidRDefault="00CD0C1E">
          <w:pPr>
            <w:pStyle w:val="TOC1"/>
            <w:rPr>
              <w:rFonts w:asciiTheme="minorHAnsi" w:eastAsiaTheme="minorEastAsia" w:hAnsiTheme="minorHAnsi" w:cstheme="minorBidi"/>
              <w:b w:val="0"/>
              <w:bCs w:val="0"/>
              <w:caps w:val="0"/>
              <w:lang w:val="en-US"/>
            </w:rPr>
          </w:pPr>
          <w:hyperlink w:anchor="_Toc118366170" w:history="1">
            <w:r w:rsidR="005C54FC" w:rsidRPr="008240DC">
              <w:rPr>
                <w:rStyle w:val="Hyperlink"/>
              </w:rPr>
              <w:t>4.2.</w:t>
            </w:r>
            <w:r w:rsidR="005C54FC">
              <w:rPr>
                <w:rFonts w:asciiTheme="minorHAnsi" w:eastAsiaTheme="minorEastAsia" w:hAnsiTheme="minorHAnsi" w:cstheme="minorBidi"/>
                <w:b w:val="0"/>
                <w:bCs w:val="0"/>
                <w:caps w:val="0"/>
                <w:lang w:val="en-US"/>
              </w:rPr>
              <w:tab/>
            </w:r>
            <w:r w:rsidR="005C54FC" w:rsidRPr="008240DC">
              <w:rPr>
                <w:rStyle w:val="Hyperlink"/>
              </w:rPr>
              <w:t>Digital technologies and compliance</w:t>
            </w:r>
            <w:r w:rsidR="005C54FC">
              <w:rPr>
                <w:webHidden/>
              </w:rPr>
              <w:tab/>
            </w:r>
            <w:r w:rsidR="005C54FC">
              <w:rPr>
                <w:webHidden/>
              </w:rPr>
              <w:fldChar w:fldCharType="begin"/>
            </w:r>
            <w:r w:rsidR="005C54FC">
              <w:rPr>
                <w:webHidden/>
              </w:rPr>
              <w:instrText xml:space="preserve"> PAGEREF _Toc118366170 \h </w:instrText>
            </w:r>
            <w:r w:rsidR="005C54FC">
              <w:rPr>
                <w:webHidden/>
              </w:rPr>
            </w:r>
            <w:r w:rsidR="005C54FC">
              <w:rPr>
                <w:webHidden/>
              </w:rPr>
              <w:fldChar w:fldCharType="separate"/>
            </w:r>
            <w:r w:rsidR="005C54FC">
              <w:rPr>
                <w:webHidden/>
              </w:rPr>
              <w:t>23</w:t>
            </w:r>
            <w:r w:rsidR="005C54FC">
              <w:rPr>
                <w:webHidden/>
              </w:rPr>
              <w:fldChar w:fldCharType="end"/>
            </w:r>
          </w:hyperlink>
        </w:p>
        <w:p w14:paraId="6131942B" w14:textId="5C06DDAC" w:rsidR="005C54FC" w:rsidRDefault="00CD0C1E">
          <w:pPr>
            <w:pStyle w:val="TOC1"/>
            <w:rPr>
              <w:rFonts w:asciiTheme="minorHAnsi" w:eastAsiaTheme="minorEastAsia" w:hAnsiTheme="minorHAnsi" w:cstheme="minorBidi"/>
              <w:b w:val="0"/>
              <w:bCs w:val="0"/>
              <w:caps w:val="0"/>
              <w:lang w:val="en-US"/>
            </w:rPr>
          </w:pPr>
          <w:hyperlink w:anchor="_Toc118366171" w:history="1">
            <w:r w:rsidR="005C54FC" w:rsidRPr="008240DC">
              <w:rPr>
                <w:rStyle w:val="Hyperlink"/>
              </w:rPr>
              <w:t>4.3.</w:t>
            </w:r>
            <w:r w:rsidR="005C54FC">
              <w:rPr>
                <w:rFonts w:asciiTheme="minorHAnsi" w:eastAsiaTheme="minorEastAsia" w:hAnsiTheme="minorHAnsi" w:cstheme="minorBidi"/>
                <w:b w:val="0"/>
                <w:bCs w:val="0"/>
                <w:caps w:val="0"/>
                <w:lang w:val="en-US"/>
              </w:rPr>
              <w:tab/>
            </w:r>
            <w:r w:rsidR="005C54FC" w:rsidRPr="008240DC">
              <w:rPr>
                <w:rStyle w:val="Hyperlink"/>
              </w:rPr>
              <w:t>Prominent professions, hard-to-fill positions, and lost professions in sectors</w:t>
            </w:r>
            <w:r w:rsidR="005C54FC">
              <w:rPr>
                <w:webHidden/>
              </w:rPr>
              <w:tab/>
            </w:r>
            <w:r w:rsidR="005C54FC">
              <w:rPr>
                <w:webHidden/>
              </w:rPr>
              <w:fldChar w:fldCharType="begin"/>
            </w:r>
            <w:r w:rsidR="005C54FC">
              <w:rPr>
                <w:webHidden/>
              </w:rPr>
              <w:instrText xml:space="preserve"> PAGEREF _Toc118366171 \h </w:instrText>
            </w:r>
            <w:r w:rsidR="005C54FC">
              <w:rPr>
                <w:webHidden/>
              </w:rPr>
            </w:r>
            <w:r w:rsidR="005C54FC">
              <w:rPr>
                <w:webHidden/>
              </w:rPr>
              <w:fldChar w:fldCharType="separate"/>
            </w:r>
            <w:r w:rsidR="005C54FC">
              <w:rPr>
                <w:webHidden/>
              </w:rPr>
              <w:t>24</w:t>
            </w:r>
            <w:r w:rsidR="005C54FC">
              <w:rPr>
                <w:webHidden/>
              </w:rPr>
              <w:fldChar w:fldCharType="end"/>
            </w:r>
          </w:hyperlink>
        </w:p>
        <w:p w14:paraId="460E12FB" w14:textId="39BBF168" w:rsidR="005C54FC" w:rsidRDefault="00CD0C1E">
          <w:pPr>
            <w:pStyle w:val="TOC1"/>
            <w:rPr>
              <w:rFonts w:asciiTheme="minorHAnsi" w:eastAsiaTheme="minorEastAsia" w:hAnsiTheme="minorHAnsi" w:cstheme="minorBidi"/>
              <w:b w:val="0"/>
              <w:bCs w:val="0"/>
              <w:caps w:val="0"/>
              <w:lang w:val="en-US"/>
            </w:rPr>
          </w:pPr>
          <w:hyperlink w:anchor="_Toc118366172" w:history="1">
            <w:r w:rsidR="005C54FC" w:rsidRPr="008240DC">
              <w:rPr>
                <w:rStyle w:val="Hyperlink"/>
              </w:rPr>
              <w:t>4.4.</w:t>
            </w:r>
            <w:r w:rsidR="005C54FC">
              <w:rPr>
                <w:rFonts w:asciiTheme="minorHAnsi" w:eastAsiaTheme="minorEastAsia" w:hAnsiTheme="minorHAnsi" w:cstheme="minorBidi"/>
                <w:b w:val="0"/>
                <w:bCs w:val="0"/>
                <w:caps w:val="0"/>
                <w:lang w:val="en-US"/>
              </w:rPr>
              <w:tab/>
            </w:r>
            <w:r w:rsidR="005C54FC" w:rsidRPr="008240DC">
              <w:rPr>
                <w:rStyle w:val="Hyperlink"/>
              </w:rPr>
              <w:t>Training, workforce development and upskilling for new technologies and digital adaptation</w:t>
            </w:r>
            <w:r w:rsidR="005C54FC">
              <w:rPr>
                <w:webHidden/>
              </w:rPr>
              <w:tab/>
            </w:r>
            <w:r w:rsidR="005C54FC">
              <w:rPr>
                <w:webHidden/>
              </w:rPr>
              <w:fldChar w:fldCharType="begin"/>
            </w:r>
            <w:r w:rsidR="005C54FC">
              <w:rPr>
                <w:webHidden/>
              </w:rPr>
              <w:instrText xml:space="preserve"> PAGEREF _Toc118366172 \h </w:instrText>
            </w:r>
            <w:r w:rsidR="005C54FC">
              <w:rPr>
                <w:webHidden/>
              </w:rPr>
            </w:r>
            <w:r w:rsidR="005C54FC">
              <w:rPr>
                <w:webHidden/>
              </w:rPr>
              <w:fldChar w:fldCharType="separate"/>
            </w:r>
            <w:r w:rsidR="005C54FC">
              <w:rPr>
                <w:webHidden/>
              </w:rPr>
              <w:t>27</w:t>
            </w:r>
            <w:r w:rsidR="005C54FC">
              <w:rPr>
                <w:webHidden/>
              </w:rPr>
              <w:fldChar w:fldCharType="end"/>
            </w:r>
          </w:hyperlink>
        </w:p>
        <w:p w14:paraId="24FB0D76" w14:textId="6514CE5A" w:rsidR="005C54FC" w:rsidRDefault="00CD0C1E">
          <w:pPr>
            <w:pStyle w:val="TOC1"/>
            <w:rPr>
              <w:rFonts w:asciiTheme="minorHAnsi" w:eastAsiaTheme="minorEastAsia" w:hAnsiTheme="minorHAnsi" w:cstheme="minorBidi"/>
              <w:b w:val="0"/>
              <w:bCs w:val="0"/>
              <w:caps w:val="0"/>
              <w:lang w:val="en-US"/>
            </w:rPr>
          </w:pPr>
          <w:hyperlink w:anchor="_Toc118366173" w:history="1">
            <w:r w:rsidR="005C54FC" w:rsidRPr="008240DC">
              <w:rPr>
                <w:rStyle w:val="Hyperlink"/>
              </w:rPr>
              <w:t>4.5.</w:t>
            </w:r>
            <w:r w:rsidR="005C54FC">
              <w:rPr>
                <w:rFonts w:asciiTheme="minorHAnsi" w:eastAsiaTheme="minorEastAsia" w:hAnsiTheme="minorHAnsi" w:cstheme="minorBidi"/>
                <w:b w:val="0"/>
                <w:bCs w:val="0"/>
                <w:caps w:val="0"/>
                <w:lang w:val="en-US"/>
              </w:rPr>
              <w:tab/>
            </w:r>
            <w:r w:rsidR="005C54FC" w:rsidRPr="008240DC">
              <w:rPr>
                <w:rStyle w:val="Hyperlink"/>
              </w:rPr>
              <w:t>Gender and disability perspective</w:t>
            </w:r>
            <w:r w:rsidR="005C54FC">
              <w:rPr>
                <w:webHidden/>
              </w:rPr>
              <w:tab/>
            </w:r>
            <w:r w:rsidR="005C54FC">
              <w:rPr>
                <w:webHidden/>
              </w:rPr>
              <w:fldChar w:fldCharType="begin"/>
            </w:r>
            <w:r w:rsidR="005C54FC">
              <w:rPr>
                <w:webHidden/>
              </w:rPr>
              <w:instrText xml:space="preserve"> PAGEREF _Toc118366173 \h </w:instrText>
            </w:r>
            <w:r w:rsidR="005C54FC">
              <w:rPr>
                <w:webHidden/>
              </w:rPr>
            </w:r>
            <w:r w:rsidR="005C54FC">
              <w:rPr>
                <w:webHidden/>
              </w:rPr>
              <w:fldChar w:fldCharType="separate"/>
            </w:r>
            <w:r w:rsidR="005C54FC">
              <w:rPr>
                <w:webHidden/>
              </w:rPr>
              <w:t>30</w:t>
            </w:r>
            <w:r w:rsidR="005C54FC">
              <w:rPr>
                <w:webHidden/>
              </w:rPr>
              <w:fldChar w:fldCharType="end"/>
            </w:r>
          </w:hyperlink>
        </w:p>
        <w:p w14:paraId="4E403F62" w14:textId="7B8075C5" w:rsidR="005C54FC" w:rsidRDefault="00CD0C1E">
          <w:pPr>
            <w:pStyle w:val="TOC1"/>
            <w:rPr>
              <w:rFonts w:asciiTheme="minorHAnsi" w:eastAsiaTheme="minorEastAsia" w:hAnsiTheme="minorHAnsi" w:cstheme="minorBidi"/>
              <w:b w:val="0"/>
              <w:bCs w:val="0"/>
              <w:caps w:val="0"/>
              <w:lang w:val="en-US"/>
            </w:rPr>
          </w:pPr>
          <w:hyperlink w:anchor="_Toc118366174" w:history="1">
            <w:r w:rsidR="005C54FC" w:rsidRPr="008240DC">
              <w:rPr>
                <w:rStyle w:val="Hyperlink"/>
              </w:rPr>
              <w:t>5. BIBLIOGRAPHY</w:t>
            </w:r>
            <w:r w:rsidR="005C54FC">
              <w:rPr>
                <w:webHidden/>
              </w:rPr>
              <w:tab/>
            </w:r>
            <w:r w:rsidR="005C54FC">
              <w:rPr>
                <w:webHidden/>
              </w:rPr>
              <w:fldChar w:fldCharType="begin"/>
            </w:r>
            <w:r w:rsidR="005C54FC">
              <w:rPr>
                <w:webHidden/>
              </w:rPr>
              <w:instrText xml:space="preserve"> PAGEREF _Toc118366174 \h </w:instrText>
            </w:r>
            <w:r w:rsidR="005C54FC">
              <w:rPr>
                <w:webHidden/>
              </w:rPr>
            </w:r>
            <w:r w:rsidR="005C54FC">
              <w:rPr>
                <w:webHidden/>
              </w:rPr>
              <w:fldChar w:fldCharType="separate"/>
            </w:r>
            <w:r w:rsidR="005C54FC">
              <w:rPr>
                <w:webHidden/>
              </w:rPr>
              <w:t>31</w:t>
            </w:r>
            <w:r w:rsidR="005C54FC">
              <w:rPr>
                <w:webHidden/>
              </w:rPr>
              <w:fldChar w:fldCharType="end"/>
            </w:r>
          </w:hyperlink>
        </w:p>
        <w:p w14:paraId="11CC7270" w14:textId="26331C34" w:rsidR="005C54FC" w:rsidRDefault="00CD0C1E">
          <w:pPr>
            <w:pStyle w:val="TOC2"/>
            <w:rPr>
              <w:rFonts w:asciiTheme="minorHAnsi" w:eastAsiaTheme="minorEastAsia" w:hAnsiTheme="minorHAnsi" w:cstheme="minorBidi"/>
              <w:b w:val="0"/>
              <w:bCs w:val="0"/>
              <w:noProof/>
              <w:sz w:val="22"/>
              <w:szCs w:val="22"/>
              <w:lang w:val="en-US"/>
            </w:rPr>
          </w:pPr>
          <w:hyperlink w:anchor="_Toc118366175" w:history="1">
            <w:r w:rsidR="005C54FC" w:rsidRPr="008240DC">
              <w:rPr>
                <w:rStyle w:val="Hyperlink"/>
                <w:noProof/>
              </w:rPr>
              <w:t>5.1 References Examined during Desk Research</w:t>
            </w:r>
            <w:r w:rsidR="005C54FC">
              <w:rPr>
                <w:noProof/>
                <w:webHidden/>
              </w:rPr>
              <w:tab/>
            </w:r>
            <w:r w:rsidR="005C54FC">
              <w:rPr>
                <w:noProof/>
                <w:webHidden/>
              </w:rPr>
              <w:fldChar w:fldCharType="begin"/>
            </w:r>
            <w:r w:rsidR="005C54FC">
              <w:rPr>
                <w:noProof/>
                <w:webHidden/>
              </w:rPr>
              <w:instrText xml:space="preserve"> PAGEREF _Toc118366175 \h </w:instrText>
            </w:r>
            <w:r w:rsidR="005C54FC">
              <w:rPr>
                <w:noProof/>
                <w:webHidden/>
              </w:rPr>
            </w:r>
            <w:r w:rsidR="005C54FC">
              <w:rPr>
                <w:noProof/>
                <w:webHidden/>
              </w:rPr>
              <w:fldChar w:fldCharType="separate"/>
            </w:r>
            <w:r w:rsidR="005C54FC">
              <w:rPr>
                <w:noProof/>
                <w:webHidden/>
              </w:rPr>
              <w:t>31</w:t>
            </w:r>
            <w:r w:rsidR="005C54FC">
              <w:rPr>
                <w:noProof/>
                <w:webHidden/>
              </w:rPr>
              <w:fldChar w:fldCharType="end"/>
            </w:r>
          </w:hyperlink>
        </w:p>
        <w:p w14:paraId="6B4EF260" w14:textId="566F99E4" w:rsidR="005C54FC" w:rsidRDefault="00CD0C1E">
          <w:pPr>
            <w:pStyle w:val="TOC2"/>
            <w:tabs>
              <w:tab w:val="left" w:pos="480"/>
            </w:tabs>
            <w:rPr>
              <w:rFonts w:asciiTheme="minorHAnsi" w:eastAsiaTheme="minorEastAsia" w:hAnsiTheme="minorHAnsi" w:cstheme="minorBidi"/>
              <w:b w:val="0"/>
              <w:bCs w:val="0"/>
              <w:noProof/>
              <w:sz w:val="22"/>
              <w:szCs w:val="22"/>
              <w:lang w:val="en-US"/>
            </w:rPr>
          </w:pPr>
          <w:hyperlink w:anchor="_Toc118366176" w:history="1">
            <w:r w:rsidR="005C54FC" w:rsidRPr="008240DC">
              <w:rPr>
                <w:rStyle w:val="Hyperlink"/>
                <w:noProof/>
              </w:rPr>
              <w:t>B.</w:t>
            </w:r>
            <w:r w:rsidR="005C54FC">
              <w:rPr>
                <w:rFonts w:asciiTheme="minorHAnsi" w:eastAsiaTheme="minorEastAsia" w:hAnsiTheme="minorHAnsi" w:cstheme="minorBidi"/>
                <w:b w:val="0"/>
                <w:bCs w:val="0"/>
                <w:noProof/>
                <w:sz w:val="22"/>
                <w:szCs w:val="22"/>
                <w:lang w:val="en-US"/>
              </w:rPr>
              <w:tab/>
            </w:r>
            <w:r w:rsidR="005C54FC" w:rsidRPr="008240DC">
              <w:rPr>
                <w:rStyle w:val="Hyperlink"/>
                <w:noProof/>
              </w:rPr>
              <w:t>Websites:</w:t>
            </w:r>
            <w:r w:rsidR="005C54FC">
              <w:rPr>
                <w:noProof/>
                <w:webHidden/>
              </w:rPr>
              <w:tab/>
            </w:r>
            <w:r w:rsidR="005C54FC">
              <w:rPr>
                <w:noProof/>
                <w:webHidden/>
              </w:rPr>
              <w:fldChar w:fldCharType="begin"/>
            </w:r>
            <w:r w:rsidR="005C54FC">
              <w:rPr>
                <w:noProof/>
                <w:webHidden/>
              </w:rPr>
              <w:instrText xml:space="preserve"> PAGEREF _Toc118366176 \h </w:instrText>
            </w:r>
            <w:r w:rsidR="005C54FC">
              <w:rPr>
                <w:noProof/>
                <w:webHidden/>
              </w:rPr>
            </w:r>
            <w:r w:rsidR="005C54FC">
              <w:rPr>
                <w:noProof/>
                <w:webHidden/>
              </w:rPr>
              <w:fldChar w:fldCharType="separate"/>
            </w:r>
            <w:r w:rsidR="005C54FC">
              <w:rPr>
                <w:noProof/>
                <w:webHidden/>
              </w:rPr>
              <w:t>33</w:t>
            </w:r>
            <w:r w:rsidR="005C54FC">
              <w:rPr>
                <w:noProof/>
                <w:webHidden/>
              </w:rPr>
              <w:fldChar w:fldCharType="end"/>
            </w:r>
          </w:hyperlink>
        </w:p>
        <w:p w14:paraId="4EB535D9" w14:textId="35B8A140" w:rsidR="005C54FC" w:rsidRDefault="00CD0C1E">
          <w:pPr>
            <w:pStyle w:val="TOC2"/>
            <w:tabs>
              <w:tab w:val="left" w:pos="480"/>
            </w:tabs>
            <w:rPr>
              <w:rFonts w:asciiTheme="minorHAnsi" w:eastAsiaTheme="minorEastAsia" w:hAnsiTheme="minorHAnsi" w:cstheme="minorBidi"/>
              <w:b w:val="0"/>
              <w:bCs w:val="0"/>
              <w:noProof/>
              <w:sz w:val="22"/>
              <w:szCs w:val="22"/>
              <w:lang w:val="en-US"/>
            </w:rPr>
          </w:pPr>
          <w:hyperlink w:anchor="_Toc118366177" w:history="1">
            <w:r w:rsidR="005C54FC" w:rsidRPr="008240DC">
              <w:rPr>
                <w:rStyle w:val="Hyperlink"/>
                <w:noProof/>
              </w:rPr>
              <w:t>B.</w:t>
            </w:r>
            <w:r w:rsidR="005C54FC">
              <w:rPr>
                <w:rFonts w:asciiTheme="minorHAnsi" w:eastAsiaTheme="minorEastAsia" w:hAnsiTheme="minorHAnsi" w:cstheme="minorBidi"/>
                <w:b w:val="0"/>
                <w:bCs w:val="0"/>
                <w:noProof/>
                <w:sz w:val="22"/>
                <w:szCs w:val="22"/>
                <w:lang w:val="en-US"/>
              </w:rPr>
              <w:tab/>
            </w:r>
            <w:r w:rsidR="005C54FC" w:rsidRPr="008240DC">
              <w:rPr>
                <w:rStyle w:val="Hyperlink"/>
                <w:noProof/>
              </w:rPr>
              <w:t>Websites:</w:t>
            </w:r>
            <w:r w:rsidR="005C54FC">
              <w:rPr>
                <w:noProof/>
                <w:webHidden/>
              </w:rPr>
              <w:tab/>
            </w:r>
            <w:r w:rsidR="005C54FC">
              <w:rPr>
                <w:noProof/>
                <w:webHidden/>
              </w:rPr>
              <w:fldChar w:fldCharType="begin"/>
            </w:r>
            <w:r w:rsidR="005C54FC">
              <w:rPr>
                <w:noProof/>
                <w:webHidden/>
              </w:rPr>
              <w:instrText xml:space="preserve"> PAGEREF _Toc118366177 \h </w:instrText>
            </w:r>
            <w:r w:rsidR="005C54FC">
              <w:rPr>
                <w:noProof/>
                <w:webHidden/>
              </w:rPr>
            </w:r>
            <w:r w:rsidR="005C54FC">
              <w:rPr>
                <w:noProof/>
                <w:webHidden/>
              </w:rPr>
              <w:fldChar w:fldCharType="separate"/>
            </w:r>
            <w:r w:rsidR="005C54FC">
              <w:rPr>
                <w:noProof/>
                <w:webHidden/>
              </w:rPr>
              <w:t>35</w:t>
            </w:r>
            <w:r w:rsidR="005C54FC">
              <w:rPr>
                <w:noProof/>
                <w:webHidden/>
              </w:rPr>
              <w:fldChar w:fldCharType="end"/>
            </w:r>
          </w:hyperlink>
        </w:p>
        <w:p w14:paraId="18DFB21B" w14:textId="7971BF1F" w:rsidR="005C54FC" w:rsidRDefault="00CD0C1E">
          <w:pPr>
            <w:pStyle w:val="TOC2"/>
            <w:tabs>
              <w:tab w:val="left" w:pos="480"/>
            </w:tabs>
            <w:rPr>
              <w:rFonts w:asciiTheme="minorHAnsi" w:eastAsiaTheme="minorEastAsia" w:hAnsiTheme="minorHAnsi" w:cstheme="minorBidi"/>
              <w:b w:val="0"/>
              <w:bCs w:val="0"/>
              <w:noProof/>
              <w:sz w:val="22"/>
              <w:szCs w:val="22"/>
              <w:lang w:val="en-US"/>
            </w:rPr>
          </w:pPr>
          <w:hyperlink w:anchor="_Toc118366178" w:history="1">
            <w:r w:rsidR="005C54FC" w:rsidRPr="008240DC">
              <w:rPr>
                <w:rStyle w:val="Hyperlink"/>
                <w:noProof/>
              </w:rPr>
              <w:t>B.</w:t>
            </w:r>
            <w:r w:rsidR="005C54FC">
              <w:rPr>
                <w:rFonts w:asciiTheme="minorHAnsi" w:eastAsiaTheme="minorEastAsia" w:hAnsiTheme="minorHAnsi" w:cstheme="minorBidi"/>
                <w:b w:val="0"/>
                <w:bCs w:val="0"/>
                <w:noProof/>
                <w:sz w:val="22"/>
                <w:szCs w:val="22"/>
                <w:lang w:val="en-US"/>
              </w:rPr>
              <w:tab/>
            </w:r>
            <w:r w:rsidR="005C54FC" w:rsidRPr="008240DC">
              <w:rPr>
                <w:rStyle w:val="Hyperlink"/>
                <w:noProof/>
              </w:rPr>
              <w:t>Websites:</w:t>
            </w:r>
            <w:r w:rsidR="005C54FC">
              <w:rPr>
                <w:noProof/>
                <w:webHidden/>
              </w:rPr>
              <w:tab/>
            </w:r>
            <w:r w:rsidR="005C54FC">
              <w:rPr>
                <w:noProof/>
                <w:webHidden/>
              </w:rPr>
              <w:fldChar w:fldCharType="begin"/>
            </w:r>
            <w:r w:rsidR="005C54FC">
              <w:rPr>
                <w:noProof/>
                <w:webHidden/>
              </w:rPr>
              <w:instrText xml:space="preserve"> PAGEREF _Toc118366178 \h </w:instrText>
            </w:r>
            <w:r w:rsidR="005C54FC">
              <w:rPr>
                <w:noProof/>
                <w:webHidden/>
              </w:rPr>
            </w:r>
            <w:r w:rsidR="005C54FC">
              <w:rPr>
                <w:noProof/>
                <w:webHidden/>
              </w:rPr>
              <w:fldChar w:fldCharType="separate"/>
            </w:r>
            <w:r w:rsidR="005C54FC">
              <w:rPr>
                <w:noProof/>
                <w:webHidden/>
              </w:rPr>
              <w:t>36</w:t>
            </w:r>
            <w:r w:rsidR="005C54FC">
              <w:rPr>
                <w:noProof/>
                <w:webHidden/>
              </w:rPr>
              <w:fldChar w:fldCharType="end"/>
            </w:r>
          </w:hyperlink>
        </w:p>
        <w:p w14:paraId="58C07B57" w14:textId="66396E98" w:rsidR="005C54FC" w:rsidRDefault="00CD0C1E">
          <w:pPr>
            <w:pStyle w:val="TOC2"/>
            <w:tabs>
              <w:tab w:val="left" w:pos="480"/>
            </w:tabs>
            <w:rPr>
              <w:rFonts w:asciiTheme="minorHAnsi" w:eastAsiaTheme="minorEastAsia" w:hAnsiTheme="minorHAnsi" w:cstheme="minorBidi"/>
              <w:b w:val="0"/>
              <w:bCs w:val="0"/>
              <w:noProof/>
              <w:sz w:val="22"/>
              <w:szCs w:val="22"/>
              <w:lang w:val="en-US"/>
            </w:rPr>
          </w:pPr>
          <w:hyperlink w:anchor="_Toc118366179" w:history="1">
            <w:r w:rsidR="005C54FC" w:rsidRPr="008240DC">
              <w:rPr>
                <w:rStyle w:val="Hyperlink"/>
                <w:noProof/>
              </w:rPr>
              <w:t>B.</w:t>
            </w:r>
            <w:r w:rsidR="005C54FC">
              <w:rPr>
                <w:rFonts w:asciiTheme="minorHAnsi" w:eastAsiaTheme="minorEastAsia" w:hAnsiTheme="minorHAnsi" w:cstheme="minorBidi"/>
                <w:b w:val="0"/>
                <w:bCs w:val="0"/>
                <w:noProof/>
                <w:sz w:val="22"/>
                <w:szCs w:val="22"/>
                <w:lang w:val="en-US"/>
              </w:rPr>
              <w:tab/>
            </w:r>
            <w:r w:rsidR="005C54FC" w:rsidRPr="008240DC">
              <w:rPr>
                <w:rStyle w:val="Hyperlink"/>
                <w:noProof/>
              </w:rPr>
              <w:t>Websites:</w:t>
            </w:r>
            <w:r w:rsidR="005C54FC">
              <w:rPr>
                <w:noProof/>
                <w:webHidden/>
              </w:rPr>
              <w:tab/>
            </w:r>
            <w:r w:rsidR="005C54FC">
              <w:rPr>
                <w:noProof/>
                <w:webHidden/>
              </w:rPr>
              <w:fldChar w:fldCharType="begin"/>
            </w:r>
            <w:r w:rsidR="005C54FC">
              <w:rPr>
                <w:noProof/>
                <w:webHidden/>
              </w:rPr>
              <w:instrText xml:space="preserve"> PAGEREF _Toc118366179 \h </w:instrText>
            </w:r>
            <w:r w:rsidR="005C54FC">
              <w:rPr>
                <w:noProof/>
                <w:webHidden/>
              </w:rPr>
            </w:r>
            <w:r w:rsidR="005C54FC">
              <w:rPr>
                <w:noProof/>
                <w:webHidden/>
              </w:rPr>
              <w:fldChar w:fldCharType="separate"/>
            </w:r>
            <w:r w:rsidR="005C54FC">
              <w:rPr>
                <w:noProof/>
                <w:webHidden/>
              </w:rPr>
              <w:t>38</w:t>
            </w:r>
            <w:r w:rsidR="005C54FC">
              <w:rPr>
                <w:noProof/>
                <w:webHidden/>
              </w:rPr>
              <w:fldChar w:fldCharType="end"/>
            </w:r>
          </w:hyperlink>
        </w:p>
        <w:p w14:paraId="6B48A806" w14:textId="7975DC91" w:rsidR="005C54FC" w:rsidRDefault="00CD0C1E">
          <w:pPr>
            <w:pStyle w:val="TOC2"/>
            <w:tabs>
              <w:tab w:val="left" w:pos="480"/>
            </w:tabs>
            <w:rPr>
              <w:rFonts w:asciiTheme="minorHAnsi" w:eastAsiaTheme="minorEastAsia" w:hAnsiTheme="minorHAnsi" w:cstheme="minorBidi"/>
              <w:b w:val="0"/>
              <w:bCs w:val="0"/>
              <w:noProof/>
              <w:sz w:val="22"/>
              <w:szCs w:val="22"/>
              <w:lang w:val="en-US"/>
            </w:rPr>
          </w:pPr>
          <w:hyperlink w:anchor="_Toc118366180" w:history="1">
            <w:r w:rsidR="005C54FC" w:rsidRPr="008240DC">
              <w:rPr>
                <w:rStyle w:val="Hyperlink"/>
                <w:noProof/>
              </w:rPr>
              <w:t>A.</w:t>
            </w:r>
            <w:r w:rsidR="005C54FC">
              <w:rPr>
                <w:rFonts w:asciiTheme="minorHAnsi" w:eastAsiaTheme="minorEastAsia" w:hAnsiTheme="minorHAnsi" w:cstheme="minorBidi"/>
                <w:b w:val="0"/>
                <w:bCs w:val="0"/>
                <w:noProof/>
                <w:sz w:val="22"/>
                <w:szCs w:val="22"/>
                <w:lang w:val="en-US"/>
              </w:rPr>
              <w:tab/>
            </w:r>
            <w:r w:rsidR="005C54FC" w:rsidRPr="008240DC">
              <w:rPr>
                <w:rStyle w:val="Hyperlink"/>
                <w:noProof/>
              </w:rPr>
              <w:t>Resources</w:t>
            </w:r>
            <w:r w:rsidR="005C54FC">
              <w:rPr>
                <w:noProof/>
                <w:webHidden/>
              </w:rPr>
              <w:tab/>
            </w:r>
            <w:r w:rsidR="005C54FC">
              <w:rPr>
                <w:noProof/>
                <w:webHidden/>
              </w:rPr>
              <w:fldChar w:fldCharType="begin"/>
            </w:r>
            <w:r w:rsidR="005C54FC">
              <w:rPr>
                <w:noProof/>
                <w:webHidden/>
              </w:rPr>
              <w:instrText xml:space="preserve"> PAGEREF _Toc118366180 \h </w:instrText>
            </w:r>
            <w:r w:rsidR="005C54FC">
              <w:rPr>
                <w:noProof/>
                <w:webHidden/>
              </w:rPr>
            </w:r>
            <w:r w:rsidR="005C54FC">
              <w:rPr>
                <w:noProof/>
                <w:webHidden/>
              </w:rPr>
              <w:fldChar w:fldCharType="separate"/>
            </w:r>
            <w:r w:rsidR="005C54FC">
              <w:rPr>
                <w:noProof/>
                <w:webHidden/>
              </w:rPr>
              <w:t>38</w:t>
            </w:r>
            <w:r w:rsidR="005C54FC">
              <w:rPr>
                <w:noProof/>
                <w:webHidden/>
              </w:rPr>
              <w:fldChar w:fldCharType="end"/>
            </w:r>
          </w:hyperlink>
        </w:p>
        <w:p w14:paraId="5D62CBD7" w14:textId="41DA1A4F" w:rsidR="005C54FC" w:rsidRDefault="00CD0C1E">
          <w:pPr>
            <w:pStyle w:val="TOC2"/>
            <w:tabs>
              <w:tab w:val="left" w:pos="480"/>
            </w:tabs>
            <w:rPr>
              <w:rFonts w:asciiTheme="minorHAnsi" w:eastAsiaTheme="minorEastAsia" w:hAnsiTheme="minorHAnsi" w:cstheme="minorBidi"/>
              <w:b w:val="0"/>
              <w:bCs w:val="0"/>
              <w:noProof/>
              <w:sz w:val="22"/>
              <w:szCs w:val="22"/>
              <w:lang w:val="en-US"/>
            </w:rPr>
          </w:pPr>
          <w:hyperlink w:anchor="_Toc118366181" w:history="1">
            <w:r w:rsidR="005C54FC" w:rsidRPr="008240DC">
              <w:rPr>
                <w:rStyle w:val="Hyperlink"/>
                <w:noProof/>
              </w:rPr>
              <w:t>B.</w:t>
            </w:r>
            <w:r w:rsidR="005C54FC">
              <w:rPr>
                <w:rFonts w:asciiTheme="minorHAnsi" w:eastAsiaTheme="minorEastAsia" w:hAnsiTheme="minorHAnsi" w:cstheme="minorBidi"/>
                <w:b w:val="0"/>
                <w:bCs w:val="0"/>
                <w:noProof/>
                <w:sz w:val="22"/>
                <w:szCs w:val="22"/>
                <w:lang w:val="en-US"/>
              </w:rPr>
              <w:tab/>
            </w:r>
            <w:r w:rsidR="005C54FC" w:rsidRPr="008240DC">
              <w:rPr>
                <w:rStyle w:val="Hyperlink"/>
                <w:noProof/>
              </w:rPr>
              <w:t>Websites:</w:t>
            </w:r>
            <w:r w:rsidR="005C54FC">
              <w:rPr>
                <w:noProof/>
                <w:webHidden/>
              </w:rPr>
              <w:tab/>
            </w:r>
            <w:r w:rsidR="005C54FC">
              <w:rPr>
                <w:noProof/>
                <w:webHidden/>
              </w:rPr>
              <w:fldChar w:fldCharType="begin"/>
            </w:r>
            <w:r w:rsidR="005C54FC">
              <w:rPr>
                <w:noProof/>
                <w:webHidden/>
              </w:rPr>
              <w:instrText xml:space="preserve"> PAGEREF _Toc118366181 \h </w:instrText>
            </w:r>
            <w:r w:rsidR="005C54FC">
              <w:rPr>
                <w:noProof/>
                <w:webHidden/>
              </w:rPr>
            </w:r>
            <w:r w:rsidR="005C54FC">
              <w:rPr>
                <w:noProof/>
                <w:webHidden/>
              </w:rPr>
              <w:fldChar w:fldCharType="separate"/>
            </w:r>
            <w:r w:rsidR="005C54FC">
              <w:rPr>
                <w:noProof/>
                <w:webHidden/>
              </w:rPr>
              <w:t>40</w:t>
            </w:r>
            <w:r w:rsidR="005C54FC">
              <w:rPr>
                <w:noProof/>
                <w:webHidden/>
              </w:rPr>
              <w:fldChar w:fldCharType="end"/>
            </w:r>
          </w:hyperlink>
        </w:p>
        <w:p w14:paraId="26D58205" w14:textId="54FA1CB5" w:rsidR="00F22636" w:rsidRDefault="00F22636">
          <w:r>
            <w:rPr>
              <w:b/>
              <w:bCs/>
              <w:noProof/>
            </w:rPr>
            <w:fldChar w:fldCharType="end"/>
          </w:r>
        </w:p>
      </w:sdtContent>
    </w:sdt>
    <w:p w14:paraId="1E869795" w14:textId="77777777" w:rsidR="000B129E" w:rsidRDefault="000B129E">
      <w:r>
        <w:br w:type="page"/>
      </w:r>
    </w:p>
    <w:p w14:paraId="03D3475D" w14:textId="77777777" w:rsidR="009649DA" w:rsidRDefault="009649DA">
      <w:pPr>
        <w:rPr>
          <w:sz w:val="22"/>
          <w:szCs w:val="22"/>
        </w:rPr>
      </w:pPr>
    </w:p>
    <w:p w14:paraId="1E1B2D96" w14:textId="654DC425" w:rsidR="0015658F" w:rsidRDefault="006A3AF5" w:rsidP="003021FF">
      <w:pPr>
        <w:rPr>
          <w:sz w:val="22"/>
          <w:szCs w:val="22"/>
        </w:rPr>
      </w:pPr>
      <w:r>
        <w:rPr>
          <w:sz w:val="22"/>
          <w:szCs w:val="22"/>
        </w:rPr>
        <w:t>LIST OF ABBREVIATIONS</w:t>
      </w:r>
    </w:p>
    <w:p w14:paraId="13B0A564" w14:textId="77777777" w:rsidR="0015658F" w:rsidRDefault="0015658F">
      <w:pPr>
        <w:rPr>
          <w:sz w:val="22"/>
          <w:szCs w:val="22"/>
        </w:rPr>
      </w:pP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6874"/>
      </w:tblGrid>
      <w:tr w:rsidR="00085C9F" w:rsidRPr="00925779" w14:paraId="106977DF" w14:textId="77777777" w:rsidTr="00715D0F">
        <w:trPr>
          <w:trHeight w:val="138"/>
        </w:trPr>
        <w:tc>
          <w:tcPr>
            <w:tcW w:w="2198" w:type="dxa"/>
            <w:shd w:val="clear" w:color="auto" w:fill="4F81BD"/>
          </w:tcPr>
          <w:p w14:paraId="6134C784" w14:textId="77777777" w:rsidR="00085C9F" w:rsidRPr="00925779" w:rsidRDefault="00085C9F" w:rsidP="00715D0F">
            <w:pPr>
              <w:autoSpaceDE w:val="0"/>
              <w:autoSpaceDN w:val="0"/>
              <w:adjustRightInd w:val="0"/>
              <w:spacing w:line="276" w:lineRule="auto"/>
              <w:jc w:val="both"/>
              <w:rPr>
                <w:rFonts w:eastAsia="Times New Roman" w:cstheme="minorHAnsi"/>
                <w:sz w:val="22"/>
                <w:szCs w:val="22"/>
                <w:lang w:eastAsia="el-GR"/>
              </w:rPr>
            </w:pPr>
            <w:r w:rsidRPr="00925779">
              <w:rPr>
                <w:rFonts w:eastAsia="Times New Roman" w:cstheme="minorHAnsi"/>
                <w:b/>
                <w:bCs/>
                <w:sz w:val="22"/>
                <w:szCs w:val="22"/>
                <w:lang w:eastAsia="el-GR"/>
              </w:rPr>
              <w:t xml:space="preserve">Abbreviation </w:t>
            </w:r>
          </w:p>
        </w:tc>
        <w:tc>
          <w:tcPr>
            <w:tcW w:w="6874" w:type="dxa"/>
            <w:shd w:val="clear" w:color="auto" w:fill="4F81BD"/>
          </w:tcPr>
          <w:p w14:paraId="40D6EDB1" w14:textId="77777777" w:rsidR="00085C9F" w:rsidRPr="00925779" w:rsidRDefault="00085C9F" w:rsidP="00715D0F">
            <w:pPr>
              <w:autoSpaceDE w:val="0"/>
              <w:autoSpaceDN w:val="0"/>
              <w:adjustRightInd w:val="0"/>
              <w:spacing w:line="276" w:lineRule="auto"/>
              <w:jc w:val="both"/>
              <w:rPr>
                <w:rFonts w:eastAsia="Times New Roman" w:cstheme="minorHAnsi"/>
                <w:sz w:val="22"/>
                <w:szCs w:val="22"/>
                <w:lang w:eastAsia="el-GR"/>
              </w:rPr>
            </w:pPr>
            <w:r w:rsidRPr="00925779">
              <w:rPr>
                <w:rFonts w:eastAsia="Times New Roman" w:cstheme="minorHAnsi"/>
                <w:b/>
                <w:bCs/>
                <w:sz w:val="22"/>
                <w:szCs w:val="22"/>
                <w:lang w:eastAsia="el-GR"/>
              </w:rPr>
              <w:t xml:space="preserve">Meaning </w:t>
            </w:r>
          </w:p>
        </w:tc>
      </w:tr>
      <w:tr w:rsidR="00085C9F" w14:paraId="5F7B65DB" w14:textId="77777777" w:rsidTr="00715D0F">
        <w:trPr>
          <w:trHeight w:val="138"/>
        </w:trPr>
        <w:tc>
          <w:tcPr>
            <w:tcW w:w="2198" w:type="dxa"/>
            <w:shd w:val="clear" w:color="auto" w:fill="D9E2F3" w:themeFill="accent1" w:themeFillTint="33"/>
          </w:tcPr>
          <w:p w14:paraId="39284DF3" w14:textId="77777777" w:rsidR="00085C9F"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21C</w:t>
            </w:r>
          </w:p>
        </w:tc>
        <w:tc>
          <w:tcPr>
            <w:tcW w:w="6874" w:type="dxa"/>
          </w:tcPr>
          <w:p w14:paraId="5A4335FF" w14:textId="77777777" w:rsidR="00085C9F"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21</w:t>
            </w:r>
            <w:r w:rsidRPr="00C624C0">
              <w:rPr>
                <w:rFonts w:cstheme="minorHAnsi"/>
                <w:sz w:val="22"/>
                <w:szCs w:val="22"/>
                <w:vertAlign w:val="superscript"/>
              </w:rPr>
              <w:t>st</w:t>
            </w:r>
            <w:r>
              <w:rPr>
                <w:rFonts w:cstheme="minorHAnsi"/>
                <w:sz w:val="22"/>
                <w:szCs w:val="22"/>
              </w:rPr>
              <w:t xml:space="preserve"> Century</w:t>
            </w:r>
          </w:p>
        </w:tc>
      </w:tr>
      <w:tr w:rsidR="00085C9F" w:rsidRPr="00925779" w14:paraId="6BE05A22" w14:textId="77777777" w:rsidTr="00715D0F">
        <w:trPr>
          <w:trHeight w:val="138"/>
        </w:trPr>
        <w:tc>
          <w:tcPr>
            <w:tcW w:w="2198" w:type="dxa"/>
            <w:shd w:val="clear" w:color="auto" w:fill="D9E2F3" w:themeFill="accent1" w:themeFillTint="33"/>
          </w:tcPr>
          <w:p w14:paraId="1BFF63D1" w14:textId="77777777" w:rsidR="00085C9F" w:rsidRPr="00925779"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AI</w:t>
            </w:r>
          </w:p>
        </w:tc>
        <w:tc>
          <w:tcPr>
            <w:tcW w:w="6874" w:type="dxa"/>
          </w:tcPr>
          <w:p w14:paraId="2FA519ED" w14:textId="77777777" w:rsidR="00085C9F" w:rsidRPr="00925779"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Artificial Intelligence</w:t>
            </w:r>
          </w:p>
        </w:tc>
      </w:tr>
      <w:tr w:rsidR="00085C9F" w14:paraId="0382270C" w14:textId="77777777" w:rsidTr="00715D0F">
        <w:trPr>
          <w:trHeight w:val="138"/>
        </w:trPr>
        <w:tc>
          <w:tcPr>
            <w:tcW w:w="2198" w:type="dxa"/>
            <w:shd w:val="clear" w:color="auto" w:fill="D9E2F3" w:themeFill="accent1" w:themeFillTint="33"/>
          </w:tcPr>
          <w:p w14:paraId="18EEBDAB" w14:textId="77777777" w:rsidR="00085C9F"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CPD</w:t>
            </w:r>
          </w:p>
        </w:tc>
        <w:tc>
          <w:tcPr>
            <w:tcW w:w="6874" w:type="dxa"/>
          </w:tcPr>
          <w:p w14:paraId="19EF1194" w14:textId="77777777" w:rsidR="00085C9F" w:rsidRDefault="00085C9F" w:rsidP="00715D0F">
            <w:pPr>
              <w:autoSpaceDE w:val="0"/>
              <w:autoSpaceDN w:val="0"/>
              <w:adjustRightInd w:val="0"/>
              <w:spacing w:before="40" w:after="40" w:line="276" w:lineRule="auto"/>
              <w:jc w:val="both"/>
              <w:rPr>
                <w:rFonts w:cstheme="minorHAnsi"/>
                <w:sz w:val="22"/>
                <w:szCs w:val="22"/>
              </w:rPr>
            </w:pPr>
            <w:r w:rsidRPr="00541471">
              <w:rPr>
                <w:sz w:val="22"/>
                <w:szCs w:val="22"/>
              </w:rPr>
              <w:t>Continuous Professional Development</w:t>
            </w:r>
          </w:p>
        </w:tc>
      </w:tr>
      <w:tr w:rsidR="00085C9F" w14:paraId="6B9DA5ED" w14:textId="77777777" w:rsidTr="00715D0F">
        <w:trPr>
          <w:trHeight w:val="138"/>
        </w:trPr>
        <w:tc>
          <w:tcPr>
            <w:tcW w:w="2198" w:type="dxa"/>
            <w:shd w:val="clear" w:color="auto" w:fill="D9E2F3" w:themeFill="accent1" w:themeFillTint="33"/>
          </w:tcPr>
          <w:p w14:paraId="3320A764" w14:textId="77777777" w:rsidR="00085C9F"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EU</w:t>
            </w:r>
          </w:p>
        </w:tc>
        <w:tc>
          <w:tcPr>
            <w:tcW w:w="6874" w:type="dxa"/>
          </w:tcPr>
          <w:p w14:paraId="06C26B5E" w14:textId="77777777" w:rsidR="00085C9F"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European Union</w:t>
            </w:r>
          </w:p>
        </w:tc>
      </w:tr>
      <w:tr w:rsidR="00085C9F" w:rsidRPr="00925779" w14:paraId="2128FF2B" w14:textId="77777777" w:rsidTr="00715D0F">
        <w:trPr>
          <w:trHeight w:val="138"/>
        </w:trPr>
        <w:tc>
          <w:tcPr>
            <w:tcW w:w="2198" w:type="dxa"/>
            <w:shd w:val="clear" w:color="auto" w:fill="D9E2F3" w:themeFill="accent1" w:themeFillTint="33"/>
          </w:tcPr>
          <w:p w14:paraId="19F35875" w14:textId="77777777" w:rsidR="00085C9F" w:rsidRPr="00925779"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ICT</w:t>
            </w:r>
          </w:p>
        </w:tc>
        <w:tc>
          <w:tcPr>
            <w:tcW w:w="6874" w:type="dxa"/>
          </w:tcPr>
          <w:p w14:paraId="27952E96" w14:textId="77777777" w:rsidR="00085C9F" w:rsidRPr="00925779"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Information and Communication Technology</w:t>
            </w:r>
          </w:p>
        </w:tc>
      </w:tr>
      <w:tr w:rsidR="00085C9F" w:rsidRPr="00925779" w14:paraId="20B1290D" w14:textId="77777777" w:rsidTr="00715D0F">
        <w:trPr>
          <w:trHeight w:val="138"/>
        </w:trPr>
        <w:tc>
          <w:tcPr>
            <w:tcW w:w="2198" w:type="dxa"/>
            <w:shd w:val="clear" w:color="auto" w:fill="D9E2F3" w:themeFill="accent1" w:themeFillTint="33"/>
          </w:tcPr>
          <w:p w14:paraId="3CD1E3D2" w14:textId="77777777" w:rsidR="00085C9F" w:rsidRPr="00925779"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ILO</w:t>
            </w:r>
          </w:p>
        </w:tc>
        <w:tc>
          <w:tcPr>
            <w:tcW w:w="6874" w:type="dxa"/>
          </w:tcPr>
          <w:p w14:paraId="5B1DC8E7" w14:textId="77777777" w:rsidR="00085C9F" w:rsidRPr="00925779"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International Labour Organization</w:t>
            </w:r>
          </w:p>
        </w:tc>
      </w:tr>
      <w:tr w:rsidR="00085C9F" w:rsidRPr="00541471" w14:paraId="384F4388" w14:textId="77777777" w:rsidTr="00715D0F">
        <w:trPr>
          <w:trHeight w:val="138"/>
        </w:trPr>
        <w:tc>
          <w:tcPr>
            <w:tcW w:w="2198" w:type="dxa"/>
            <w:shd w:val="clear" w:color="auto" w:fill="D9E2F3" w:themeFill="accent1" w:themeFillTint="33"/>
          </w:tcPr>
          <w:p w14:paraId="4780971D" w14:textId="77777777" w:rsidR="00085C9F"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MOH</w:t>
            </w:r>
          </w:p>
        </w:tc>
        <w:tc>
          <w:tcPr>
            <w:tcW w:w="6874" w:type="dxa"/>
          </w:tcPr>
          <w:p w14:paraId="2B3200A3" w14:textId="77777777" w:rsidR="00085C9F" w:rsidRPr="00541471" w:rsidRDefault="00085C9F" w:rsidP="00715D0F">
            <w:pPr>
              <w:autoSpaceDE w:val="0"/>
              <w:autoSpaceDN w:val="0"/>
              <w:adjustRightInd w:val="0"/>
              <w:spacing w:before="40" w:after="40" w:line="276" w:lineRule="auto"/>
              <w:jc w:val="both"/>
              <w:rPr>
                <w:sz w:val="22"/>
                <w:szCs w:val="22"/>
              </w:rPr>
            </w:pPr>
            <w:r w:rsidRPr="00541471">
              <w:rPr>
                <w:rFonts w:cstheme="minorHAnsi"/>
                <w:sz w:val="22"/>
                <w:szCs w:val="22"/>
              </w:rPr>
              <w:t>The Ministry of Health</w:t>
            </w:r>
          </w:p>
        </w:tc>
      </w:tr>
      <w:tr w:rsidR="00085C9F" w:rsidRPr="00925779" w14:paraId="7CC3D557" w14:textId="77777777" w:rsidTr="00715D0F">
        <w:trPr>
          <w:trHeight w:val="138"/>
        </w:trPr>
        <w:tc>
          <w:tcPr>
            <w:tcW w:w="2198" w:type="dxa"/>
            <w:shd w:val="clear" w:color="auto" w:fill="D9E2F3" w:themeFill="accent1" w:themeFillTint="33"/>
          </w:tcPr>
          <w:p w14:paraId="53DE9BD6" w14:textId="77777777" w:rsidR="00085C9F" w:rsidRPr="00925779"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MoLSS</w:t>
            </w:r>
          </w:p>
        </w:tc>
        <w:tc>
          <w:tcPr>
            <w:tcW w:w="6874" w:type="dxa"/>
          </w:tcPr>
          <w:p w14:paraId="1E0D3C02" w14:textId="77777777" w:rsidR="00085C9F" w:rsidRPr="00925779"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The Ministry of Labour and Social Security</w:t>
            </w:r>
          </w:p>
        </w:tc>
      </w:tr>
      <w:tr w:rsidR="00085C9F" w:rsidRPr="00541471" w14:paraId="0EC3116E" w14:textId="77777777" w:rsidTr="00715D0F">
        <w:trPr>
          <w:trHeight w:val="138"/>
        </w:trPr>
        <w:tc>
          <w:tcPr>
            <w:tcW w:w="2198" w:type="dxa"/>
            <w:shd w:val="clear" w:color="auto" w:fill="D9E2F3" w:themeFill="accent1" w:themeFillTint="33"/>
          </w:tcPr>
          <w:p w14:paraId="7FDC68C8" w14:textId="77777777" w:rsidR="00085C9F"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MONE</w:t>
            </w:r>
          </w:p>
        </w:tc>
        <w:tc>
          <w:tcPr>
            <w:tcW w:w="6874" w:type="dxa"/>
          </w:tcPr>
          <w:p w14:paraId="45ACBC5D" w14:textId="77777777" w:rsidR="00085C9F" w:rsidRPr="00541471" w:rsidRDefault="00085C9F" w:rsidP="00715D0F">
            <w:pPr>
              <w:autoSpaceDE w:val="0"/>
              <w:autoSpaceDN w:val="0"/>
              <w:adjustRightInd w:val="0"/>
              <w:spacing w:before="40" w:after="40" w:line="276" w:lineRule="auto"/>
              <w:jc w:val="both"/>
              <w:rPr>
                <w:sz w:val="22"/>
                <w:szCs w:val="22"/>
              </w:rPr>
            </w:pPr>
            <w:r w:rsidRPr="00541471">
              <w:rPr>
                <w:rFonts w:cstheme="minorHAnsi"/>
                <w:sz w:val="22"/>
                <w:szCs w:val="22"/>
              </w:rPr>
              <w:t>The Ministry of National Education</w:t>
            </w:r>
          </w:p>
        </w:tc>
      </w:tr>
      <w:tr w:rsidR="00085C9F" w:rsidRPr="00925779" w14:paraId="23101C72" w14:textId="77777777" w:rsidTr="00715D0F">
        <w:trPr>
          <w:trHeight w:val="138"/>
        </w:trPr>
        <w:tc>
          <w:tcPr>
            <w:tcW w:w="2198" w:type="dxa"/>
            <w:shd w:val="clear" w:color="auto" w:fill="D9E2F3" w:themeFill="accent1" w:themeFillTint="33"/>
          </w:tcPr>
          <w:p w14:paraId="6C807409" w14:textId="77777777" w:rsidR="00085C9F" w:rsidRPr="00925779"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NSFE</w:t>
            </w:r>
          </w:p>
        </w:tc>
        <w:tc>
          <w:tcPr>
            <w:tcW w:w="6874" w:type="dxa"/>
          </w:tcPr>
          <w:p w14:paraId="16F07DA0" w14:textId="77777777" w:rsidR="00085C9F" w:rsidRPr="00925779" w:rsidRDefault="00085C9F" w:rsidP="00715D0F">
            <w:pPr>
              <w:autoSpaceDE w:val="0"/>
              <w:autoSpaceDN w:val="0"/>
              <w:adjustRightInd w:val="0"/>
              <w:spacing w:before="40" w:after="40" w:line="276" w:lineRule="auto"/>
              <w:jc w:val="both"/>
              <w:rPr>
                <w:rFonts w:cstheme="minorHAnsi"/>
                <w:sz w:val="22"/>
                <w:szCs w:val="22"/>
              </w:rPr>
            </w:pPr>
            <w:r w:rsidRPr="00541471">
              <w:rPr>
                <w:sz w:val="22"/>
                <w:szCs w:val="22"/>
              </w:rPr>
              <w:t>Non-Standards Forms of Employment</w:t>
            </w:r>
          </w:p>
        </w:tc>
      </w:tr>
      <w:tr w:rsidR="00085C9F" w:rsidRPr="00925779" w14:paraId="71546C6C" w14:textId="77777777" w:rsidTr="00715D0F">
        <w:trPr>
          <w:trHeight w:val="138"/>
        </w:trPr>
        <w:tc>
          <w:tcPr>
            <w:tcW w:w="2198" w:type="dxa"/>
            <w:shd w:val="clear" w:color="auto" w:fill="D9E2F3" w:themeFill="accent1" w:themeFillTint="33"/>
          </w:tcPr>
          <w:p w14:paraId="3C201988" w14:textId="77777777" w:rsidR="00085C9F" w:rsidRPr="00925779"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OB</w:t>
            </w:r>
          </w:p>
        </w:tc>
        <w:tc>
          <w:tcPr>
            <w:tcW w:w="6874" w:type="dxa"/>
          </w:tcPr>
          <w:p w14:paraId="36804143" w14:textId="77777777" w:rsidR="00085C9F" w:rsidRPr="00925779"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Operation Beneficiary</w:t>
            </w:r>
          </w:p>
        </w:tc>
      </w:tr>
      <w:tr w:rsidR="00085C9F" w:rsidRPr="00541471" w14:paraId="2119C935" w14:textId="77777777" w:rsidTr="00715D0F">
        <w:trPr>
          <w:trHeight w:val="138"/>
        </w:trPr>
        <w:tc>
          <w:tcPr>
            <w:tcW w:w="2198" w:type="dxa"/>
            <w:shd w:val="clear" w:color="auto" w:fill="D9E2F3" w:themeFill="accent1" w:themeFillTint="33"/>
          </w:tcPr>
          <w:p w14:paraId="4ED05735" w14:textId="77777777" w:rsidR="00085C9F"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OHS</w:t>
            </w:r>
          </w:p>
        </w:tc>
        <w:tc>
          <w:tcPr>
            <w:tcW w:w="6874" w:type="dxa"/>
          </w:tcPr>
          <w:p w14:paraId="29AE5C5B" w14:textId="77777777" w:rsidR="00085C9F" w:rsidRPr="00541471" w:rsidRDefault="00085C9F" w:rsidP="00715D0F">
            <w:pPr>
              <w:autoSpaceDE w:val="0"/>
              <w:autoSpaceDN w:val="0"/>
              <w:adjustRightInd w:val="0"/>
              <w:spacing w:before="40" w:after="40" w:line="276" w:lineRule="auto"/>
              <w:jc w:val="both"/>
              <w:rPr>
                <w:sz w:val="22"/>
                <w:szCs w:val="22"/>
              </w:rPr>
            </w:pPr>
            <w:r w:rsidRPr="00541471">
              <w:rPr>
                <w:rFonts w:cstheme="minorHAnsi"/>
                <w:sz w:val="22"/>
                <w:szCs w:val="22"/>
              </w:rPr>
              <w:t>Occupational Health and Safety</w:t>
            </w:r>
          </w:p>
        </w:tc>
      </w:tr>
      <w:tr w:rsidR="00085C9F" w:rsidRPr="00925779" w14:paraId="041BF27A" w14:textId="77777777" w:rsidTr="00715D0F">
        <w:trPr>
          <w:trHeight w:val="138"/>
        </w:trPr>
        <w:tc>
          <w:tcPr>
            <w:tcW w:w="2198" w:type="dxa"/>
            <w:shd w:val="clear" w:color="auto" w:fill="D9E2F3" w:themeFill="accent1" w:themeFillTint="33"/>
          </w:tcPr>
          <w:p w14:paraId="7548A7EE" w14:textId="77777777" w:rsidR="00085C9F" w:rsidRPr="00925779"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PwDs</w:t>
            </w:r>
          </w:p>
        </w:tc>
        <w:tc>
          <w:tcPr>
            <w:tcW w:w="6874" w:type="dxa"/>
          </w:tcPr>
          <w:p w14:paraId="7F5F3FB5" w14:textId="77777777" w:rsidR="00085C9F" w:rsidRPr="00925779"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People with Disabilities</w:t>
            </w:r>
          </w:p>
        </w:tc>
      </w:tr>
      <w:tr w:rsidR="00085C9F" w:rsidRPr="00541471" w14:paraId="51A92FAB" w14:textId="77777777" w:rsidTr="00715D0F">
        <w:trPr>
          <w:trHeight w:val="138"/>
        </w:trPr>
        <w:tc>
          <w:tcPr>
            <w:tcW w:w="2198" w:type="dxa"/>
            <w:shd w:val="clear" w:color="auto" w:fill="D9E2F3" w:themeFill="accent1" w:themeFillTint="33"/>
          </w:tcPr>
          <w:p w14:paraId="3F31DF34" w14:textId="77777777" w:rsidR="00085C9F"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RPA</w:t>
            </w:r>
          </w:p>
        </w:tc>
        <w:tc>
          <w:tcPr>
            <w:tcW w:w="6874" w:type="dxa"/>
          </w:tcPr>
          <w:p w14:paraId="774CA029" w14:textId="77777777" w:rsidR="00085C9F" w:rsidRPr="00541471"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R</w:t>
            </w:r>
            <w:r w:rsidRPr="00541471">
              <w:rPr>
                <w:rFonts w:cstheme="minorHAnsi"/>
                <w:sz w:val="22"/>
                <w:szCs w:val="22"/>
              </w:rPr>
              <w:t xml:space="preserve">obotic </w:t>
            </w:r>
            <w:r>
              <w:rPr>
                <w:rFonts w:cstheme="minorHAnsi"/>
                <w:sz w:val="22"/>
                <w:szCs w:val="22"/>
              </w:rPr>
              <w:t>P</w:t>
            </w:r>
            <w:r w:rsidRPr="00541471">
              <w:rPr>
                <w:rFonts w:cstheme="minorHAnsi"/>
                <w:sz w:val="22"/>
                <w:szCs w:val="22"/>
              </w:rPr>
              <w:t xml:space="preserve">rocess </w:t>
            </w:r>
            <w:r>
              <w:rPr>
                <w:rFonts w:cstheme="minorHAnsi"/>
                <w:sz w:val="22"/>
                <w:szCs w:val="22"/>
              </w:rPr>
              <w:t>A</w:t>
            </w:r>
            <w:r w:rsidRPr="00541471">
              <w:rPr>
                <w:rFonts w:cstheme="minorHAnsi"/>
                <w:sz w:val="22"/>
                <w:szCs w:val="22"/>
              </w:rPr>
              <w:t>utomation</w:t>
            </w:r>
          </w:p>
        </w:tc>
      </w:tr>
      <w:tr w:rsidR="00085C9F" w:rsidRPr="00925779" w14:paraId="0B16ECFE" w14:textId="77777777" w:rsidTr="00715D0F">
        <w:trPr>
          <w:trHeight w:val="138"/>
        </w:trPr>
        <w:tc>
          <w:tcPr>
            <w:tcW w:w="2198" w:type="dxa"/>
            <w:shd w:val="clear" w:color="auto" w:fill="D9E2F3" w:themeFill="accent1" w:themeFillTint="33"/>
          </w:tcPr>
          <w:p w14:paraId="629686D0" w14:textId="77777777" w:rsidR="00085C9F" w:rsidRPr="00925779"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SMART</w:t>
            </w:r>
          </w:p>
        </w:tc>
        <w:tc>
          <w:tcPr>
            <w:tcW w:w="6874" w:type="dxa"/>
          </w:tcPr>
          <w:p w14:paraId="43BED5A5" w14:textId="77777777" w:rsidR="00085C9F" w:rsidRPr="00925779"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Specific, Measurable, Achievable, Relevant, Time-bound</w:t>
            </w:r>
          </w:p>
        </w:tc>
      </w:tr>
      <w:tr w:rsidR="00085C9F" w:rsidRPr="00FA43DD" w14:paraId="46B3AE6B" w14:textId="77777777" w:rsidTr="00715D0F">
        <w:trPr>
          <w:trHeight w:val="138"/>
        </w:trPr>
        <w:tc>
          <w:tcPr>
            <w:tcW w:w="2198" w:type="dxa"/>
            <w:shd w:val="clear" w:color="auto" w:fill="D9E2F3" w:themeFill="accent1" w:themeFillTint="33"/>
          </w:tcPr>
          <w:p w14:paraId="098E7BC8" w14:textId="77777777" w:rsidR="00085C9F" w:rsidRPr="00925779"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STEM</w:t>
            </w:r>
          </w:p>
        </w:tc>
        <w:tc>
          <w:tcPr>
            <w:tcW w:w="6874" w:type="dxa"/>
          </w:tcPr>
          <w:p w14:paraId="3A2F6147" w14:textId="77777777" w:rsidR="00085C9F" w:rsidRPr="00FA43DD" w:rsidRDefault="00085C9F" w:rsidP="00715D0F">
            <w:pPr>
              <w:autoSpaceDE w:val="0"/>
              <w:autoSpaceDN w:val="0"/>
              <w:adjustRightInd w:val="0"/>
              <w:spacing w:before="40" w:after="40" w:line="276" w:lineRule="auto"/>
              <w:jc w:val="both"/>
              <w:rPr>
                <w:sz w:val="22"/>
                <w:szCs w:val="22"/>
              </w:rPr>
            </w:pPr>
            <w:r w:rsidRPr="00563146">
              <w:rPr>
                <w:sz w:val="22"/>
                <w:szCs w:val="22"/>
              </w:rPr>
              <w:t>Science, Technology, Engineering, Mathematics</w:t>
            </w:r>
          </w:p>
        </w:tc>
      </w:tr>
      <w:tr w:rsidR="00085C9F" w:rsidRPr="00925779" w14:paraId="736D5FDC" w14:textId="77777777" w:rsidTr="00715D0F">
        <w:trPr>
          <w:trHeight w:val="138"/>
        </w:trPr>
        <w:tc>
          <w:tcPr>
            <w:tcW w:w="2198" w:type="dxa"/>
            <w:shd w:val="clear" w:color="auto" w:fill="D9E2F3" w:themeFill="accent1" w:themeFillTint="33"/>
          </w:tcPr>
          <w:p w14:paraId="76371F9A" w14:textId="77777777" w:rsidR="00085C9F" w:rsidRPr="00925779"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SWOT</w:t>
            </w:r>
          </w:p>
        </w:tc>
        <w:tc>
          <w:tcPr>
            <w:tcW w:w="6874" w:type="dxa"/>
          </w:tcPr>
          <w:p w14:paraId="3BC443E4" w14:textId="77777777" w:rsidR="00085C9F" w:rsidRPr="00925779"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Strengths, Weaknesses, Opportunities and Threads</w:t>
            </w:r>
          </w:p>
        </w:tc>
      </w:tr>
      <w:tr w:rsidR="00085C9F" w:rsidRPr="00925779" w14:paraId="5195E909" w14:textId="77777777" w:rsidTr="00715D0F">
        <w:trPr>
          <w:trHeight w:val="138"/>
        </w:trPr>
        <w:tc>
          <w:tcPr>
            <w:tcW w:w="2198" w:type="dxa"/>
            <w:shd w:val="clear" w:color="auto" w:fill="D9E2F3" w:themeFill="accent1" w:themeFillTint="33"/>
          </w:tcPr>
          <w:p w14:paraId="4603798D" w14:textId="77777777" w:rsidR="00085C9F" w:rsidRPr="00925779"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TAT</w:t>
            </w:r>
          </w:p>
        </w:tc>
        <w:tc>
          <w:tcPr>
            <w:tcW w:w="6874" w:type="dxa"/>
          </w:tcPr>
          <w:p w14:paraId="0E5AEF2A" w14:textId="77777777" w:rsidR="00085C9F" w:rsidRPr="00925779"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Technical Assistance Team</w:t>
            </w:r>
          </w:p>
        </w:tc>
      </w:tr>
      <w:tr w:rsidR="00085C9F" w:rsidRPr="00541471" w14:paraId="299EA356" w14:textId="77777777" w:rsidTr="00715D0F">
        <w:trPr>
          <w:trHeight w:val="138"/>
        </w:trPr>
        <w:tc>
          <w:tcPr>
            <w:tcW w:w="2198" w:type="dxa"/>
            <w:shd w:val="clear" w:color="auto" w:fill="D9E2F3" w:themeFill="accent1" w:themeFillTint="33"/>
          </w:tcPr>
          <w:p w14:paraId="7F19E2BF" w14:textId="77777777" w:rsidR="00085C9F"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TNA</w:t>
            </w:r>
          </w:p>
        </w:tc>
        <w:tc>
          <w:tcPr>
            <w:tcW w:w="6874" w:type="dxa"/>
          </w:tcPr>
          <w:p w14:paraId="1F1CA97B" w14:textId="77777777" w:rsidR="00085C9F" w:rsidRPr="00541471" w:rsidRDefault="00085C9F" w:rsidP="00715D0F">
            <w:pPr>
              <w:autoSpaceDE w:val="0"/>
              <w:autoSpaceDN w:val="0"/>
              <w:adjustRightInd w:val="0"/>
              <w:spacing w:before="40" w:after="40" w:line="276" w:lineRule="auto"/>
              <w:jc w:val="both"/>
              <w:rPr>
                <w:sz w:val="22"/>
                <w:szCs w:val="22"/>
              </w:rPr>
            </w:pPr>
            <w:r>
              <w:rPr>
                <w:rFonts w:cstheme="minorHAnsi"/>
                <w:sz w:val="22"/>
                <w:szCs w:val="22"/>
              </w:rPr>
              <w:t>T</w:t>
            </w:r>
            <w:r w:rsidRPr="00541471">
              <w:rPr>
                <w:rFonts w:cstheme="minorHAnsi"/>
                <w:sz w:val="22"/>
                <w:szCs w:val="22"/>
              </w:rPr>
              <w:t xml:space="preserve">raining </w:t>
            </w:r>
            <w:r>
              <w:rPr>
                <w:rFonts w:cstheme="minorHAnsi"/>
                <w:sz w:val="22"/>
                <w:szCs w:val="22"/>
              </w:rPr>
              <w:t>N</w:t>
            </w:r>
            <w:r w:rsidRPr="00541471">
              <w:rPr>
                <w:rFonts w:cstheme="minorHAnsi"/>
                <w:sz w:val="22"/>
                <w:szCs w:val="22"/>
              </w:rPr>
              <w:t xml:space="preserve">eeds </w:t>
            </w:r>
            <w:r>
              <w:rPr>
                <w:rFonts w:cstheme="minorHAnsi"/>
                <w:sz w:val="22"/>
                <w:szCs w:val="22"/>
              </w:rPr>
              <w:t>A</w:t>
            </w:r>
            <w:r w:rsidRPr="00541471">
              <w:rPr>
                <w:rFonts w:cstheme="minorHAnsi"/>
                <w:sz w:val="22"/>
                <w:szCs w:val="22"/>
              </w:rPr>
              <w:t>nalysis</w:t>
            </w:r>
          </w:p>
        </w:tc>
      </w:tr>
      <w:tr w:rsidR="00085C9F" w:rsidRPr="00925779" w14:paraId="2ABEB3A5" w14:textId="77777777" w:rsidTr="00715D0F">
        <w:trPr>
          <w:trHeight w:val="138"/>
        </w:trPr>
        <w:tc>
          <w:tcPr>
            <w:tcW w:w="2198" w:type="dxa"/>
            <w:shd w:val="clear" w:color="auto" w:fill="D9E2F3" w:themeFill="accent1" w:themeFillTint="33"/>
          </w:tcPr>
          <w:p w14:paraId="45ECD0F1" w14:textId="77777777" w:rsidR="00085C9F" w:rsidRPr="00925779"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ToR</w:t>
            </w:r>
          </w:p>
        </w:tc>
        <w:tc>
          <w:tcPr>
            <w:tcW w:w="6874" w:type="dxa"/>
          </w:tcPr>
          <w:p w14:paraId="291877F5" w14:textId="77777777" w:rsidR="00085C9F" w:rsidRPr="00925779"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Terms of References</w:t>
            </w:r>
          </w:p>
        </w:tc>
      </w:tr>
      <w:tr w:rsidR="00085C9F" w:rsidRPr="00925779" w14:paraId="34E6C57A" w14:textId="77777777" w:rsidTr="00715D0F">
        <w:trPr>
          <w:trHeight w:val="138"/>
        </w:trPr>
        <w:tc>
          <w:tcPr>
            <w:tcW w:w="2198" w:type="dxa"/>
            <w:shd w:val="clear" w:color="auto" w:fill="D9E2F3" w:themeFill="accent1" w:themeFillTint="33"/>
          </w:tcPr>
          <w:p w14:paraId="70FE78E9" w14:textId="77777777" w:rsidR="00085C9F" w:rsidRPr="00925779"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TVET</w:t>
            </w:r>
          </w:p>
        </w:tc>
        <w:tc>
          <w:tcPr>
            <w:tcW w:w="6874" w:type="dxa"/>
          </w:tcPr>
          <w:p w14:paraId="6D7176C8" w14:textId="77777777" w:rsidR="00085C9F" w:rsidRPr="00925779"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Technical and Vocational Education and Training</w:t>
            </w:r>
          </w:p>
        </w:tc>
      </w:tr>
      <w:tr w:rsidR="00085C9F" w:rsidRPr="00925779" w14:paraId="0EFD08C0" w14:textId="77777777" w:rsidTr="00715D0F">
        <w:trPr>
          <w:trHeight w:val="138"/>
        </w:trPr>
        <w:tc>
          <w:tcPr>
            <w:tcW w:w="2198" w:type="dxa"/>
            <w:shd w:val="clear" w:color="auto" w:fill="D9E2F3" w:themeFill="accent1" w:themeFillTint="33"/>
          </w:tcPr>
          <w:p w14:paraId="1432A5AD" w14:textId="77777777" w:rsidR="00085C9F" w:rsidRPr="00925779"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UI</w:t>
            </w:r>
          </w:p>
        </w:tc>
        <w:tc>
          <w:tcPr>
            <w:tcW w:w="6874" w:type="dxa"/>
          </w:tcPr>
          <w:p w14:paraId="760A94D8" w14:textId="77777777" w:rsidR="00085C9F" w:rsidRPr="00925779"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U</w:t>
            </w:r>
            <w:r w:rsidRPr="00541471">
              <w:rPr>
                <w:rFonts w:cstheme="minorHAnsi"/>
                <w:sz w:val="22"/>
                <w:szCs w:val="22"/>
              </w:rPr>
              <w:t xml:space="preserve">ser </w:t>
            </w:r>
            <w:r>
              <w:rPr>
                <w:rFonts w:cstheme="minorHAnsi"/>
                <w:sz w:val="22"/>
                <w:szCs w:val="22"/>
              </w:rPr>
              <w:t>I</w:t>
            </w:r>
            <w:r w:rsidRPr="00541471">
              <w:rPr>
                <w:rFonts w:cstheme="minorHAnsi"/>
                <w:sz w:val="22"/>
                <w:szCs w:val="22"/>
              </w:rPr>
              <w:t>nterface</w:t>
            </w:r>
          </w:p>
        </w:tc>
      </w:tr>
      <w:tr w:rsidR="00085C9F" w:rsidRPr="00925779" w14:paraId="011B4CB2" w14:textId="77777777" w:rsidTr="00715D0F">
        <w:trPr>
          <w:trHeight w:val="138"/>
        </w:trPr>
        <w:tc>
          <w:tcPr>
            <w:tcW w:w="2198" w:type="dxa"/>
            <w:shd w:val="clear" w:color="auto" w:fill="D9E2F3" w:themeFill="accent1" w:themeFillTint="33"/>
          </w:tcPr>
          <w:p w14:paraId="1C455EFB" w14:textId="77777777" w:rsidR="00085C9F" w:rsidRPr="00925779"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UX</w:t>
            </w:r>
          </w:p>
        </w:tc>
        <w:tc>
          <w:tcPr>
            <w:tcW w:w="6874" w:type="dxa"/>
          </w:tcPr>
          <w:p w14:paraId="2C5983A0" w14:textId="77777777" w:rsidR="00085C9F" w:rsidRPr="00925779"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U</w:t>
            </w:r>
            <w:r w:rsidRPr="00541471">
              <w:rPr>
                <w:rFonts w:cstheme="minorHAnsi"/>
                <w:sz w:val="22"/>
                <w:szCs w:val="22"/>
              </w:rPr>
              <w:t xml:space="preserve">ser </w:t>
            </w:r>
            <w:r>
              <w:rPr>
                <w:rFonts w:cstheme="minorHAnsi"/>
                <w:sz w:val="22"/>
                <w:szCs w:val="22"/>
              </w:rPr>
              <w:t>E</w:t>
            </w:r>
            <w:r w:rsidRPr="00541471">
              <w:rPr>
                <w:rFonts w:cstheme="minorHAnsi"/>
                <w:sz w:val="22"/>
                <w:szCs w:val="22"/>
              </w:rPr>
              <w:t>xperience</w:t>
            </w:r>
          </w:p>
        </w:tc>
      </w:tr>
      <w:tr w:rsidR="00085C9F" w:rsidRPr="00925779" w14:paraId="506DC402" w14:textId="77777777" w:rsidTr="00715D0F">
        <w:trPr>
          <w:trHeight w:val="138"/>
        </w:trPr>
        <w:tc>
          <w:tcPr>
            <w:tcW w:w="2198" w:type="dxa"/>
            <w:shd w:val="clear" w:color="auto" w:fill="D9E2F3" w:themeFill="accent1" w:themeFillTint="33"/>
          </w:tcPr>
          <w:p w14:paraId="0F5A0BA7" w14:textId="77777777" w:rsidR="00085C9F" w:rsidRPr="00925779"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VQA</w:t>
            </w:r>
          </w:p>
        </w:tc>
        <w:tc>
          <w:tcPr>
            <w:tcW w:w="6874" w:type="dxa"/>
          </w:tcPr>
          <w:p w14:paraId="0C7DC7FC" w14:textId="77777777" w:rsidR="00085C9F" w:rsidRPr="00925779"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Vocational Qualification Agency</w:t>
            </w:r>
          </w:p>
        </w:tc>
      </w:tr>
      <w:tr w:rsidR="00085C9F" w:rsidRPr="00925779" w14:paraId="72407306" w14:textId="77777777" w:rsidTr="00715D0F">
        <w:trPr>
          <w:trHeight w:val="138"/>
        </w:trPr>
        <w:tc>
          <w:tcPr>
            <w:tcW w:w="2198" w:type="dxa"/>
            <w:shd w:val="clear" w:color="auto" w:fill="D9E2F3" w:themeFill="accent1" w:themeFillTint="33"/>
          </w:tcPr>
          <w:p w14:paraId="1E055E6D" w14:textId="77777777" w:rsidR="00085C9F" w:rsidRPr="00925779"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VR</w:t>
            </w:r>
          </w:p>
        </w:tc>
        <w:tc>
          <w:tcPr>
            <w:tcW w:w="6874" w:type="dxa"/>
          </w:tcPr>
          <w:p w14:paraId="4F0447B9" w14:textId="77777777" w:rsidR="00085C9F" w:rsidRPr="00925779" w:rsidRDefault="00085C9F" w:rsidP="00715D0F">
            <w:pPr>
              <w:autoSpaceDE w:val="0"/>
              <w:autoSpaceDN w:val="0"/>
              <w:adjustRightInd w:val="0"/>
              <w:spacing w:before="40" w:after="40" w:line="276" w:lineRule="auto"/>
              <w:jc w:val="both"/>
              <w:rPr>
                <w:rFonts w:cstheme="minorHAnsi"/>
                <w:sz w:val="22"/>
                <w:szCs w:val="22"/>
              </w:rPr>
            </w:pPr>
            <w:r>
              <w:rPr>
                <w:rFonts w:cstheme="minorHAnsi"/>
                <w:sz w:val="22"/>
                <w:szCs w:val="22"/>
              </w:rPr>
              <w:t>Virtual Reality</w:t>
            </w:r>
          </w:p>
        </w:tc>
      </w:tr>
    </w:tbl>
    <w:p w14:paraId="66552E12" w14:textId="77777777" w:rsidR="0015658F" w:rsidRDefault="0015658F">
      <w:pPr>
        <w:rPr>
          <w:sz w:val="22"/>
          <w:szCs w:val="22"/>
        </w:rPr>
      </w:pPr>
    </w:p>
    <w:p w14:paraId="6CD55110" w14:textId="77777777" w:rsidR="0015658F" w:rsidRDefault="006A3AF5">
      <w:pPr>
        <w:rPr>
          <w:sz w:val="22"/>
          <w:szCs w:val="22"/>
        </w:rPr>
      </w:pPr>
      <w:r>
        <w:br w:type="page"/>
      </w:r>
    </w:p>
    <w:p w14:paraId="4E93BB90" w14:textId="7504F045" w:rsidR="0015658F" w:rsidRPr="008654D3" w:rsidRDefault="006A3AF5" w:rsidP="008654D3">
      <w:pPr>
        <w:pStyle w:val="Heading1"/>
      </w:pPr>
      <w:bookmarkStart w:id="2" w:name="_Toc118366137"/>
      <w:r w:rsidRPr="008654D3">
        <w:lastRenderedPageBreak/>
        <w:t>EXECUTIVE SUMMARY</w:t>
      </w:r>
      <w:bookmarkEnd w:id="2"/>
      <w:r w:rsidR="00295606" w:rsidRPr="008654D3">
        <w:t xml:space="preserve"> </w:t>
      </w:r>
    </w:p>
    <w:p w14:paraId="148F5AC2" w14:textId="049C9C6D" w:rsidR="0015658F" w:rsidRDefault="0015658F">
      <w:pPr>
        <w:rPr>
          <w:b/>
          <w:color w:val="FF0000"/>
          <w:sz w:val="22"/>
          <w:szCs w:val="22"/>
        </w:rPr>
      </w:pPr>
    </w:p>
    <w:p w14:paraId="71947602" w14:textId="3FAF2D3D" w:rsidR="00614803" w:rsidRPr="00D50078" w:rsidRDefault="00614803" w:rsidP="00D50078">
      <w:pPr>
        <w:rPr>
          <w:color w:val="201F1E"/>
          <w:shd w:val="clear" w:color="auto" w:fill="FFFFFF"/>
        </w:rPr>
      </w:pPr>
      <w:r>
        <w:rPr>
          <w:bCs/>
          <w:sz w:val="22"/>
          <w:szCs w:val="22"/>
        </w:rPr>
        <w:t>This Report was commissioned by the Turkish Ministry of Labour</w:t>
      </w:r>
      <w:r w:rsidR="007A5887">
        <w:rPr>
          <w:bCs/>
          <w:sz w:val="22"/>
          <w:szCs w:val="22"/>
        </w:rPr>
        <w:t xml:space="preserve"> and Social Security (MoLSS)</w:t>
      </w:r>
      <w:r>
        <w:rPr>
          <w:bCs/>
          <w:sz w:val="22"/>
          <w:szCs w:val="22"/>
        </w:rPr>
        <w:t>’s Department for Employment Policies, to examine</w:t>
      </w:r>
      <w:r w:rsidR="00B567BB">
        <w:rPr>
          <w:bCs/>
          <w:sz w:val="22"/>
          <w:szCs w:val="22"/>
        </w:rPr>
        <w:t xml:space="preserve"> the current situation within 5 sectors of </w:t>
      </w:r>
      <w:r w:rsidR="00D50078" w:rsidRPr="00D50078">
        <w:rPr>
          <w:bCs/>
          <w:sz w:val="22"/>
          <w:szCs w:val="22"/>
        </w:rPr>
        <w:t>Türkiye</w:t>
      </w:r>
      <w:r w:rsidR="00D50078">
        <w:rPr>
          <w:bCs/>
          <w:sz w:val="22"/>
          <w:szCs w:val="22"/>
        </w:rPr>
        <w:t xml:space="preserve"> – Education, Health, Energy, Banking/Finance, and ICT. </w:t>
      </w:r>
      <w:r>
        <w:rPr>
          <w:bCs/>
          <w:sz w:val="22"/>
          <w:szCs w:val="22"/>
        </w:rPr>
        <w:t xml:space="preserve">The Report was produced by </w:t>
      </w:r>
      <w:r w:rsidR="007A5887">
        <w:rPr>
          <w:bCs/>
          <w:sz w:val="22"/>
          <w:szCs w:val="22"/>
        </w:rPr>
        <w:t xml:space="preserve">a </w:t>
      </w:r>
      <w:r w:rsidR="00C56DBD">
        <w:rPr>
          <w:bCs/>
          <w:sz w:val="22"/>
          <w:szCs w:val="22"/>
        </w:rPr>
        <w:t>Technical Assistance Team</w:t>
      </w:r>
      <w:r w:rsidR="00162059">
        <w:rPr>
          <w:bCs/>
          <w:sz w:val="22"/>
          <w:szCs w:val="22"/>
        </w:rPr>
        <w:t xml:space="preserve"> (TAT)</w:t>
      </w:r>
      <w:r>
        <w:rPr>
          <w:bCs/>
          <w:sz w:val="22"/>
          <w:szCs w:val="22"/>
        </w:rPr>
        <w:t xml:space="preserve"> working within the EU-funded project ‘Technical Assistance for Promoting Decent Future of Work Approach with a </w:t>
      </w:r>
      <w:r w:rsidR="007A5887">
        <w:rPr>
          <w:bCs/>
          <w:sz w:val="22"/>
          <w:szCs w:val="22"/>
        </w:rPr>
        <w:t>F</w:t>
      </w:r>
      <w:r>
        <w:rPr>
          <w:bCs/>
          <w:sz w:val="22"/>
          <w:szCs w:val="22"/>
        </w:rPr>
        <w:t xml:space="preserve">ocus on Gender Equality’.  </w:t>
      </w:r>
    </w:p>
    <w:p w14:paraId="5D59D738" w14:textId="77777777" w:rsidR="00611D0E" w:rsidRPr="00611D0E" w:rsidRDefault="00611D0E" w:rsidP="00611D0E">
      <w:pPr>
        <w:jc w:val="both"/>
        <w:rPr>
          <w:bCs/>
          <w:sz w:val="22"/>
          <w:szCs w:val="22"/>
        </w:rPr>
      </w:pPr>
    </w:p>
    <w:p w14:paraId="5AA2756E" w14:textId="2390193B" w:rsidR="00611D0E" w:rsidRPr="00611D0E" w:rsidRDefault="00611D0E" w:rsidP="00611D0E">
      <w:pPr>
        <w:jc w:val="both"/>
        <w:rPr>
          <w:bCs/>
          <w:sz w:val="22"/>
          <w:szCs w:val="22"/>
        </w:rPr>
      </w:pPr>
      <w:r w:rsidRPr="00611D0E">
        <w:rPr>
          <w:bCs/>
          <w:sz w:val="22"/>
          <w:szCs w:val="22"/>
        </w:rPr>
        <w:t>The information has been derived from numerous sources</w:t>
      </w:r>
      <w:r w:rsidR="00162059">
        <w:rPr>
          <w:bCs/>
          <w:sz w:val="22"/>
          <w:szCs w:val="22"/>
        </w:rPr>
        <w:t xml:space="preserve"> (each element of which is attached to this Report in a series of standalone Annexes)</w:t>
      </w:r>
      <w:r w:rsidRPr="00611D0E">
        <w:rPr>
          <w:bCs/>
          <w:sz w:val="22"/>
          <w:szCs w:val="22"/>
        </w:rPr>
        <w:t>:</w:t>
      </w:r>
    </w:p>
    <w:p w14:paraId="257FE0FE" w14:textId="77777777" w:rsidR="00611D0E" w:rsidRPr="00611D0E" w:rsidRDefault="00611D0E" w:rsidP="00611D0E">
      <w:pPr>
        <w:jc w:val="both"/>
        <w:rPr>
          <w:bCs/>
          <w:sz w:val="22"/>
          <w:szCs w:val="22"/>
        </w:rPr>
      </w:pPr>
    </w:p>
    <w:p w14:paraId="35E7368F" w14:textId="1C78411B" w:rsidR="00611D0E" w:rsidRPr="00611D0E" w:rsidRDefault="00611D0E" w:rsidP="00EE67D9">
      <w:pPr>
        <w:numPr>
          <w:ilvl w:val="0"/>
          <w:numId w:val="4"/>
        </w:numPr>
        <w:jc w:val="both"/>
        <w:rPr>
          <w:sz w:val="22"/>
          <w:szCs w:val="22"/>
        </w:rPr>
      </w:pPr>
      <w:r w:rsidRPr="00611D0E">
        <w:rPr>
          <w:sz w:val="22"/>
          <w:szCs w:val="22"/>
        </w:rPr>
        <w:t xml:space="preserve">Extensive desk research </w:t>
      </w:r>
      <w:r w:rsidR="00B567BB">
        <w:rPr>
          <w:sz w:val="22"/>
          <w:szCs w:val="22"/>
        </w:rPr>
        <w:t>involving sectoral analyses of each selected sector from a Turkish and an international perspective</w:t>
      </w:r>
      <w:r w:rsidRPr="00611D0E">
        <w:rPr>
          <w:sz w:val="22"/>
          <w:szCs w:val="22"/>
        </w:rPr>
        <w:t>;</w:t>
      </w:r>
    </w:p>
    <w:p w14:paraId="0224CDF7" w14:textId="2B06BD20" w:rsidR="00611D0E" w:rsidRPr="00611D0E" w:rsidRDefault="00611D0E" w:rsidP="00EE67D9">
      <w:pPr>
        <w:numPr>
          <w:ilvl w:val="0"/>
          <w:numId w:val="4"/>
        </w:numPr>
        <w:jc w:val="both"/>
        <w:rPr>
          <w:sz w:val="22"/>
          <w:szCs w:val="22"/>
        </w:rPr>
      </w:pPr>
      <w:r w:rsidRPr="00611D0E">
        <w:rPr>
          <w:sz w:val="22"/>
          <w:szCs w:val="22"/>
        </w:rPr>
        <w:t xml:space="preserve">A </w:t>
      </w:r>
      <w:r w:rsidR="00B567BB">
        <w:rPr>
          <w:sz w:val="22"/>
          <w:szCs w:val="22"/>
        </w:rPr>
        <w:t>series of SWOT Analysis Workshop</w:t>
      </w:r>
      <w:r w:rsidRPr="00611D0E">
        <w:rPr>
          <w:sz w:val="22"/>
          <w:szCs w:val="22"/>
        </w:rPr>
        <w:t>s</w:t>
      </w:r>
      <w:r w:rsidR="00B567BB">
        <w:rPr>
          <w:sz w:val="22"/>
          <w:szCs w:val="22"/>
        </w:rPr>
        <w:t xml:space="preserve"> involving sectoral experts from each sector;</w:t>
      </w:r>
    </w:p>
    <w:p w14:paraId="58FE312E" w14:textId="46A24FC8" w:rsidR="00611D0E" w:rsidRPr="00611D0E" w:rsidRDefault="00611D0E" w:rsidP="00EE67D9">
      <w:pPr>
        <w:numPr>
          <w:ilvl w:val="0"/>
          <w:numId w:val="4"/>
        </w:numPr>
        <w:jc w:val="both"/>
        <w:rPr>
          <w:sz w:val="22"/>
          <w:szCs w:val="22"/>
        </w:rPr>
      </w:pPr>
      <w:r w:rsidRPr="00611D0E">
        <w:rPr>
          <w:sz w:val="22"/>
          <w:szCs w:val="22"/>
        </w:rPr>
        <w:t xml:space="preserve">A Pre-Study Workshop at which </w:t>
      </w:r>
      <w:r w:rsidR="00B567BB">
        <w:rPr>
          <w:sz w:val="22"/>
          <w:szCs w:val="22"/>
        </w:rPr>
        <w:t>77</w:t>
      </w:r>
      <w:r w:rsidRPr="00611D0E">
        <w:rPr>
          <w:sz w:val="22"/>
          <w:szCs w:val="22"/>
        </w:rPr>
        <w:t xml:space="preserve"> representatives of the public</w:t>
      </w:r>
      <w:r w:rsidR="00B567BB">
        <w:rPr>
          <w:sz w:val="22"/>
          <w:szCs w:val="22"/>
        </w:rPr>
        <w:t>, private</w:t>
      </w:r>
      <w:r w:rsidRPr="00611D0E">
        <w:rPr>
          <w:sz w:val="22"/>
          <w:szCs w:val="22"/>
        </w:rPr>
        <w:t xml:space="preserve"> </w:t>
      </w:r>
      <w:r w:rsidR="008923E4">
        <w:rPr>
          <w:sz w:val="22"/>
          <w:szCs w:val="22"/>
        </w:rPr>
        <w:t>and</w:t>
      </w:r>
      <w:r w:rsidRPr="00611D0E">
        <w:rPr>
          <w:sz w:val="22"/>
          <w:szCs w:val="22"/>
        </w:rPr>
        <w:t xml:space="preserve"> third sectors formulated their </w:t>
      </w:r>
      <w:r w:rsidR="00B567BB">
        <w:rPr>
          <w:sz w:val="22"/>
          <w:szCs w:val="22"/>
        </w:rPr>
        <w:t>ideas on the current and future state of their respective sectors</w:t>
      </w:r>
      <w:r w:rsidR="007A5887">
        <w:rPr>
          <w:sz w:val="22"/>
          <w:szCs w:val="22"/>
        </w:rPr>
        <w:t>;</w:t>
      </w:r>
    </w:p>
    <w:p w14:paraId="2AB19140" w14:textId="7C815225" w:rsidR="00611D0E" w:rsidRDefault="007A5887" w:rsidP="00EE67D9">
      <w:pPr>
        <w:numPr>
          <w:ilvl w:val="0"/>
          <w:numId w:val="4"/>
        </w:numPr>
        <w:jc w:val="both"/>
        <w:rPr>
          <w:sz w:val="22"/>
          <w:szCs w:val="22"/>
        </w:rPr>
      </w:pPr>
      <w:r>
        <w:rPr>
          <w:sz w:val="22"/>
          <w:szCs w:val="22"/>
        </w:rPr>
        <w:t xml:space="preserve">A </w:t>
      </w:r>
      <w:r w:rsidR="00611D0E" w:rsidRPr="00611D0E">
        <w:rPr>
          <w:sz w:val="22"/>
          <w:szCs w:val="22"/>
        </w:rPr>
        <w:t xml:space="preserve">field study </w:t>
      </w:r>
      <w:r w:rsidR="00997D3E">
        <w:rPr>
          <w:sz w:val="22"/>
          <w:szCs w:val="22"/>
        </w:rPr>
        <w:t xml:space="preserve">involving </w:t>
      </w:r>
      <w:r w:rsidR="00B567BB">
        <w:rPr>
          <w:sz w:val="22"/>
          <w:szCs w:val="22"/>
        </w:rPr>
        <w:t xml:space="preserve">840 </w:t>
      </w:r>
      <w:r w:rsidR="00997D3E">
        <w:rPr>
          <w:sz w:val="22"/>
          <w:szCs w:val="22"/>
        </w:rPr>
        <w:t>respondents</w:t>
      </w:r>
      <w:r>
        <w:rPr>
          <w:sz w:val="22"/>
          <w:szCs w:val="22"/>
        </w:rPr>
        <w:t xml:space="preserve"> using semi-structured questionnaires</w:t>
      </w:r>
      <w:r w:rsidR="00162059">
        <w:rPr>
          <w:sz w:val="22"/>
          <w:szCs w:val="22"/>
        </w:rPr>
        <w:t>;</w:t>
      </w:r>
      <w:r w:rsidR="00611D0E" w:rsidRPr="00611D0E">
        <w:rPr>
          <w:sz w:val="22"/>
          <w:szCs w:val="22"/>
        </w:rPr>
        <w:t xml:space="preserve"> </w:t>
      </w:r>
    </w:p>
    <w:p w14:paraId="791DFF11" w14:textId="5FBBE38E" w:rsidR="00611D0E" w:rsidRPr="009649DA" w:rsidRDefault="009649DA" w:rsidP="00EE67D9">
      <w:pPr>
        <w:numPr>
          <w:ilvl w:val="0"/>
          <w:numId w:val="4"/>
        </w:numPr>
        <w:jc w:val="both"/>
        <w:rPr>
          <w:bCs/>
          <w:sz w:val="22"/>
          <w:szCs w:val="22"/>
        </w:rPr>
      </w:pPr>
      <w:r w:rsidRPr="009649DA">
        <w:rPr>
          <w:sz w:val="22"/>
          <w:szCs w:val="22"/>
        </w:rPr>
        <w:t xml:space="preserve">A Post-Study Workshop at which </w:t>
      </w:r>
      <w:r w:rsidR="00B567BB">
        <w:rPr>
          <w:sz w:val="22"/>
          <w:szCs w:val="22"/>
        </w:rPr>
        <w:t>96</w:t>
      </w:r>
      <w:r w:rsidRPr="009649DA">
        <w:rPr>
          <w:sz w:val="22"/>
          <w:szCs w:val="22"/>
        </w:rPr>
        <w:t xml:space="preserve"> representatives of the public</w:t>
      </w:r>
      <w:r w:rsidR="00B567BB">
        <w:rPr>
          <w:sz w:val="22"/>
          <w:szCs w:val="22"/>
        </w:rPr>
        <w:t>, private</w:t>
      </w:r>
      <w:r w:rsidRPr="009649DA">
        <w:rPr>
          <w:sz w:val="22"/>
          <w:szCs w:val="22"/>
        </w:rPr>
        <w:t xml:space="preserve"> </w:t>
      </w:r>
      <w:r w:rsidR="008923E4">
        <w:rPr>
          <w:sz w:val="22"/>
          <w:szCs w:val="22"/>
        </w:rPr>
        <w:t>and</w:t>
      </w:r>
      <w:r w:rsidRPr="009649DA">
        <w:rPr>
          <w:sz w:val="22"/>
          <w:szCs w:val="22"/>
        </w:rPr>
        <w:t xml:space="preserve"> third sectors provided feedback to the draft Recommendations.</w:t>
      </w:r>
    </w:p>
    <w:p w14:paraId="370E75B5" w14:textId="77777777" w:rsidR="009649DA" w:rsidRPr="009649DA" w:rsidRDefault="009649DA" w:rsidP="009649DA">
      <w:pPr>
        <w:ind w:left="770"/>
        <w:jc w:val="both"/>
        <w:rPr>
          <w:bCs/>
          <w:sz w:val="22"/>
          <w:szCs w:val="22"/>
        </w:rPr>
      </w:pPr>
    </w:p>
    <w:p w14:paraId="0ECF1F92" w14:textId="5BC84EFE" w:rsidR="00611D0E" w:rsidRPr="00611D0E" w:rsidRDefault="00611D0E" w:rsidP="00611D0E">
      <w:pPr>
        <w:jc w:val="both"/>
        <w:rPr>
          <w:bCs/>
          <w:sz w:val="22"/>
          <w:szCs w:val="22"/>
        </w:rPr>
      </w:pPr>
      <w:r w:rsidRPr="00611D0E">
        <w:rPr>
          <w:bCs/>
          <w:sz w:val="22"/>
          <w:szCs w:val="22"/>
        </w:rPr>
        <w:t xml:space="preserve">This </w:t>
      </w:r>
      <w:r w:rsidR="00E239D5">
        <w:rPr>
          <w:bCs/>
          <w:sz w:val="22"/>
          <w:szCs w:val="22"/>
        </w:rPr>
        <w:t xml:space="preserve">has been </w:t>
      </w:r>
      <w:r w:rsidRPr="00611D0E">
        <w:rPr>
          <w:bCs/>
          <w:sz w:val="22"/>
          <w:szCs w:val="22"/>
        </w:rPr>
        <w:t xml:space="preserve">carefully analysed </w:t>
      </w:r>
      <w:r w:rsidR="008923E4">
        <w:rPr>
          <w:bCs/>
          <w:sz w:val="22"/>
          <w:szCs w:val="22"/>
        </w:rPr>
        <w:t>and</w:t>
      </w:r>
      <w:r w:rsidRPr="00611D0E">
        <w:rPr>
          <w:bCs/>
          <w:sz w:val="22"/>
          <w:szCs w:val="22"/>
        </w:rPr>
        <w:t xml:space="preserve"> processed to produce a series of </w:t>
      </w:r>
      <w:r w:rsidR="00B567BB">
        <w:rPr>
          <w:bCs/>
          <w:sz w:val="22"/>
          <w:szCs w:val="22"/>
        </w:rPr>
        <w:t>10</w:t>
      </w:r>
      <w:r w:rsidR="00D50078">
        <w:rPr>
          <w:bCs/>
          <w:sz w:val="22"/>
          <w:szCs w:val="22"/>
        </w:rPr>
        <w:t>2</w:t>
      </w:r>
      <w:r w:rsidR="007A5887">
        <w:rPr>
          <w:bCs/>
          <w:sz w:val="22"/>
          <w:szCs w:val="22"/>
        </w:rPr>
        <w:t xml:space="preserve"> </w:t>
      </w:r>
      <w:r w:rsidRPr="00611D0E">
        <w:rPr>
          <w:bCs/>
          <w:sz w:val="22"/>
          <w:szCs w:val="22"/>
        </w:rPr>
        <w:t xml:space="preserve">evidence-based recommendations which </w:t>
      </w:r>
      <w:r w:rsidR="00B567BB">
        <w:rPr>
          <w:bCs/>
          <w:sz w:val="22"/>
          <w:szCs w:val="22"/>
        </w:rPr>
        <w:t>are presented in 2 categories: cross-sectoral and sector-specific.</w:t>
      </w:r>
    </w:p>
    <w:p w14:paraId="6BD81820" w14:textId="77777777" w:rsidR="00611D0E" w:rsidRPr="00611D0E" w:rsidRDefault="00611D0E" w:rsidP="00611D0E">
      <w:pPr>
        <w:jc w:val="both"/>
        <w:rPr>
          <w:bCs/>
          <w:sz w:val="22"/>
          <w:szCs w:val="22"/>
        </w:rPr>
      </w:pPr>
    </w:p>
    <w:p w14:paraId="5A9976FA" w14:textId="4BA9DE1E" w:rsidR="0015658F" w:rsidRDefault="00D50078">
      <w:pPr>
        <w:jc w:val="both"/>
        <w:rPr>
          <w:sz w:val="22"/>
          <w:szCs w:val="22"/>
        </w:rPr>
      </w:pPr>
      <w:r>
        <w:rPr>
          <w:sz w:val="22"/>
          <w:szCs w:val="22"/>
        </w:rPr>
        <w:t>The project’s Terms of Reference (ToR) required that 5 sectors be studied</w:t>
      </w:r>
      <w:r w:rsidR="00E239D5">
        <w:rPr>
          <w:sz w:val="22"/>
          <w:szCs w:val="22"/>
        </w:rPr>
        <w:t xml:space="preserve">. </w:t>
      </w:r>
      <w:r>
        <w:rPr>
          <w:sz w:val="22"/>
          <w:szCs w:val="22"/>
        </w:rPr>
        <w:t xml:space="preserve">To provide some element of choice, 7 sectors were initially examined (the 5 which were eventually chosen together with the Automotive and Textile sectors) </w:t>
      </w:r>
      <w:r w:rsidR="0026418C">
        <w:rPr>
          <w:sz w:val="22"/>
          <w:szCs w:val="22"/>
        </w:rPr>
        <w:t xml:space="preserve">through a thorough and deep desk research exercise, </w:t>
      </w:r>
      <w:r>
        <w:rPr>
          <w:sz w:val="22"/>
          <w:szCs w:val="22"/>
        </w:rPr>
        <w:t xml:space="preserve">and MoLSS representatives selected the 5 sectors mentioned above. </w:t>
      </w:r>
    </w:p>
    <w:p w14:paraId="4C71EE9D" w14:textId="49DBDE11" w:rsidR="0026418C" w:rsidRDefault="0026418C">
      <w:pPr>
        <w:jc w:val="both"/>
        <w:rPr>
          <w:sz w:val="22"/>
          <w:szCs w:val="22"/>
        </w:rPr>
      </w:pPr>
    </w:p>
    <w:p w14:paraId="1BA026C2" w14:textId="77777777" w:rsidR="00103D98" w:rsidRDefault="00103D98" w:rsidP="00103D98">
      <w:pPr>
        <w:jc w:val="both"/>
        <w:rPr>
          <w:sz w:val="22"/>
          <w:szCs w:val="22"/>
        </w:rPr>
      </w:pPr>
      <w:r>
        <w:rPr>
          <w:sz w:val="22"/>
          <w:szCs w:val="22"/>
        </w:rPr>
        <w:t xml:space="preserve">The study was conducted against a backdrop of increasing changes in the World of Work. Already, the impact of increased digitalisation is being felt in the way we bank and the way we shop, with significant moves towards online services. Commentators suggest that, by 2030, some 7.5m jobs will be lost in </w:t>
      </w:r>
      <w:r w:rsidRPr="00103D98">
        <w:rPr>
          <w:sz w:val="22"/>
          <w:szCs w:val="22"/>
        </w:rPr>
        <w:t>Türkiye</w:t>
      </w:r>
      <w:r>
        <w:rPr>
          <w:sz w:val="22"/>
          <w:szCs w:val="22"/>
        </w:rPr>
        <w:t xml:space="preserve"> through the forces of digitalisation, robotisation, automation and AI, although the same commentators predict that some 9m new jobs can be created by the very forces which will have eliminated the older jobs in the first place. But, to take advantage of the new job opportunities, new skills will be needed, which will require existing workers to adapt, and a new generation of workers to be prepared. The extent to which </w:t>
      </w:r>
      <w:r w:rsidRPr="00103D98">
        <w:rPr>
          <w:sz w:val="22"/>
          <w:szCs w:val="22"/>
        </w:rPr>
        <w:t>Türkiye</w:t>
      </w:r>
      <w:r>
        <w:rPr>
          <w:sz w:val="22"/>
          <w:szCs w:val="22"/>
        </w:rPr>
        <w:t xml:space="preserve"> is successful in meeting the challenges of this process of transition will depend on the preparedness of the private and public sectors – the former to identify and train for the new skills, and the latter to create awareness for the changes and develop policies and strategies to support them. </w:t>
      </w:r>
    </w:p>
    <w:p w14:paraId="73146D0F" w14:textId="77777777" w:rsidR="00103D98" w:rsidRDefault="00103D98" w:rsidP="00103D98">
      <w:pPr>
        <w:jc w:val="both"/>
        <w:rPr>
          <w:sz w:val="22"/>
          <w:szCs w:val="22"/>
        </w:rPr>
      </w:pPr>
    </w:p>
    <w:p w14:paraId="0A7CA3F1" w14:textId="77777777" w:rsidR="00F45B11" w:rsidRDefault="00103D98" w:rsidP="00103D98">
      <w:pPr>
        <w:jc w:val="both"/>
        <w:rPr>
          <w:sz w:val="22"/>
          <w:szCs w:val="22"/>
        </w:rPr>
      </w:pPr>
      <w:r>
        <w:rPr>
          <w:sz w:val="22"/>
          <w:szCs w:val="22"/>
        </w:rPr>
        <w:t xml:space="preserve">These factors underpinned the study covered in this Report. </w:t>
      </w:r>
      <w:r w:rsidR="00F45B11">
        <w:rPr>
          <w:sz w:val="22"/>
          <w:szCs w:val="22"/>
        </w:rPr>
        <w:t xml:space="preserve">Through extensive dialogue with many interested stakeholders - employers, employees and sector experts from the public and private sectors - a picture emerged of how stakeholders perceived the changes which would affect them, and the extent to which they were ready for them. </w:t>
      </w:r>
    </w:p>
    <w:p w14:paraId="363AC17D" w14:textId="77777777" w:rsidR="00715D0F" w:rsidRDefault="00F45B11" w:rsidP="00103D98">
      <w:pPr>
        <w:jc w:val="both"/>
        <w:rPr>
          <w:sz w:val="22"/>
          <w:szCs w:val="22"/>
        </w:rPr>
      </w:pPr>
      <w:r>
        <w:rPr>
          <w:sz w:val="22"/>
          <w:szCs w:val="22"/>
        </w:rPr>
        <w:lastRenderedPageBreak/>
        <w:t>The study included a focus on gender in order to asse</w:t>
      </w:r>
      <w:r w:rsidR="00715D0F">
        <w:rPr>
          <w:sz w:val="22"/>
          <w:szCs w:val="22"/>
        </w:rPr>
        <w:t>s</w:t>
      </w:r>
      <w:r>
        <w:rPr>
          <w:sz w:val="22"/>
          <w:szCs w:val="22"/>
        </w:rPr>
        <w:t xml:space="preserve">s the extent to which women might be disproportionately affected by the changes. In </w:t>
      </w:r>
      <w:r w:rsidRPr="00103D98">
        <w:rPr>
          <w:sz w:val="22"/>
          <w:szCs w:val="22"/>
        </w:rPr>
        <w:t>Türkiye</w:t>
      </w:r>
      <w:r>
        <w:rPr>
          <w:sz w:val="22"/>
          <w:szCs w:val="22"/>
        </w:rPr>
        <w:t xml:space="preserve">, women appear to be less drawn to technologically-oriented professions, and could, therefore, be more severely impacted by a future in which technology-related jobs may predominate. In fact, this is not a specifically Turkish phenomenon. A study visit to Finland in October 2022, in which TAT accompanied 8 representatives of MoLSS to consider how that country was facing up to similar challenges, revealed that Finnish women too tended to opt for careers outside of technology, despite scoring as well or better than </w:t>
      </w:r>
      <w:r w:rsidR="00715D0F">
        <w:rPr>
          <w:sz w:val="22"/>
          <w:szCs w:val="22"/>
        </w:rPr>
        <w:t>males in technology at academic levels prior to joining the workforce. Finnish institutions were at something of a loss in explaining the reasons for this, but it did reflect the fact that this is an issue which has broad implications and which will need to be addressed.</w:t>
      </w:r>
    </w:p>
    <w:p w14:paraId="16D96F1E" w14:textId="77777777" w:rsidR="00715D0F" w:rsidRDefault="00715D0F" w:rsidP="00103D98">
      <w:pPr>
        <w:jc w:val="both"/>
        <w:rPr>
          <w:sz w:val="22"/>
          <w:szCs w:val="22"/>
        </w:rPr>
      </w:pPr>
    </w:p>
    <w:p w14:paraId="2E8894F6" w14:textId="77777777" w:rsidR="00715D0F" w:rsidRDefault="00715D0F" w:rsidP="00715D0F">
      <w:pPr>
        <w:jc w:val="both"/>
        <w:rPr>
          <w:rFonts w:cstheme="minorHAnsi"/>
          <w:sz w:val="22"/>
          <w:szCs w:val="22"/>
        </w:rPr>
      </w:pPr>
      <w:r w:rsidRPr="00F93E34">
        <w:rPr>
          <w:rFonts w:cstheme="minorHAnsi"/>
          <w:sz w:val="22"/>
          <w:szCs w:val="22"/>
        </w:rPr>
        <w:t xml:space="preserve">This Report is the result of a collaborative effort </w:t>
      </w:r>
      <w:r>
        <w:rPr>
          <w:rFonts w:cstheme="minorHAnsi"/>
          <w:sz w:val="22"/>
          <w:szCs w:val="22"/>
        </w:rPr>
        <w:t>to</w:t>
      </w:r>
      <w:r w:rsidRPr="00F93E34">
        <w:rPr>
          <w:rFonts w:cstheme="minorHAnsi"/>
          <w:sz w:val="22"/>
          <w:szCs w:val="22"/>
        </w:rPr>
        <w:t xml:space="preserve"> which many stakeholders</w:t>
      </w:r>
      <w:r>
        <w:rPr>
          <w:rFonts w:cstheme="minorHAnsi"/>
          <w:sz w:val="22"/>
          <w:szCs w:val="22"/>
        </w:rPr>
        <w:t xml:space="preserve"> have contributed with their time, ideas and comments. This has been greatly appreciated by the project team, who have been very impressed by the depth of knowledge and commitment they have encountered during the assignment.</w:t>
      </w:r>
    </w:p>
    <w:p w14:paraId="2A401803" w14:textId="071DA1EB" w:rsidR="00103D98" w:rsidRDefault="00715D0F" w:rsidP="00103D98">
      <w:pPr>
        <w:jc w:val="both"/>
        <w:rPr>
          <w:color w:val="201F1E"/>
          <w:shd w:val="clear" w:color="auto" w:fill="FFFFFF"/>
        </w:rPr>
      </w:pPr>
      <w:r>
        <w:rPr>
          <w:sz w:val="22"/>
          <w:szCs w:val="22"/>
        </w:rPr>
        <w:t xml:space="preserve"> </w:t>
      </w:r>
      <w:r w:rsidR="00103D98">
        <w:rPr>
          <w:sz w:val="22"/>
          <w:szCs w:val="22"/>
        </w:rPr>
        <w:t xml:space="preserve"> </w:t>
      </w:r>
    </w:p>
    <w:p w14:paraId="12E314A2" w14:textId="77777777" w:rsidR="0026418C" w:rsidRDefault="0026418C">
      <w:pPr>
        <w:jc w:val="both"/>
        <w:rPr>
          <w:sz w:val="22"/>
          <w:szCs w:val="22"/>
        </w:rPr>
      </w:pPr>
    </w:p>
    <w:p w14:paraId="044F9401" w14:textId="77777777" w:rsidR="00611D0E" w:rsidRDefault="00611D0E">
      <w:pPr>
        <w:jc w:val="both"/>
        <w:rPr>
          <w:sz w:val="22"/>
          <w:szCs w:val="22"/>
        </w:rPr>
      </w:pPr>
    </w:p>
    <w:p w14:paraId="4C763EFE" w14:textId="77777777" w:rsidR="0015658F" w:rsidRDefault="006A3AF5">
      <w:pPr>
        <w:jc w:val="both"/>
        <w:rPr>
          <w:b/>
          <w:sz w:val="22"/>
          <w:szCs w:val="22"/>
        </w:rPr>
      </w:pPr>
      <w:r>
        <w:rPr>
          <w:b/>
          <w:sz w:val="22"/>
          <w:szCs w:val="22"/>
        </w:rPr>
        <w:t>FoW TAT</w:t>
      </w:r>
    </w:p>
    <w:p w14:paraId="6F5B7EDF" w14:textId="461185E0" w:rsidR="00B567BB" w:rsidRDefault="00162059">
      <w:pPr>
        <w:jc w:val="both"/>
        <w:rPr>
          <w:b/>
          <w:sz w:val="22"/>
          <w:szCs w:val="22"/>
        </w:rPr>
      </w:pPr>
      <w:r>
        <w:rPr>
          <w:b/>
          <w:sz w:val="22"/>
          <w:szCs w:val="22"/>
        </w:rPr>
        <w:t>October</w:t>
      </w:r>
      <w:r w:rsidR="006A3AF5">
        <w:rPr>
          <w:b/>
          <w:sz w:val="22"/>
          <w:szCs w:val="22"/>
        </w:rPr>
        <w:t xml:space="preserve"> 2022</w:t>
      </w:r>
    </w:p>
    <w:p w14:paraId="73595B53" w14:textId="0A70768E" w:rsidR="0015658F" w:rsidRDefault="00B567BB" w:rsidP="00B567BB">
      <w:pPr>
        <w:rPr>
          <w:b/>
          <w:sz w:val="22"/>
          <w:szCs w:val="22"/>
        </w:rPr>
      </w:pPr>
      <w:r>
        <w:rPr>
          <w:b/>
          <w:sz w:val="22"/>
          <w:szCs w:val="22"/>
        </w:rPr>
        <w:br w:type="page"/>
      </w:r>
    </w:p>
    <w:p w14:paraId="4030ABFC" w14:textId="043B28B6" w:rsidR="0015658F" w:rsidRPr="00DD72BE" w:rsidRDefault="008654D3" w:rsidP="00DD72BE">
      <w:pPr>
        <w:pStyle w:val="Heading1"/>
      </w:pPr>
      <w:bookmarkStart w:id="3" w:name="_heading=h.1fob9te" w:colFirst="0" w:colLast="0"/>
      <w:bookmarkStart w:id="4" w:name="_Toc118366138"/>
      <w:bookmarkEnd w:id="3"/>
      <w:r w:rsidRPr="00DD72BE">
        <w:lastRenderedPageBreak/>
        <w:t xml:space="preserve">1. </w:t>
      </w:r>
      <w:r w:rsidR="006A3AF5" w:rsidRPr="00DD72BE">
        <w:t xml:space="preserve">INTRODUCTION </w:t>
      </w:r>
      <w:r w:rsidR="008923E4" w:rsidRPr="00DD72BE">
        <w:t>AND</w:t>
      </w:r>
      <w:r w:rsidR="006A3AF5" w:rsidRPr="00DD72BE">
        <w:t xml:space="preserve"> BACKGROUND OF THE STUDY</w:t>
      </w:r>
      <w:bookmarkEnd w:id="4"/>
    </w:p>
    <w:p w14:paraId="17020CE7" w14:textId="1478A29B" w:rsidR="00C56DBD" w:rsidRPr="00DD72BE" w:rsidRDefault="00C56DBD" w:rsidP="00DD72BE">
      <w:pPr>
        <w:pStyle w:val="Heading2"/>
      </w:pPr>
      <w:bookmarkStart w:id="5" w:name="_Toc118366139"/>
      <w:r w:rsidRPr="00DD72BE">
        <w:t>1.1 Aim</w:t>
      </w:r>
      <w:bookmarkEnd w:id="5"/>
    </w:p>
    <w:p w14:paraId="59512745" w14:textId="6FBE503B" w:rsidR="009527C3" w:rsidRDefault="009527C3" w:rsidP="00085C9F">
      <w:pPr>
        <w:jc w:val="both"/>
        <w:rPr>
          <w:sz w:val="22"/>
          <w:szCs w:val="22"/>
        </w:rPr>
      </w:pPr>
      <w:r>
        <w:rPr>
          <w:sz w:val="22"/>
          <w:szCs w:val="22"/>
        </w:rPr>
        <w:t xml:space="preserve">The primary aim of this </w:t>
      </w:r>
      <w:r w:rsidR="000675DB">
        <w:rPr>
          <w:sz w:val="22"/>
          <w:szCs w:val="22"/>
        </w:rPr>
        <w:t>R</w:t>
      </w:r>
      <w:r>
        <w:rPr>
          <w:sz w:val="22"/>
          <w:szCs w:val="22"/>
        </w:rPr>
        <w:t>eport, and the research it summarises</w:t>
      </w:r>
      <w:r w:rsidR="00B567BB">
        <w:rPr>
          <w:sz w:val="22"/>
          <w:szCs w:val="22"/>
        </w:rPr>
        <w:t>,</w:t>
      </w:r>
      <w:r>
        <w:rPr>
          <w:sz w:val="22"/>
          <w:szCs w:val="22"/>
        </w:rPr>
        <w:t xml:space="preserve"> was to </w:t>
      </w:r>
      <w:r w:rsidR="0026418C">
        <w:rPr>
          <w:sz w:val="22"/>
          <w:szCs w:val="22"/>
        </w:rPr>
        <w:t xml:space="preserve">enable </w:t>
      </w:r>
      <w:r>
        <w:rPr>
          <w:sz w:val="22"/>
          <w:szCs w:val="22"/>
        </w:rPr>
        <w:t xml:space="preserve">Turkish policy-makers </w:t>
      </w:r>
      <w:r w:rsidR="0026418C">
        <w:rPr>
          <w:sz w:val="22"/>
          <w:szCs w:val="22"/>
        </w:rPr>
        <w:t>to understand how different sectors were preparing for the changes which will</w:t>
      </w:r>
      <w:r w:rsidR="00085C9F">
        <w:rPr>
          <w:sz w:val="22"/>
          <w:szCs w:val="22"/>
        </w:rPr>
        <w:t xml:space="preserve"> impact them - from greater moves towards digitalisation, automation, AI, etc. – and to understand which policies or strategies might be needed to support their transition. </w:t>
      </w:r>
    </w:p>
    <w:p w14:paraId="725263A1" w14:textId="5DC50AF4" w:rsidR="009527C3" w:rsidRDefault="009527C3" w:rsidP="009527C3">
      <w:pPr>
        <w:jc w:val="both"/>
        <w:rPr>
          <w:sz w:val="22"/>
          <w:szCs w:val="22"/>
        </w:rPr>
      </w:pPr>
    </w:p>
    <w:p w14:paraId="48FC1D2D" w14:textId="39C6A36F" w:rsidR="00C56DBD" w:rsidRPr="00DD72BE" w:rsidRDefault="00C56DBD" w:rsidP="00DD72BE">
      <w:pPr>
        <w:pStyle w:val="Heading2"/>
      </w:pPr>
      <w:bookmarkStart w:id="6" w:name="_Toc118366140"/>
      <w:r w:rsidRPr="00DD72BE">
        <w:t>1.2 Scope</w:t>
      </w:r>
      <w:bookmarkEnd w:id="6"/>
    </w:p>
    <w:p w14:paraId="6B420908" w14:textId="2D06CA79" w:rsidR="009527C3" w:rsidRPr="009527C3" w:rsidRDefault="009527C3" w:rsidP="009527C3">
      <w:pPr>
        <w:jc w:val="both"/>
        <w:rPr>
          <w:sz w:val="22"/>
          <w:szCs w:val="22"/>
        </w:rPr>
      </w:pPr>
      <w:r>
        <w:rPr>
          <w:sz w:val="22"/>
          <w:szCs w:val="22"/>
        </w:rPr>
        <w:t xml:space="preserve">The scope of the research was </w:t>
      </w:r>
      <w:r w:rsidR="00085C9F">
        <w:rPr>
          <w:sz w:val="22"/>
          <w:szCs w:val="22"/>
        </w:rPr>
        <w:t xml:space="preserve">broad, involving public and private organisations and companies in 5 selected sectors, and covering a geographic spread including 5 provinces – Adana, Ankara, Bursa, Istanbul and Izmir. 840 people were interviewed, face-to-face, representing a mix of employees, employers and sector experts from the 5 sectors in the 5 provinces. </w:t>
      </w:r>
    </w:p>
    <w:p w14:paraId="7CFD4731" w14:textId="71F7A85A" w:rsidR="009527C3" w:rsidRDefault="009527C3">
      <w:pPr>
        <w:jc w:val="both"/>
        <w:rPr>
          <w:sz w:val="22"/>
          <w:szCs w:val="22"/>
        </w:rPr>
      </w:pPr>
    </w:p>
    <w:p w14:paraId="16BBD53F" w14:textId="5B03BF16" w:rsidR="00C56DBD" w:rsidRPr="00333642" w:rsidRDefault="00C56DBD" w:rsidP="00333642">
      <w:pPr>
        <w:pStyle w:val="Heading2"/>
      </w:pPr>
      <w:bookmarkStart w:id="7" w:name="_Toc118366141"/>
      <w:r w:rsidRPr="000675DB">
        <w:t>1</w:t>
      </w:r>
      <w:r w:rsidRPr="00DD72BE">
        <w:t>.3 Commissioning the Work</w:t>
      </w:r>
      <w:bookmarkEnd w:id="7"/>
    </w:p>
    <w:p w14:paraId="4590DEC1" w14:textId="7D51F399" w:rsidR="00B567BB" w:rsidRDefault="009527C3">
      <w:pPr>
        <w:jc w:val="both"/>
        <w:rPr>
          <w:bCs/>
          <w:sz w:val="22"/>
          <w:szCs w:val="22"/>
        </w:rPr>
      </w:pPr>
      <w:r>
        <w:rPr>
          <w:bCs/>
          <w:sz w:val="22"/>
          <w:szCs w:val="22"/>
        </w:rPr>
        <w:t>The Report was commissioned by the Turkish Ministry of Labour and Social Security (MoLSS)’s Department for Employment Policies, to e</w:t>
      </w:r>
      <w:r w:rsidR="00085C9F">
        <w:rPr>
          <w:bCs/>
          <w:sz w:val="22"/>
          <w:szCs w:val="22"/>
        </w:rPr>
        <w:t xml:space="preserve">nable them to understand how sectors were, or were not, preparing for workplace change, and, thereby, to understand how MoLSS might be better able to support them with new policies and strategies. </w:t>
      </w:r>
      <w:r>
        <w:rPr>
          <w:bCs/>
          <w:sz w:val="22"/>
          <w:szCs w:val="22"/>
        </w:rPr>
        <w:t xml:space="preserve">The Report was produced by a project team working within the EU-funded project ‘Technical Assistance for Promoting Decent Future of Work Approach with a Focus on Gender Equality’. </w:t>
      </w:r>
    </w:p>
    <w:p w14:paraId="6A403ABE" w14:textId="461598BA" w:rsidR="00C56DBD" w:rsidRPr="000675DB" w:rsidRDefault="009527C3">
      <w:pPr>
        <w:jc w:val="both"/>
        <w:rPr>
          <w:bCs/>
          <w:sz w:val="22"/>
          <w:szCs w:val="22"/>
        </w:rPr>
      </w:pPr>
      <w:r>
        <w:rPr>
          <w:bCs/>
          <w:sz w:val="22"/>
          <w:szCs w:val="22"/>
        </w:rPr>
        <w:t xml:space="preserve"> </w:t>
      </w:r>
    </w:p>
    <w:p w14:paraId="475854AB" w14:textId="44739C91" w:rsidR="009527C3" w:rsidRDefault="009527C3">
      <w:pPr>
        <w:jc w:val="both"/>
        <w:rPr>
          <w:sz w:val="22"/>
          <w:szCs w:val="22"/>
        </w:rPr>
      </w:pPr>
      <w:r>
        <w:rPr>
          <w:sz w:val="22"/>
          <w:szCs w:val="22"/>
        </w:rPr>
        <w:t>The project</w:t>
      </w:r>
      <w:r w:rsidR="00C56DBD">
        <w:rPr>
          <w:sz w:val="22"/>
          <w:szCs w:val="22"/>
        </w:rPr>
        <w:t xml:space="preserve">’s Technical Assistance Team </w:t>
      </w:r>
      <w:r>
        <w:rPr>
          <w:sz w:val="22"/>
          <w:szCs w:val="22"/>
        </w:rPr>
        <w:t xml:space="preserve">contracted a </w:t>
      </w:r>
      <w:r w:rsidR="00085C9F">
        <w:rPr>
          <w:sz w:val="22"/>
          <w:szCs w:val="22"/>
        </w:rPr>
        <w:t xml:space="preserve">team of </w:t>
      </w:r>
      <w:r>
        <w:rPr>
          <w:sz w:val="22"/>
          <w:szCs w:val="22"/>
        </w:rPr>
        <w:t>research expert</w:t>
      </w:r>
      <w:r w:rsidR="00085C9F">
        <w:rPr>
          <w:sz w:val="22"/>
          <w:szCs w:val="22"/>
        </w:rPr>
        <w:t xml:space="preserve">s </w:t>
      </w:r>
      <w:r>
        <w:rPr>
          <w:sz w:val="22"/>
          <w:szCs w:val="22"/>
        </w:rPr>
        <w:t xml:space="preserve">to conduct the field research and to contribute to the drafting of the recommendations and this </w:t>
      </w:r>
      <w:r w:rsidR="000675DB">
        <w:rPr>
          <w:sz w:val="22"/>
          <w:szCs w:val="22"/>
        </w:rPr>
        <w:t>R</w:t>
      </w:r>
      <w:r>
        <w:rPr>
          <w:sz w:val="22"/>
          <w:szCs w:val="22"/>
        </w:rPr>
        <w:t xml:space="preserve">eport. In all, </w:t>
      </w:r>
      <w:r w:rsidR="00085C9F">
        <w:rPr>
          <w:sz w:val="22"/>
          <w:szCs w:val="22"/>
        </w:rPr>
        <w:t>286</w:t>
      </w:r>
      <w:r>
        <w:rPr>
          <w:sz w:val="22"/>
          <w:szCs w:val="22"/>
        </w:rPr>
        <w:t xml:space="preserve"> expert days were deployed to this exercise, which began in April 2022 and was concluded in August 2023.</w:t>
      </w:r>
    </w:p>
    <w:p w14:paraId="758EDF74" w14:textId="051F4C2C" w:rsidR="00C56DBD" w:rsidRDefault="00C56DBD">
      <w:pPr>
        <w:jc w:val="both"/>
        <w:rPr>
          <w:sz w:val="22"/>
          <w:szCs w:val="22"/>
        </w:rPr>
      </w:pPr>
    </w:p>
    <w:p w14:paraId="52159670" w14:textId="00947972" w:rsidR="00C56DBD" w:rsidRPr="00DD72BE" w:rsidRDefault="00C56DBD" w:rsidP="00DD72BE">
      <w:pPr>
        <w:pStyle w:val="Heading2"/>
      </w:pPr>
      <w:bookmarkStart w:id="8" w:name="_Toc118366142"/>
      <w:r w:rsidRPr="00DD72BE">
        <w:t>1.4 Context</w:t>
      </w:r>
      <w:r w:rsidR="000675DB" w:rsidRPr="00DD72BE">
        <w:t xml:space="preserve"> and Focus</w:t>
      </w:r>
      <w:bookmarkEnd w:id="8"/>
    </w:p>
    <w:p w14:paraId="16EA8F51" w14:textId="77777777" w:rsidR="000675DB" w:rsidRDefault="000675DB" w:rsidP="000675DB">
      <w:pPr>
        <w:jc w:val="both"/>
        <w:rPr>
          <w:sz w:val="22"/>
          <w:szCs w:val="22"/>
        </w:rPr>
      </w:pPr>
      <w:r>
        <w:rPr>
          <w:sz w:val="22"/>
          <w:szCs w:val="22"/>
        </w:rPr>
        <w:t xml:space="preserve">The project, </w:t>
      </w:r>
      <w:r>
        <w:rPr>
          <w:bCs/>
          <w:sz w:val="22"/>
          <w:szCs w:val="22"/>
        </w:rPr>
        <w:t xml:space="preserve">Technical Assistance for Promoting Decent Future of Work Approach with a Focus on Gender Equality was given a </w:t>
      </w:r>
      <w:r>
        <w:rPr>
          <w:sz w:val="22"/>
          <w:szCs w:val="22"/>
        </w:rPr>
        <w:t>Terms of Reference (ToR) which set the following task for the Technical Assistance Team:</w:t>
      </w:r>
    </w:p>
    <w:p w14:paraId="3F88C482" w14:textId="77777777" w:rsidR="000675DB" w:rsidRDefault="000675DB" w:rsidP="000675DB">
      <w:pPr>
        <w:jc w:val="both"/>
        <w:rPr>
          <w:b/>
          <w:sz w:val="22"/>
          <w:szCs w:val="22"/>
        </w:rPr>
      </w:pPr>
      <w:r>
        <w:rPr>
          <w:b/>
          <w:sz w:val="22"/>
          <w:szCs w:val="22"/>
        </w:rPr>
        <w:t xml:space="preserve"> </w:t>
      </w:r>
    </w:p>
    <w:p w14:paraId="03636298" w14:textId="4D363868" w:rsidR="000675DB" w:rsidRDefault="00085C9F" w:rsidP="000675DB">
      <w:pPr>
        <w:jc w:val="both"/>
        <w:rPr>
          <w:i/>
          <w:sz w:val="22"/>
          <w:szCs w:val="22"/>
        </w:rPr>
      </w:pPr>
      <w:r w:rsidRPr="00541471">
        <w:rPr>
          <w:i/>
          <w:iCs/>
          <w:sz w:val="22"/>
          <w:szCs w:val="22"/>
        </w:rPr>
        <w:t>Sector studies will be conducted in five sectors to determine their labour demands, skills and occupations within the scope of Future of Work approach. Indicative sectors which are chosen in accordance to the ILO Reports issued on 2017 and 2019</w:t>
      </w:r>
      <w:r w:rsidRPr="00541471">
        <w:rPr>
          <w:i/>
          <w:iCs/>
          <w:sz w:val="22"/>
          <w:szCs w:val="22"/>
        </w:rPr>
        <w:footnoteReference w:id="1"/>
      </w:r>
      <w:r w:rsidRPr="00541471">
        <w:rPr>
          <w:i/>
          <w:iCs/>
          <w:sz w:val="22"/>
          <w:szCs w:val="22"/>
        </w:rPr>
        <w:t xml:space="preserve">, can be chosen among informatics/automation, education, health, transportation, media/communication, energy, finance and banking sectors, etc.  Final decision to define 5 sectors is subject to the prior approval of the Operation Beneficiary. Each sector analysis will be carried out in the perspective of the prominent professions of the future, the qualifications of the labour force that will be needed, the lost professions, the policy proposals that are compatible with the works of the future, etc. The research will be carried out as desk study in the light of current social and technological developments and academic and scientific studies. The research will include also 750 indicative face to face interviews (30 people from each sector </w:t>
      </w:r>
      <w:r w:rsidRPr="00541471">
        <w:rPr>
          <w:i/>
          <w:iCs/>
          <w:sz w:val="22"/>
          <w:szCs w:val="22"/>
        </w:rPr>
        <w:lastRenderedPageBreak/>
        <w:t>and from each city) with representatives of institutions/organisations, employers, employees, etc.  in Ankara, Adana, Bursa, İstanbul and İzmir. A detailed report will be drafted in English with executive Turkish summary by including each sector and it will be used to update relevant strategy plans and/or policies. It will be published on the official web site of the Operation Beneficiary.</w:t>
      </w:r>
    </w:p>
    <w:p w14:paraId="205498FE" w14:textId="77777777" w:rsidR="00333642" w:rsidRDefault="00333642">
      <w:pPr>
        <w:jc w:val="both"/>
        <w:rPr>
          <w:sz w:val="22"/>
          <w:szCs w:val="22"/>
        </w:rPr>
      </w:pPr>
      <w:bookmarkStart w:id="9" w:name="_heading=h.3znysh7" w:colFirst="0" w:colLast="0"/>
      <w:bookmarkEnd w:id="9"/>
    </w:p>
    <w:p w14:paraId="63AA7F7B" w14:textId="687E08DC" w:rsidR="008654D3" w:rsidRPr="00DD72BE" w:rsidRDefault="008654D3" w:rsidP="00DD72BE">
      <w:pPr>
        <w:pStyle w:val="Heading1"/>
      </w:pPr>
      <w:bookmarkStart w:id="10" w:name="_Toc118366143"/>
      <w:r w:rsidRPr="00DD72BE">
        <w:t xml:space="preserve">2. </w:t>
      </w:r>
      <w:r w:rsidR="00CF6DEA" w:rsidRPr="00DD72BE">
        <w:t>RESEARCH METHODOLOGY AND APPROACH</w:t>
      </w:r>
      <w:bookmarkEnd w:id="10"/>
    </w:p>
    <w:p w14:paraId="7C9EB3F7" w14:textId="7C3E6422" w:rsidR="00CF6DEA" w:rsidRPr="00DD72BE" w:rsidRDefault="00CF6DEA" w:rsidP="00DD72BE">
      <w:pPr>
        <w:pStyle w:val="Heading2"/>
      </w:pPr>
      <w:bookmarkStart w:id="11" w:name="_Toc118366144"/>
      <w:r w:rsidRPr="00DD72BE">
        <w:t>2.1 Outline Methodology</w:t>
      </w:r>
      <w:bookmarkEnd w:id="11"/>
      <w:r w:rsidRPr="00DD72BE">
        <w:t xml:space="preserve"> </w:t>
      </w:r>
    </w:p>
    <w:p w14:paraId="6F6B0769" w14:textId="62E99CBF" w:rsidR="00CF6DEA" w:rsidRDefault="00CF6DEA" w:rsidP="00CF6DEA">
      <w:pPr>
        <w:jc w:val="both"/>
        <w:rPr>
          <w:sz w:val="22"/>
          <w:szCs w:val="22"/>
        </w:rPr>
      </w:pPr>
      <w:r>
        <w:rPr>
          <w:sz w:val="22"/>
          <w:szCs w:val="22"/>
        </w:rPr>
        <w:t xml:space="preserve">The Project Technical Assistance Team, together with the research expert, carried out </w:t>
      </w:r>
      <w:r w:rsidR="004A2ED4">
        <w:rPr>
          <w:sz w:val="22"/>
          <w:szCs w:val="22"/>
        </w:rPr>
        <w:t>6</w:t>
      </w:r>
      <w:r>
        <w:rPr>
          <w:sz w:val="22"/>
          <w:szCs w:val="22"/>
        </w:rPr>
        <w:t xml:space="preserve"> levels of research into the </w:t>
      </w:r>
      <w:r w:rsidR="004A2ED4">
        <w:rPr>
          <w:sz w:val="22"/>
          <w:szCs w:val="22"/>
        </w:rPr>
        <w:t>issues affecting 5 selected sectors with regard to present and future needs for skills, together with other policy-related issues which were impacting or could impact these sectors now and into the future</w:t>
      </w:r>
      <w:r>
        <w:rPr>
          <w:sz w:val="22"/>
          <w:szCs w:val="22"/>
        </w:rPr>
        <w:t>:</w:t>
      </w:r>
    </w:p>
    <w:p w14:paraId="78082A92" w14:textId="77777777" w:rsidR="00CF6DEA" w:rsidRDefault="00CF6DEA" w:rsidP="00CF6DEA">
      <w:pPr>
        <w:jc w:val="both"/>
        <w:rPr>
          <w:sz w:val="22"/>
          <w:szCs w:val="22"/>
        </w:rPr>
      </w:pPr>
    </w:p>
    <w:p w14:paraId="6C5624BD" w14:textId="08F41823" w:rsidR="00CF6DEA" w:rsidRDefault="00CF6DEA" w:rsidP="00EE67D9">
      <w:pPr>
        <w:numPr>
          <w:ilvl w:val="0"/>
          <w:numId w:val="2"/>
        </w:numPr>
        <w:pBdr>
          <w:top w:val="nil"/>
          <w:left w:val="nil"/>
          <w:bottom w:val="nil"/>
          <w:right w:val="nil"/>
          <w:between w:val="nil"/>
        </w:pBdr>
        <w:jc w:val="both"/>
        <w:rPr>
          <w:color w:val="000000"/>
          <w:sz w:val="22"/>
          <w:szCs w:val="22"/>
        </w:rPr>
      </w:pPr>
      <w:r>
        <w:rPr>
          <w:color w:val="000000"/>
          <w:sz w:val="22"/>
          <w:szCs w:val="22"/>
        </w:rPr>
        <w:t>Extensive desk research into international and Turkish approaches;</w:t>
      </w:r>
    </w:p>
    <w:p w14:paraId="3FCC50AF" w14:textId="67A85A5C" w:rsidR="00CF6DEA" w:rsidRPr="00A02D07" w:rsidRDefault="004A2ED4" w:rsidP="00EE67D9">
      <w:pPr>
        <w:numPr>
          <w:ilvl w:val="0"/>
          <w:numId w:val="2"/>
        </w:numPr>
        <w:pBdr>
          <w:top w:val="nil"/>
          <w:left w:val="nil"/>
          <w:bottom w:val="nil"/>
          <w:right w:val="nil"/>
          <w:between w:val="nil"/>
        </w:pBdr>
        <w:jc w:val="both"/>
        <w:rPr>
          <w:color w:val="000000"/>
          <w:sz w:val="22"/>
          <w:szCs w:val="22"/>
        </w:rPr>
      </w:pPr>
      <w:r>
        <w:rPr>
          <w:color w:val="000000"/>
          <w:sz w:val="22"/>
          <w:szCs w:val="22"/>
        </w:rPr>
        <w:t>A series of 5 online SWOT Analysis Workshops</w:t>
      </w:r>
      <w:r w:rsidR="00067ECE">
        <w:rPr>
          <w:color w:val="000000"/>
          <w:sz w:val="22"/>
          <w:szCs w:val="22"/>
        </w:rPr>
        <w:t xml:space="preserve"> (1 for each selected sector)</w:t>
      </w:r>
      <w:r>
        <w:rPr>
          <w:color w:val="000000"/>
          <w:sz w:val="22"/>
          <w:szCs w:val="22"/>
        </w:rPr>
        <w:t xml:space="preserve"> at which </w:t>
      </w:r>
      <w:r w:rsidR="00067ECE">
        <w:rPr>
          <w:color w:val="000000"/>
          <w:sz w:val="22"/>
          <w:szCs w:val="22"/>
        </w:rPr>
        <w:t>a total of 64</w:t>
      </w:r>
      <w:r>
        <w:rPr>
          <w:color w:val="000000"/>
          <w:sz w:val="22"/>
          <w:szCs w:val="22"/>
        </w:rPr>
        <w:t xml:space="preserve"> sectoral representatives from 5 provinces provided their opinions about the current and future situation within their areas of interest;</w:t>
      </w:r>
    </w:p>
    <w:p w14:paraId="1C402451" w14:textId="2FFD9374" w:rsidR="00CF6DEA" w:rsidRDefault="00CF6DEA" w:rsidP="00EE67D9">
      <w:pPr>
        <w:numPr>
          <w:ilvl w:val="0"/>
          <w:numId w:val="2"/>
        </w:numPr>
        <w:pBdr>
          <w:top w:val="nil"/>
          <w:left w:val="nil"/>
          <w:bottom w:val="nil"/>
          <w:right w:val="nil"/>
          <w:between w:val="nil"/>
        </w:pBdr>
        <w:jc w:val="both"/>
        <w:rPr>
          <w:color w:val="000000"/>
          <w:sz w:val="22"/>
          <w:szCs w:val="22"/>
        </w:rPr>
      </w:pPr>
      <w:r>
        <w:rPr>
          <w:color w:val="000000"/>
          <w:sz w:val="22"/>
          <w:szCs w:val="22"/>
        </w:rPr>
        <w:t xml:space="preserve">A Pre-Study Stakeholder Workshop at which </w:t>
      </w:r>
      <w:r w:rsidR="00067ECE">
        <w:rPr>
          <w:color w:val="000000"/>
          <w:sz w:val="22"/>
          <w:szCs w:val="22"/>
        </w:rPr>
        <w:t>77</w:t>
      </w:r>
      <w:r>
        <w:rPr>
          <w:color w:val="000000"/>
          <w:sz w:val="22"/>
          <w:szCs w:val="22"/>
        </w:rPr>
        <w:t xml:space="preserve"> representatives of the public and third sectors formulated their views on how Mobbing policies could be improved.</w:t>
      </w:r>
    </w:p>
    <w:p w14:paraId="63BDE9A0" w14:textId="7D03D948" w:rsidR="00CF6DEA" w:rsidRDefault="00A02D07" w:rsidP="00EE67D9">
      <w:pPr>
        <w:numPr>
          <w:ilvl w:val="0"/>
          <w:numId w:val="2"/>
        </w:numPr>
        <w:pBdr>
          <w:top w:val="nil"/>
          <w:left w:val="nil"/>
          <w:bottom w:val="nil"/>
          <w:right w:val="nil"/>
          <w:between w:val="nil"/>
        </w:pBdr>
        <w:jc w:val="both"/>
        <w:rPr>
          <w:color w:val="000000"/>
          <w:sz w:val="22"/>
          <w:szCs w:val="22"/>
        </w:rPr>
      </w:pPr>
      <w:r>
        <w:rPr>
          <w:color w:val="000000"/>
          <w:sz w:val="22"/>
          <w:szCs w:val="22"/>
        </w:rPr>
        <w:t xml:space="preserve">Quantitative Research involving </w:t>
      </w:r>
      <w:r w:rsidR="00067ECE">
        <w:rPr>
          <w:color w:val="000000"/>
          <w:sz w:val="22"/>
          <w:szCs w:val="22"/>
        </w:rPr>
        <w:t>870</w:t>
      </w:r>
      <w:r w:rsidR="004A2ED4">
        <w:rPr>
          <w:color w:val="000000"/>
          <w:sz w:val="22"/>
          <w:szCs w:val="22"/>
        </w:rPr>
        <w:t xml:space="preserve"> </w:t>
      </w:r>
      <w:r>
        <w:rPr>
          <w:color w:val="000000"/>
          <w:sz w:val="22"/>
          <w:szCs w:val="22"/>
        </w:rPr>
        <w:t>face-to-face interviews with employers</w:t>
      </w:r>
      <w:r w:rsidR="004A2ED4">
        <w:rPr>
          <w:color w:val="000000"/>
          <w:sz w:val="22"/>
          <w:szCs w:val="22"/>
        </w:rPr>
        <w:t xml:space="preserve">, </w:t>
      </w:r>
      <w:r>
        <w:rPr>
          <w:color w:val="000000"/>
          <w:sz w:val="22"/>
          <w:szCs w:val="22"/>
        </w:rPr>
        <w:t>employees</w:t>
      </w:r>
      <w:r w:rsidR="004A2ED4">
        <w:rPr>
          <w:color w:val="000000"/>
          <w:sz w:val="22"/>
          <w:szCs w:val="22"/>
        </w:rPr>
        <w:t xml:space="preserve"> and sectoral experts in 5 provinces;</w:t>
      </w:r>
      <w:r w:rsidR="00CF6DEA">
        <w:rPr>
          <w:color w:val="000000"/>
          <w:sz w:val="22"/>
          <w:szCs w:val="22"/>
        </w:rPr>
        <w:t xml:space="preserve"> </w:t>
      </w:r>
    </w:p>
    <w:p w14:paraId="07B893CB" w14:textId="2DF41D28" w:rsidR="00CF6DEA" w:rsidRPr="00A02D07" w:rsidRDefault="00CF6DEA" w:rsidP="00EE67D9">
      <w:pPr>
        <w:numPr>
          <w:ilvl w:val="0"/>
          <w:numId w:val="2"/>
        </w:numPr>
        <w:jc w:val="both"/>
        <w:rPr>
          <w:bCs/>
          <w:sz w:val="22"/>
          <w:szCs w:val="22"/>
        </w:rPr>
      </w:pPr>
      <w:r w:rsidRPr="009649DA">
        <w:rPr>
          <w:sz w:val="22"/>
          <w:szCs w:val="22"/>
        </w:rPr>
        <w:t xml:space="preserve">A Post-Study Workshop at which </w:t>
      </w:r>
      <w:r w:rsidR="00067ECE">
        <w:rPr>
          <w:sz w:val="22"/>
          <w:szCs w:val="22"/>
        </w:rPr>
        <w:t>96</w:t>
      </w:r>
      <w:r w:rsidRPr="009649DA">
        <w:rPr>
          <w:sz w:val="22"/>
          <w:szCs w:val="22"/>
        </w:rPr>
        <w:t xml:space="preserve"> </w:t>
      </w:r>
      <w:r w:rsidR="004A2ED4">
        <w:rPr>
          <w:sz w:val="22"/>
          <w:szCs w:val="22"/>
        </w:rPr>
        <w:t xml:space="preserve">relevant stakeholders </w:t>
      </w:r>
      <w:r w:rsidRPr="009649DA">
        <w:rPr>
          <w:sz w:val="22"/>
          <w:szCs w:val="22"/>
        </w:rPr>
        <w:t>provided feedback to the draft Recommendations</w:t>
      </w:r>
      <w:r w:rsidR="00A02D07">
        <w:rPr>
          <w:sz w:val="22"/>
          <w:szCs w:val="22"/>
        </w:rPr>
        <w:t>;</w:t>
      </w:r>
    </w:p>
    <w:p w14:paraId="19701CDD" w14:textId="68DDC4FE" w:rsidR="00A02D07" w:rsidRPr="009649DA" w:rsidRDefault="00A02D07" w:rsidP="00EE67D9">
      <w:pPr>
        <w:numPr>
          <w:ilvl w:val="0"/>
          <w:numId w:val="2"/>
        </w:numPr>
        <w:jc w:val="both"/>
        <w:rPr>
          <w:bCs/>
          <w:sz w:val="22"/>
          <w:szCs w:val="22"/>
        </w:rPr>
      </w:pPr>
      <w:r>
        <w:rPr>
          <w:sz w:val="22"/>
          <w:szCs w:val="22"/>
        </w:rPr>
        <w:t>Data analysis</w:t>
      </w:r>
      <w:r w:rsidR="004A2ED4">
        <w:rPr>
          <w:sz w:val="22"/>
          <w:szCs w:val="22"/>
        </w:rPr>
        <w:t>.</w:t>
      </w:r>
    </w:p>
    <w:p w14:paraId="4F0A7F1A" w14:textId="77777777" w:rsidR="00CF6DEA" w:rsidRDefault="00CF6DEA" w:rsidP="00CF6DEA">
      <w:pPr>
        <w:jc w:val="both"/>
        <w:rPr>
          <w:sz w:val="22"/>
          <w:szCs w:val="22"/>
        </w:rPr>
      </w:pPr>
    </w:p>
    <w:p w14:paraId="78DC574A" w14:textId="1CDD077B" w:rsidR="00CF6DEA" w:rsidRPr="008654D3" w:rsidRDefault="00CF6DEA" w:rsidP="008654D3">
      <w:pPr>
        <w:jc w:val="both"/>
        <w:rPr>
          <w:sz w:val="22"/>
          <w:szCs w:val="22"/>
        </w:rPr>
      </w:pPr>
      <w:r>
        <w:rPr>
          <w:sz w:val="22"/>
          <w:szCs w:val="22"/>
        </w:rPr>
        <w:t xml:space="preserve">Each element is the summarised within its own sub-Section below, each is supported by an Annex containing a detailed report which provides all necessary information to support the </w:t>
      </w:r>
      <w:r w:rsidR="00067ECE">
        <w:rPr>
          <w:sz w:val="22"/>
          <w:szCs w:val="22"/>
        </w:rPr>
        <w:t>108</w:t>
      </w:r>
      <w:r>
        <w:rPr>
          <w:sz w:val="22"/>
          <w:szCs w:val="22"/>
        </w:rPr>
        <w:t xml:space="preserve"> evidence-based recommendations which conclude this Report. </w:t>
      </w:r>
    </w:p>
    <w:p w14:paraId="3E66C482" w14:textId="3E1BCE2F" w:rsidR="00CF6DEA" w:rsidRPr="00DD72BE" w:rsidRDefault="00CF6DEA" w:rsidP="00DD72BE">
      <w:pPr>
        <w:pStyle w:val="Heading3"/>
      </w:pPr>
      <w:bookmarkStart w:id="12" w:name="_Toc118366145"/>
      <w:r w:rsidRPr="00DD72BE">
        <w:t>2.</w:t>
      </w:r>
      <w:r w:rsidR="00A02D07" w:rsidRPr="00DD72BE">
        <w:t>1.</w:t>
      </w:r>
      <w:r w:rsidRPr="00DD72BE">
        <w:t>2 Desk Research (see Annex 1)</w:t>
      </w:r>
      <w:bookmarkEnd w:id="12"/>
    </w:p>
    <w:p w14:paraId="65A0B3BA" w14:textId="032C00A8" w:rsidR="00EF065C" w:rsidRDefault="00333642" w:rsidP="00DD72BE">
      <w:pPr>
        <w:jc w:val="both"/>
        <w:rPr>
          <w:sz w:val="22"/>
          <w:szCs w:val="22"/>
        </w:rPr>
      </w:pPr>
      <w:r w:rsidRPr="00DD72BE">
        <w:rPr>
          <w:sz w:val="22"/>
          <w:szCs w:val="22"/>
        </w:rPr>
        <w:t>D</w:t>
      </w:r>
      <w:r w:rsidR="00CF6DEA" w:rsidRPr="00DD72BE">
        <w:rPr>
          <w:sz w:val="22"/>
          <w:szCs w:val="22"/>
        </w:rPr>
        <w:t xml:space="preserve">esk research was conducted </w:t>
      </w:r>
      <w:r w:rsidR="00A02D07" w:rsidRPr="00DD72BE">
        <w:rPr>
          <w:sz w:val="22"/>
          <w:szCs w:val="22"/>
        </w:rPr>
        <w:t>as a first step</w:t>
      </w:r>
      <w:r w:rsidR="00CF6DEA" w:rsidRPr="00DD72BE">
        <w:rPr>
          <w:sz w:val="22"/>
          <w:szCs w:val="22"/>
        </w:rPr>
        <w:t>, in April-June 202</w:t>
      </w:r>
      <w:r w:rsidR="006A07B1" w:rsidRPr="00DD72BE">
        <w:rPr>
          <w:sz w:val="22"/>
          <w:szCs w:val="22"/>
        </w:rPr>
        <w:t>1</w:t>
      </w:r>
      <w:r w:rsidR="00CF6DEA" w:rsidRPr="00DD72BE">
        <w:rPr>
          <w:sz w:val="22"/>
          <w:szCs w:val="22"/>
        </w:rPr>
        <w:t>. It covered the following areas through a careful examination of official websites and research reports, and also presented a range of case studies from various EU member states to illustrate how different countries were attempting to tackle their own incidences of mobbing.</w:t>
      </w:r>
      <w:r w:rsidRPr="00DD72BE">
        <w:rPr>
          <w:sz w:val="22"/>
          <w:szCs w:val="22"/>
        </w:rPr>
        <w:t xml:space="preserve"> The full Desk </w:t>
      </w:r>
      <w:r w:rsidR="00EF065C">
        <w:rPr>
          <w:sz w:val="22"/>
          <w:szCs w:val="22"/>
        </w:rPr>
        <w:t>R</w:t>
      </w:r>
      <w:r w:rsidRPr="00DD72BE">
        <w:rPr>
          <w:sz w:val="22"/>
          <w:szCs w:val="22"/>
        </w:rPr>
        <w:t>esearch Report may be seen at Annex 1.</w:t>
      </w:r>
    </w:p>
    <w:p w14:paraId="7D5F4567" w14:textId="6F787C1D" w:rsidR="00A02D07" w:rsidRPr="00DD72BE" w:rsidRDefault="00A02D07" w:rsidP="00DD72BE">
      <w:pPr>
        <w:pStyle w:val="Heading3"/>
      </w:pPr>
      <w:bookmarkStart w:id="13" w:name="_Toc118366146"/>
      <w:r w:rsidRPr="00DD72BE">
        <w:t>2.1.3 Structure of Desk Research Report</w:t>
      </w:r>
      <w:bookmarkEnd w:id="13"/>
    </w:p>
    <w:p w14:paraId="58690C07" w14:textId="7AF32FEA" w:rsidR="00EF065C" w:rsidRPr="00DD72BE" w:rsidRDefault="00EF065C" w:rsidP="00EF065C">
      <w:pPr>
        <w:jc w:val="both"/>
        <w:rPr>
          <w:sz w:val="22"/>
          <w:szCs w:val="22"/>
        </w:rPr>
      </w:pPr>
      <w:r>
        <w:rPr>
          <w:sz w:val="22"/>
          <w:szCs w:val="22"/>
        </w:rPr>
        <w:t>The Desk Research Report is in 5 parts, with each part dedicated to one of the 5 selected sectors. The structure differs slightly, report by report, as the issues related to the sectors differ themselves. Each report, however, contains a thorough analysis of the sector, in a Turkish and international context, and focuses on employment issues relevant to the sector. A gender perspective is also included</w:t>
      </w:r>
      <w:r w:rsidR="00B567BB">
        <w:rPr>
          <w:sz w:val="22"/>
          <w:szCs w:val="22"/>
        </w:rPr>
        <w:t>.</w:t>
      </w:r>
    </w:p>
    <w:p w14:paraId="6CEC34C5" w14:textId="6EDB65D0" w:rsidR="00A03972" w:rsidRPr="00EF065C" w:rsidRDefault="00A03972" w:rsidP="00EF065C">
      <w:pPr>
        <w:rPr>
          <w:sz w:val="22"/>
          <w:szCs w:val="22"/>
          <w:lang w:val="en-US"/>
        </w:rPr>
      </w:pPr>
    </w:p>
    <w:p w14:paraId="60B9DF40" w14:textId="50E0F9F0" w:rsidR="002C7B26" w:rsidRPr="00333642" w:rsidRDefault="00A80B9D" w:rsidP="00333642">
      <w:pPr>
        <w:pStyle w:val="Heading3"/>
      </w:pPr>
      <w:bookmarkStart w:id="14" w:name="_Toc118366147"/>
      <w:r w:rsidRPr="008654D3">
        <w:lastRenderedPageBreak/>
        <w:t>2.</w:t>
      </w:r>
      <w:r w:rsidR="00A02D07" w:rsidRPr="008654D3">
        <w:t>1.</w:t>
      </w:r>
      <w:r w:rsidR="00A03972" w:rsidRPr="008654D3">
        <w:t>5</w:t>
      </w:r>
      <w:r w:rsidRPr="008654D3">
        <w:t xml:space="preserve"> References</w:t>
      </w:r>
      <w:r w:rsidR="0052117F" w:rsidRPr="008654D3">
        <w:t xml:space="preserve"> Consulted for Desk Research</w:t>
      </w:r>
      <w:bookmarkEnd w:id="14"/>
    </w:p>
    <w:p w14:paraId="335DC287" w14:textId="17034363" w:rsidR="006A07B1" w:rsidRDefault="00467BF6" w:rsidP="00467BF6">
      <w:pPr>
        <w:rPr>
          <w:sz w:val="22"/>
          <w:szCs w:val="22"/>
        </w:rPr>
      </w:pPr>
      <w:r>
        <w:rPr>
          <w:sz w:val="22"/>
          <w:szCs w:val="22"/>
        </w:rPr>
        <w:t>Please see the Bibliography in Section 5 of this Report.</w:t>
      </w:r>
    </w:p>
    <w:p w14:paraId="733CEE4D" w14:textId="77777777" w:rsidR="00467BF6" w:rsidRPr="00467BF6" w:rsidRDefault="00467BF6" w:rsidP="00467BF6">
      <w:pPr>
        <w:rPr>
          <w:sz w:val="22"/>
          <w:szCs w:val="22"/>
        </w:rPr>
      </w:pPr>
    </w:p>
    <w:p w14:paraId="428E7389" w14:textId="76C3B848" w:rsidR="00B567BB" w:rsidRPr="00DD72BE" w:rsidRDefault="00B567BB" w:rsidP="00B567BB">
      <w:pPr>
        <w:pStyle w:val="Heading2"/>
      </w:pPr>
      <w:bookmarkStart w:id="15" w:name="_Toc118366148"/>
      <w:r w:rsidRPr="00DD72BE">
        <w:t>2.</w:t>
      </w:r>
      <w:r>
        <w:t>2</w:t>
      </w:r>
      <w:r w:rsidRPr="00DD72BE">
        <w:t xml:space="preserve"> </w:t>
      </w:r>
      <w:r>
        <w:t>SWOT Analysis Workshop</w:t>
      </w:r>
      <w:r w:rsidRPr="00DD72BE">
        <w:t xml:space="preserve"> (see Annex </w:t>
      </w:r>
      <w:r>
        <w:t>2</w:t>
      </w:r>
      <w:r w:rsidRPr="00DD72BE">
        <w:t>)</w:t>
      </w:r>
      <w:bookmarkEnd w:id="15"/>
    </w:p>
    <w:p w14:paraId="0A4C0FEB" w14:textId="5A71FB86" w:rsidR="00B46DE8" w:rsidRPr="00E239D5" w:rsidRDefault="00B46DE8" w:rsidP="00CF6DEA">
      <w:pPr>
        <w:rPr>
          <w:rFonts w:asciiTheme="majorHAnsi" w:eastAsiaTheme="majorEastAsia" w:hAnsiTheme="majorHAnsi" w:cstheme="majorBidi"/>
          <w:color w:val="2F5496" w:themeColor="accent1" w:themeShade="BF"/>
        </w:rPr>
      </w:pPr>
      <w:r w:rsidRPr="00E239D5">
        <w:rPr>
          <w:rFonts w:asciiTheme="majorHAnsi" w:eastAsiaTheme="majorEastAsia" w:hAnsiTheme="majorHAnsi" w:cstheme="majorBidi"/>
          <w:color w:val="2F5496" w:themeColor="accent1" w:themeShade="BF"/>
        </w:rPr>
        <w:t>2.2.1. Timetable and Participation</w:t>
      </w:r>
    </w:p>
    <w:p w14:paraId="28B5057C" w14:textId="77777777" w:rsidR="00B46DE8" w:rsidRDefault="00B46DE8" w:rsidP="00CF6DEA">
      <w:pPr>
        <w:rPr>
          <w:sz w:val="22"/>
          <w:szCs w:val="22"/>
        </w:rPr>
      </w:pPr>
    </w:p>
    <w:p w14:paraId="700F45A6" w14:textId="05C3197A" w:rsidR="00A03972" w:rsidRPr="00B46DE8" w:rsidRDefault="00B46DE8" w:rsidP="00CF6DEA">
      <w:pPr>
        <w:rPr>
          <w:sz w:val="22"/>
          <w:szCs w:val="22"/>
        </w:rPr>
      </w:pPr>
      <w:r w:rsidRPr="00B46DE8">
        <w:rPr>
          <w:sz w:val="22"/>
          <w:szCs w:val="22"/>
        </w:rPr>
        <w:t xml:space="preserve">A series of 5 </w:t>
      </w:r>
      <w:r>
        <w:rPr>
          <w:sz w:val="22"/>
          <w:szCs w:val="22"/>
        </w:rPr>
        <w:t>online W</w:t>
      </w:r>
      <w:r w:rsidRPr="00B46DE8">
        <w:rPr>
          <w:sz w:val="22"/>
          <w:szCs w:val="22"/>
        </w:rPr>
        <w:t xml:space="preserve">orkshops were </w:t>
      </w:r>
      <w:r>
        <w:rPr>
          <w:sz w:val="22"/>
          <w:szCs w:val="22"/>
        </w:rPr>
        <w:t>conducted, each dedicated to one of the sectors in line with the following timetable;</w:t>
      </w:r>
    </w:p>
    <w:p w14:paraId="172439F7" w14:textId="22EC5F4E" w:rsidR="00B46DE8" w:rsidRPr="00B46DE8" w:rsidRDefault="00B46DE8" w:rsidP="00B46DE8">
      <w:pPr>
        <w:spacing w:line="276" w:lineRule="auto"/>
        <w:jc w:val="both"/>
        <w:rPr>
          <w:sz w:val="22"/>
          <w:szCs w:val="22"/>
        </w:rPr>
      </w:pPr>
    </w:p>
    <w:tbl>
      <w:tblPr>
        <w:tblW w:w="0" w:type="auto"/>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8"/>
        <w:gridCol w:w="1430"/>
        <w:gridCol w:w="1650"/>
        <w:gridCol w:w="2840"/>
      </w:tblGrid>
      <w:tr w:rsidR="00B46DE8" w:rsidRPr="005C5030" w14:paraId="6A84E1C5" w14:textId="77777777" w:rsidTr="00715D0F">
        <w:trPr>
          <w:trHeight w:val="460"/>
        </w:trPr>
        <w:tc>
          <w:tcPr>
            <w:tcW w:w="1340" w:type="dxa"/>
            <w:shd w:val="clear" w:color="auto" w:fill="D9E2F3" w:themeFill="accent1" w:themeFillTint="33"/>
          </w:tcPr>
          <w:p w14:paraId="63D082E8" w14:textId="77777777" w:rsidR="00B46DE8" w:rsidRPr="005C5030" w:rsidRDefault="00B46DE8" w:rsidP="00715D0F">
            <w:pPr>
              <w:rPr>
                <w:b/>
                <w:bCs/>
                <w:sz w:val="18"/>
                <w:szCs w:val="18"/>
              </w:rPr>
            </w:pPr>
            <w:r w:rsidRPr="005C5030">
              <w:rPr>
                <w:b/>
                <w:bCs/>
                <w:sz w:val="18"/>
                <w:szCs w:val="18"/>
              </w:rPr>
              <w:t>Sector</w:t>
            </w:r>
          </w:p>
        </w:tc>
        <w:tc>
          <w:tcPr>
            <w:tcW w:w="1430" w:type="dxa"/>
            <w:shd w:val="clear" w:color="auto" w:fill="D9E2F3" w:themeFill="accent1" w:themeFillTint="33"/>
          </w:tcPr>
          <w:p w14:paraId="513AF7BD" w14:textId="77777777" w:rsidR="00B46DE8" w:rsidRPr="005C5030" w:rsidRDefault="00B46DE8" w:rsidP="00715D0F">
            <w:pPr>
              <w:rPr>
                <w:b/>
                <w:bCs/>
                <w:sz w:val="18"/>
                <w:szCs w:val="18"/>
              </w:rPr>
            </w:pPr>
            <w:r w:rsidRPr="005C5030">
              <w:rPr>
                <w:b/>
                <w:bCs/>
                <w:sz w:val="18"/>
                <w:szCs w:val="18"/>
              </w:rPr>
              <w:t>Workshop Date</w:t>
            </w:r>
          </w:p>
        </w:tc>
        <w:tc>
          <w:tcPr>
            <w:tcW w:w="1650" w:type="dxa"/>
            <w:shd w:val="clear" w:color="auto" w:fill="D9E2F3" w:themeFill="accent1" w:themeFillTint="33"/>
          </w:tcPr>
          <w:p w14:paraId="5E3EF85B" w14:textId="77777777" w:rsidR="00B46DE8" w:rsidRPr="005C5030" w:rsidRDefault="00B46DE8" w:rsidP="00715D0F">
            <w:pPr>
              <w:rPr>
                <w:b/>
                <w:bCs/>
                <w:sz w:val="18"/>
                <w:szCs w:val="18"/>
              </w:rPr>
            </w:pPr>
            <w:r w:rsidRPr="005C5030">
              <w:rPr>
                <w:b/>
                <w:bCs/>
                <w:sz w:val="18"/>
                <w:szCs w:val="18"/>
              </w:rPr>
              <w:t>Overall Participation</w:t>
            </w:r>
          </w:p>
        </w:tc>
        <w:tc>
          <w:tcPr>
            <w:tcW w:w="2840" w:type="dxa"/>
            <w:shd w:val="clear" w:color="auto" w:fill="D9E2F3" w:themeFill="accent1" w:themeFillTint="33"/>
          </w:tcPr>
          <w:p w14:paraId="30CAAE13" w14:textId="77777777" w:rsidR="00B46DE8" w:rsidRPr="005C5030" w:rsidRDefault="00B46DE8" w:rsidP="00715D0F">
            <w:pPr>
              <w:rPr>
                <w:b/>
                <w:bCs/>
                <w:sz w:val="18"/>
                <w:szCs w:val="18"/>
              </w:rPr>
            </w:pPr>
            <w:r w:rsidRPr="005C5030">
              <w:rPr>
                <w:b/>
                <w:bCs/>
                <w:sz w:val="18"/>
                <w:szCs w:val="18"/>
              </w:rPr>
              <w:t>Provincial Breakdown</w:t>
            </w:r>
          </w:p>
        </w:tc>
      </w:tr>
      <w:tr w:rsidR="00B46DE8" w:rsidRPr="005C5030" w14:paraId="3750A69B" w14:textId="77777777" w:rsidTr="00715D0F">
        <w:trPr>
          <w:trHeight w:val="460"/>
        </w:trPr>
        <w:tc>
          <w:tcPr>
            <w:tcW w:w="1340" w:type="dxa"/>
            <w:shd w:val="clear" w:color="auto" w:fill="F7CAAC" w:themeFill="accent2" w:themeFillTint="66"/>
          </w:tcPr>
          <w:p w14:paraId="06D63EBA" w14:textId="77777777" w:rsidR="00B46DE8" w:rsidRPr="005C5030" w:rsidRDefault="00B46DE8" w:rsidP="00715D0F">
            <w:pPr>
              <w:rPr>
                <w:b/>
                <w:bCs/>
                <w:sz w:val="18"/>
                <w:szCs w:val="18"/>
              </w:rPr>
            </w:pPr>
            <w:r w:rsidRPr="005C5030">
              <w:rPr>
                <w:b/>
                <w:bCs/>
                <w:sz w:val="18"/>
                <w:szCs w:val="18"/>
              </w:rPr>
              <w:t>Education</w:t>
            </w:r>
          </w:p>
        </w:tc>
        <w:tc>
          <w:tcPr>
            <w:tcW w:w="1430" w:type="dxa"/>
            <w:shd w:val="clear" w:color="auto" w:fill="F7CAAC" w:themeFill="accent2" w:themeFillTint="66"/>
          </w:tcPr>
          <w:p w14:paraId="64311838" w14:textId="77777777" w:rsidR="00B46DE8" w:rsidRPr="005C5030" w:rsidRDefault="00B46DE8" w:rsidP="00715D0F">
            <w:pPr>
              <w:rPr>
                <w:sz w:val="18"/>
                <w:szCs w:val="18"/>
              </w:rPr>
            </w:pPr>
            <w:r>
              <w:rPr>
                <w:sz w:val="18"/>
                <w:szCs w:val="18"/>
              </w:rPr>
              <w:t>18 January 2022</w:t>
            </w:r>
          </w:p>
        </w:tc>
        <w:tc>
          <w:tcPr>
            <w:tcW w:w="1650" w:type="dxa"/>
            <w:shd w:val="clear" w:color="auto" w:fill="F7CAAC" w:themeFill="accent2" w:themeFillTint="66"/>
          </w:tcPr>
          <w:p w14:paraId="4A7B1474" w14:textId="77777777" w:rsidR="00B46DE8" w:rsidRPr="005C5030" w:rsidRDefault="00B46DE8" w:rsidP="00715D0F">
            <w:pPr>
              <w:rPr>
                <w:sz w:val="18"/>
                <w:szCs w:val="18"/>
              </w:rPr>
            </w:pPr>
            <w:r w:rsidRPr="005C5030">
              <w:rPr>
                <w:sz w:val="18"/>
                <w:szCs w:val="18"/>
              </w:rPr>
              <w:t>11</w:t>
            </w:r>
          </w:p>
        </w:tc>
        <w:tc>
          <w:tcPr>
            <w:tcW w:w="2840" w:type="dxa"/>
            <w:shd w:val="clear" w:color="auto" w:fill="F7CAAC" w:themeFill="accent2" w:themeFillTint="66"/>
          </w:tcPr>
          <w:p w14:paraId="6ECC867F" w14:textId="77777777" w:rsidR="00B46DE8" w:rsidRPr="005C5030" w:rsidRDefault="00B46DE8" w:rsidP="00715D0F">
            <w:pPr>
              <w:rPr>
                <w:sz w:val="18"/>
                <w:szCs w:val="18"/>
              </w:rPr>
            </w:pPr>
            <w:r w:rsidRPr="005C5030">
              <w:rPr>
                <w:sz w:val="18"/>
                <w:szCs w:val="18"/>
              </w:rPr>
              <w:t>Ankara (9); Adana (1); Bursa (1)</w:t>
            </w:r>
          </w:p>
        </w:tc>
      </w:tr>
      <w:tr w:rsidR="00B46DE8" w:rsidRPr="005C5030" w14:paraId="01DC9C91" w14:textId="77777777" w:rsidTr="00715D0F">
        <w:trPr>
          <w:trHeight w:val="460"/>
        </w:trPr>
        <w:tc>
          <w:tcPr>
            <w:tcW w:w="1340" w:type="dxa"/>
            <w:shd w:val="clear" w:color="auto" w:fill="F7CAAC" w:themeFill="accent2" w:themeFillTint="66"/>
          </w:tcPr>
          <w:p w14:paraId="2C145483" w14:textId="77777777" w:rsidR="00B46DE8" w:rsidRPr="005C5030" w:rsidRDefault="00B46DE8" w:rsidP="00715D0F">
            <w:pPr>
              <w:rPr>
                <w:b/>
                <w:bCs/>
                <w:sz w:val="18"/>
                <w:szCs w:val="18"/>
              </w:rPr>
            </w:pPr>
            <w:r w:rsidRPr="005C5030">
              <w:rPr>
                <w:b/>
                <w:bCs/>
                <w:sz w:val="18"/>
                <w:szCs w:val="18"/>
              </w:rPr>
              <w:t>Energy</w:t>
            </w:r>
          </w:p>
        </w:tc>
        <w:tc>
          <w:tcPr>
            <w:tcW w:w="1430" w:type="dxa"/>
            <w:shd w:val="clear" w:color="auto" w:fill="F7CAAC" w:themeFill="accent2" w:themeFillTint="66"/>
          </w:tcPr>
          <w:p w14:paraId="22FAF504" w14:textId="77777777" w:rsidR="00B46DE8" w:rsidRPr="005C5030" w:rsidRDefault="00B46DE8" w:rsidP="00715D0F">
            <w:pPr>
              <w:rPr>
                <w:sz w:val="18"/>
                <w:szCs w:val="18"/>
              </w:rPr>
            </w:pPr>
            <w:r>
              <w:rPr>
                <w:sz w:val="18"/>
                <w:szCs w:val="18"/>
              </w:rPr>
              <w:t>18 January 2022</w:t>
            </w:r>
          </w:p>
        </w:tc>
        <w:tc>
          <w:tcPr>
            <w:tcW w:w="1650" w:type="dxa"/>
            <w:shd w:val="clear" w:color="auto" w:fill="F7CAAC" w:themeFill="accent2" w:themeFillTint="66"/>
          </w:tcPr>
          <w:p w14:paraId="1096629D" w14:textId="77777777" w:rsidR="00B46DE8" w:rsidRPr="005C5030" w:rsidRDefault="00B46DE8" w:rsidP="00715D0F">
            <w:pPr>
              <w:rPr>
                <w:sz w:val="18"/>
                <w:szCs w:val="18"/>
              </w:rPr>
            </w:pPr>
            <w:r w:rsidRPr="005C5030">
              <w:rPr>
                <w:sz w:val="18"/>
                <w:szCs w:val="18"/>
              </w:rPr>
              <w:t>12</w:t>
            </w:r>
          </w:p>
        </w:tc>
        <w:tc>
          <w:tcPr>
            <w:tcW w:w="2840" w:type="dxa"/>
            <w:shd w:val="clear" w:color="auto" w:fill="F7CAAC" w:themeFill="accent2" w:themeFillTint="66"/>
          </w:tcPr>
          <w:p w14:paraId="7451D170" w14:textId="77777777" w:rsidR="00B46DE8" w:rsidRPr="005C5030" w:rsidRDefault="00B46DE8" w:rsidP="00715D0F">
            <w:pPr>
              <w:rPr>
                <w:sz w:val="18"/>
                <w:szCs w:val="18"/>
              </w:rPr>
            </w:pPr>
            <w:r w:rsidRPr="005C5030">
              <w:rPr>
                <w:sz w:val="18"/>
                <w:szCs w:val="18"/>
              </w:rPr>
              <w:t>Ankara (10); Izmir (1); Istanbul (1)</w:t>
            </w:r>
          </w:p>
        </w:tc>
      </w:tr>
      <w:tr w:rsidR="00B46DE8" w:rsidRPr="005C5030" w14:paraId="517F6565" w14:textId="77777777" w:rsidTr="00715D0F">
        <w:trPr>
          <w:trHeight w:val="460"/>
        </w:trPr>
        <w:tc>
          <w:tcPr>
            <w:tcW w:w="1340" w:type="dxa"/>
            <w:shd w:val="clear" w:color="auto" w:fill="F7CAAC" w:themeFill="accent2" w:themeFillTint="66"/>
          </w:tcPr>
          <w:p w14:paraId="076F294A" w14:textId="77777777" w:rsidR="00B46DE8" w:rsidRPr="005C5030" w:rsidRDefault="00B46DE8" w:rsidP="00715D0F">
            <w:pPr>
              <w:rPr>
                <w:b/>
                <w:bCs/>
                <w:sz w:val="18"/>
                <w:szCs w:val="18"/>
              </w:rPr>
            </w:pPr>
            <w:r w:rsidRPr="005C5030">
              <w:rPr>
                <w:b/>
                <w:bCs/>
                <w:sz w:val="18"/>
                <w:szCs w:val="18"/>
              </w:rPr>
              <w:t>Banking/Finance</w:t>
            </w:r>
          </w:p>
        </w:tc>
        <w:tc>
          <w:tcPr>
            <w:tcW w:w="1430" w:type="dxa"/>
            <w:shd w:val="clear" w:color="auto" w:fill="F7CAAC" w:themeFill="accent2" w:themeFillTint="66"/>
          </w:tcPr>
          <w:p w14:paraId="4E8FC1B8" w14:textId="77777777" w:rsidR="00B46DE8" w:rsidRPr="005C5030" w:rsidRDefault="00B46DE8" w:rsidP="00715D0F">
            <w:pPr>
              <w:rPr>
                <w:sz w:val="18"/>
                <w:szCs w:val="18"/>
              </w:rPr>
            </w:pPr>
            <w:r>
              <w:rPr>
                <w:sz w:val="18"/>
                <w:szCs w:val="18"/>
              </w:rPr>
              <w:t>19 January 2022</w:t>
            </w:r>
          </w:p>
        </w:tc>
        <w:tc>
          <w:tcPr>
            <w:tcW w:w="1650" w:type="dxa"/>
            <w:shd w:val="clear" w:color="auto" w:fill="F7CAAC" w:themeFill="accent2" w:themeFillTint="66"/>
          </w:tcPr>
          <w:p w14:paraId="7C078566" w14:textId="77777777" w:rsidR="00B46DE8" w:rsidRPr="005C5030" w:rsidRDefault="00B46DE8" w:rsidP="00715D0F">
            <w:pPr>
              <w:rPr>
                <w:sz w:val="18"/>
                <w:szCs w:val="18"/>
              </w:rPr>
            </w:pPr>
            <w:r w:rsidRPr="005C5030">
              <w:rPr>
                <w:sz w:val="18"/>
                <w:szCs w:val="18"/>
              </w:rPr>
              <w:t>12</w:t>
            </w:r>
          </w:p>
        </w:tc>
        <w:tc>
          <w:tcPr>
            <w:tcW w:w="2840" w:type="dxa"/>
            <w:shd w:val="clear" w:color="auto" w:fill="F7CAAC" w:themeFill="accent2" w:themeFillTint="66"/>
          </w:tcPr>
          <w:p w14:paraId="47959B9B" w14:textId="77777777" w:rsidR="00B46DE8" w:rsidRPr="005C5030" w:rsidRDefault="00B46DE8" w:rsidP="00715D0F">
            <w:pPr>
              <w:rPr>
                <w:sz w:val="18"/>
                <w:szCs w:val="18"/>
              </w:rPr>
            </w:pPr>
            <w:r w:rsidRPr="005C5030">
              <w:rPr>
                <w:sz w:val="18"/>
                <w:szCs w:val="18"/>
              </w:rPr>
              <w:t>Ankara (6); Istanbul (6)</w:t>
            </w:r>
          </w:p>
        </w:tc>
      </w:tr>
      <w:tr w:rsidR="00B46DE8" w:rsidRPr="005C5030" w14:paraId="62EA9561" w14:textId="77777777" w:rsidTr="00715D0F">
        <w:trPr>
          <w:trHeight w:val="460"/>
        </w:trPr>
        <w:tc>
          <w:tcPr>
            <w:tcW w:w="1340" w:type="dxa"/>
            <w:shd w:val="clear" w:color="auto" w:fill="F7CAAC" w:themeFill="accent2" w:themeFillTint="66"/>
          </w:tcPr>
          <w:p w14:paraId="1F61B699" w14:textId="77777777" w:rsidR="00B46DE8" w:rsidRPr="005C5030" w:rsidRDefault="00B46DE8" w:rsidP="00715D0F">
            <w:pPr>
              <w:rPr>
                <w:b/>
                <w:bCs/>
                <w:sz w:val="18"/>
                <w:szCs w:val="18"/>
              </w:rPr>
            </w:pPr>
            <w:r w:rsidRPr="005C5030">
              <w:rPr>
                <w:b/>
                <w:bCs/>
                <w:sz w:val="18"/>
                <w:szCs w:val="18"/>
              </w:rPr>
              <w:t>ICT</w:t>
            </w:r>
          </w:p>
        </w:tc>
        <w:tc>
          <w:tcPr>
            <w:tcW w:w="1430" w:type="dxa"/>
            <w:shd w:val="clear" w:color="auto" w:fill="F7CAAC" w:themeFill="accent2" w:themeFillTint="66"/>
          </w:tcPr>
          <w:p w14:paraId="02A6DC6F" w14:textId="77777777" w:rsidR="00B46DE8" w:rsidRPr="005C5030" w:rsidRDefault="00B46DE8" w:rsidP="00715D0F">
            <w:pPr>
              <w:rPr>
                <w:sz w:val="18"/>
                <w:szCs w:val="18"/>
              </w:rPr>
            </w:pPr>
            <w:r>
              <w:rPr>
                <w:sz w:val="18"/>
                <w:szCs w:val="18"/>
              </w:rPr>
              <w:t>19 January 2022</w:t>
            </w:r>
          </w:p>
        </w:tc>
        <w:tc>
          <w:tcPr>
            <w:tcW w:w="1650" w:type="dxa"/>
            <w:shd w:val="clear" w:color="auto" w:fill="F7CAAC" w:themeFill="accent2" w:themeFillTint="66"/>
          </w:tcPr>
          <w:p w14:paraId="5663416D" w14:textId="77777777" w:rsidR="00B46DE8" w:rsidRPr="005C5030" w:rsidRDefault="00B46DE8" w:rsidP="00715D0F">
            <w:pPr>
              <w:rPr>
                <w:sz w:val="18"/>
                <w:szCs w:val="18"/>
              </w:rPr>
            </w:pPr>
            <w:r w:rsidRPr="005C5030">
              <w:rPr>
                <w:sz w:val="18"/>
                <w:szCs w:val="18"/>
              </w:rPr>
              <w:t>9</w:t>
            </w:r>
          </w:p>
        </w:tc>
        <w:tc>
          <w:tcPr>
            <w:tcW w:w="2840" w:type="dxa"/>
            <w:shd w:val="clear" w:color="auto" w:fill="F7CAAC" w:themeFill="accent2" w:themeFillTint="66"/>
          </w:tcPr>
          <w:p w14:paraId="38D1C7CB" w14:textId="77777777" w:rsidR="00B46DE8" w:rsidRPr="005C5030" w:rsidRDefault="00B46DE8" w:rsidP="00715D0F">
            <w:pPr>
              <w:rPr>
                <w:sz w:val="18"/>
                <w:szCs w:val="18"/>
              </w:rPr>
            </w:pPr>
            <w:r w:rsidRPr="005C5030">
              <w:rPr>
                <w:sz w:val="18"/>
                <w:szCs w:val="18"/>
              </w:rPr>
              <w:t>Ankara (6); Istanbul (1); Izmir (1)</w:t>
            </w:r>
          </w:p>
        </w:tc>
      </w:tr>
      <w:tr w:rsidR="00B46DE8" w:rsidRPr="005C5030" w14:paraId="555310C7" w14:textId="77777777" w:rsidTr="00715D0F">
        <w:trPr>
          <w:trHeight w:val="460"/>
        </w:trPr>
        <w:tc>
          <w:tcPr>
            <w:tcW w:w="1340" w:type="dxa"/>
            <w:shd w:val="clear" w:color="auto" w:fill="F7CAAC" w:themeFill="accent2" w:themeFillTint="66"/>
          </w:tcPr>
          <w:p w14:paraId="5C7193E3" w14:textId="77777777" w:rsidR="00B46DE8" w:rsidRPr="005C5030" w:rsidRDefault="00B46DE8" w:rsidP="00715D0F">
            <w:pPr>
              <w:rPr>
                <w:b/>
                <w:bCs/>
                <w:sz w:val="18"/>
                <w:szCs w:val="18"/>
              </w:rPr>
            </w:pPr>
            <w:r w:rsidRPr="005C5030">
              <w:rPr>
                <w:b/>
                <w:bCs/>
                <w:sz w:val="18"/>
                <w:szCs w:val="18"/>
              </w:rPr>
              <w:t>Health</w:t>
            </w:r>
          </w:p>
        </w:tc>
        <w:tc>
          <w:tcPr>
            <w:tcW w:w="1430" w:type="dxa"/>
            <w:shd w:val="clear" w:color="auto" w:fill="F7CAAC" w:themeFill="accent2" w:themeFillTint="66"/>
          </w:tcPr>
          <w:p w14:paraId="0C4349A7" w14:textId="77777777" w:rsidR="00B46DE8" w:rsidRDefault="00B46DE8" w:rsidP="00715D0F">
            <w:pPr>
              <w:rPr>
                <w:sz w:val="18"/>
                <w:szCs w:val="18"/>
              </w:rPr>
            </w:pPr>
            <w:r>
              <w:rPr>
                <w:sz w:val="18"/>
                <w:szCs w:val="18"/>
              </w:rPr>
              <w:t>20 January 2022</w:t>
            </w:r>
          </w:p>
          <w:p w14:paraId="0C6D4B83" w14:textId="77777777" w:rsidR="00B46DE8" w:rsidRPr="005C5030" w:rsidRDefault="00B46DE8" w:rsidP="00715D0F">
            <w:pPr>
              <w:rPr>
                <w:sz w:val="18"/>
                <w:szCs w:val="18"/>
              </w:rPr>
            </w:pPr>
            <w:r>
              <w:rPr>
                <w:sz w:val="18"/>
                <w:szCs w:val="18"/>
              </w:rPr>
              <w:t>(2 sessions)</w:t>
            </w:r>
          </w:p>
        </w:tc>
        <w:tc>
          <w:tcPr>
            <w:tcW w:w="1650" w:type="dxa"/>
            <w:shd w:val="clear" w:color="auto" w:fill="F7CAAC" w:themeFill="accent2" w:themeFillTint="66"/>
          </w:tcPr>
          <w:p w14:paraId="57F68AC6" w14:textId="77777777" w:rsidR="00B46DE8" w:rsidRPr="005C5030" w:rsidRDefault="00B46DE8" w:rsidP="00715D0F">
            <w:pPr>
              <w:rPr>
                <w:sz w:val="18"/>
                <w:szCs w:val="18"/>
              </w:rPr>
            </w:pPr>
            <w:r w:rsidRPr="005C5030">
              <w:rPr>
                <w:sz w:val="18"/>
                <w:szCs w:val="18"/>
              </w:rPr>
              <w:t>20</w:t>
            </w:r>
          </w:p>
        </w:tc>
        <w:tc>
          <w:tcPr>
            <w:tcW w:w="2840" w:type="dxa"/>
            <w:shd w:val="clear" w:color="auto" w:fill="F7CAAC" w:themeFill="accent2" w:themeFillTint="66"/>
          </w:tcPr>
          <w:p w14:paraId="2836B1E3" w14:textId="77777777" w:rsidR="00B46DE8" w:rsidRPr="005C5030" w:rsidRDefault="00B46DE8" w:rsidP="00715D0F">
            <w:pPr>
              <w:rPr>
                <w:sz w:val="18"/>
                <w:szCs w:val="18"/>
              </w:rPr>
            </w:pPr>
            <w:r w:rsidRPr="005C5030">
              <w:rPr>
                <w:sz w:val="18"/>
                <w:szCs w:val="18"/>
              </w:rPr>
              <w:t>Ankara (14); Istanbul (3); Izmir (1); Bursa (1); Izmir (1)</w:t>
            </w:r>
          </w:p>
        </w:tc>
      </w:tr>
      <w:tr w:rsidR="00E239D5" w:rsidRPr="005C5030" w14:paraId="1E537FDC" w14:textId="77777777" w:rsidTr="00E239D5">
        <w:trPr>
          <w:trHeight w:val="460"/>
        </w:trPr>
        <w:tc>
          <w:tcPr>
            <w:tcW w:w="1340" w:type="dxa"/>
            <w:shd w:val="clear" w:color="auto" w:fill="F4B083" w:themeFill="accent2" w:themeFillTint="99"/>
          </w:tcPr>
          <w:p w14:paraId="1F7EC37E" w14:textId="77777777" w:rsidR="00E239D5" w:rsidRPr="005C5030" w:rsidRDefault="00E239D5" w:rsidP="00715D0F">
            <w:pPr>
              <w:rPr>
                <w:b/>
                <w:bCs/>
                <w:sz w:val="18"/>
                <w:szCs w:val="18"/>
              </w:rPr>
            </w:pPr>
          </w:p>
        </w:tc>
        <w:tc>
          <w:tcPr>
            <w:tcW w:w="1430" w:type="dxa"/>
            <w:shd w:val="clear" w:color="auto" w:fill="F4B083" w:themeFill="accent2" w:themeFillTint="99"/>
          </w:tcPr>
          <w:p w14:paraId="5D1E7AA2" w14:textId="77777777" w:rsidR="00E239D5" w:rsidRDefault="00E239D5" w:rsidP="00715D0F">
            <w:pPr>
              <w:rPr>
                <w:sz w:val="18"/>
                <w:szCs w:val="18"/>
              </w:rPr>
            </w:pPr>
          </w:p>
        </w:tc>
        <w:tc>
          <w:tcPr>
            <w:tcW w:w="1650" w:type="dxa"/>
            <w:shd w:val="clear" w:color="auto" w:fill="F7CAAC" w:themeFill="accent2" w:themeFillTint="66"/>
          </w:tcPr>
          <w:p w14:paraId="75538C17" w14:textId="787DC42E" w:rsidR="00E239D5" w:rsidRPr="005C5030" w:rsidRDefault="00E239D5" w:rsidP="00715D0F">
            <w:pPr>
              <w:rPr>
                <w:sz w:val="18"/>
                <w:szCs w:val="18"/>
              </w:rPr>
            </w:pPr>
            <w:r>
              <w:rPr>
                <w:sz w:val="18"/>
                <w:szCs w:val="18"/>
              </w:rPr>
              <w:t>64</w:t>
            </w:r>
          </w:p>
        </w:tc>
        <w:tc>
          <w:tcPr>
            <w:tcW w:w="2840" w:type="dxa"/>
            <w:shd w:val="clear" w:color="auto" w:fill="F4B083" w:themeFill="accent2" w:themeFillTint="99"/>
          </w:tcPr>
          <w:p w14:paraId="21323622" w14:textId="77777777" w:rsidR="00E239D5" w:rsidRPr="005C5030" w:rsidRDefault="00E239D5" w:rsidP="00715D0F">
            <w:pPr>
              <w:rPr>
                <w:sz w:val="18"/>
                <w:szCs w:val="18"/>
              </w:rPr>
            </w:pPr>
          </w:p>
        </w:tc>
      </w:tr>
    </w:tbl>
    <w:p w14:paraId="10188147" w14:textId="77777777" w:rsidR="00B46DE8" w:rsidRDefault="00B46DE8" w:rsidP="00CF6DEA"/>
    <w:p w14:paraId="07ABBADE" w14:textId="622C7EBC" w:rsidR="00B46DE8" w:rsidRDefault="00B46DE8" w:rsidP="00CF6DEA">
      <w:pPr>
        <w:rPr>
          <w:sz w:val="22"/>
          <w:szCs w:val="22"/>
        </w:rPr>
      </w:pPr>
    </w:p>
    <w:p w14:paraId="6006D2F4" w14:textId="6D1BD59B" w:rsidR="00B46DE8" w:rsidRPr="00E239D5" w:rsidRDefault="00B46DE8" w:rsidP="00CF6DEA">
      <w:pPr>
        <w:rPr>
          <w:rFonts w:asciiTheme="majorHAnsi" w:eastAsiaTheme="majorEastAsia" w:hAnsiTheme="majorHAnsi" w:cstheme="majorBidi"/>
          <w:color w:val="1F3763" w:themeColor="accent1" w:themeShade="7F"/>
        </w:rPr>
      </w:pPr>
      <w:r w:rsidRPr="00E239D5">
        <w:rPr>
          <w:rFonts w:asciiTheme="majorHAnsi" w:eastAsiaTheme="majorEastAsia" w:hAnsiTheme="majorHAnsi" w:cstheme="majorBidi"/>
          <w:color w:val="1F3763" w:themeColor="accent1" w:themeShade="7F"/>
        </w:rPr>
        <w:t>2.2.2. Purpose</w:t>
      </w:r>
    </w:p>
    <w:p w14:paraId="5FDE8A20" w14:textId="7765E056" w:rsidR="00B46DE8" w:rsidRDefault="00B46DE8" w:rsidP="00CF6DEA">
      <w:pPr>
        <w:rPr>
          <w:sz w:val="22"/>
          <w:szCs w:val="22"/>
        </w:rPr>
      </w:pPr>
    </w:p>
    <w:p w14:paraId="1B97B88E" w14:textId="4A2CB0AB" w:rsidR="00B46DE8" w:rsidRPr="00B46DE8" w:rsidRDefault="00B46DE8" w:rsidP="00EE67D9">
      <w:pPr>
        <w:numPr>
          <w:ilvl w:val="0"/>
          <w:numId w:val="12"/>
        </w:numPr>
        <w:contextualSpacing/>
        <w:jc w:val="both"/>
        <w:rPr>
          <w:sz w:val="22"/>
          <w:szCs w:val="22"/>
        </w:rPr>
      </w:pPr>
      <w:r w:rsidRPr="00B46DE8">
        <w:rPr>
          <w:sz w:val="22"/>
          <w:szCs w:val="22"/>
        </w:rPr>
        <w:t>To ensure synergies and complementarity with the Desk Research, analysing and presenting enough information in concise form on each sector/province</w:t>
      </w:r>
      <w:r>
        <w:rPr>
          <w:sz w:val="22"/>
          <w:szCs w:val="22"/>
        </w:rPr>
        <w:t>;</w:t>
      </w:r>
      <w:r w:rsidRPr="00B46DE8">
        <w:rPr>
          <w:sz w:val="22"/>
          <w:szCs w:val="22"/>
        </w:rPr>
        <w:t xml:space="preserve"> </w:t>
      </w:r>
    </w:p>
    <w:p w14:paraId="268FD6BC" w14:textId="69ED1CB4" w:rsidR="00B46DE8" w:rsidRPr="00B46DE8" w:rsidRDefault="00B46DE8" w:rsidP="00EE67D9">
      <w:pPr>
        <w:numPr>
          <w:ilvl w:val="0"/>
          <w:numId w:val="12"/>
        </w:numPr>
        <w:contextualSpacing/>
        <w:jc w:val="both"/>
        <w:rPr>
          <w:sz w:val="22"/>
          <w:szCs w:val="22"/>
        </w:rPr>
      </w:pPr>
      <w:r w:rsidRPr="00B46DE8">
        <w:rPr>
          <w:sz w:val="22"/>
          <w:szCs w:val="22"/>
        </w:rPr>
        <w:t xml:space="preserve">To </w:t>
      </w:r>
      <w:r>
        <w:rPr>
          <w:sz w:val="22"/>
          <w:szCs w:val="22"/>
        </w:rPr>
        <w:t>understand the main sectoral strengths, weaknesses, opportunities and threats perceived by interested stakeholders with regard to their sectors,</w:t>
      </w:r>
      <w:r w:rsidR="00E239D5">
        <w:rPr>
          <w:sz w:val="22"/>
          <w:szCs w:val="22"/>
        </w:rPr>
        <w:t xml:space="preserve"> and in the context of </w:t>
      </w:r>
      <w:r w:rsidR="00E239D5" w:rsidRPr="00B46DE8">
        <w:rPr>
          <w:sz w:val="22"/>
          <w:szCs w:val="22"/>
        </w:rPr>
        <w:t>technological advancements, labour regulations, skilled labour force, cultural changes, global impacts, etc.</w:t>
      </w:r>
      <w:r w:rsidR="00E239D5">
        <w:rPr>
          <w:sz w:val="22"/>
          <w:szCs w:val="22"/>
        </w:rPr>
        <w:t xml:space="preserve">, </w:t>
      </w:r>
      <w:r>
        <w:rPr>
          <w:sz w:val="22"/>
          <w:szCs w:val="22"/>
        </w:rPr>
        <w:t xml:space="preserve">as a preparatory step before embarking on a major field study into each sector. </w:t>
      </w:r>
    </w:p>
    <w:p w14:paraId="26E36369" w14:textId="75037827" w:rsidR="00E239D5" w:rsidRDefault="00E239D5" w:rsidP="00E239D5">
      <w:pPr>
        <w:pStyle w:val="Heading3"/>
      </w:pPr>
      <w:bookmarkStart w:id="16" w:name="_Toc118366149"/>
      <w:r w:rsidRPr="00DD72BE">
        <w:t>2.</w:t>
      </w:r>
      <w:r>
        <w:t>2</w:t>
      </w:r>
      <w:r w:rsidRPr="00DD72BE">
        <w:t>.</w:t>
      </w:r>
      <w:r>
        <w:t>3</w:t>
      </w:r>
      <w:r w:rsidRPr="00DD72BE">
        <w:t xml:space="preserve"> Main Findings</w:t>
      </w:r>
      <w:bookmarkEnd w:id="16"/>
    </w:p>
    <w:p w14:paraId="020529CB" w14:textId="23A1928E" w:rsidR="00E239D5" w:rsidRPr="00E239D5" w:rsidRDefault="00E239D5" w:rsidP="00E239D5">
      <w:pPr>
        <w:rPr>
          <w:sz w:val="22"/>
          <w:szCs w:val="22"/>
        </w:rPr>
      </w:pPr>
      <w:r w:rsidRPr="00E239D5">
        <w:rPr>
          <w:sz w:val="22"/>
          <w:szCs w:val="22"/>
        </w:rPr>
        <w:t>The findings from the Workshop were extensive, and are summari</w:t>
      </w:r>
      <w:r w:rsidR="00B714AE">
        <w:rPr>
          <w:sz w:val="22"/>
          <w:szCs w:val="22"/>
        </w:rPr>
        <w:t>s</w:t>
      </w:r>
      <w:r w:rsidRPr="00E239D5">
        <w:rPr>
          <w:sz w:val="22"/>
          <w:szCs w:val="22"/>
        </w:rPr>
        <w:t>ed in full in the Evaluation Report attached at Annex 2.</w:t>
      </w:r>
    </w:p>
    <w:p w14:paraId="1A5C46F8" w14:textId="25C2D81E" w:rsidR="00B46DE8" w:rsidRDefault="00B46DE8" w:rsidP="00CF6DEA"/>
    <w:p w14:paraId="3EE9B577" w14:textId="77777777" w:rsidR="00E239D5" w:rsidRDefault="00E239D5" w:rsidP="00CF6DEA"/>
    <w:p w14:paraId="41A1C842" w14:textId="7280D5D8" w:rsidR="00A03972" w:rsidRPr="00DD72BE" w:rsidRDefault="00A03972" w:rsidP="00DD72BE">
      <w:pPr>
        <w:pStyle w:val="Heading2"/>
      </w:pPr>
      <w:bookmarkStart w:id="17" w:name="_Toc118366150"/>
      <w:r w:rsidRPr="00DD72BE">
        <w:lastRenderedPageBreak/>
        <w:t xml:space="preserve">2.3 Pre-Study Workshop (see Annex </w:t>
      </w:r>
      <w:r w:rsidR="00807B42" w:rsidRPr="00DD72BE">
        <w:t>3</w:t>
      </w:r>
      <w:r w:rsidRPr="00DD72BE">
        <w:t>)</w:t>
      </w:r>
      <w:bookmarkEnd w:id="17"/>
    </w:p>
    <w:p w14:paraId="1AF618D8" w14:textId="1905708F" w:rsidR="00B35E43" w:rsidRPr="00DD72BE" w:rsidRDefault="00B35E43" w:rsidP="00DD72BE">
      <w:pPr>
        <w:pStyle w:val="Heading3"/>
      </w:pPr>
      <w:bookmarkStart w:id="18" w:name="_Toc118366151"/>
      <w:r w:rsidRPr="00DD72BE">
        <w:t>2.3.1 Workshop Structure</w:t>
      </w:r>
      <w:bookmarkEnd w:id="18"/>
    </w:p>
    <w:p w14:paraId="5EEB5DEC" w14:textId="4B883A80" w:rsidR="00B35E43" w:rsidRDefault="00B35E43" w:rsidP="00B35E43">
      <w:pPr>
        <w:jc w:val="both"/>
        <w:rPr>
          <w:b/>
          <w:sz w:val="22"/>
          <w:szCs w:val="22"/>
        </w:rPr>
      </w:pPr>
      <w:r>
        <w:rPr>
          <w:sz w:val="22"/>
          <w:szCs w:val="22"/>
        </w:rPr>
        <w:t xml:space="preserve">A Pre-Study Workshop on Mobbing Complaints was held on </w:t>
      </w:r>
      <w:r w:rsidR="003F2E37">
        <w:rPr>
          <w:sz w:val="22"/>
          <w:szCs w:val="22"/>
        </w:rPr>
        <w:t>8 February</w:t>
      </w:r>
      <w:r>
        <w:rPr>
          <w:sz w:val="22"/>
          <w:szCs w:val="22"/>
        </w:rPr>
        <w:t xml:space="preserve"> 2022 online</w:t>
      </w:r>
      <w:r w:rsidR="006A07B1">
        <w:rPr>
          <w:sz w:val="22"/>
          <w:szCs w:val="22"/>
        </w:rPr>
        <w:t>:</w:t>
      </w:r>
      <w:r>
        <w:rPr>
          <w:sz w:val="22"/>
          <w:szCs w:val="22"/>
        </w:rPr>
        <w:t xml:space="preserve"> </w:t>
      </w:r>
      <w:r w:rsidR="003F2E37">
        <w:rPr>
          <w:sz w:val="22"/>
          <w:szCs w:val="22"/>
        </w:rPr>
        <w:t>7</w:t>
      </w:r>
      <w:r>
        <w:rPr>
          <w:sz w:val="22"/>
          <w:szCs w:val="22"/>
        </w:rPr>
        <w:t>7 stakeholders participated</w:t>
      </w:r>
      <w:r w:rsidR="008262AD">
        <w:rPr>
          <w:sz w:val="22"/>
          <w:szCs w:val="22"/>
        </w:rPr>
        <w:t xml:space="preserve">, </w:t>
      </w:r>
      <w:r>
        <w:rPr>
          <w:sz w:val="22"/>
          <w:szCs w:val="22"/>
        </w:rPr>
        <w:t>drawn from the public</w:t>
      </w:r>
      <w:r w:rsidR="003F2E37">
        <w:rPr>
          <w:sz w:val="22"/>
          <w:szCs w:val="22"/>
        </w:rPr>
        <w:t>, private</w:t>
      </w:r>
      <w:r>
        <w:rPr>
          <w:sz w:val="22"/>
          <w:szCs w:val="22"/>
        </w:rPr>
        <w:t xml:space="preserve"> and third sectors. </w:t>
      </w:r>
      <w:r w:rsidR="00333642">
        <w:rPr>
          <w:sz w:val="22"/>
          <w:szCs w:val="22"/>
        </w:rPr>
        <w:t xml:space="preserve">An Evaluation Report may be seen at Annex </w:t>
      </w:r>
      <w:r w:rsidR="003F2E37">
        <w:rPr>
          <w:sz w:val="22"/>
          <w:szCs w:val="22"/>
        </w:rPr>
        <w:t>3</w:t>
      </w:r>
      <w:r w:rsidR="00333642">
        <w:rPr>
          <w:sz w:val="22"/>
          <w:szCs w:val="22"/>
        </w:rPr>
        <w:t>.</w:t>
      </w:r>
    </w:p>
    <w:p w14:paraId="067F1DF3" w14:textId="77777777" w:rsidR="00B35E43" w:rsidRDefault="00B35E43" w:rsidP="00B35E43">
      <w:pPr>
        <w:jc w:val="both"/>
        <w:rPr>
          <w:sz w:val="22"/>
          <w:szCs w:val="22"/>
        </w:rPr>
      </w:pPr>
    </w:p>
    <w:p w14:paraId="1B0AD39F" w14:textId="487324FE" w:rsidR="00B35E43" w:rsidRDefault="00B35E43" w:rsidP="00B35E43">
      <w:pPr>
        <w:jc w:val="both"/>
        <w:rPr>
          <w:sz w:val="22"/>
          <w:szCs w:val="22"/>
        </w:rPr>
      </w:pPr>
      <w:bookmarkStart w:id="19" w:name="_heading=h.z337ya" w:colFirst="0" w:colLast="0"/>
      <w:bookmarkEnd w:id="19"/>
      <w:r>
        <w:rPr>
          <w:sz w:val="22"/>
          <w:szCs w:val="22"/>
        </w:rPr>
        <w:t xml:space="preserve">The 1-day Workshop was, broadly, divided into 2 halves: the morning session comprised a series presentations from MoLSS, TAT and TAT’s experts aimed at establishing a Turkish and international context for subsequent stakeholder discussions on the issue of mobbing; the afternoon session was focused on stakeholder discussions, held in </w:t>
      </w:r>
      <w:r w:rsidR="003F2E37">
        <w:rPr>
          <w:sz w:val="22"/>
          <w:szCs w:val="22"/>
        </w:rPr>
        <w:t>5</w:t>
      </w:r>
      <w:r>
        <w:rPr>
          <w:sz w:val="22"/>
          <w:szCs w:val="22"/>
        </w:rPr>
        <w:t xml:space="preserve"> ‘break-out rooms’, with each room discussing a specific </w:t>
      </w:r>
      <w:r w:rsidR="003F2E37">
        <w:rPr>
          <w:sz w:val="22"/>
          <w:szCs w:val="22"/>
        </w:rPr>
        <w:t>sector</w:t>
      </w:r>
      <w:r>
        <w:rPr>
          <w:sz w:val="22"/>
          <w:szCs w:val="22"/>
        </w:rPr>
        <w:t xml:space="preserve"> in line with the Agenda </w:t>
      </w:r>
      <w:r w:rsidR="008262AD">
        <w:rPr>
          <w:sz w:val="22"/>
          <w:szCs w:val="22"/>
        </w:rPr>
        <w:t>-</w:t>
      </w:r>
      <w:r>
        <w:rPr>
          <w:sz w:val="22"/>
          <w:szCs w:val="22"/>
        </w:rPr>
        <w:t xml:space="preserve"> feedback from each room was delivered immediately prior to the final wrap-up session.</w:t>
      </w:r>
    </w:p>
    <w:p w14:paraId="4D32FA17" w14:textId="77777777" w:rsidR="00E239D5" w:rsidRPr="00E239D5" w:rsidRDefault="00E239D5" w:rsidP="00E239D5"/>
    <w:p w14:paraId="1C307EC1" w14:textId="270C2F14" w:rsidR="00A03972" w:rsidRPr="00DD72BE" w:rsidRDefault="00A03972" w:rsidP="00DD72BE">
      <w:pPr>
        <w:pStyle w:val="Heading2"/>
      </w:pPr>
      <w:bookmarkStart w:id="20" w:name="_Toc118366152"/>
      <w:r w:rsidRPr="00DD72BE">
        <w:t xml:space="preserve">2.4 Field Research (see Annex </w:t>
      </w:r>
      <w:r w:rsidR="00807B42" w:rsidRPr="00DD72BE">
        <w:t>4</w:t>
      </w:r>
      <w:r w:rsidRPr="00DD72BE">
        <w:t>)</w:t>
      </w:r>
      <w:bookmarkEnd w:id="20"/>
    </w:p>
    <w:p w14:paraId="0685675E" w14:textId="4D45BB13" w:rsidR="00E46322" w:rsidRPr="00DD72BE" w:rsidRDefault="00E46322" w:rsidP="00DD72BE">
      <w:pPr>
        <w:pStyle w:val="Heading3"/>
      </w:pPr>
      <w:bookmarkStart w:id="21" w:name="_Toc118366153"/>
      <w:r w:rsidRPr="00DD72BE">
        <w:t>2.4.1 Methodology</w:t>
      </w:r>
      <w:bookmarkEnd w:id="21"/>
    </w:p>
    <w:p w14:paraId="63FA1EB9" w14:textId="658636EB" w:rsidR="00E46322" w:rsidRPr="008654D3" w:rsidRDefault="00E46322" w:rsidP="008654D3">
      <w:pPr>
        <w:jc w:val="both"/>
        <w:rPr>
          <w:bCs/>
          <w:sz w:val="22"/>
          <w:szCs w:val="22"/>
        </w:rPr>
      </w:pPr>
      <w:r>
        <w:rPr>
          <w:sz w:val="22"/>
          <w:szCs w:val="22"/>
        </w:rPr>
        <w:t xml:space="preserve">The field study was based on a </w:t>
      </w:r>
      <w:r w:rsidR="00477B5F">
        <w:rPr>
          <w:sz w:val="22"/>
          <w:szCs w:val="22"/>
        </w:rPr>
        <w:t xml:space="preserve">set of </w:t>
      </w:r>
      <w:r>
        <w:rPr>
          <w:sz w:val="22"/>
          <w:szCs w:val="22"/>
        </w:rPr>
        <w:t>semi-structured questionnaire</w:t>
      </w:r>
      <w:r w:rsidR="00477B5F">
        <w:rPr>
          <w:sz w:val="22"/>
          <w:szCs w:val="22"/>
        </w:rPr>
        <w:t>, divided between employees, employers and sector experts</w:t>
      </w:r>
      <w:r w:rsidR="003F2E37">
        <w:rPr>
          <w:sz w:val="22"/>
          <w:szCs w:val="22"/>
        </w:rPr>
        <w:t xml:space="preserve"> (the number </w:t>
      </w:r>
      <w:r w:rsidR="00477B5F">
        <w:rPr>
          <w:sz w:val="22"/>
          <w:szCs w:val="22"/>
        </w:rPr>
        <w:t>of questions var</w:t>
      </w:r>
      <w:r w:rsidR="003F2E37">
        <w:rPr>
          <w:sz w:val="22"/>
          <w:szCs w:val="22"/>
        </w:rPr>
        <w:t xml:space="preserve">ying according to the target – 29 for </w:t>
      </w:r>
      <w:r w:rsidR="00477B5F">
        <w:rPr>
          <w:sz w:val="22"/>
          <w:szCs w:val="22"/>
        </w:rPr>
        <w:t>employees</w:t>
      </w:r>
      <w:r w:rsidR="003F2E37">
        <w:rPr>
          <w:sz w:val="22"/>
          <w:szCs w:val="22"/>
        </w:rPr>
        <w:t xml:space="preserve">; 46 for employers; and 37 for sector experts) which </w:t>
      </w:r>
      <w:r>
        <w:rPr>
          <w:sz w:val="22"/>
          <w:szCs w:val="22"/>
        </w:rPr>
        <w:t>had been prepared and piloted in Ankara in February 2022</w:t>
      </w:r>
      <w:r w:rsidR="002A11FD">
        <w:rPr>
          <w:sz w:val="22"/>
          <w:szCs w:val="22"/>
        </w:rPr>
        <w:t xml:space="preserve"> (the questionnaires are included as Annexes to the Field Study Report which may be seen at Annex 4)</w:t>
      </w:r>
      <w:r>
        <w:rPr>
          <w:sz w:val="22"/>
          <w:szCs w:val="22"/>
        </w:rPr>
        <w:t>. The field study itself took place in</w:t>
      </w:r>
      <w:r w:rsidR="002C7B26">
        <w:rPr>
          <w:sz w:val="22"/>
          <w:szCs w:val="22"/>
        </w:rPr>
        <w:t xml:space="preserve"> </w:t>
      </w:r>
      <w:r w:rsidR="003F2E37">
        <w:rPr>
          <w:sz w:val="22"/>
          <w:szCs w:val="22"/>
        </w:rPr>
        <w:t>5 provinces (Adana, Ankara, Bursa, Istanbul and Izmir)</w:t>
      </w:r>
      <w:r>
        <w:rPr>
          <w:sz w:val="22"/>
          <w:szCs w:val="22"/>
        </w:rPr>
        <w:t xml:space="preserve"> in March</w:t>
      </w:r>
      <w:r w:rsidR="003F2E37">
        <w:rPr>
          <w:sz w:val="22"/>
          <w:szCs w:val="22"/>
        </w:rPr>
        <w:t>/April</w:t>
      </w:r>
      <w:r>
        <w:rPr>
          <w:sz w:val="22"/>
          <w:szCs w:val="22"/>
        </w:rPr>
        <w:t xml:space="preserve"> 2022. </w:t>
      </w:r>
      <w:r w:rsidR="003F2E37">
        <w:rPr>
          <w:sz w:val="22"/>
          <w:szCs w:val="22"/>
        </w:rPr>
        <w:t>870 people from the 3 target groups were interviewed, face-to-face</w:t>
      </w:r>
      <w:r w:rsidRPr="00751ADB">
        <w:rPr>
          <w:bCs/>
          <w:sz w:val="22"/>
          <w:szCs w:val="22"/>
        </w:rPr>
        <w:t xml:space="preserve">109 employees </w:t>
      </w:r>
      <w:r>
        <w:rPr>
          <w:bCs/>
          <w:sz w:val="22"/>
          <w:szCs w:val="22"/>
        </w:rPr>
        <w:t>and</w:t>
      </w:r>
      <w:r w:rsidRPr="00751ADB">
        <w:rPr>
          <w:bCs/>
          <w:sz w:val="22"/>
          <w:szCs w:val="22"/>
        </w:rPr>
        <w:t xml:space="preserve"> 39 employers from sectors </w:t>
      </w:r>
      <w:r>
        <w:rPr>
          <w:bCs/>
          <w:sz w:val="22"/>
          <w:szCs w:val="22"/>
        </w:rPr>
        <w:t xml:space="preserve">such </w:t>
      </w:r>
      <w:r w:rsidRPr="00751ADB">
        <w:rPr>
          <w:bCs/>
          <w:sz w:val="22"/>
          <w:szCs w:val="22"/>
        </w:rPr>
        <w:t xml:space="preserve">as manufacturing </w:t>
      </w:r>
      <w:r>
        <w:rPr>
          <w:bCs/>
          <w:sz w:val="22"/>
          <w:szCs w:val="22"/>
        </w:rPr>
        <w:t>and</w:t>
      </w:r>
      <w:r w:rsidRPr="00751ADB">
        <w:rPr>
          <w:bCs/>
          <w:sz w:val="22"/>
          <w:szCs w:val="22"/>
        </w:rPr>
        <w:t xml:space="preserve"> services were interviewed</w:t>
      </w:r>
      <w:r>
        <w:rPr>
          <w:bCs/>
          <w:sz w:val="22"/>
          <w:szCs w:val="22"/>
        </w:rPr>
        <w:t>, face-to-face</w:t>
      </w:r>
      <w:r w:rsidR="003F2E37">
        <w:rPr>
          <w:bCs/>
          <w:sz w:val="22"/>
          <w:szCs w:val="22"/>
        </w:rPr>
        <w:t xml:space="preserve">. </w:t>
      </w:r>
      <w:r w:rsidRPr="00751ADB">
        <w:rPr>
          <w:bCs/>
          <w:sz w:val="22"/>
          <w:szCs w:val="22"/>
        </w:rPr>
        <w:t xml:space="preserve">Before distributing the questionnaires, respondents were given a brief explanation about the confidentiality </w:t>
      </w:r>
      <w:r>
        <w:rPr>
          <w:bCs/>
          <w:sz w:val="22"/>
          <w:szCs w:val="22"/>
        </w:rPr>
        <w:t>and</w:t>
      </w:r>
      <w:r w:rsidRPr="00751ADB">
        <w:rPr>
          <w:bCs/>
          <w:sz w:val="22"/>
          <w:szCs w:val="22"/>
        </w:rPr>
        <w:t xml:space="preserve"> the procedure of the study</w:t>
      </w:r>
      <w:r>
        <w:rPr>
          <w:bCs/>
          <w:sz w:val="22"/>
          <w:szCs w:val="22"/>
        </w:rPr>
        <w:t>, and were guaranteed anonymity</w:t>
      </w:r>
      <w:r w:rsidRPr="00751ADB">
        <w:rPr>
          <w:bCs/>
          <w:sz w:val="22"/>
          <w:szCs w:val="22"/>
        </w:rPr>
        <w:t xml:space="preserve">. For each participant the procedure took approximately 20-25 minutes in average. </w:t>
      </w:r>
    </w:p>
    <w:p w14:paraId="5FF69F89" w14:textId="2B072C93" w:rsidR="002C7B26" w:rsidRPr="00DD72BE" w:rsidRDefault="002C7B26" w:rsidP="00DD72BE">
      <w:pPr>
        <w:pStyle w:val="Heading3"/>
      </w:pPr>
      <w:bookmarkStart w:id="22" w:name="_Toc118366154"/>
      <w:r w:rsidRPr="00DD72BE">
        <w:t>2.4.2 Focus of Questioning</w:t>
      </w:r>
      <w:bookmarkEnd w:id="22"/>
    </w:p>
    <w:p w14:paraId="2A01A445" w14:textId="3A6DF4D3" w:rsidR="002C7B26" w:rsidRDefault="002C7B26" w:rsidP="00CF6DEA">
      <w:pPr>
        <w:rPr>
          <w:sz w:val="22"/>
          <w:szCs w:val="22"/>
        </w:rPr>
      </w:pPr>
      <w:r w:rsidRPr="002C7B26">
        <w:rPr>
          <w:sz w:val="22"/>
          <w:szCs w:val="22"/>
        </w:rPr>
        <w:t xml:space="preserve">Questions put to employers and employees were similar and conformed to the following main </w:t>
      </w:r>
      <w:r w:rsidR="003F2E37">
        <w:rPr>
          <w:sz w:val="22"/>
          <w:szCs w:val="22"/>
        </w:rPr>
        <w:t>themes</w:t>
      </w:r>
      <w:r w:rsidRPr="002C7B26">
        <w:rPr>
          <w:sz w:val="22"/>
          <w:szCs w:val="22"/>
        </w:rPr>
        <w:t>:</w:t>
      </w:r>
    </w:p>
    <w:p w14:paraId="0A0AFE2A" w14:textId="3D94A694" w:rsidR="003F2E37" w:rsidRDefault="003F2E37" w:rsidP="00CF6DEA">
      <w:pPr>
        <w:rPr>
          <w:sz w:val="22"/>
          <w:szCs w:val="22"/>
        </w:rPr>
      </w:pPr>
    </w:p>
    <w:p w14:paraId="1D767E1C" w14:textId="77777777" w:rsidR="003F2E37" w:rsidRPr="00541471" w:rsidRDefault="003F2E37" w:rsidP="00EE67D9">
      <w:pPr>
        <w:pStyle w:val="ListParagraph"/>
        <w:numPr>
          <w:ilvl w:val="0"/>
          <w:numId w:val="11"/>
        </w:numPr>
        <w:ind w:left="1440"/>
        <w:rPr>
          <w:rFonts w:cstheme="minorHAnsi"/>
          <w:sz w:val="22"/>
          <w:szCs w:val="22"/>
        </w:rPr>
      </w:pPr>
      <w:r w:rsidRPr="00541471">
        <w:rPr>
          <w:rFonts w:cstheme="minorHAnsi"/>
          <w:sz w:val="22"/>
          <w:szCs w:val="22"/>
        </w:rPr>
        <w:t>What is the level of knowledge and perceptions both decision makers/sector expert, employer and employees about the decent work concept and emerging work types such as remote work?</w:t>
      </w:r>
    </w:p>
    <w:p w14:paraId="65D0C3FF" w14:textId="77777777" w:rsidR="003F2E37" w:rsidRPr="00541471" w:rsidRDefault="003F2E37" w:rsidP="00EE67D9">
      <w:pPr>
        <w:pStyle w:val="ListParagraph"/>
        <w:numPr>
          <w:ilvl w:val="0"/>
          <w:numId w:val="11"/>
        </w:numPr>
        <w:ind w:left="1440"/>
        <w:rPr>
          <w:rFonts w:cstheme="minorHAnsi"/>
          <w:sz w:val="22"/>
          <w:szCs w:val="22"/>
        </w:rPr>
      </w:pPr>
      <w:r w:rsidRPr="00541471">
        <w:rPr>
          <w:rFonts w:cstheme="minorHAnsi"/>
          <w:sz w:val="22"/>
          <w:szCs w:val="22"/>
        </w:rPr>
        <w:t>Which of the provisions are most widely used by the employees?</w:t>
      </w:r>
    </w:p>
    <w:p w14:paraId="14FC06F3" w14:textId="77777777" w:rsidR="003F2E37" w:rsidRPr="00541471" w:rsidRDefault="003F2E37" w:rsidP="00EE67D9">
      <w:pPr>
        <w:pStyle w:val="ListParagraph"/>
        <w:numPr>
          <w:ilvl w:val="0"/>
          <w:numId w:val="11"/>
        </w:numPr>
        <w:ind w:left="1440"/>
        <w:rPr>
          <w:rFonts w:cstheme="minorHAnsi"/>
          <w:sz w:val="22"/>
          <w:szCs w:val="22"/>
        </w:rPr>
      </w:pPr>
      <w:r w:rsidRPr="00541471">
        <w:rPr>
          <w:rFonts w:cstheme="minorHAnsi"/>
          <w:sz w:val="22"/>
          <w:szCs w:val="22"/>
        </w:rPr>
        <w:t>What are the opinions of decision makers, employers, and employees about adaptation to new and digital technologies?</w:t>
      </w:r>
    </w:p>
    <w:p w14:paraId="23A34EAD" w14:textId="77777777" w:rsidR="003F2E37" w:rsidRPr="00541471" w:rsidRDefault="003F2E37" w:rsidP="00EE67D9">
      <w:pPr>
        <w:pStyle w:val="ListParagraph"/>
        <w:numPr>
          <w:ilvl w:val="0"/>
          <w:numId w:val="11"/>
        </w:numPr>
        <w:ind w:left="1440"/>
        <w:rPr>
          <w:rFonts w:cstheme="minorHAnsi"/>
          <w:sz w:val="22"/>
          <w:szCs w:val="22"/>
        </w:rPr>
      </w:pPr>
      <w:r w:rsidRPr="00541471">
        <w:rPr>
          <w:rFonts w:cstheme="minorHAnsi"/>
          <w:sz w:val="22"/>
          <w:szCs w:val="22"/>
        </w:rPr>
        <w:t>What are the chances of a woman reaching managerial levels in the sector?</w:t>
      </w:r>
    </w:p>
    <w:p w14:paraId="4B0E17BE" w14:textId="77777777" w:rsidR="003F2E37" w:rsidRPr="00541471" w:rsidRDefault="003F2E37" w:rsidP="00EE67D9">
      <w:pPr>
        <w:pStyle w:val="ListParagraph"/>
        <w:numPr>
          <w:ilvl w:val="0"/>
          <w:numId w:val="11"/>
        </w:numPr>
        <w:ind w:left="1440"/>
        <w:rPr>
          <w:rFonts w:cstheme="minorHAnsi"/>
          <w:sz w:val="22"/>
          <w:szCs w:val="22"/>
        </w:rPr>
      </w:pPr>
      <w:r w:rsidRPr="00541471">
        <w:rPr>
          <w:rFonts w:cstheme="minorHAnsi"/>
          <w:sz w:val="22"/>
          <w:szCs w:val="22"/>
        </w:rPr>
        <w:t>What are the needed skills/competences in the sector?</w:t>
      </w:r>
    </w:p>
    <w:p w14:paraId="76B1A624" w14:textId="77777777" w:rsidR="003F2E37" w:rsidRPr="00541471" w:rsidRDefault="003F2E37" w:rsidP="00EE67D9">
      <w:pPr>
        <w:pStyle w:val="ListParagraph"/>
        <w:numPr>
          <w:ilvl w:val="0"/>
          <w:numId w:val="11"/>
        </w:numPr>
        <w:ind w:left="1440"/>
        <w:rPr>
          <w:rFonts w:cstheme="minorHAnsi"/>
          <w:sz w:val="22"/>
          <w:szCs w:val="22"/>
        </w:rPr>
      </w:pPr>
      <w:r w:rsidRPr="00541471">
        <w:rPr>
          <w:rFonts w:cstheme="minorHAnsi"/>
          <w:sz w:val="22"/>
          <w:szCs w:val="22"/>
        </w:rPr>
        <w:t>What are the future skills to be required in the sector?</w:t>
      </w:r>
    </w:p>
    <w:p w14:paraId="183FB648" w14:textId="77777777" w:rsidR="003F2E37" w:rsidRPr="00541471" w:rsidRDefault="003F2E37" w:rsidP="00EE67D9">
      <w:pPr>
        <w:pStyle w:val="ListParagraph"/>
        <w:numPr>
          <w:ilvl w:val="0"/>
          <w:numId w:val="11"/>
        </w:numPr>
        <w:ind w:left="1440"/>
        <w:rPr>
          <w:rFonts w:cstheme="minorHAnsi"/>
          <w:sz w:val="22"/>
          <w:szCs w:val="22"/>
        </w:rPr>
      </w:pPr>
      <w:r w:rsidRPr="00541471">
        <w:rPr>
          <w:rFonts w:cstheme="minorHAnsi"/>
          <w:sz w:val="22"/>
          <w:szCs w:val="22"/>
        </w:rPr>
        <w:t>What are the chances of a woman reaching managerial levels in the sector?</w:t>
      </w:r>
    </w:p>
    <w:p w14:paraId="15205BBD" w14:textId="77777777" w:rsidR="006B2F74" w:rsidRPr="002C7B26" w:rsidRDefault="006B2F74" w:rsidP="00CF6DEA">
      <w:pPr>
        <w:rPr>
          <w:sz w:val="22"/>
          <w:szCs w:val="22"/>
        </w:rPr>
      </w:pPr>
    </w:p>
    <w:p w14:paraId="75A09EB6" w14:textId="655FE5FE" w:rsidR="00E46322" w:rsidRPr="00DD72BE" w:rsidRDefault="002C7B26" w:rsidP="00DD72BE">
      <w:pPr>
        <w:pStyle w:val="Heading3"/>
      </w:pPr>
      <w:bookmarkStart w:id="23" w:name="_Toc118366155"/>
      <w:r w:rsidRPr="00DD72BE">
        <w:lastRenderedPageBreak/>
        <w:t>2.4.3 Data Analysis</w:t>
      </w:r>
      <w:bookmarkEnd w:id="23"/>
    </w:p>
    <w:p w14:paraId="24AAD67A" w14:textId="3D10EEE9" w:rsidR="002C7B26" w:rsidRPr="002C7B26" w:rsidRDefault="002C7B26" w:rsidP="00F936D0">
      <w:pPr>
        <w:jc w:val="both"/>
        <w:rPr>
          <w:sz w:val="22"/>
          <w:szCs w:val="22"/>
        </w:rPr>
      </w:pPr>
      <w:bookmarkStart w:id="24" w:name="_Hlk110847372"/>
      <w:r w:rsidRPr="002C7B26">
        <w:rPr>
          <w:sz w:val="22"/>
          <w:szCs w:val="22"/>
        </w:rPr>
        <w:t xml:space="preserve">The data derived from the responses was subjected to detailed analysis, using </w:t>
      </w:r>
      <w:r w:rsidR="00467BF6">
        <w:rPr>
          <w:sz w:val="22"/>
          <w:szCs w:val="22"/>
        </w:rPr>
        <w:t>the SPSS package program. Dues to the relatively small sampling size, data analysis was limited to descriptive analysis (i.e. frequency distribution and summary statistics (mean, standard deviation or proportion). In order to assess the impact of socio-demographic and project variables, stratified analyses were performed (gender, age, education level)</w:t>
      </w:r>
      <w:r w:rsidR="00F3678E">
        <w:rPr>
          <w:sz w:val="22"/>
          <w:szCs w:val="22"/>
        </w:rPr>
        <w:t>.</w:t>
      </w:r>
      <w:r w:rsidR="00333642">
        <w:rPr>
          <w:sz w:val="22"/>
          <w:szCs w:val="22"/>
        </w:rPr>
        <w:t xml:space="preserve"> High-rated responses were then discussed in the text. </w:t>
      </w:r>
      <w:r w:rsidR="00F3678E">
        <w:rPr>
          <w:sz w:val="22"/>
          <w:szCs w:val="22"/>
        </w:rPr>
        <w:t xml:space="preserve"> The full analysis may be seen at Annex </w:t>
      </w:r>
      <w:r w:rsidR="00477B5F">
        <w:rPr>
          <w:sz w:val="22"/>
          <w:szCs w:val="22"/>
        </w:rPr>
        <w:t>4</w:t>
      </w:r>
      <w:r w:rsidR="00F3678E">
        <w:rPr>
          <w:sz w:val="22"/>
          <w:szCs w:val="22"/>
        </w:rPr>
        <w:t>.</w:t>
      </w:r>
    </w:p>
    <w:bookmarkEnd w:id="24"/>
    <w:p w14:paraId="1B8FDA04" w14:textId="78AB9255" w:rsidR="00A03972" w:rsidRDefault="00A03972" w:rsidP="00CF6DEA"/>
    <w:p w14:paraId="7D7E8EEB" w14:textId="11A29B02" w:rsidR="00A03972" w:rsidRPr="00DD72BE" w:rsidRDefault="00A03972" w:rsidP="00DD72BE">
      <w:pPr>
        <w:pStyle w:val="Heading2"/>
      </w:pPr>
      <w:bookmarkStart w:id="25" w:name="_Toc118366156"/>
      <w:r w:rsidRPr="00DD72BE">
        <w:t xml:space="preserve">2.5 Post-Study Workshop (see Annex </w:t>
      </w:r>
      <w:r w:rsidR="00807B42" w:rsidRPr="00DD72BE">
        <w:t>5</w:t>
      </w:r>
      <w:r w:rsidRPr="00DD72BE">
        <w:t>)</w:t>
      </w:r>
      <w:bookmarkEnd w:id="25"/>
    </w:p>
    <w:p w14:paraId="706DA4F8" w14:textId="584363E1" w:rsidR="00CA580E" w:rsidRPr="00E46322" w:rsidRDefault="00CA580E" w:rsidP="00262FEB">
      <w:pPr>
        <w:pStyle w:val="Heading3"/>
      </w:pPr>
      <w:bookmarkStart w:id="26" w:name="_Toc118366157"/>
      <w:r w:rsidRPr="00E46322">
        <w:t>2.5.1 Workshop Structure</w:t>
      </w:r>
      <w:bookmarkEnd w:id="26"/>
    </w:p>
    <w:p w14:paraId="5E7C8DFB" w14:textId="2E4DA4A3" w:rsidR="00CA580E" w:rsidRDefault="00CA580E" w:rsidP="00CF6DEA"/>
    <w:p w14:paraId="061CBD11" w14:textId="193AC530" w:rsidR="00CA580E" w:rsidRDefault="00CA580E" w:rsidP="00CA580E">
      <w:pPr>
        <w:jc w:val="both"/>
        <w:rPr>
          <w:b/>
          <w:sz w:val="22"/>
          <w:szCs w:val="22"/>
        </w:rPr>
      </w:pPr>
      <w:r>
        <w:rPr>
          <w:sz w:val="22"/>
          <w:szCs w:val="22"/>
        </w:rPr>
        <w:t xml:space="preserve">A Post-Study Workshop on Mobbing Complaints was held on </w:t>
      </w:r>
      <w:r w:rsidR="00477B5F">
        <w:rPr>
          <w:sz w:val="22"/>
          <w:szCs w:val="22"/>
        </w:rPr>
        <w:t>20</w:t>
      </w:r>
      <w:r>
        <w:rPr>
          <w:sz w:val="22"/>
          <w:szCs w:val="22"/>
        </w:rPr>
        <w:t xml:space="preserve"> June 2022 in hybrid format</w:t>
      </w:r>
      <w:r w:rsidR="006A07B1">
        <w:rPr>
          <w:sz w:val="22"/>
          <w:szCs w:val="22"/>
        </w:rPr>
        <w:t xml:space="preserve">: a </w:t>
      </w:r>
      <w:r w:rsidR="00E46322">
        <w:rPr>
          <w:sz w:val="22"/>
          <w:szCs w:val="22"/>
        </w:rPr>
        <w:t xml:space="preserve">total of </w:t>
      </w:r>
      <w:r w:rsidR="00477B5F">
        <w:rPr>
          <w:sz w:val="22"/>
          <w:szCs w:val="22"/>
        </w:rPr>
        <w:t>96</w:t>
      </w:r>
      <w:r w:rsidR="00E46322">
        <w:rPr>
          <w:sz w:val="22"/>
          <w:szCs w:val="22"/>
        </w:rPr>
        <w:t xml:space="preserve"> participants were involved (</w:t>
      </w:r>
      <w:r w:rsidR="00477B5F">
        <w:rPr>
          <w:sz w:val="22"/>
          <w:szCs w:val="22"/>
        </w:rPr>
        <w:t>71</w:t>
      </w:r>
      <w:r w:rsidR="00E46322">
        <w:rPr>
          <w:sz w:val="22"/>
          <w:szCs w:val="22"/>
        </w:rPr>
        <w:t xml:space="preserve"> online and 25 in-person) </w:t>
      </w:r>
      <w:r>
        <w:rPr>
          <w:sz w:val="22"/>
          <w:szCs w:val="22"/>
        </w:rPr>
        <w:t>drawn from the public</w:t>
      </w:r>
      <w:r w:rsidR="00477B5F">
        <w:rPr>
          <w:sz w:val="22"/>
          <w:szCs w:val="22"/>
        </w:rPr>
        <w:t>, private,</w:t>
      </w:r>
      <w:r>
        <w:rPr>
          <w:sz w:val="22"/>
          <w:szCs w:val="22"/>
        </w:rPr>
        <w:t xml:space="preserve"> and third sectors. </w:t>
      </w:r>
      <w:r w:rsidR="00333642">
        <w:rPr>
          <w:sz w:val="22"/>
          <w:szCs w:val="22"/>
        </w:rPr>
        <w:t xml:space="preserve">An Evaluation Report may be seen at Annex </w:t>
      </w:r>
      <w:r w:rsidR="00477B5F">
        <w:rPr>
          <w:sz w:val="22"/>
          <w:szCs w:val="22"/>
        </w:rPr>
        <w:t>5</w:t>
      </w:r>
      <w:r w:rsidR="00333642">
        <w:rPr>
          <w:sz w:val="22"/>
          <w:szCs w:val="22"/>
        </w:rPr>
        <w:t>.</w:t>
      </w:r>
    </w:p>
    <w:p w14:paraId="178DF4CB" w14:textId="77777777" w:rsidR="00CA580E" w:rsidRDefault="00CA580E" w:rsidP="00CA580E">
      <w:pPr>
        <w:jc w:val="both"/>
        <w:rPr>
          <w:sz w:val="22"/>
          <w:szCs w:val="22"/>
        </w:rPr>
      </w:pPr>
    </w:p>
    <w:p w14:paraId="51806162" w14:textId="20472B96" w:rsidR="00CA580E" w:rsidRDefault="00CA580E" w:rsidP="00333642">
      <w:pPr>
        <w:jc w:val="both"/>
      </w:pPr>
      <w:r>
        <w:rPr>
          <w:sz w:val="22"/>
          <w:szCs w:val="22"/>
        </w:rPr>
        <w:t xml:space="preserve">The 1-day </w:t>
      </w:r>
      <w:r w:rsidR="00F3678E">
        <w:rPr>
          <w:sz w:val="22"/>
          <w:szCs w:val="22"/>
        </w:rPr>
        <w:t>w</w:t>
      </w:r>
      <w:r>
        <w:rPr>
          <w:sz w:val="22"/>
          <w:szCs w:val="22"/>
        </w:rPr>
        <w:t>orkshop was</w:t>
      </w:r>
      <w:r w:rsidR="00E46322">
        <w:rPr>
          <w:sz w:val="22"/>
          <w:szCs w:val="22"/>
        </w:rPr>
        <w:t xml:space="preserve"> focused on outlining the field study methodology and presenting the main (draft) recommendations which the Technical Assistance Team had developed, based on all the preceding elements in this Report. Participants were invited to comment, amend, or reject any of the recommendations, and their views would be taken into account before formulating the final recommendations (which may be seen in Section 3 of this Report</w:t>
      </w:r>
    </w:p>
    <w:p w14:paraId="326A05DB" w14:textId="1327AB38" w:rsidR="00CA580E" w:rsidRDefault="00CA580E" w:rsidP="00262FEB">
      <w:pPr>
        <w:pStyle w:val="Heading3"/>
      </w:pPr>
      <w:bookmarkStart w:id="27" w:name="_Toc118366158"/>
      <w:r w:rsidRPr="00E46322">
        <w:t>2.5.2 Summary of Key Findings</w:t>
      </w:r>
      <w:bookmarkEnd w:id="27"/>
    </w:p>
    <w:p w14:paraId="2B6FF1A6" w14:textId="647AF155" w:rsidR="00A03972" w:rsidRDefault="00E46322" w:rsidP="00CF6DEA">
      <w:pPr>
        <w:rPr>
          <w:sz w:val="22"/>
          <w:szCs w:val="22"/>
        </w:rPr>
      </w:pPr>
      <w:r w:rsidRPr="00E46322">
        <w:rPr>
          <w:sz w:val="22"/>
          <w:szCs w:val="22"/>
        </w:rPr>
        <w:t xml:space="preserve">In fact, the recommendations listed in Section </w:t>
      </w:r>
      <w:r w:rsidR="00CD0C1E">
        <w:rPr>
          <w:sz w:val="22"/>
          <w:szCs w:val="22"/>
        </w:rPr>
        <w:t>4</w:t>
      </w:r>
      <w:r w:rsidRPr="00E46322">
        <w:rPr>
          <w:sz w:val="22"/>
          <w:szCs w:val="22"/>
        </w:rPr>
        <w:t xml:space="preserve"> have all taken account of the views expressed during the Post-Study Workshop. Suffice to say that, while there were animated di</w:t>
      </w:r>
      <w:r w:rsidR="006B2F74">
        <w:rPr>
          <w:sz w:val="22"/>
          <w:szCs w:val="22"/>
        </w:rPr>
        <w:t>s</w:t>
      </w:r>
      <w:r w:rsidRPr="00E46322">
        <w:rPr>
          <w:sz w:val="22"/>
          <w:szCs w:val="22"/>
        </w:rPr>
        <w:t>cussions during the workshop, very little was suggested which required any major changes to the original draft recommendations.</w:t>
      </w:r>
    </w:p>
    <w:p w14:paraId="20708566" w14:textId="0AE52081" w:rsidR="00A03972" w:rsidRDefault="00A03972" w:rsidP="00CF6DEA"/>
    <w:p w14:paraId="633BC55A" w14:textId="14E948F8" w:rsidR="00CD0C1E" w:rsidRPr="00DD72BE" w:rsidRDefault="00CD0C1E" w:rsidP="00CD0C1E">
      <w:pPr>
        <w:pStyle w:val="Heading1"/>
      </w:pPr>
      <w:r w:rsidRPr="00DD72BE">
        <w:t xml:space="preserve">3. </w:t>
      </w:r>
      <w:r>
        <w:t>SECTORAL COMPARISONS</w:t>
      </w:r>
    </w:p>
    <w:p w14:paraId="0C860393" w14:textId="77777777" w:rsidR="00CD0C1E" w:rsidRPr="00541471" w:rsidRDefault="00CD0C1E" w:rsidP="00CD0C1E">
      <w:pPr>
        <w:jc w:val="both"/>
        <w:rPr>
          <w:rFonts w:cstheme="minorHAnsi"/>
          <w:sz w:val="22"/>
          <w:szCs w:val="22"/>
        </w:rPr>
      </w:pPr>
      <w:r>
        <w:rPr>
          <w:rFonts w:cstheme="minorHAnsi"/>
          <w:sz w:val="22"/>
          <w:szCs w:val="22"/>
        </w:rPr>
        <w:t xml:space="preserve">From all of the information gathered during this study, the following provides </w:t>
      </w:r>
      <w:r w:rsidRPr="00541471">
        <w:rPr>
          <w:rFonts w:cstheme="minorHAnsi"/>
          <w:sz w:val="22"/>
          <w:szCs w:val="22"/>
        </w:rPr>
        <w:t>an overall overview and sectoral comparisons by the decent future of the work, new forms of employment, employment relations through the remote and flexible work concepts. Digital technologies and compliance, prominent, hard-to-fill and lost professions and positions, training, workforce development and upskilling for new technologies and digital adaptation and gender and people with disabilities perspective of the sectors are discussed overall and compared by specific sectors.</w:t>
      </w:r>
    </w:p>
    <w:p w14:paraId="0C43D447" w14:textId="7213F5EF" w:rsidR="00CD0C1E" w:rsidRPr="00541471" w:rsidRDefault="00CD0C1E" w:rsidP="00CD0C1E">
      <w:pPr>
        <w:pStyle w:val="Heading1"/>
        <w:numPr>
          <w:ilvl w:val="1"/>
          <w:numId w:val="44"/>
        </w:numPr>
        <w:jc w:val="both"/>
        <w:rPr>
          <w:sz w:val="28"/>
          <w:szCs w:val="28"/>
        </w:rPr>
      </w:pPr>
      <w:bookmarkStart w:id="28" w:name="_Toc108219155"/>
      <w:bookmarkStart w:id="29" w:name="_Toc118366169"/>
      <w:r w:rsidRPr="00541471">
        <w:rPr>
          <w:sz w:val="28"/>
          <w:szCs w:val="28"/>
        </w:rPr>
        <w:t>The decent future of work</w:t>
      </w:r>
      <w:bookmarkEnd w:id="28"/>
      <w:bookmarkEnd w:id="29"/>
      <w:r w:rsidRPr="00541471">
        <w:rPr>
          <w:sz w:val="28"/>
          <w:szCs w:val="28"/>
        </w:rPr>
        <w:t xml:space="preserve"> </w:t>
      </w:r>
    </w:p>
    <w:p w14:paraId="21337246" w14:textId="77777777" w:rsidR="00CD0C1E" w:rsidRPr="00541471" w:rsidRDefault="00CD0C1E" w:rsidP="00CD0C1E">
      <w:pPr>
        <w:jc w:val="both"/>
        <w:rPr>
          <w:rFonts w:cstheme="minorHAnsi"/>
          <w:sz w:val="22"/>
          <w:szCs w:val="22"/>
        </w:rPr>
      </w:pPr>
      <w:r w:rsidRPr="00541471">
        <w:rPr>
          <w:rFonts w:cstheme="minorHAnsi"/>
          <w:sz w:val="22"/>
          <w:szCs w:val="22"/>
        </w:rPr>
        <w:t>Decent work is defined as “productive work for women and men in conditions of freedom, equity, security and human dignity”.</w:t>
      </w:r>
      <w:r w:rsidRPr="00541471">
        <w:rPr>
          <w:vertAlign w:val="superscript"/>
        </w:rPr>
        <w:footnoteReference w:id="2"/>
      </w:r>
      <w:r w:rsidRPr="00541471">
        <w:rPr>
          <w:rFonts w:cstheme="minorHAnsi"/>
          <w:sz w:val="22"/>
          <w:szCs w:val="22"/>
        </w:rPr>
        <w:t xml:space="preserve"> In general, work is considered </w:t>
      </w:r>
      <w:r>
        <w:rPr>
          <w:rFonts w:cstheme="minorHAnsi"/>
          <w:sz w:val="22"/>
          <w:szCs w:val="22"/>
        </w:rPr>
        <w:t>“</w:t>
      </w:r>
      <w:r w:rsidRPr="00541471">
        <w:rPr>
          <w:rFonts w:cstheme="minorHAnsi"/>
          <w:sz w:val="22"/>
          <w:szCs w:val="22"/>
        </w:rPr>
        <w:t>decent</w:t>
      </w:r>
      <w:r>
        <w:rPr>
          <w:rFonts w:cstheme="minorHAnsi"/>
          <w:sz w:val="22"/>
          <w:szCs w:val="22"/>
        </w:rPr>
        <w:t>”</w:t>
      </w:r>
      <w:r w:rsidRPr="00541471">
        <w:rPr>
          <w:rFonts w:cstheme="minorHAnsi"/>
          <w:sz w:val="22"/>
          <w:szCs w:val="22"/>
        </w:rPr>
        <w:t xml:space="preserve"> when: it pays a fair income</w:t>
      </w:r>
      <w:r>
        <w:rPr>
          <w:rFonts w:cstheme="minorHAnsi"/>
          <w:sz w:val="22"/>
          <w:szCs w:val="22"/>
        </w:rPr>
        <w:t xml:space="preserve"> and</w:t>
      </w:r>
      <w:r w:rsidRPr="00541471">
        <w:rPr>
          <w:rFonts w:cstheme="minorHAnsi"/>
          <w:sz w:val="22"/>
          <w:szCs w:val="22"/>
        </w:rPr>
        <w:t xml:space="preserve"> guarantees a secure </w:t>
      </w:r>
      <w:r w:rsidRPr="00541471">
        <w:rPr>
          <w:rFonts w:cstheme="minorHAnsi"/>
          <w:sz w:val="22"/>
          <w:szCs w:val="22"/>
        </w:rPr>
        <w:lastRenderedPageBreak/>
        <w:t>form of employment and safe working conditions. However, within this report, the decent work definition has been discussed along with the new forms of employment and employment relations. Since the sectoral study aimed to understand sectoral needs for future jobs and skills and make recommendations, during the fieldwork</w:t>
      </w:r>
      <w:r>
        <w:rPr>
          <w:rFonts w:cstheme="minorHAnsi"/>
          <w:sz w:val="22"/>
          <w:szCs w:val="22"/>
        </w:rPr>
        <w:t>,</w:t>
      </w:r>
      <w:r w:rsidRPr="00541471">
        <w:rPr>
          <w:rFonts w:cstheme="minorHAnsi"/>
          <w:sz w:val="22"/>
          <w:szCs w:val="22"/>
        </w:rPr>
        <w:t xml:space="preserve"> questions were asked to understand the impact of technological transformations and digital technologies on the new forms of employment and employment relations.  </w:t>
      </w:r>
    </w:p>
    <w:p w14:paraId="4DB3B009" w14:textId="77777777" w:rsidR="00CD0C1E" w:rsidRPr="00541471" w:rsidRDefault="00CD0C1E" w:rsidP="00CD0C1E">
      <w:pPr>
        <w:jc w:val="both"/>
        <w:rPr>
          <w:rFonts w:cstheme="minorHAnsi"/>
          <w:sz w:val="22"/>
          <w:szCs w:val="22"/>
        </w:rPr>
      </w:pPr>
    </w:p>
    <w:p w14:paraId="0175237D" w14:textId="77777777" w:rsidR="00CD0C1E" w:rsidRPr="00541471" w:rsidRDefault="00CD0C1E" w:rsidP="00CD0C1E">
      <w:pPr>
        <w:jc w:val="both"/>
        <w:rPr>
          <w:rFonts w:cstheme="minorHAnsi"/>
          <w:sz w:val="22"/>
          <w:szCs w:val="22"/>
        </w:rPr>
      </w:pPr>
      <w:r w:rsidRPr="00541471">
        <w:rPr>
          <w:rFonts w:cstheme="minorHAnsi"/>
          <w:sz w:val="22"/>
          <w:szCs w:val="22"/>
        </w:rPr>
        <w:t>“The (Decent) Future of Work” is an interdisciplinary topic that covers current and expected trends in the labour market of new and digital technologies in different sectors, including job automation and increasing skill and qualification requirements. New employment forms and relations emerging in this context require legal, business-oriented, and educational actions at all levels.</w:t>
      </w:r>
    </w:p>
    <w:p w14:paraId="05DF1A33" w14:textId="77777777" w:rsidR="00CD0C1E" w:rsidRPr="00541471" w:rsidRDefault="00CD0C1E" w:rsidP="00CD0C1E">
      <w:pPr>
        <w:jc w:val="both"/>
        <w:rPr>
          <w:rFonts w:cstheme="minorHAnsi"/>
          <w:sz w:val="22"/>
          <w:szCs w:val="22"/>
        </w:rPr>
      </w:pPr>
    </w:p>
    <w:p w14:paraId="5AFCDB50" w14:textId="77777777" w:rsidR="00CD0C1E" w:rsidRPr="00541471" w:rsidRDefault="00CD0C1E" w:rsidP="00CD0C1E">
      <w:pPr>
        <w:jc w:val="both"/>
        <w:rPr>
          <w:rFonts w:cstheme="minorHAnsi"/>
          <w:sz w:val="22"/>
          <w:szCs w:val="22"/>
        </w:rPr>
      </w:pPr>
      <w:r w:rsidRPr="00541471">
        <w:rPr>
          <w:rFonts w:cstheme="minorHAnsi"/>
          <w:sz w:val="22"/>
          <w:szCs w:val="22"/>
        </w:rPr>
        <w:t xml:space="preserve">The awareness of the "decent work" concept was measured low amongst sectoral experts, employers, and employees in all five pre-selected sectors. According to the overall results of the survey, it was determined that approximately two-thirds of the sector experts/decision-makers (66.7%) and employers/managers (67.9%) heard the concept of "decent work". The percentage of managers who answered, "I heard, and I know the definition" (37.2) is slightly higher than industry experts (35.1%). Nearly half of the employees claimed they had never heard of the concept. About half of the employees (49.5%) have heard of this concept, but less than half (22.9%) know the definition. Generally, in most sectors, awareness of female employees about the </w:t>
      </w:r>
      <w:r>
        <w:rPr>
          <w:rFonts w:cstheme="minorHAnsi"/>
          <w:sz w:val="22"/>
          <w:szCs w:val="22"/>
        </w:rPr>
        <w:t xml:space="preserve">decent work </w:t>
      </w:r>
      <w:r w:rsidRPr="00541471">
        <w:rPr>
          <w:rFonts w:cstheme="minorHAnsi"/>
          <w:sz w:val="22"/>
          <w:szCs w:val="22"/>
        </w:rPr>
        <w:t xml:space="preserve">concept was measured as </w:t>
      </w:r>
      <w:r>
        <w:rPr>
          <w:rFonts w:cstheme="minorHAnsi"/>
          <w:sz w:val="22"/>
          <w:szCs w:val="22"/>
        </w:rPr>
        <w:t>more significant</w:t>
      </w:r>
      <w:r w:rsidRPr="00541471">
        <w:rPr>
          <w:rFonts w:cstheme="minorHAnsi"/>
          <w:sz w:val="22"/>
          <w:szCs w:val="22"/>
        </w:rPr>
        <w:t xml:space="preserve"> than awareness of male employees </w:t>
      </w:r>
      <w:r>
        <w:rPr>
          <w:rFonts w:cstheme="minorHAnsi"/>
          <w:sz w:val="22"/>
          <w:szCs w:val="22"/>
        </w:rPr>
        <w:t>regarding</w:t>
      </w:r>
      <w:r w:rsidRPr="00541471">
        <w:rPr>
          <w:rFonts w:cstheme="minorHAnsi"/>
          <w:sz w:val="22"/>
          <w:szCs w:val="22"/>
        </w:rPr>
        <w:t xml:space="preserve"> </w:t>
      </w:r>
      <w:r>
        <w:rPr>
          <w:rFonts w:cstheme="minorHAnsi"/>
          <w:sz w:val="22"/>
          <w:szCs w:val="22"/>
        </w:rPr>
        <w:t>knowledge</w:t>
      </w:r>
      <w:r w:rsidRPr="00541471">
        <w:rPr>
          <w:rFonts w:cstheme="minorHAnsi"/>
          <w:sz w:val="22"/>
          <w:szCs w:val="22"/>
        </w:rPr>
        <w:t xml:space="preserve"> and understanding </w:t>
      </w:r>
      <w:r>
        <w:rPr>
          <w:rFonts w:cstheme="minorHAnsi"/>
          <w:sz w:val="22"/>
          <w:szCs w:val="22"/>
        </w:rPr>
        <w:t xml:space="preserve">of </w:t>
      </w:r>
      <w:r w:rsidRPr="00541471">
        <w:rPr>
          <w:rFonts w:cstheme="minorHAnsi"/>
          <w:sz w:val="22"/>
          <w:szCs w:val="22"/>
        </w:rPr>
        <w:t xml:space="preserve">the definition. </w:t>
      </w:r>
    </w:p>
    <w:p w14:paraId="317667A9" w14:textId="77777777" w:rsidR="00CD0C1E" w:rsidRPr="00541471" w:rsidRDefault="00CD0C1E" w:rsidP="00CD0C1E">
      <w:pPr>
        <w:jc w:val="both"/>
        <w:rPr>
          <w:rFonts w:cstheme="minorHAnsi"/>
          <w:sz w:val="22"/>
          <w:szCs w:val="22"/>
        </w:rPr>
      </w:pPr>
    </w:p>
    <w:p w14:paraId="26737F96" w14:textId="77777777" w:rsidR="00CD0C1E" w:rsidRPr="00541471" w:rsidRDefault="00CD0C1E" w:rsidP="00CD0C1E">
      <w:pPr>
        <w:jc w:val="both"/>
        <w:rPr>
          <w:rFonts w:cstheme="minorHAnsi"/>
          <w:sz w:val="22"/>
          <w:szCs w:val="22"/>
        </w:rPr>
      </w:pPr>
      <w:r w:rsidRPr="00541471">
        <w:rPr>
          <w:rFonts w:cstheme="minorHAnsi"/>
          <w:sz w:val="22"/>
          <w:szCs w:val="22"/>
        </w:rPr>
        <w:t xml:space="preserve">When the concept of "decent work" is analysed by sectors, it is seen that the participants who stated that they have not heard of this concept are primarily in the ICT (44.8%) and health (43.3%) sectors. Participants who say that they know the concept of "decent work" together with its definition are mostly in energy (35.1%), finance and banking (32.6%) and education (30.8%) sectors. </w:t>
      </w:r>
    </w:p>
    <w:p w14:paraId="37F25205" w14:textId="77777777" w:rsidR="00CD0C1E" w:rsidRPr="00541471" w:rsidRDefault="00CD0C1E" w:rsidP="00CD0C1E">
      <w:pPr>
        <w:jc w:val="both"/>
        <w:rPr>
          <w:rFonts w:cstheme="minorHAnsi"/>
          <w:sz w:val="22"/>
          <w:szCs w:val="22"/>
        </w:rPr>
      </w:pPr>
    </w:p>
    <w:p w14:paraId="664149F4" w14:textId="77777777" w:rsidR="00CD0C1E" w:rsidRPr="00541471" w:rsidRDefault="00CD0C1E" w:rsidP="00CD0C1E">
      <w:pPr>
        <w:jc w:val="both"/>
        <w:rPr>
          <w:rFonts w:cstheme="minorHAnsi"/>
          <w:sz w:val="22"/>
          <w:szCs w:val="22"/>
        </w:rPr>
      </w:pPr>
      <w:r w:rsidRPr="00541471">
        <w:rPr>
          <w:rFonts w:cstheme="minorHAnsi"/>
          <w:sz w:val="22"/>
          <w:szCs w:val="22"/>
        </w:rPr>
        <w:t xml:space="preserve">Working conditions associate new business models </w:t>
      </w:r>
      <w:r>
        <w:rPr>
          <w:rFonts w:cstheme="minorHAnsi"/>
          <w:sz w:val="22"/>
          <w:szCs w:val="22"/>
        </w:rPr>
        <w:t>with</w:t>
      </w:r>
      <w:r w:rsidRPr="00541471">
        <w:rPr>
          <w:rFonts w:cstheme="minorHAnsi"/>
          <w:sz w:val="22"/>
          <w:szCs w:val="22"/>
        </w:rPr>
        <w:t xml:space="preserve"> the future of work. According to ILO, flexible and remote work is expected to become more prevalent soon </w:t>
      </w:r>
      <w:r>
        <w:rPr>
          <w:rFonts w:cstheme="minorHAnsi"/>
          <w:sz w:val="22"/>
          <w:szCs w:val="22"/>
        </w:rPr>
        <w:t>with</w:t>
      </w:r>
      <w:r w:rsidRPr="00541471">
        <w:rPr>
          <w:rFonts w:cstheme="minorHAnsi"/>
          <w:sz w:val="22"/>
          <w:szCs w:val="22"/>
        </w:rPr>
        <w:t xml:space="preserve"> the help of the </w:t>
      </w:r>
      <w:r>
        <w:rPr>
          <w:rFonts w:cstheme="minorHAnsi"/>
          <w:sz w:val="22"/>
          <w:szCs w:val="22"/>
        </w:rPr>
        <w:t>latest</w:t>
      </w:r>
      <w:r w:rsidRPr="00541471">
        <w:rPr>
          <w:rFonts w:cstheme="minorHAnsi"/>
          <w:sz w:val="22"/>
          <w:szCs w:val="22"/>
        </w:rPr>
        <w:t xml:space="preserve"> digital technologies and emerging business tools.</w:t>
      </w:r>
      <w:r w:rsidRPr="00541471">
        <w:rPr>
          <w:rFonts w:cstheme="minorHAnsi"/>
          <w:sz w:val="22"/>
          <w:szCs w:val="22"/>
          <w:vertAlign w:val="superscript"/>
        </w:rPr>
        <w:footnoteReference w:id="3"/>
      </w:r>
      <w:r w:rsidRPr="00541471">
        <w:rPr>
          <w:rFonts w:cstheme="minorHAnsi"/>
          <w:sz w:val="22"/>
          <w:szCs w:val="22"/>
        </w:rPr>
        <w:t xml:space="preserve"> These new business models will also allow marginalised workers to join the workforce, as well as workers with family responsibilities. However, without rules and regulations, such new business models may be abused by two sides of the labour market. </w:t>
      </w:r>
    </w:p>
    <w:p w14:paraId="71BF020F" w14:textId="77777777" w:rsidR="00CD0C1E" w:rsidRPr="00541471" w:rsidRDefault="00CD0C1E" w:rsidP="00CD0C1E">
      <w:pPr>
        <w:jc w:val="both"/>
        <w:rPr>
          <w:rFonts w:cstheme="minorHAnsi"/>
          <w:sz w:val="22"/>
          <w:szCs w:val="22"/>
        </w:rPr>
      </w:pPr>
    </w:p>
    <w:p w14:paraId="47BEF348" w14:textId="77777777" w:rsidR="00CD0C1E" w:rsidRPr="00541471" w:rsidRDefault="00CD0C1E" w:rsidP="00CD0C1E">
      <w:pPr>
        <w:jc w:val="both"/>
        <w:rPr>
          <w:rFonts w:cstheme="minorHAnsi"/>
          <w:sz w:val="22"/>
          <w:szCs w:val="22"/>
        </w:rPr>
      </w:pPr>
      <w:r w:rsidRPr="00541471">
        <w:rPr>
          <w:rFonts w:cstheme="minorHAnsi"/>
          <w:sz w:val="22"/>
          <w:szCs w:val="22"/>
        </w:rPr>
        <w:t xml:space="preserve">When flexible or remote working arrangements are analysed by sectors, it is seen that these regulations are mostly applied in the ICT sector without written rules. In the ICT sector, 60.8% of industry experts, 51% of managers and 50% of employees stated that flexible or remote working arrangements are implemented in their institutions or </w:t>
      </w:r>
      <w:r>
        <w:rPr>
          <w:rFonts w:cstheme="minorHAnsi"/>
          <w:sz w:val="22"/>
          <w:szCs w:val="22"/>
        </w:rPr>
        <w:t>organisations</w:t>
      </w:r>
      <w:r w:rsidRPr="00541471">
        <w:rPr>
          <w:rFonts w:cstheme="minorHAnsi"/>
          <w:sz w:val="22"/>
          <w:szCs w:val="22"/>
        </w:rPr>
        <w:t>, but there are no written rules.</w:t>
      </w:r>
    </w:p>
    <w:p w14:paraId="0387F87D" w14:textId="77777777" w:rsidR="00CD0C1E" w:rsidRPr="00541471" w:rsidRDefault="00CD0C1E" w:rsidP="00CD0C1E">
      <w:pPr>
        <w:jc w:val="both"/>
        <w:rPr>
          <w:rFonts w:cstheme="minorHAnsi"/>
          <w:sz w:val="22"/>
          <w:szCs w:val="22"/>
        </w:rPr>
      </w:pPr>
    </w:p>
    <w:p w14:paraId="12547308" w14:textId="77777777" w:rsidR="00CD0C1E" w:rsidRDefault="00CD0C1E" w:rsidP="00CD0C1E">
      <w:pPr>
        <w:jc w:val="both"/>
        <w:rPr>
          <w:rFonts w:cstheme="minorHAnsi"/>
          <w:sz w:val="22"/>
          <w:szCs w:val="22"/>
        </w:rPr>
      </w:pPr>
      <w:r w:rsidRPr="00541471">
        <w:rPr>
          <w:rFonts w:cstheme="minorHAnsi"/>
          <w:sz w:val="22"/>
          <w:szCs w:val="22"/>
        </w:rPr>
        <w:t xml:space="preserve">The sectors in which flexible or remote working arrangements are implemented with written rules at the highest rate were the finance and banking, and education sectors. Almost half (47%) of </w:t>
      </w:r>
      <w:r>
        <w:rPr>
          <w:rFonts w:cstheme="minorHAnsi"/>
          <w:sz w:val="22"/>
          <w:szCs w:val="22"/>
        </w:rPr>
        <w:t>sector</w:t>
      </w:r>
      <w:r w:rsidRPr="00541471">
        <w:rPr>
          <w:rFonts w:cstheme="minorHAnsi"/>
          <w:sz w:val="22"/>
          <w:szCs w:val="22"/>
        </w:rPr>
        <w:t xml:space="preserve"> experts and employees in the finance and banking sector say that flexible or remote working arrangements are implemented in their institutions or </w:t>
      </w:r>
      <w:r>
        <w:rPr>
          <w:rFonts w:cstheme="minorHAnsi"/>
          <w:sz w:val="22"/>
          <w:szCs w:val="22"/>
        </w:rPr>
        <w:t>organisations</w:t>
      </w:r>
      <w:r w:rsidRPr="00541471">
        <w:rPr>
          <w:rFonts w:cstheme="minorHAnsi"/>
          <w:sz w:val="22"/>
          <w:szCs w:val="22"/>
        </w:rPr>
        <w:t xml:space="preserve"> with written rules. The managers who stated that these </w:t>
      </w:r>
      <w:r w:rsidRPr="00541471">
        <w:rPr>
          <w:rFonts w:cstheme="minorHAnsi"/>
          <w:sz w:val="22"/>
          <w:szCs w:val="22"/>
        </w:rPr>
        <w:lastRenderedPageBreak/>
        <w:t xml:space="preserve">regulations are implemented with written rules in their institutions or </w:t>
      </w:r>
      <w:r>
        <w:rPr>
          <w:rFonts w:cstheme="minorHAnsi"/>
          <w:sz w:val="22"/>
          <w:szCs w:val="22"/>
        </w:rPr>
        <w:t>organisations</w:t>
      </w:r>
      <w:r w:rsidRPr="00541471">
        <w:rPr>
          <w:rFonts w:cstheme="minorHAnsi"/>
          <w:sz w:val="22"/>
          <w:szCs w:val="22"/>
        </w:rPr>
        <w:t xml:space="preserve"> are in the education sector with the highest rate (37.8%).</w:t>
      </w:r>
    </w:p>
    <w:p w14:paraId="4CCDC668" w14:textId="77777777" w:rsidR="00CD0C1E" w:rsidRDefault="00CD0C1E" w:rsidP="00CD0C1E">
      <w:pPr>
        <w:jc w:val="both"/>
        <w:rPr>
          <w:rFonts w:cstheme="minorHAnsi"/>
          <w:sz w:val="22"/>
          <w:szCs w:val="22"/>
        </w:rPr>
      </w:pPr>
    </w:p>
    <w:p w14:paraId="0D416F15" w14:textId="77777777" w:rsidR="00CD0C1E" w:rsidRPr="00246EED" w:rsidRDefault="00CD0C1E" w:rsidP="00CD0C1E">
      <w:pPr>
        <w:jc w:val="both"/>
        <w:rPr>
          <w:rFonts w:cstheme="minorHAnsi"/>
          <w:b/>
          <w:bCs/>
          <w:sz w:val="22"/>
          <w:szCs w:val="22"/>
        </w:rPr>
      </w:pPr>
      <w:r w:rsidRPr="00246EED">
        <w:rPr>
          <w:rFonts w:cstheme="minorHAnsi"/>
          <w:b/>
          <w:bCs/>
          <w:sz w:val="22"/>
          <w:szCs w:val="22"/>
        </w:rPr>
        <w:t xml:space="preserve">Most </w:t>
      </w:r>
      <w:r>
        <w:rPr>
          <w:rFonts w:cstheme="minorHAnsi"/>
          <w:b/>
          <w:bCs/>
          <w:sz w:val="22"/>
          <w:szCs w:val="22"/>
        </w:rPr>
        <w:t xml:space="preserve">decision-makers and </w:t>
      </w:r>
      <w:r w:rsidRPr="00246EED">
        <w:rPr>
          <w:rFonts w:cstheme="minorHAnsi"/>
          <w:b/>
          <w:bCs/>
          <w:sz w:val="22"/>
          <w:szCs w:val="22"/>
        </w:rPr>
        <w:t xml:space="preserve">sector experts (86.6%) </w:t>
      </w:r>
      <w:r>
        <w:rPr>
          <w:rFonts w:cstheme="minorHAnsi"/>
          <w:b/>
          <w:bCs/>
          <w:sz w:val="22"/>
          <w:szCs w:val="22"/>
        </w:rPr>
        <w:t>indicate</w:t>
      </w:r>
      <w:r w:rsidRPr="00246EED">
        <w:rPr>
          <w:rFonts w:cstheme="minorHAnsi"/>
          <w:b/>
          <w:bCs/>
          <w:sz w:val="22"/>
          <w:szCs w:val="22"/>
        </w:rPr>
        <w:t xml:space="preserve"> that regulations </w:t>
      </w:r>
      <w:r>
        <w:rPr>
          <w:rFonts w:cstheme="minorHAnsi"/>
          <w:b/>
          <w:bCs/>
          <w:sz w:val="22"/>
          <w:szCs w:val="22"/>
        </w:rPr>
        <w:t>related to</w:t>
      </w:r>
      <w:r w:rsidRPr="00246EED">
        <w:rPr>
          <w:rFonts w:cstheme="minorHAnsi"/>
          <w:b/>
          <w:bCs/>
          <w:sz w:val="22"/>
          <w:szCs w:val="22"/>
        </w:rPr>
        <w:t xml:space="preserve"> the new forms of employment </w:t>
      </w:r>
      <w:r>
        <w:rPr>
          <w:rFonts w:cstheme="minorHAnsi"/>
          <w:b/>
          <w:bCs/>
          <w:sz w:val="22"/>
          <w:szCs w:val="22"/>
        </w:rPr>
        <w:t xml:space="preserve">and employment relations </w:t>
      </w:r>
      <w:r w:rsidRPr="00246EED">
        <w:rPr>
          <w:rFonts w:cstheme="minorHAnsi"/>
          <w:b/>
          <w:bCs/>
          <w:sz w:val="22"/>
          <w:szCs w:val="22"/>
        </w:rPr>
        <w:t xml:space="preserve">created </w:t>
      </w:r>
      <w:r>
        <w:rPr>
          <w:rFonts w:cstheme="minorHAnsi"/>
          <w:b/>
          <w:bCs/>
          <w:sz w:val="22"/>
          <w:szCs w:val="22"/>
        </w:rPr>
        <w:t>by means the</w:t>
      </w:r>
      <w:r w:rsidRPr="00246EED">
        <w:rPr>
          <w:rFonts w:cstheme="minorHAnsi"/>
          <w:b/>
          <w:bCs/>
          <w:sz w:val="22"/>
          <w:szCs w:val="22"/>
        </w:rPr>
        <w:t xml:space="preserve"> new and digital technologies in working life are insufficient.</w:t>
      </w:r>
    </w:p>
    <w:p w14:paraId="224F304E" w14:textId="77777777" w:rsidR="00CD0C1E" w:rsidRPr="00541471" w:rsidRDefault="00CD0C1E" w:rsidP="00CD0C1E">
      <w:pPr>
        <w:jc w:val="both"/>
        <w:rPr>
          <w:rFonts w:cstheme="minorHAnsi"/>
          <w:sz w:val="22"/>
          <w:szCs w:val="22"/>
        </w:rPr>
      </w:pPr>
    </w:p>
    <w:p w14:paraId="52FCD23D" w14:textId="77777777" w:rsidR="00CD0C1E" w:rsidRPr="00541471" w:rsidRDefault="00CD0C1E" w:rsidP="00CD0C1E">
      <w:pPr>
        <w:jc w:val="both"/>
        <w:rPr>
          <w:rFonts w:cstheme="minorHAnsi"/>
          <w:sz w:val="22"/>
          <w:szCs w:val="22"/>
        </w:rPr>
      </w:pPr>
      <w:r w:rsidRPr="00541471">
        <w:rPr>
          <w:rFonts w:cstheme="minorHAnsi"/>
          <w:sz w:val="22"/>
          <w:szCs w:val="22"/>
        </w:rPr>
        <w:t xml:space="preserve">The health sector participants expressed the highest rate that flexible or remote working arrangements were not implemented at all. While approximately 9 out of 10 </w:t>
      </w:r>
      <w:r>
        <w:rPr>
          <w:rFonts w:cstheme="minorHAnsi"/>
          <w:sz w:val="22"/>
          <w:szCs w:val="22"/>
        </w:rPr>
        <w:t>employees</w:t>
      </w:r>
      <w:r w:rsidRPr="00541471">
        <w:rPr>
          <w:rFonts w:cstheme="minorHAnsi"/>
          <w:sz w:val="22"/>
          <w:szCs w:val="22"/>
        </w:rPr>
        <w:t xml:space="preserve"> in the health sector stated that they do not have flexible or remote working arrangements in their institutions or </w:t>
      </w:r>
      <w:r>
        <w:rPr>
          <w:rFonts w:cstheme="minorHAnsi"/>
          <w:sz w:val="22"/>
          <w:szCs w:val="22"/>
        </w:rPr>
        <w:t>organisations</w:t>
      </w:r>
      <w:r w:rsidRPr="00541471">
        <w:rPr>
          <w:rFonts w:cstheme="minorHAnsi"/>
          <w:sz w:val="22"/>
          <w:szCs w:val="22"/>
        </w:rPr>
        <w:t xml:space="preserve">, this rate was calculated as 75.6% for health sector experts and 60.5% for managers. </w:t>
      </w:r>
    </w:p>
    <w:p w14:paraId="481A46F3" w14:textId="77777777" w:rsidR="00CD0C1E" w:rsidRPr="00541471" w:rsidRDefault="00CD0C1E" w:rsidP="00CD0C1E">
      <w:pPr>
        <w:jc w:val="both"/>
        <w:rPr>
          <w:rFonts w:cstheme="minorHAnsi"/>
          <w:sz w:val="22"/>
          <w:szCs w:val="22"/>
        </w:rPr>
      </w:pPr>
    </w:p>
    <w:p w14:paraId="3320BB7C" w14:textId="77777777" w:rsidR="00CD0C1E" w:rsidRPr="00541471" w:rsidRDefault="00CD0C1E" w:rsidP="00CD0C1E">
      <w:pPr>
        <w:jc w:val="both"/>
        <w:rPr>
          <w:rFonts w:cstheme="minorHAnsi"/>
          <w:sz w:val="22"/>
          <w:szCs w:val="22"/>
        </w:rPr>
      </w:pPr>
      <w:r w:rsidRPr="00541471">
        <w:rPr>
          <w:rFonts w:cstheme="minorHAnsi"/>
          <w:sz w:val="22"/>
          <w:szCs w:val="22"/>
        </w:rPr>
        <w:t>Respondents in the education sector are generally agreed and happy that flexible and remote working arrangements allow employees to fulfil family responsibilities and participate in family and social activities. All three groups (decision-makers, employers, and employees) of respondents think that highly flexible or remote working arrangements allow employees to fulfil their family responsibilities. According to two-thirds (61.4%) of the employees, flexible or remote working arrangements help employees participate in family and social activities. Sector experts (59%) and employers (56.1%) agreed with this proposition less.</w:t>
      </w:r>
    </w:p>
    <w:p w14:paraId="09C54A68" w14:textId="77777777" w:rsidR="00CD0C1E" w:rsidRPr="00541471" w:rsidRDefault="00CD0C1E" w:rsidP="00CD0C1E">
      <w:pPr>
        <w:jc w:val="both"/>
        <w:rPr>
          <w:rFonts w:cstheme="minorHAnsi"/>
          <w:sz w:val="22"/>
          <w:szCs w:val="22"/>
        </w:rPr>
      </w:pPr>
    </w:p>
    <w:p w14:paraId="70C440C2" w14:textId="77777777" w:rsidR="00CD0C1E" w:rsidRPr="00250F50" w:rsidRDefault="00CD0C1E" w:rsidP="00CD0C1E">
      <w:pPr>
        <w:jc w:val="both"/>
        <w:rPr>
          <w:rFonts w:cstheme="minorHAnsi"/>
          <w:sz w:val="22"/>
          <w:szCs w:val="22"/>
        </w:rPr>
      </w:pPr>
      <w:r w:rsidRPr="00541471">
        <w:rPr>
          <w:rFonts w:cstheme="minorHAnsi"/>
          <w:sz w:val="22"/>
          <w:szCs w:val="22"/>
        </w:rPr>
        <w:t>Remote or flexible work</w:t>
      </w:r>
      <w:r w:rsidRPr="00250F50">
        <w:rPr>
          <w:rFonts w:cstheme="minorHAnsi"/>
          <w:sz w:val="22"/>
          <w:szCs w:val="22"/>
        </w:rPr>
        <w:t xml:space="preserve"> </w:t>
      </w:r>
      <w:r>
        <w:rPr>
          <w:rFonts w:cstheme="minorHAnsi"/>
          <w:sz w:val="22"/>
          <w:szCs w:val="22"/>
        </w:rPr>
        <w:t>is</w:t>
      </w:r>
      <w:r w:rsidRPr="00250F50">
        <w:rPr>
          <w:rFonts w:cstheme="minorHAnsi"/>
          <w:sz w:val="22"/>
          <w:szCs w:val="22"/>
        </w:rPr>
        <w:t xml:space="preserve"> often preferred by women for work, as women believe that by working </w:t>
      </w:r>
      <w:r w:rsidRPr="00541471">
        <w:rPr>
          <w:rFonts w:cstheme="minorHAnsi"/>
          <w:sz w:val="22"/>
          <w:szCs w:val="22"/>
        </w:rPr>
        <w:t>remote,</w:t>
      </w:r>
      <w:r w:rsidRPr="00250F50">
        <w:rPr>
          <w:rFonts w:cstheme="minorHAnsi"/>
          <w:sz w:val="22"/>
          <w:szCs w:val="22"/>
        </w:rPr>
        <w:t xml:space="preserve"> they have more freedom and</w:t>
      </w:r>
      <w:r>
        <w:rPr>
          <w:rFonts w:cstheme="minorHAnsi"/>
          <w:sz w:val="22"/>
          <w:szCs w:val="22"/>
        </w:rPr>
        <w:t>,</w:t>
      </w:r>
      <w:r w:rsidRPr="00250F50">
        <w:rPr>
          <w:rFonts w:cstheme="minorHAnsi"/>
          <w:sz w:val="22"/>
          <w:szCs w:val="22"/>
        </w:rPr>
        <w:t xml:space="preserve"> therefore</w:t>
      </w:r>
      <w:r>
        <w:rPr>
          <w:rFonts w:cstheme="minorHAnsi"/>
          <w:sz w:val="22"/>
          <w:szCs w:val="22"/>
        </w:rPr>
        <w:t>,</w:t>
      </w:r>
      <w:r w:rsidRPr="00250F50">
        <w:rPr>
          <w:rFonts w:cstheme="minorHAnsi"/>
          <w:sz w:val="22"/>
          <w:szCs w:val="22"/>
        </w:rPr>
        <w:t xml:space="preserve"> more possibility to reconcile their professional life with their family life, and to use </w:t>
      </w:r>
      <w:r w:rsidRPr="00541471">
        <w:rPr>
          <w:rFonts w:cstheme="minorHAnsi"/>
          <w:sz w:val="22"/>
          <w:szCs w:val="22"/>
        </w:rPr>
        <w:t>remote work</w:t>
      </w:r>
      <w:r w:rsidRPr="00250F50">
        <w:rPr>
          <w:rFonts w:cstheme="minorHAnsi"/>
          <w:sz w:val="22"/>
          <w:szCs w:val="22"/>
        </w:rPr>
        <w:t xml:space="preserve"> as an instrument of conciliation, </w:t>
      </w:r>
      <w:r w:rsidRPr="00541471">
        <w:rPr>
          <w:rFonts w:cstheme="minorHAnsi"/>
          <w:sz w:val="22"/>
          <w:szCs w:val="22"/>
        </w:rPr>
        <w:t>work,</w:t>
      </w:r>
      <w:r w:rsidRPr="00250F50">
        <w:rPr>
          <w:rFonts w:cstheme="minorHAnsi"/>
          <w:sz w:val="22"/>
          <w:szCs w:val="22"/>
        </w:rPr>
        <w:t xml:space="preserve"> and family life.</w:t>
      </w:r>
    </w:p>
    <w:p w14:paraId="33F54F88" w14:textId="77777777" w:rsidR="00CD0C1E" w:rsidRPr="00541471" w:rsidRDefault="00CD0C1E" w:rsidP="00CD0C1E">
      <w:pPr>
        <w:jc w:val="both"/>
        <w:rPr>
          <w:rFonts w:cstheme="minorHAnsi"/>
          <w:sz w:val="22"/>
          <w:szCs w:val="22"/>
        </w:rPr>
      </w:pPr>
    </w:p>
    <w:p w14:paraId="64F8F463" w14:textId="77777777" w:rsidR="00CD0C1E" w:rsidRPr="00541471" w:rsidRDefault="00CD0C1E" w:rsidP="00CD0C1E">
      <w:pPr>
        <w:jc w:val="both"/>
        <w:rPr>
          <w:rFonts w:cstheme="minorHAnsi"/>
          <w:sz w:val="22"/>
          <w:szCs w:val="22"/>
        </w:rPr>
      </w:pPr>
      <w:r w:rsidRPr="00541471">
        <w:rPr>
          <w:rFonts w:cstheme="minorHAnsi"/>
          <w:sz w:val="22"/>
          <w:szCs w:val="22"/>
        </w:rPr>
        <w:t>Almost two-thirds of the respondents from each group think that institutions/</w:t>
      </w:r>
      <w:r>
        <w:rPr>
          <w:rFonts w:cstheme="minorHAnsi"/>
          <w:sz w:val="22"/>
          <w:szCs w:val="22"/>
        </w:rPr>
        <w:t>organisations</w:t>
      </w:r>
      <w:r w:rsidRPr="00541471">
        <w:rPr>
          <w:rFonts w:cstheme="minorHAnsi"/>
          <w:sz w:val="22"/>
          <w:szCs w:val="22"/>
        </w:rPr>
        <w:t xml:space="preserve">/workplaces can monitor their employees' flexible working hours or remote work. However, most sector experts (60%), employers and managers (70%) claim that employees could not focus more on their tasks with flexible or remote working arrangements. Nearly half of the employees claim </w:t>
      </w:r>
      <w:r>
        <w:rPr>
          <w:rFonts w:cstheme="minorHAnsi"/>
          <w:sz w:val="22"/>
          <w:szCs w:val="22"/>
        </w:rPr>
        <w:t>to</w:t>
      </w:r>
      <w:r w:rsidRPr="00541471">
        <w:rPr>
          <w:rFonts w:cstheme="minorHAnsi"/>
          <w:sz w:val="22"/>
          <w:szCs w:val="22"/>
        </w:rPr>
        <w:t xml:space="preserve"> focus more on their job while working with flexible or remote employment arrangements. Nevertheless, according to 9 out of 10 managers and 8 out of 10 industry experts, flexible or remote working arrangements do not negatively affect performance.</w:t>
      </w:r>
    </w:p>
    <w:p w14:paraId="3DC46DF4" w14:textId="77777777" w:rsidR="00CD0C1E" w:rsidRPr="00541471" w:rsidRDefault="00CD0C1E" w:rsidP="00CD0C1E">
      <w:pPr>
        <w:jc w:val="both"/>
        <w:rPr>
          <w:rFonts w:cstheme="minorHAnsi"/>
          <w:sz w:val="22"/>
          <w:szCs w:val="22"/>
        </w:rPr>
      </w:pPr>
    </w:p>
    <w:p w14:paraId="33BB0A60" w14:textId="77777777" w:rsidR="00CD0C1E" w:rsidRPr="00541471" w:rsidRDefault="00CD0C1E" w:rsidP="00CD0C1E">
      <w:pPr>
        <w:jc w:val="both"/>
        <w:rPr>
          <w:rFonts w:cstheme="minorHAnsi"/>
          <w:sz w:val="22"/>
          <w:szCs w:val="22"/>
        </w:rPr>
      </w:pPr>
      <w:r w:rsidRPr="00541471">
        <w:rPr>
          <w:rFonts w:cstheme="minorHAnsi"/>
          <w:sz w:val="22"/>
          <w:szCs w:val="22"/>
        </w:rPr>
        <w:t>Sector experts were also asked for their opinions on whether flexible or remote working arrangements in institutions/</w:t>
      </w:r>
      <w:r>
        <w:rPr>
          <w:rFonts w:cstheme="minorHAnsi"/>
          <w:sz w:val="22"/>
          <w:szCs w:val="22"/>
        </w:rPr>
        <w:t>organisations</w:t>
      </w:r>
      <w:r w:rsidRPr="00541471">
        <w:rPr>
          <w:rFonts w:cstheme="minorHAnsi"/>
          <w:sz w:val="22"/>
          <w:szCs w:val="22"/>
        </w:rPr>
        <w:t xml:space="preserve"> affect sector workers' rights. When analysed by sectors, the sector experts who say that flexible or remote working arrangements in institutions/</w:t>
      </w:r>
      <w:r>
        <w:rPr>
          <w:rFonts w:cstheme="minorHAnsi"/>
          <w:sz w:val="22"/>
          <w:szCs w:val="22"/>
        </w:rPr>
        <w:t>organisations</w:t>
      </w:r>
      <w:r w:rsidRPr="00541471">
        <w:rPr>
          <w:rFonts w:cstheme="minorHAnsi"/>
          <w:sz w:val="22"/>
          <w:szCs w:val="22"/>
        </w:rPr>
        <w:t xml:space="preserve"> will affect the rights of sector employees "positively" are in the health (48.8%), </w:t>
      </w:r>
      <w:r>
        <w:rPr>
          <w:rFonts w:cstheme="minorHAnsi"/>
          <w:sz w:val="22"/>
          <w:szCs w:val="22"/>
        </w:rPr>
        <w:t>ICT</w:t>
      </w:r>
      <w:r w:rsidRPr="00541471">
        <w:rPr>
          <w:rFonts w:cstheme="minorHAnsi"/>
          <w:sz w:val="22"/>
          <w:szCs w:val="22"/>
        </w:rPr>
        <w:t xml:space="preserve"> (48.1%) and energy (41.9%) sectors, respectively. Especially the health and energy sectors are where flexible, and remote working practices are the least. It is seen that sector experts in these sectors have a favourable view of flexible and remote working arrangements, although they are not applied much.</w:t>
      </w:r>
    </w:p>
    <w:p w14:paraId="2989CB76" w14:textId="77777777" w:rsidR="00CD0C1E" w:rsidRPr="00541471" w:rsidRDefault="00CD0C1E" w:rsidP="00CD0C1E">
      <w:pPr>
        <w:jc w:val="both"/>
        <w:rPr>
          <w:rFonts w:cstheme="minorHAnsi"/>
          <w:sz w:val="22"/>
          <w:szCs w:val="22"/>
        </w:rPr>
      </w:pPr>
    </w:p>
    <w:p w14:paraId="264F2564" w14:textId="77777777" w:rsidR="00CD0C1E" w:rsidRPr="00541471" w:rsidRDefault="00CD0C1E" w:rsidP="00CD0C1E">
      <w:pPr>
        <w:jc w:val="both"/>
        <w:rPr>
          <w:rFonts w:cstheme="minorHAnsi"/>
          <w:sz w:val="22"/>
          <w:szCs w:val="22"/>
        </w:rPr>
      </w:pPr>
      <w:r w:rsidRPr="00541471">
        <w:rPr>
          <w:rFonts w:cstheme="minorHAnsi"/>
          <w:sz w:val="22"/>
          <w:szCs w:val="22"/>
        </w:rPr>
        <w:t>Only a quarter of sector experts and employers indicates that work</w:t>
      </w:r>
      <w:r>
        <w:rPr>
          <w:rFonts w:cstheme="minorHAnsi"/>
          <w:sz w:val="22"/>
          <w:szCs w:val="22"/>
        </w:rPr>
        <w:t>-</w:t>
      </w:r>
      <w:r w:rsidRPr="00541471">
        <w:rPr>
          <w:rFonts w:cstheme="minorHAnsi"/>
          <w:sz w:val="22"/>
          <w:szCs w:val="22"/>
        </w:rPr>
        <w:t>related expenses are covered if the employee work</w:t>
      </w:r>
      <w:r>
        <w:rPr>
          <w:rFonts w:cstheme="minorHAnsi"/>
          <w:sz w:val="22"/>
          <w:szCs w:val="22"/>
        </w:rPr>
        <w:t>s</w:t>
      </w:r>
      <w:r w:rsidRPr="00541471">
        <w:rPr>
          <w:rFonts w:cstheme="minorHAnsi"/>
          <w:sz w:val="22"/>
          <w:szCs w:val="22"/>
        </w:rPr>
        <w:t xml:space="preserve"> flexible or remotely. A quarter of employees stated that they feel like they constantly work because of such work modality. </w:t>
      </w:r>
    </w:p>
    <w:p w14:paraId="455A37A8" w14:textId="39FADC70" w:rsidR="00CD0C1E" w:rsidRPr="00541471" w:rsidRDefault="00CD0C1E" w:rsidP="00CD0C1E">
      <w:pPr>
        <w:pStyle w:val="Heading1"/>
        <w:numPr>
          <w:ilvl w:val="1"/>
          <w:numId w:val="44"/>
        </w:numPr>
        <w:jc w:val="both"/>
        <w:rPr>
          <w:sz w:val="28"/>
          <w:szCs w:val="28"/>
        </w:rPr>
      </w:pPr>
      <w:bookmarkStart w:id="30" w:name="_Toc108219156"/>
      <w:bookmarkStart w:id="31" w:name="_Toc118366170"/>
      <w:r w:rsidRPr="00541471">
        <w:rPr>
          <w:sz w:val="28"/>
          <w:szCs w:val="28"/>
        </w:rPr>
        <w:lastRenderedPageBreak/>
        <w:t>Digital technologies and compliance</w:t>
      </w:r>
      <w:bookmarkEnd w:id="30"/>
      <w:bookmarkEnd w:id="31"/>
    </w:p>
    <w:p w14:paraId="31160911" w14:textId="77777777" w:rsidR="00CD0C1E" w:rsidRPr="00541471" w:rsidRDefault="00CD0C1E" w:rsidP="00CD0C1E">
      <w:pPr>
        <w:jc w:val="both"/>
        <w:rPr>
          <w:rFonts w:cstheme="minorHAnsi"/>
          <w:sz w:val="22"/>
          <w:szCs w:val="22"/>
        </w:rPr>
      </w:pPr>
      <w:r w:rsidRPr="00FB12AD">
        <w:rPr>
          <w:rFonts w:cstheme="minorHAnsi"/>
          <w:sz w:val="22"/>
          <w:szCs w:val="22"/>
        </w:rPr>
        <w:t>Digital technologies are increasingly being recognised as critical innovations to strengthen health</w:t>
      </w:r>
      <w:r w:rsidRPr="00541471">
        <w:rPr>
          <w:rFonts w:cstheme="minorHAnsi"/>
          <w:sz w:val="22"/>
          <w:szCs w:val="22"/>
        </w:rPr>
        <w:t>, education, finance and banking</w:t>
      </w:r>
      <w:r w:rsidRPr="00FB12AD">
        <w:rPr>
          <w:rFonts w:cstheme="minorHAnsi"/>
          <w:sz w:val="22"/>
          <w:szCs w:val="22"/>
        </w:rPr>
        <w:t xml:space="preserve"> services</w:t>
      </w:r>
      <w:r w:rsidRPr="00541471">
        <w:rPr>
          <w:rFonts w:cstheme="minorHAnsi"/>
          <w:sz w:val="22"/>
          <w:szCs w:val="22"/>
        </w:rPr>
        <w:t xml:space="preserve">, </w:t>
      </w:r>
      <w:r>
        <w:rPr>
          <w:rFonts w:cstheme="minorHAnsi"/>
          <w:sz w:val="22"/>
          <w:szCs w:val="22"/>
        </w:rPr>
        <w:t xml:space="preserve">and </w:t>
      </w:r>
      <w:r w:rsidRPr="00541471">
        <w:rPr>
          <w:rFonts w:cstheme="minorHAnsi"/>
          <w:sz w:val="22"/>
          <w:szCs w:val="22"/>
        </w:rPr>
        <w:t>energy</w:t>
      </w:r>
      <w:r w:rsidRPr="00FB12AD">
        <w:rPr>
          <w:rFonts w:cstheme="minorHAnsi"/>
          <w:sz w:val="22"/>
          <w:szCs w:val="22"/>
        </w:rPr>
        <w:t xml:space="preserve"> </w:t>
      </w:r>
      <w:r w:rsidRPr="00541471">
        <w:rPr>
          <w:rFonts w:cstheme="minorHAnsi"/>
          <w:sz w:val="22"/>
          <w:szCs w:val="22"/>
        </w:rPr>
        <w:t xml:space="preserve">service </w:t>
      </w:r>
      <w:r w:rsidRPr="00FB12AD">
        <w:rPr>
          <w:rFonts w:cstheme="minorHAnsi"/>
          <w:sz w:val="22"/>
          <w:szCs w:val="22"/>
        </w:rPr>
        <w:t>delivery systems.</w:t>
      </w:r>
      <w:r w:rsidRPr="00541471">
        <w:rPr>
          <w:rFonts w:cstheme="minorHAnsi"/>
          <w:sz w:val="22"/>
          <w:szCs w:val="22"/>
        </w:rPr>
        <w:t xml:space="preserve"> Sector experts and decision</w:t>
      </w:r>
      <w:r>
        <w:rPr>
          <w:rFonts w:cstheme="minorHAnsi"/>
          <w:sz w:val="22"/>
          <w:szCs w:val="22"/>
        </w:rPr>
        <w:t>-</w:t>
      </w:r>
      <w:r w:rsidRPr="00541471">
        <w:rPr>
          <w:rFonts w:cstheme="minorHAnsi"/>
          <w:sz w:val="22"/>
          <w:szCs w:val="22"/>
        </w:rPr>
        <w:t xml:space="preserve">makers believe digital transformation is a </w:t>
      </w:r>
      <w:r>
        <w:rPr>
          <w:rFonts w:cstheme="minorHAnsi"/>
          <w:sz w:val="22"/>
          <w:szCs w:val="22"/>
        </w:rPr>
        <w:t>crucial</w:t>
      </w:r>
      <w:r w:rsidRPr="00541471">
        <w:rPr>
          <w:rFonts w:cstheme="minorHAnsi"/>
          <w:sz w:val="22"/>
          <w:szCs w:val="22"/>
        </w:rPr>
        <w:t xml:space="preserve"> factor. </w:t>
      </w:r>
      <w:r w:rsidRPr="00C22A7F">
        <w:rPr>
          <w:rFonts w:cstheme="minorHAnsi"/>
          <w:sz w:val="22"/>
          <w:szCs w:val="22"/>
        </w:rPr>
        <w:t>Digital Transformation and emerging technologies in the form of artificial intelligence, deep learning, virtual reality, augmented reality, robotics, autonomous vehicles, fintech, facial recognition technology, big data analytics and</w:t>
      </w:r>
      <w:r>
        <w:rPr>
          <w:rFonts w:cstheme="minorHAnsi"/>
          <w:sz w:val="22"/>
          <w:szCs w:val="22"/>
        </w:rPr>
        <w:t>,</w:t>
      </w:r>
      <w:r w:rsidRPr="00C22A7F">
        <w:rPr>
          <w:rFonts w:cstheme="minorHAnsi"/>
          <w:sz w:val="22"/>
          <w:szCs w:val="22"/>
        </w:rPr>
        <w:t xml:space="preserve"> the Internet of Things (IoT) create immense and exciting opportunities but also present challenging risks.</w:t>
      </w:r>
      <w:r w:rsidRPr="00541471">
        <w:rPr>
          <w:rFonts w:cstheme="minorHAnsi"/>
          <w:sz w:val="22"/>
          <w:szCs w:val="22"/>
        </w:rPr>
        <w:t xml:space="preserve"> Especially, Artificial Intelligence (AI), cloud computing, 5G, and the Internet of Things (IoT) are some technologies businesses invest in to transform digitally.</w:t>
      </w:r>
      <w:r w:rsidRPr="00541471">
        <w:rPr>
          <w:sz w:val="22"/>
          <w:vertAlign w:val="superscript"/>
        </w:rPr>
        <w:footnoteReference w:id="4"/>
      </w:r>
    </w:p>
    <w:p w14:paraId="35668D45" w14:textId="77777777" w:rsidR="00CD0C1E" w:rsidRPr="00541471" w:rsidRDefault="00CD0C1E" w:rsidP="00CD0C1E">
      <w:pPr>
        <w:jc w:val="both"/>
        <w:rPr>
          <w:rFonts w:cstheme="minorHAnsi"/>
          <w:sz w:val="22"/>
          <w:szCs w:val="22"/>
        </w:rPr>
      </w:pPr>
    </w:p>
    <w:p w14:paraId="3A465D78" w14:textId="77777777" w:rsidR="00CD0C1E" w:rsidRPr="00541471" w:rsidRDefault="00CD0C1E" w:rsidP="00CD0C1E">
      <w:pPr>
        <w:jc w:val="both"/>
        <w:rPr>
          <w:rFonts w:cstheme="minorHAnsi"/>
          <w:sz w:val="22"/>
          <w:szCs w:val="22"/>
        </w:rPr>
      </w:pPr>
      <w:r w:rsidRPr="00541471">
        <w:rPr>
          <w:rFonts w:cstheme="minorHAnsi"/>
          <w:sz w:val="22"/>
          <w:szCs w:val="22"/>
        </w:rPr>
        <w:t>According to sector experts and decision</w:t>
      </w:r>
      <w:r>
        <w:rPr>
          <w:rFonts w:cstheme="minorHAnsi"/>
          <w:sz w:val="22"/>
          <w:szCs w:val="22"/>
        </w:rPr>
        <w:t>-</w:t>
      </w:r>
      <w:r w:rsidRPr="00541471">
        <w:rPr>
          <w:rFonts w:cstheme="minorHAnsi"/>
          <w:sz w:val="22"/>
          <w:szCs w:val="22"/>
        </w:rPr>
        <w:t xml:space="preserve">makers, when the technologies used in the industry are compared with the new and digital technologies used in developed countries, the highest rate (36.9%) is the answer "The technologies used in the industry are at the same level as similar technologies in developed countries". Half of the respondents stated that the digital technologies used in sectors are behind similar technologies in developed countries. </w:t>
      </w:r>
    </w:p>
    <w:p w14:paraId="387C906C" w14:textId="77777777" w:rsidR="00CD0C1E" w:rsidRPr="00541471" w:rsidRDefault="00CD0C1E" w:rsidP="00CD0C1E">
      <w:pPr>
        <w:jc w:val="both"/>
        <w:rPr>
          <w:rFonts w:cstheme="minorHAnsi"/>
          <w:sz w:val="22"/>
          <w:szCs w:val="22"/>
        </w:rPr>
      </w:pPr>
    </w:p>
    <w:p w14:paraId="1DBD522F" w14:textId="77777777" w:rsidR="00CD0C1E" w:rsidRPr="00541471" w:rsidRDefault="00CD0C1E" w:rsidP="00CD0C1E">
      <w:pPr>
        <w:jc w:val="both"/>
        <w:rPr>
          <w:rFonts w:cstheme="minorHAnsi"/>
          <w:sz w:val="22"/>
          <w:szCs w:val="22"/>
        </w:rPr>
      </w:pPr>
      <w:r w:rsidRPr="00541471">
        <w:rPr>
          <w:rFonts w:cstheme="minorHAnsi"/>
          <w:sz w:val="22"/>
          <w:szCs w:val="22"/>
        </w:rPr>
        <w:t>According to sector experts, these five sectors can be ranked as the ICT, health, finance and banking, energy, and education, according to the use of digital technologies. In parallel to ranking, the sectors with the most difficulty adapting to digital and new technologies are the education, energy, and health sectors. According to the employers and managers, the most critical challenges in accessing the institution's technological/digital infrastructure to the latest technical/digital infrastructure in the industry are the cost-effectiveness factor (43%), lack of trained human resources (39.9%) and lack of budget (32.7%).</w:t>
      </w:r>
    </w:p>
    <w:p w14:paraId="03068B7A" w14:textId="77777777" w:rsidR="00CD0C1E" w:rsidRPr="00541471" w:rsidRDefault="00CD0C1E" w:rsidP="00CD0C1E">
      <w:pPr>
        <w:jc w:val="both"/>
        <w:rPr>
          <w:rFonts w:cstheme="minorHAnsi"/>
          <w:sz w:val="22"/>
          <w:szCs w:val="22"/>
        </w:rPr>
      </w:pPr>
    </w:p>
    <w:p w14:paraId="2D2175DA" w14:textId="77777777" w:rsidR="00CD0C1E" w:rsidRPr="00541471" w:rsidRDefault="00CD0C1E" w:rsidP="00CD0C1E">
      <w:pPr>
        <w:jc w:val="both"/>
        <w:rPr>
          <w:rFonts w:cstheme="minorHAnsi"/>
          <w:sz w:val="22"/>
          <w:szCs w:val="22"/>
        </w:rPr>
      </w:pPr>
      <w:r w:rsidRPr="00541471">
        <w:rPr>
          <w:rFonts w:cstheme="minorHAnsi"/>
          <w:sz w:val="22"/>
          <w:szCs w:val="22"/>
        </w:rPr>
        <w:t xml:space="preserve">According to employers and managers, the effect of the technological/digital infrastructure of the institution on the quality of the services produced is </w:t>
      </w:r>
      <w:r>
        <w:rPr>
          <w:rFonts w:cstheme="minorHAnsi"/>
          <w:sz w:val="22"/>
          <w:szCs w:val="22"/>
        </w:rPr>
        <w:t>relatively</w:t>
      </w:r>
      <w:r w:rsidRPr="00541471">
        <w:rPr>
          <w:rFonts w:cstheme="minorHAnsi"/>
          <w:sz w:val="22"/>
          <w:szCs w:val="22"/>
        </w:rPr>
        <w:t xml:space="preserve"> high (8.1 out of 10). In the ICT, finance and banking, and health sectors, it is seen that the technological/digital infrastructure of the institutions has a higher impact on the quality of the services produced.</w:t>
      </w:r>
    </w:p>
    <w:p w14:paraId="77B2FE51" w14:textId="77777777" w:rsidR="00CD0C1E" w:rsidRPr="00541471" w:rsidRDefault="00CD0C1E" w:rsidP="00CD0C1E">
      <w:pPr>
        <w:jc w:val="both"/>
        <w:rPr>
          <w:rFonts w:cstheme="minorHAnsi"/>
          <w:sz w:val="22"/>
          <w:szCs w:val="22"/>
        </w:rPr>
      </w:pPr>
    </w:p>
    <w:p w14:paraId="28D35D44" w14:textId="77777777" w:rsidR="00CD0C1E" w:rsidRPr="00541471" w:rsidRDefault="00CD0C1E" w:rsidP="00CD0C1E">
      <w:pPr>
        <w:jc w:val="both"/>
        <w:rPr>
          <w:rFonts w:cstheme="minorHAnsi"/>
          <w:sz w:val="22"/>
          <w:szCs w:val="22"/>
        </w:rPr>
      </w:pPr>
      <w:r w:rsidRPr="00541471">
        <w:rPr>
          <w:rFonts w:cstheme="minorHAnsi"/>
          <w:sz w:val="22"/>
          <w:szCs w:val="22"/>
        </w:rPr>
        <w:t>According to the employers and managers, institutions should invest in digital transformation within the framework of their current situation and sector demands</w:t>
      </w:r>
      <w:r w:rsidRPr="007072BA">
        <w:rPr>
          <w:rFonts w:cstheme="minorHAnsi"/>
          <w:sz w:val="22"/>
          <w:szCs w:val="22"/>
        </w:rPr>
        <w:t xml:space="preserve"> </w:t>
      </w:r>
      <w:r w:rsidRPr="00541471">
        <w:rPr>
          <w:rFonts w:cstheme="minorHAnsi"/>
          <w:sz w:val="22"/>
          <w:szCs w:val="22"/>
        </w:rPr>
        <w:t>in the next three years. While the highest need to invest in digital transformation is expressed in the finance and banking sector</w:t>
      </w:r>
      <w:r>
        <w:rPr>
          <w:rFonts w:cstheme="minorHAnsi"/>
          <w:sz w:val="22"/>
          <w:szCs w:val="22"/>
        </w:rPr>
        <w:t>,</w:t>
      </w:r>
      <w:r w:rsidRPr="00541471">
        <w:rPr>
          <w:rFonts w:cstheme="minorHAnsi"/>
          <w:sz w:val="22"/>
          <w:szCs w:val="22"/>
        </w:rPr>
        <w:t xml:space="preserve"> with a score of 9 out of 10, this sector is followed by the ICT and education sectors.</w:t>
      </w:r>
    </w:p>
    <w:p w14:paraId="4FADCCA6" w14:textId="77777777" w:rsidR="00CD0C1E" w:rsidRPr="00541471" w:rsidRDefault="00CD0C1E" w:rsidP="00CD0C1E">
      <w:pPr>
        <w:jc w:val="both"/>
        <w:rPr>
          <w:rFonts w:cstheme="minorHAnsi"/>
          <w:sz w:val="22"/>
          <w:szCs w:val="22"/>
        </w:rPr>
      </w:pPr>
    </w:p>
    <w:p w14:paraId="5990D911" w14:textId="77777777" w:rsidR="00CD0C1E" w:rsidRPr="00541471" w:rsidRDefault="00CD0C1E" w:rsidP="00CD0C1E">
      <w:pPr>
        <w:jc w:val="both"/>
        <w:rPr>
          <w:rFonts w:cstheme="minorHAnsi"/>
          <w:sz w:val="22"/>
          <w:szCs w:val="22"/>
        </w:rPr>
      </w:pPr>
      <w:r>
        <w:rPr>
          <w:rFonts w:cstheme="minorHAnsi"/>
          <w:sz w:val="22"/>
          <w:szCs w:val="22"/>
        </w:rPr>
        <w:t>Only a</w:t>
      </w:r>
      <w:r w:rsidRPr="00541471">
        <w:rPr>
          <w:rFonts w:cstheme="minorHAnsi"/>
          <w:sz w:val="22"/>
          <w:szCs w:val="22"/>
        </w:rPr>
        <w:t xml:space="preserve"> quarter (25.4%) of sector experts state that institutions and </w:t>
      </w:r>
      <w:r>
        <w:rPr>
          <w:rFonts w:cstheme="minorHAnsi"/>
          <w:sz w:val="22"/>
          <w:szCs w:val="22"/>
        </w:rPr>
        <w:t>organisations</w:t>
      </w:r>
      <w:r w:rsidRPr="00541471">
        <w:rPr>
          <w:rFonts w:cstheme="minorHAnsi"/>
          <w:sz w:val="22"/>
          <w:szCs w:val="22"/>
        </w:rPr>
        <w:t xml:space="preserve"> can make enough investments in new or digital technologies</w:t>
      </w:r>
      <w:r>
        <w:rPr>
          <w:rFonts w:cstheme="minorHAnsi"/>
          <w:sz w:val="22"/>
          <w:szCs w:val="22"/>
        </w:rPr>
        <w:t>.</w:t>
      </w:r>
      <w:r w:rsidRPr="00541471">
        <w:rPr>
          <w:rFonts w:cstheme="minorHAnsi"/>
          <w:sz w:val="22"/>
          <w:szCs w:val="22"/>
        </w:rPr>
        <w:t xml:space="preserve"> </w:t>
      </w:r>
      <w:r>
        <w:rPr>
          <w:rFonts w:cstheme="minorHAnsi"/>
          <w:sz w:val="22"/>
          <w:szCs w:val="22"/>
        </w:rPr>
        <w:t>N</w:t>
      </w:r>
      <w:r w:rsidRPr="00541471">
        <w:rPr>
          <w:rFonts w:cstheme="minorHAnsi"/>
          <w:sz w:val="22"/>
          <w:szCs w:val="22"/>
        </w:rPr>
        <w:t>early half of them indicate (46%) that they invest, but this is insufficient with sectoral requirements. According to 21% of industry experts, institutions/</w:t>
      </w:r>
      <w:r>
        <w:rPr>
          <w:rFonts w:cstheme="minorHAnsi"/>
          <w:sz w:val="22"/>
          <w:szCs w:val="22"/>
        </w:rPr>
        <w:t>organisations</w:t>
      </w:r>
      <w:r w:rsidRPr="00541471">
        <w:rPr>
          <w:rFonts w:cstheme="minorHAnsi"/>
          <w:sz w:val="22"/>
          <w:szCs w:val="22"/>
        </w:rPr>
        <w:t xml:space="preserve"> in all sectors cannot invest in new and digital technologies.</w:t>
      </w:r>
    </w:p>
    <w:p w14:paraId="24E43612" w14:textId="77777777" w:rsidR="00CD0C1E" w:rsidRPr="00541471" w:rsidRDefault="00CD0C1E" w:rsidP="00CD0C1E">
      <w:pPr>
        <w:jc w:val="both"/>
        <w:rPr>
          <w:rFonts w:cstheme="minorHAnsi"/>
          <w:sz w:val="22"/>
          <w:szCs w:val="22"/>
        </w:rPr>
      </w:pPr>
    </w:p>
    <w:p w14:paraId="61FB22A9" w14:textId="77777777" w:rsidR="00CD0C1E" w:rsidRPr="00541471" w:rsidRDefault="00CD0C1E" w:rsidP="00CD0C1E">
      <w:pPr>
        <w:jc w:val="both"/>
        <w:rPr>
          <w:rFonts w:cstheme="minorHAnsi"/>
          <w:sz w:val="22"/>
          <w:szCs w:val="22"/>
        </w:rPr>
      </w:pPr>
      <w:r w:rsidRPr="00474CA8">
        <w:rPr>
          <w:rFonts w:cstheme="minorHAnsi"/>
          <w:sz w:val="22"/>
          <w:szCs w:val="22"/>
        </w:rPr>
        <w:t>According to industry experts and employers, the factors that affect the investment decisions of institutions in digital technologies or transformation are expressed as the cost-benefit factor of the conversion, the obsolescence rate of the technology, and the general economy's uncertainties</w:t>
      </w:r>
      <w:r w:rsidRPr="00541471">
        <w:rPr>
          <w:rFonts w:cstheme="minorHAnsi"/>
          <w:sz w:val="22"/>
          <w:szCs w:val="22"/>
        </w:rPr>
        <w:t xml:space="preserve">. According to the employers and managers, the availability of qualified personnel in the sector, the quality of academic education, the </w:t>
      </w:r>
      <w:r w:rsidRPr="00541471">
        <w:rPr>
          <w:rFonts w:cstheme="minorHAnsi"/>
          <w:sz w:val="22"/>
          <w:szCs w:val="22"/>
        </w:rPr>
        <w:lastRenderedPageBreak/>
        <w:t>informatics skills of qualified personnel and their experience in the sector are also seen as influential in the decision to invest in digital technologies or transformation. According to industry experts, the most critical obstacles to adapting new and digital technology in the industry are the lack of technical infrastructure, high implementation costs, lack of technical knowledge of the existing personnel and difficulties in integration into the system.</w:t>
      </w:r>
    </w:p>
    <w:p w14:paraId="7A6D8A3A" w14:textId="77777777" w:rsidR="00CD0C1E" w:rsidRPr="00541471" w:rsidRDefault="00CD0C1E" w:rsidP="00CD0C1E">
      <w:pPr>
        <w:jc w:val="both"/>
        <w:rPr>
          <w:rFonts w:cstheme="minorHAnsi"/>
          <w:sz w:val="22"/>
          <w:szCs w:val="22"/>
        </w:rPr>
      </w:pPr>
    </w:p>
    <w:p w14:paraId="575CD54B" w14:textId="77777777" w:rsidR="00CD0C1E" w:rsidRPr="00541471" w:rsidRDefault="00CD0C1E" w:rsidP="00CD0C1E">
      <w:pPr>
        <w:jc w:val="both"/>
        <w:rPr>
          <w:rFonts w:cstheme="minorHAnsi"/>
          <w:sz w:val="22"/>
          <w:szCs w:val="22"/>
        </w:rPr>
      </w:pPr>
      <w:r w:rsidRPr="00541471">
        <w:rPr>
          <w:rFonts w:cstheme="minorHAnsi"/>
          <w:sz w:val="22"/>
          <w:szCs w:val="22"/>
        </w:rPr>
        <w:t>Approximately 73.6% of the managers said there is an IT staff/digital works technician in their institution. About 80% of those working in their institutions' IT personnel/digital departments or, if these departments do not exist, as digital works technicians are male. The sectors with the highest rate of female IT personnel are the education, finance and banking sectors, respectively.</w:t>
      </w:r>
    </w:p>
    <w:p w14:paraId="1F6F92C3" w14:textId="77777777" w:rsidR="00CD0C1E" w:rsidRPr="00541471" w:rsidRDefault="00CD0C1E" w:rsidP="00CD0C1E">
      <w:pPr>
        <w:pStyle w:val="Heading1"/>
        <w:numPr>
          <w:ilvl w:val="1"/>
          <w:numId w:val="44"/>
        </w:numPr>
        <w:jc w:val="both"/>
        <w:rPr>
          <w:sz w:val="28"/>
          <w:szCs w:val="28"/>
        </w:rPr>
      </w:pPr>
      <w:bookmarkStart w:id="32" w:name="_Toc108219157"/>
      <w:bookmarkStart w:id="33" w:name="_Toc118366171"/>
      <w:r w:rsidRPr="00541471">
        <w:rPr>
          <w:sz w:val="28"/>
          <w:szCs w:val="28"/>
        </w:rPr>
        <w:t>Prominent professions, hard-to-fill positions, and lost professions in sectors</w:t>
      </w:r>
      <w:bookmarkEnd w:id="32"/>
      <w:bookmarkEnd w:id="33"/>
    </w:p>
    <w:p w14:paraId="165E07A0" w14:textId="77777777" w:rsidR="00CD0C1E" w:rsidRPr="00541471" w:rsidRDefault="00CD0C1E" w:rsidP="00CD0C1E">
      <w:pPr>
        <w:jc w:val="both"/>
        <w:rPr>
          <w:rFonts w:cstheme="minorHAnsi"/>
          <w:sz w:val="22"/>
          <w:szCs w:val="22"/>
        </w:rPr>
      </w:pPr>
      <w:r w:rsidRPr="00541471">
        <w:rPr>
          <w:rFonts w:cstheme="minorHAnsi"/>
          <w:sz w:val="22"/>
          <w:szCs w:val="22"/>
        </w:rPr>
        <w:t>The impact of digitization on employment can have different dimensions. From an employment-level perspective, automation-related job loss is widely discussed when digital technologies or robots replace human input. At the same time, the emergence of new occupational profiles suitable for the use of new technologies and the increase in demand for technology-based products and services due to low prices or new markets, customer groups or demand areas trigger employment creation. T</w:t>
      </w:r>
      <w:r w:rsidRPr="003B6A81">
        <w:rPr>
          <w:rFonts w:cstheme="minorHAnsi"/>
          <w:sz w:val="22"/>
          <w:szCs w:val="22"/>
        </w:rPr>
        <w:t>here will be a loss of jobs of those currently performed by humans that can also be done through automation.</w:t>
      </w:r>
      <w:r w:rsidRPr="00541471">
        <w:rPr>
          <w:rFonts w:cstheme="minorHAnsi"/>
          <w:sz w:val="22"/>
          <w:szCs w:val="22"/>
        </w:rPr>
        <w:t xml:space="preserve"> However, </w:t>
      </w:r>
      <w:r w:rsidRPr="00747ED4">
        <w:rPr>
          <w:rFonts w:cstheme="minorHAnsi"/>
          <w:sz w:val="22"/>
          <w:szCs w:val="22"/>
        </w:rPr>
        <w:t>there is no consensus on how many jobs will be lost.</w:t>
      </w:r>
    </w:p>
    <w:p w14:paraId="3057553A" w14:textId="77777777" w:rsidR="00CD0C1E" w:rsidRPr="00541471" w:rsidRDefault="00CD0C1E" w:rsidP="00CD0C1E">
      <w:pPr>
        <w:jc w:val="both"/>
        <w:rPr>
          <w:rFonts w:cstheme="minorHAnsi"/>
          <w:sz w:val="22"/>
          <w:szCs w:val="22"/>
        </w:rPr>
      </w:pPr>
    </w:p>
    <w:p w14:paraId="216D4C38" w14:textId="77777777" w:rsidR="00CD0C1E" w:rsidRPr="00541471" w:rsidRDefault="00CD0C1E" w:rsidP="00CD0C1E">
      <w:pPr>
        <w:jc w:val="both"/>
        <w:rPr>
          <w:rFonts w:cstheme="minorHAnsi"/>
          <w:sz w:val="22"/>
          <w:szCs w:val="22"/>
        </w:rPr>
      </w:pPr>
      <w:r w:rsidRPr="00541471">
        <w:rPr>
          <w:rFonts w:cstheme="minorHAnsi"/>
          <w:sz w:val="22"/>
          <w:szCs w:val="22"/>
        </w:rPr>
        <w:t>According to sector experts and employers, artificial intelligence, robotic process automation, and data science and analytics come first among digital technologies that will come to the fore in their sectors in the future. They indicated that these technologies are followed by virtual</w:t>
      </w:r>
      <w:r>
        <w:rPr>
          <w:rFonts w:cstheme="minorHAnsi"/>
          <w:sz w:val="22"/>
          <w:szCs w:val="22"/>
        </w:rPr>
        <w:t xml:space="preserve">, </w:t>
      </w:r>
      <w:r w:rsidRPr="00541471">
        <w:rPr>
          <w:rFonts w:cstheme="minorHAnsi"/>
          <w:sz w:val="22"/>
          <w:szCs w:val="22"/>
        </w:rPr>
        <w:t>augmented reality, cloud computing and advanced human-machine interfaces. According to the employers, cloud computing, programming, web and application development, advanced human-machine interfaces and wearable technologies follow the top three rankings.</w:t>
      </w:r>
    </w:p>
    <w:p w14:paraId="7911B205" w14:textId="77777777" w:rsidR="00CD0C1E" w:rsidRPr="00541471" w:rsidRDefault="00CD0C1E" w:rsidP="00CD0C1E">
      <w:pPr>
        <w:jc w:val="both"/>
        <w:rPr>
          <w:rFonts w:cstheme="minorHAnsi"/>
          <w:sz w:val="22"/>
          <w:szCs w:val="22"/>
        </w:rPr>
      </w:pPr>
    </w:p>
    <w:p w14:paraId="36E75411" w14:textId="77777777" w:rsidR="00CD0C1E" w:rsidRPr="00541471" w:rsidRDefault="00CD0C1E" w:rsidP="00CD0C1E">
      <w:pPr>
        <w:jc w:val="both"/>
        <w:rPr>
          <w:rFonts w:cstheme="minorHAnsi"/>
          <w:sz w:val="22"/>
          <w:szCs w:val="22"/>
        </w:rPr>
      </w:pPr>
      <w:r w:rsidRPr="00541471">
        <w:rPr>
          <w:rFonts w:cstheme="minorHAnsi"/>
          <w:b/>
          <w:bCs/>
          <w:sz w:val="22"/>
          <w:szCs w:val="22"/>
        </w:rPr>
        <w:t>Education sector experts and decision</w:t>
      </w:r>
      <w:r>
        <w:rPr>
          <w:rFonts w:cstheme="minorHAnsi"/>
          <w:b/>
          <w:bCs/>
          <w:sz w:val="22"/>
          <w:szCs w:val="22"/>
        </w:rPr>
        <w:t>-</w:t>
      </w:r>
      <w:r w:rsidRPr="00541471">
        <w:rPr>
          <w:rFonts w:cstheme="minorHAnsi"/>
          <w:b/>
          <w:bCs/>
          <w:sz w:val="22"/>
          <w:szCs w:val="22"/>
        </w:rPr>
        <w:t>makers stated</w:t>
      </w:r>
      <w:r w:rsidRPr="00541471">
        <w:rPr>
          <w:rFonts w:cstheme="minorHAnsi"/>
          <w:sz w:val="22"/>
          <w:szCs w:val="22"/>
        </w:rPr>
        <w:t xml:space="preserve"> that software specialists and technical personnel are most needed within the scope of information technology personnel in their institutions or the sector due to technological innovations and developments. Managers stated that there are difficulties obtaining information technology personnel, software personnel and technical personnel positions in the education sector.</w:t>
      </w:r>
    </w:p>
    <w:p w14:paraId="6390D987" w14:textId="77777777" w:rsidR="00CD0C1E" w:rsidRPr="00541471" w:rsidRDefault="00CD0C1E" w:rsidP="00CD0C1E">
      <w:pPr>
        <w:jc w:val="both"/>
        <w:rPr>
          <w:rFonts w:cstheme="minorHAnsi"/>
          <w:sz w:val="22"/>
          <w:szCs w:val="22"/>
        </w:rPr>
      </w:pPr>
    </w:p>
    <w:p w14:paraId="46F60994" w14:textId="77777777" w:rsidR="00CD0C1E" w:rsidRPr="00541471" w:rsidRDefault="00CD0C1E" w:rsidP="00CD0C1E">
      <w:pPr>
        <w:jc w:val="both"/>
        <w:rPr>
          <w:rFonts w:cstheme="minorHAnsi"/>
          <w:sz w:val="22"/>
          <w:szCs w:val="22"/>
        </w:rPr>
      </w:pPr>
      <w:r w:rsidRPr="00541471">
        <w:rPr>
          <w:rFonts w:cstheme="minorHAnsi"/>
          <w:b/>
          <w:bCs/>
          <w:sz w:val="22"/>
          <w:szCs w:val="22"/>
        </w:rPr>
        <w:t>According to the health sector managers</w:t>
      </w:r>
      <w:r w:rsidRPr="00541471">
        <w:rPr>
          <w:rFonts w:cstheme="minorHAnsi"/>
          <w:sz w:val="22"/>
          <w:szCs w:val="22"/>
        </w:rPr>
        <w:t xml:space="preserve">, there is a need </w:t>
      </w:r>
      <w:r>
        <w:rPr>
          <w:rFonts w:cstheme="minorHAnsi"/>
          <w:sz w:val="22"/>
          <w:szCs w:val="22"/>
        </w:rPr>
        <w:t>to employ</w:t>
      </w:r>
      <w:r w:rsidRPr="00541471">
        <w:rPr>
          <w:rFonts w:cstheme="minorHAnsi"/>
          <w:sz w:val="22"/>
          <w:szCs w:val="22"/>
        </w:rPr>
        <w:t xml:space="preserve"> technical personnel, data science personnel and health personnel in the field of informatics and health.</w:t>
      </w:r>
    </w:p>
    <w:p w14:paraId="67DA3E11" w14:textId="77777777" w:rsidR="00CD0C1E" w:rsidRPr="00541471" w:rsidRDefault="00CD0C1E" w:rsidP="00CD0C1E">
      <w:pPr>
        <w:jc w:val="both"/>
        <w:rPr>
          <w:rFonts w:cstheme="minorHAnsi"/>
          <w:sz w:val="22"/>
          <w:szCs w:val="22"/>
        </w:rPr>
      </w:pPr>
    </w:p>
    <w:p w14:paraId="3A8C0112" w14:textId="77777777" w:rsidR="00CD0C1E" w:rsidRPr="00541471" w:rsidRDefault="00CD0C1E" w:rsidP="00CD0C1E">
      <w:pPr>
        <w:jc w:val="both"/>
        <w:rPr>
          <w:rFonts w:cstheme="minorHAnsi"/>
          <w:sz w:val="22"/>
          <w:szCs w:val="22"/>
        </w:rPr>
      </w:pPr>
      <w:r w:rsidRPr="00541471">
        <w:rPr>
          <w:rFonts w:cstheme="minorHAnsi"/>
          <w:b/>
          <w:bCs/>
          <w:sz w:val="22"/>
          <w:szCs w:val="22"/>
        </w:rPr>
        <w:t>In the finance and banking sector</w:t>
      </w:r>
      <w:r w:rsidRPr="00541471">
        <w:rPr>
          <w:rFonts w:cstheme="minorHAnsi"/>
          <w:sz w:val="22"/>
          <w:szCs w:val="22"/>
        </w:rPr>
        <w:t xml:space="preserve">, it has been stated that most personnel are needed in the field of informatics. It has been stated that most software specialists, interface designers, mobile software developers and technical support personnel are required. In addition, it was stated that there is a need for personnel with data analysis expertise, artificial data expertise, marketing, and information security. This ranking is followed by personnel working in the technical field, personnel working in the operational field, branch employees and positions requiring </w:t>
      </w:r>
      <w:r>
        <w:rPr>
          <w:rFonts w:cstheme="minorHAnsi"/>
          <w:sz w:val="22"/>
          <w:szCs w:val="22"/>
        </w:rPr>
        <w:t xml:space="preserve">a </w:t>
      </w:r>
      <w:r w:rsidRPr="00541471">
        <w:rPr>
          <w:rFonts w:cstheme="minorHAnsi"/>
          <w:sz w:val="22"/>
          <w:szCs w:val="22"/>
        </w:rPr>
        <w:t>foreign language.</w:t>
      </w:r>
    </w:p>
    <w:p w14:paraId="2811E2C9" w14:textId="77777777" w:rsidR="00CD0C1E" w:rsidRPr="00541471" w:rsidRDefault="00CD0C1E" w:rsidP="00CD0C1E">
      <w:pPr>
        <w:jc w:val="both"/>
        <w:rPr>
          <w:rFonts w:cstheme="minorHAnsi"/>
          <w:sz w:val="22"/>
          <w:szCs w:val="22"/>
        </w:rPr>
      </w:pPr>
    </w:p>
    <w:p w14:paraId="51360B4A" w14:textId="77777777" w:rsidR="00CD0C1E" w:rsidRPr="00541471" w:rsidRDefault="00CD0C1E" w:rsidP="00CD0C1E">
      <w:pPr>
        <w:jc w:val="both"/>
        <w:rPr>
          <w:rFonts w:cstheme="minorHAnsi"/>
          <w:sz w:val="22"/>
          <w:szCs w:val="22"/>
        </w:rPr>
      </w:pPr>
      <w:r w:rsidRPr="00541471">
        <w:rPr>
          <w:rFonts w:cstheme="minorHAnsi"/>
          <w:b/>
          <w:bCs/>
          <w:sz w:val="22"/>
          <w:szCs w:val="22"/>
        </w:rPr>
        <w:t>The employers and managers in the IT sector</w:t>
      </w:r>
      <w:r w:rsidRPr="00541471">
        <w:rPr>
          <w:rFonts w:cstheme="minorHAnsi"/>
          <w:sz w:val="22"/>
          <w:szCs w:val="22"/>
        </w:rPr>
        <w:t xml:space="preserve"> stated that computer engineers, software engineers, game designers, business analysts and data scientists are needed due to technical developments and innovations in the sector or their institutions. They stated that the most difficult profession to obtain is software engineers. </w:t>
      </w:r>
      <w:r w:rsidRPr="00541471">
        <w:rPr>
          <w:rFonts w:cstheme="minorHAnsi"/>
          <w:sz w:val="22"/>
          <w:szCs w:val="22"/>
        </w:rPr>
        <w:lastRenderedPageBreak/>
        <w:t xml:space="preserve">In addition, it is thought that creative industries and design-oriented business lines will come to the fore in the sector. </w:t>
      </w:r>
    </w:p>
    <w:p w14:paraId="215C00A8" w14:textId="77777777" w:rsidR="00CD0C1E" w:rsidRPr="00541471" w:rsidRDefault="00CD0C1E" w:rsidP="00CD0C1E">
      <w:pPr>
        <w:jc w:val="both"/>
        <w:rPr>
          <w:rFonts w:cstheme="minorHAnsi"/>
          <w:sz w:val="22"/>
          <w:szCs w:val="22"/>
        </w:rPr>
      </w:pPr>
    </w:p>
    <w:p w14:paraId="619200A6" w14:textId="77777777" w:rsidR="00CD0C1E" w:rsidRPr="00541471" w:rsidRDefault="00CD0C1E" w:rsidP="00CD0C1E">
      <w:pPr>
        <w:jc w:val="both"/>
        <w:rPr>
          <w:rFonts w:cstheme="minorHAnsi"/>
          <w:sz w:val="22"/>
          <w:szCs w:val="22"/>
        </w:rPr>
      </w:pPr>
      <w:r w:rsidRPr="00541471">
        <w:rPr>
          <w:rFonts w:cstheme="minorHAnsi"/>
          <w:sz w:val="22"/>
          <w:szCs w:val="22"/>
        </w:rPr>
        <w:t>According to sector experts and decision</w:t>
      </w:r>
      <w:r>
        <w:rPr>
          <w:rFonts w:cstheme="minorHAnsi"/>
          <w:sz w:val="22"/>
          <w:szCs w:val="22"/>
        </w:rPr>
        <w:t>-</w:t>
      </w:r>
      <w:r w:rsidRPr="00541471">
        <w:rPr>
          <w:rFonts w:cstheme="minorHAnsi"/>
          <w:sz w:val="22"/>
          <w:szCs w:val="22"/>
        </w:rPr>
        <w:t>makers, the most critical difficulties in employing qualified personnel are listed as the difficulty of retaining qualified personnel (52%), insufficient wages and social opportunities (44.5%), and inability to pay for performance (41%).</w:t>
      </w:r>
    </w:p>
    <w:p w14:paraId="392FD56B" w14:textId="77777777" w:rsidR="00CD0C1E" w:rsidRPr="00541471" w:rsidRDefault="00CD0C1E" w:rsidP="00CD0C1E">
      <w:pPr>
        <w:jc w:val="both"/>
        <w:rPr>
          <w:rFonts w:cstheme="minorHAnsi"/>
          <w:sz w:val="22"/>
          <w:szCs w:val="22"/>
        </w:rPr>
      </w:pPr>
    </w:p>
    <w:p w14:paraId="7B1B4009" w14:textId="77777777" w:rsidR="00CD0C1E" w:rsidRPr="00541471" w:rsidRDefault="00CD0C1E" w:rsidP="00CD0C1E">
      <w:pPr>
        <w:jc w:val="both"/>
        <w:rPr>
          <w:rFonts w:cstheme="minorHAnsi"/>
          <w:sz w:val="22"/>
          <w:szCs w:val="22"/>
        </w:rPr>
      </w:pPr>
      <w:r w:rsidRPr="00541471">
        <w:rPr>
          <w:rFonts w:cstheme="minorHAnsi"/>
          <w:sz w:val="22"/>
          <w:szCs w:val="22"/>
        </w:rPr>
        <w:t xml:space="preserve">The sector that retains qualified personnel the hardest is the ICT sector. This sector is followed by the energy and education sectors. The problem of insufficient wages and social opportunities is one of the most frequently mentioned issues in the ICT, finance and banking and education sectors. The problem of not being rewarded for performance has emerged mainly in the health, education, finance, and banking sectors. The </w:t>
      </w:r>
      <w:r>
        <w:rPr>
          <w:rFonts w:cstheme="minorHAnsi"/>
          <w:sz w:val="22"/>
          <w:szCs w:val="22"/>
        </w:rPr>
        <w:t>issue</w:t>
      </w:r>
      <w:r w:rsidRPr="00541471">
        <w:rPr>
          <w:rFonts w:cstheme="minorHAnsi"/>
          <w:sz w:val="22"/>
          <w:szCs w:val="22"/>
        </w:rPr>
        <w:t xml:space="preserve"> of brain drains in the professions that are needed by the sectors has been most intense in the education, ICT, and health sectors. </w:t>
      </w:r>
      <w:r>
        <w:rPr>
          <w:rFonts w:cstheme="minorHAnsi"/>
          <w:sz w:val="22"/>
          <w:szCs w:val="22"/>
        </w:rPr>
        <w:t>The i</w:t>
      </w:r>
      <w:r w:rsidRPr="00541471">
        <w:rPr>
          <w:rFonts w:cstheme="minorHAnsi"/>
          <w:sz w:val="22"/>
          <w:szCs w:val="22"/>
        </w:rPr>
        <w:t>nability to discover talents due to weaknesses in recruitment systems, informatics, failure to persuade talented personnel, finance and banking, and the unsuitability of applicants' qualifications came to the fore in the energy sectors.</w:t>
      </w:r>
    </w:p>
    <w:p w14:paraId="5F749520" w14:textId="77777777" w:rsidR="00CD0C1E" w:rsidRPr="00541471" w:rsidRDefault="00CD0C1E" w:rsidP="00CD0C1E">
      <w:pPr>
        <w:jc w:val="both"/>
        <w:rPr>
          <w:rFonts w:cstheme="minorHAnsi"/>
          <w:sz w:val="22"/>
          <w:szCs w:val="22"/>
        </w:rPr>
      </w:pPr>
    </w:p>
    <w:p w14:paraId="1689D035" w14:textId="77777777" w:rsidR="00CD0C1E" w:rsidRPr="00541471" w:rsidRDefault="00CD0C1E" w:rsidP="00CD0C1E">
      <w:pPr>
        <w:jc w:val="both"/>
        <w:rPr>
          <w:rFonts w:cstheme="minorHAnsi"/>
          <w:sz w:val="22"/>
          <w:szCs w:val="22"/>
        </w:rPr>
      </w:pPr>
      <w:r w:rsidRPr="00541471">
        <w:rPr>
          <w:rFonts w:cstheme="minorHAnsi"/>
          <w:sz w:val="22"/>
          <w:szCs w:val="22"/>
        </w:rPr>
        <w:t xml:space="preserve">The most common coping strategy with the hard-to-fill positions is </w:t>
      </w:r>
      <w:r>
        <w:rPr>
          <w:rFonts w:cstheme="minorHAnsi"/>
          <w:sz w:val="22"/>
          <w:szCs w:val="22"/>
        </w:rPr>
        <w:t xml:space="preserve">a </w:t>
      </w:r>
      <w:r w:rsidRPr="00541471">
        <w:rPr>
          <w:rFonts w:cstheme="minorHAnsi"/>
          <w:sz w:val="22"/>
          <w:szCs w:val="22"/>
        </w:rPr>
        <w:t>provi</w:t>
      </w:r>
      <w:r>
        <w:rPr>
          <w:rFonts w:cstheme="minorHAnsi"/>
          <w:sz w:val="22"/>
          <w:szCs w:val="22"/>
        </w:rPr>
        <w:t>ding</w:t>
      </w:r>
      <w:r w:rsidRPr="00541471">
        <w:rPr>
          <w:rFonts w:cstheme="minorHAnsi"/>
          <w:sz w:val="22"/>
          <w:szCs w:val="22"/>
        </w:rPr>
        <w:t xml:space="preserve"> training to existing personnel and renewal of business processes or work definitions. </w:t>
      </w:r>
      <w:r w:rsidRPr="006E3B85">
        <w:rPr>
          <w:rFonts w:cstheme="minorHAnsi"/>
          <w:sz w:val="22"/>
          <w:szCs w:val="22"/>
        </w:rPr>
        <w:t>Training existing personnel</w:t>
      </w:r>
      <w:r>
        <w:rPr>
          <w:rFonts w:cstheme="minorHAnsi"/>
          <w:sz w:val="22"/>
          <w:szCs w:val="22"/>
        </w:rPr>
        <w:t xml:space="preserve"> as a coping strategy</w:t>
      </w:r>
      <w:r w:rsidRPr="006E3B85">
        <w:rPr>
          <w:rFonts w:cstheme="minorHAnsi"/>
          <w:sz w:val="22"/>
          <w:szCs w:val="22"/>
        </w:rPr>
        <w:t xml:space="preserve"> is the highest in the finance, banking, health, and ICT sectors</w:t>
      </w:r>
      <w:r w:rsidRPr="00541471">
        <w:rPr>
          <w:rFonts w:cstheme="minorHAnsi"/>
          <w:sz w:val="22"/>
          <w:szCs w:val="22"/>
        </w:rPr>
        <w:t>. Besides, they increase the wages or provide more social opportunities to retain the existing staff. In the health sector, which is the only exception, it is stated that less qualified people are employed as technical personnel, and training packages are provided as coping strategies.</w:t>
      </w:r>
    </w:p>
    <w:p w14:paraId="40054417" w14:textId="77777777" w:rsidR="00CD0C1E" w:rsidRPr="00541471" w:rsidRDefault="00CD0C1E" w:rsidP="00CD0C1E">
      <w:pPr>
        <w:jc w:val="both"/>
        <w:rPr>
          <w:rFonts w:cstheme="minorHAnsi"/>
          <w:sz w:val="22"/>
          <w:szCs w:val="22"/>
        </w:rPr>
      </w:pPr>
    </w:p>
    <w:p w14:paraId="25120118" w14:textId="77777777" w:rsidR="00CD0C1E" w:rsidRPr="00541471" w:rsidRDefault="00CD0C1E" w:rsidP="00CD0C1E">
      <w:pPr>
        <w:jc w:val="both"/>
        <w:rPr>
          <w:rFonts w:cstheme="minorHAnsi"/>
          <w:sz w:val="22"/>
          <w:szCs w:val="22"/>
        </w:rPr>
      </w:pPr>
      <w:r w:rsidRPr="00D730F5">
        <w:rPr>
          <w:rFonts w:cstheme="minorHAnsi"/>
          <w:sz w:val="22"/>
          <w:szCs w:val="22"/>
        </w:rPr>
        <w:t>The development of new recruitment strategies in finance and banking, the redefinition of existing business processes or tasks in the education sector, and the active use of internships are used in the ICT sector as coping strategies. The renewal of business processes is another coping strategy and is mostly seen in the energy sector. This strategy is also used in the finance, banking, education, and ICT sectors</w:t>
      </w:r>
      <w:r w:rsidRPr="00541471">
        <w:rPr>
          <w:rFonts w:cstheme="minorHAnsi"/>
          <w:sz w:val="22"/>
          <w:szCs w:val="22"/>
        </w:rPr>
        <w:t>.</w:t>
      </w:r>
    </w:p>
    <w:p w14:paraId="3EC0CE49" w14:textId="77777777" w:rsidR="00CD0C1E" w:rsidRPr="00541471" w:rsidRDefault="00CD0C1E" w:rsidP="00CD0C1E">
      <w:pPr>
        <w:jc w:val="both"/>
        <w:rPr>
          <w:rFonts w:cstheme="minorHAnsi"/>
          <w:sz w:val="22"/>
          <w:szCs w:val="22"/>
        </w:rPr>
      </w:pPr>
    </w:p>
    <w:p w14:paraId="05B694D3" w14:textId="77777777" w:rsidR="00CD0C1E" w:rsidRPr="00747ED4" w:rsidRDefault="00CD0C1E" w:rsidP="00CD0C1E">
      <w:pPr>
        <w:jc w:val="both"/>
        <w:rPr>
          <w:rFonts w:cstheme="minorHAnsi"/>
          <w:sz w:val="22"/>
          <w:szCs w:val="22"/>
        </w:rPr>
      </w:pPr>
      <w:r w:rsidRPr="00541471">
        <w:rPr>
          <w:rFonts w:cstheme="minorHAnsi"/>
          <w:sz w:val="22"/>
          <w:szCs w:val="22"/>
        </w:rPr>
        <w:t>The skills that will come to the fore in the sector in the future were asked separately from sector experts, managers, and employees. Sector experts indicate skills in using artificial intelligence, analytical thinking, reasoning and innovation, and data science/data analytics. Ranking of managers for skills is analytical thinking, reasoning and innovation, communication skills, and using artificial intelligence. On the other hand, employees think that analytical thinking, reasoning and innovation, communication skills, and using artificial intelligence skills will come to the fore in all sectors in the future.</w:t>
      </w:r>
    </w:p>
    <w:p w14:paraId="48780F02" w14:textId="77777777" w:rsidR="00CD0C1E" w:rsidRPr="00541471" w:rsidRDefault="00CD0C1E" w:rsidP="00CD0C1E">
      <w:pPr>
        <w:jc w:val="both"/>
        <w:rPr>
          <w:rFonts w:cstheme="minorHAnsi"/>
          <w:sz w:val="22"/>
          <w:szCs w:val="22"/>
        </w:rPr>
      </w:pPr>
    </w:p>
    <w:p w14:paraId="40E4ADF2" w14:textId="77777777" w:rsidR="00CD0C1E" w:rsidRPr="00541471" w:rsidRDefault="00CD0C1E" w:rsidP="00CD0C1E">
      <w:pPr>
        <w:jc w:val="both"/>
        <w:rPr>
          <w:rFonts w:cstheme="minorHAnsi"/>
          <w:sz w:val="22"/>
          <w:szCs w:val="22"/>
        </w:rPr>
      </w:pPr>
      <w:r w:rsidRPr="00541471">
        <w:rPr>
          <w:rFonts w:cstheme="minorHAnsi"/>
          <w:b/>
          <w:bCs/>
          <w:sz w:val="22"/>
          <w:szCs w:val="22"/>
        </w:rPr>
        <w:t>In the education sector, administrators generally think that crafts, art design or occupations that require intense labour/physical power will disappear</w:t>
      </w:r>
      <w:r w:rsidRPr="00541471">
        <w:rPr>
          <w:rFonts w:cstheme="minorHAnsi"/>
          <w:sz w:val="22"/>
          <w:szCs w:val="22"/>
        </w:rPr>
        <w:t xml:space="preserve">. It has been added that desk jobs will lose their existence, and </w:t>
      </w:r>
      <w:r>
        <w:rPr>
          <w:rFonts w:cstheme="minorHAnsi"/>
          <w:sz w:val="22"/>
          <w:szCs w:val="22"/>
        </w:rPr>
        <w:t>support or ancillary</w:t>
      </w:r>
      <w:r w:rsidRPr="00541471">
        <w:rPr>
          <w:rFonts w:cstheme="minorHAnsi"/>
          <w:sz w:val="22"/>
          <w:szCs w:val="22"/>
        </w:rPr>
        <w:t xml:space="preserve"> staff may not be needed. On the other hand, some managers think that there will be no professions that will disappear in the education sector and that it will change its form in line with digitalisation. On the other hand, sector experts think that occupational groups that do intermediate-level jobs will disappear. It is widely believed that there will not be a need for personnel performing desk jobs such as school/department/faculty secretariat, student affairs, and archive recording.</w:t>
      </w:r>
    </w:p>
    <w:p w14:paraId="1FF1FE2C" w14:textId="77777777" w:rsidR="00CD0C1E" w:rsidRPr="00541471" w:rsidRDefault="00CD0C1E" w:rsidP="00CD0C1E">
      <w:pPr>
        <w:jc w:val="both"/>
        <w:rPr>
          <w:rFonts w:cstheme="minorHAnsi"/>
          <w:sz w:val="22"/>
          <w:szCs w:val="22"/>
        </w:rPr>
      </w:pPr>
    </w:p>
    <w:p w14:paraId="21B0AEFC" w14:textId="77777777" w:rsidR="00CD0C1E" w:rsidRPr="00541471" w:rsidRDefault="00CD0C1E" w:rsidP="00CD0C1E">
      <w:pPr>
        <w:jc w:val="both"/>
        <w:rPr>
          <w:rFonts w:cstheme="minorHAnsi"/>
          <w:sz w:val="22"/>
          <w:szCs w:val="22"/>
        </w:rPr>
      </w:pPr>
      <w:r w:rsidRPr="00541471">
        <w:rPr>
          <w:rFonts w:cstheme="minorHAnsi"/>
          <w:b/>
          <w:bCs/>
          <w:sz w:val="22"/>
          <w:szCs w:val="22"/>
        </w:rPr>
        <w:t xml:space="preserve">According to the managers in the health sector, it is thought that occupational groups such as patient counselling, assistant, secretarial, data entry/registration officer, administrative department officer, </w:t>
      </w:r>
      <w:r w:rsidRPr="00541471">
        <w:rPr>
          <w:rFonts w:cstheme="minorHAnsi"/>
          <w:b/>
          <w:bCs/>
          <w:sz w:val="22"/>
          <w:szCs w:val="22"/>
        </w:rPr>
        <w:lastRenderedPageBreak/>
        <w:t>laboratory and X-ray technician will disappear with the technological transformation that is advancing in the health sector in the future.</w:t>
      </w:r>
      <w:r w:rsidRPr="00541471">
        <w:rPr>
          <w:rFonts w:cstheme="minorHAnsi"/>
          <w:sz w:val="22"/>
          <w:szCs w:val="22"/>
        </w:rPr>
        <w:t xml:space="preserve"> On the other hand, industry experts think that desk jobs such as operational services and data entry in the health sector will disappear. In addition, according to industry experts, pharmacy is among the professions that are thought to disappear in the future. Additionally, according to the managers, it is challenging to supply technical personnel in the network and informatics, personnel working as operating room technicians and personnel who will work in the field of health in general.</w:t>
      </w:r>
    </w:p>
    <w:p w14:paraId="1235BA96" w14:textId="77777777" w:rsidR="00CD0C1E" w:rsidRPr="00541471" w:rsidRDefault="00CD0C1E" w:rsidP="00CD0C1E">
      <w:pPr>
        <w:jc w:val="both"/>
        <w:rPr>
          <w:rFonts w:cstheme="minorHAnsi"/>
          <w:sz w:val="22"/>
          <w:szCs w:val="22"/>
        </w:rPr>
      </w:pPr>
    </w:p>
    <w:p w14:paraId="3243D972" w14:textId="77777777" w:rsidR="00CD0C1E" w:rsidRPr="00541471" w:rsidRDefault="00CD0C1E" w:rsidP="00CD0C1E">
      <w:pPr>
        <w:jc w:val="both"/>
        <w:rPr>
          <w:rFonts w:cstheme="minorHAnsi"/>
          <w:sz w:val="22"/>
          <w:szCs w:val="22"/>
        </w:rPr>
      </w:pPr>
      <w:r w:rsidRPr="00541471">
        <w:rPr>
          <w:rFonts w:cstheme="minorHAnsi"/>
          <w:b/>
          <w:bCs/>
          <w:sz w:val="22"/>
          <w:szCs w:val="22"/>
        </w:rPr>
        <w:t>According to energy sector experts and managers, the occupations that are thought to be lost in the sector in the future are mostly, field staff, production technicians and energy data analysts.</w:t>
      </w:r>
      <w:r w:rsidRPr="00541471">
        <w:rPr>
          <w:rFonts w:cstheme="minorHAnsi"/>
          <w:sz w:val="22"/>
          <w:szCs w:val="22"/>
        </w:rPr>
        <w:t xml:space="preserve"> </w:t>
      </w:r>
      <w:r w:rsidRPr="00966A3F">
        <w:rPr>
          <w:rFonts w:cstheme="minorHAnsi"/>
          <w:sz w:val="22"/>
          <w:szCs w:val="22"/>
        </w:rPr>
        <w:t>While white-collar workers can be obtained more quickly in the energy sector, it has been stated that there is a shortage of technicians and workers. According to the managers, it is stated that the most challenging personnel are also sector-based software developers and qualified engineers. Since the software can now perform the task of the data analyst, it is thought that automation systems that make these calculations can replace the data analyst.</w:t>
      </w:r>
    </w:p>
    <w:p w14:paraId="6FF9B2CB" w14:textId="77777777" w:rsidR="00CD0C1E" w:rsidRPr="00541471" w:rsidRDefault="00CD0C1E" w:rsidP="00CD0C1E">
      <w:pPr>
        <w:jc w:val="both"/>
        <w:rPr>
          <w:rFonts w:cstheme="minorHAnsi"/>
          <w:sz w:val="22"/>
          <w:szCs w:val="22"/>
        </w:rPr>
      </w:pPr>
    </w:p>
    <w:p w14:paraId="594D016B" w14:textId="77777777" w:rsidR="00CD0C1E" w:rsidRPr="00541471" w:rsidRDefault="00CD0C1E" w:rsidP="00CD0C1E">
      <w:pPr>
        <w:jc w:val="both"/>
        <w:rPr>
          <w:rFonts w:cstheme="minorHAnsi"/>
          <w:sz w:val="22"/>
          <w:szCs w:val="22"/>
        </w:rPr>
      </w:pPr>
      <w:r w:rsidRPr="00541471">
        <w:rPr>
          <w:rFonts w:cstheme="minorHAnsi"/>
          <w:b/>
          <w:bCs/>
          <w:sz w:val="22"/>
          <w:szCs w:val="22"/>
        </w:rPr>
        <w:t>Sector experts and managers in the finance and banking sector claimed that “All professions in classical finance and banking will disappear”</w:t>
      </w:r>
      <w:r w:rsidRPr="00541471">
        <w:rPr>
          <w:rFonts w:cstheme="minorHAnsi"/>
          <w:sz w:val="22"/>
          <w:szCs w:val="22"/>
        </w:rPr>
        <w:t>. According to sector experts in the finance and banking sector, the jobs that are thought to be lost in the sector in the future will be operations-oriented and robotised, requiring the physical presence of personnel and workforce. In this context, it is thought that paperwork/box office/office transactions and simple software transactions will be lost in the branch. When asked about the professions that are thought to be lost in the sector in the future, according to managers in the finance and banking sector, the most common answer was box office worker</w:t>
      </w:r>
      <w:r>
        <w:rPr>
          <w:rFonts w:cstheme="minorHAnsi"/>
          <w:sz w:val="22"/>
          <w:szCs w:val="22"/>
        </w:rPr>
        <w:t>s</w:t>
      </w:r>
      <w:r w:rsidRPr="00541471">
        <w:rPr>
          <w:rFonts w:cstheme="minorHAnsi"/>
          <w:sz w:val="22"/>
          <w:szCs w:val="22"/>
        </w:rPr>
        <w:t xml:space="preserve">. In general, managers who think there will be a decrease in the number of employees for the bank or that there will be no personnel left stated that there will be a decrease in the number of officers working in the operations department. </w:t>
      </w:r>
      <w:r w:rsidRPr="00966A3F">
        <w:rPr>
          <w:rFonts w:cstheme="minorHAnsi"/>
          <w:sz w:val="22"/>
          <w:szCs w:val="22"/>
        </w:rPr>
        <w:t>It is thought that since digital currencies are out, physical money business may be removed, and operational service may decrease</w:t>
      </w:r>
      <w:r w:rsidRPr="00541471">
        <w:rPr>
          <w:rFonts w:cstheme="minorHAnsi"/>
          <w:sz w:val="22"/>
          <w:szCs w:val="22"/>
        </w:rPr>
        <w:t>. According to the managers who think there will be a general decrease in the number of physical employees, the idea is that artificial intelligence can come to the fore while the number of employees in the bank decreases. Additionally, managers in the finance and banking sector emphasized that it was most difficult to recruit personnel in the field of informatics. Finance and banking related software expertise was the most highlighted area within the scope of informatics.  It is understood that there are also difficulties in recruiting mobile software developers and information and cyber security personnel.</w:t>
      </w:r>
    </w:p>
    <w:p w14:paraId="7A3C4075" w14:textId="77777777" w:rsidR="00CD0C1E" w:rsidRPr="00541471" w:rsidRDefault="00CD0C1E" w:rsidP="00CD0C1E">
      <w:pPr>
        <w:jc w:val="both"/>
        <w:rPr>
          <w:rFonts w:cstheme="minorHAnsi"/>
          <w:sz w:val="22"/>
          <w:szCs w:val="22"/>
        </w:rPr>
      </w:pPr>
    </w:p>
    <w:p w14:paraId="7481B97E" w14:textId="77777777" w:rsidR="00CD0C1E" w:rsidRPr="00541471" w:rsidRDefault="00CD0C1E" w:rsidP="00CD0C1E">
      <w:pPr>
        <w:jc w:val="both"/>
        <w:rPr>
          <w:rFonts w:cstheme="minorHAnsi"/>
          <w:sz w:val="22"/>
          <w:szCs w:val="22"/>
        </w:rPr>
      </w:pPr>
      <w:r w:rsidRPr="00541471">
        <w:rPr>
          <w:rFonts w:cstheme="minorHAnsi"/>
          <w:b/>
          <w:bCs/>
          <w:sz w:val="22"/>
          <w:szCs w:val="22"/>
        </w:rPr>
        <w:t>The IT sector is a sector that is thought to be one of the most popular sectors of the future</w:t>
      </w:r>
      <w:r w:rsidRPr="00541471">
        <w:rPr>
          <w:rFonts w:cstheme="minorHAnsi"/>
          <w:sz w:val="22"/>
          <w:szCs w:val="22"/>
        </w:rPr>
        <w:t>. It has been stated that although there will be no loss in a profession in this sector, the lagging or unqualified personnel may be eliminated. The IT sector stands out as one of the sectors most prone to working remotely. It has been stated that supportive professions such as services used for transportation to the workplace and food and cleaning workers may disappear when remote work increases. It has been stated that software other than artificial intelligence in the industry may disappear in the future.</w:t>
      </w:r>
    </w:p>
    <w:p w14:paraId="2FB613AE" w14:textId="77777777" w:rsidR="00CD0C1E" w:rsidRPr="00541471" w:rsidRDefault="00CD0C1E" w:rsidP="00CD0C1E">
      <w:pPr>
        <w:pStyle w:val="Heading1"/>
        <w:numPr>
          <w:ilvl w:val="1"/>
          <w:numId w:val="44"/>
        </w:numPr>
        <w:jc w:val="both"/>
        <w:rPr>
          <w:sz w:val="28"/>
          <w:szCs w:val="28"/>
        </w:rPr>
      </w:pPr>
      <w:bookmarkStart w:id="34" w:name="_Toc108219158"/>
      <w:bookmarkStart w:id="35" w:name="_Toc118366172"/>
      <w:r w:rsidRPr="00541471">
        <w:rPr>
          <w:sz w:val="28"/>
          <w:szCs w:val="28"/>
        </w:rPr>
        <w:t>Training, workforce development and upskilling for new technologies and digital adaptation</w:t>
      </w:r>
      <w:bookmarkEnd w:id="34"/>
      <w:bookmarkEnd w:id="35"/>
    </w:p>
    <w:p w14:paraId="771DCC41" w14:textId="77777777" w:rsidR="00CD0C1E" w:rsidRPr="00541471" w:rsidRDefault="00CD0C1E" w:rsidP="00CD0C1E">
      <w:pPr>
        <w:jc w:val="both"/>
        <w:rPr>
          <w:rFonts w:cstheme="minorHAnsi"/>
          <w:sz w:val="22"/>
          <w:szCs w:val="22"/>
        </w:rPr>
      </w:pPr>
      <w:r w:rsidRPr="00541471">
        <w:rPr>
          <w:rFonts w:cstheme="minorHAnsi"/>
          <w:sz w:val="22"/>
          <w:szCs w:val="22"/>
        </w:rPr>
        <w:t xml:space="preserve">Technological and digital transformation affects the concepts of work and employment. Digital transformation requires employees to have digital knowledge, skills, and education. To stay in employment and the labour </w:t>
      </w:r>
      <w:r w:rsidRPr="00541471">
        <w:rPr>
          <w:rFonts w:cstheme="minorHAnsi"/>
          <w:sz w:val="22"/>
          <w:szCs w:val="22"/>
        </w:rPr>
        <w:lastRenderedPageBreak/>
        <w:t>market requires the ability to work with machines, robots, and algorithms. Therefore, digital skills need to be developed.</w:t>
      </w:r>
    </w:p>
    <w:p w14:paraId="4D31D5D8" w14:textId="77777777" w:rsidR="00CD0C1E" w:rsidRPr="00541471" w:rsidRDefault="00CD0C1E" w:rsidP="00CD0C1E">
      <w:pPr>
        <w:jc w:val="both"/>
        <w:rPr>
          <w:rFonts w:cstheme="minorHAnsi"/>
          <w:sz w:val="22"/>
          <w:szCs w:val="22"/>
        </w:rPr>
      </w:pPr>
    </w:p>
    <w:p w14:paraId="0BE59F9B" w14:textId="77777777" w:rsidR="00CD0C1E" w:rsidRPr="00541471" w:rsidRDefault="00CD0C1E" w:rsidP="00CD0C1E">
      <w:pPr>
        <w:jc w:val="both"/>
        <w:rPr>
          <w:rFonts w:cstheme="minorHAnsi"/>
          <w:sz w:val="22"/>
          <w:szCs w:val="22"/>
        </w:rPr>
      </w:pPr>
      <w:r w:rsidRPr="00541471">
        <w:rPr>
          <w:rFonts w:cstheme="minorHAnsi"/>
          <w:sz w:val="22"/>
          <w:szCs w:val="22"/>
        </w:rPr>
        <w:t>According to</w:t>
      </w:r>
      <w:r>
        <w:rPr>
          <w:rFonts w:cstheme="minorHAnsi"/>
          <w:sz w:val="22"/>
          <w:szCs w:val="22"/>
        </w:rPr>
        <w:t xml:space="preserve"> </w:t>
      </w:r>
      <w:r w:rsidRPr="00541471">
        <w:rPr>
          <w:rFonts w:cstheme="minorHAnsi"/>
          <w:sz w:val="22"/>
          <w:szCs w:val="22"/>
        </w:rPr>
        <w:t xml:space="preserve">employers and managers, approximately 75% of the current qualified personnel can competently do what their job requires. This rate was found to be highest in the IT sector (79.7%) among the five sectors and the lowest in the energy sector (69.2%). According to them, the most important reasons for some of the personnel in the institution </w:t>
      </w:r>
      <w:r>
        <w:rPr>
          <w:rFonts w:cstheme="minorHAnsi"/>
          <w:sz w:val="22"/>
          <w:szCs w:val="22"/>
        </w:rPr>
        <w:t>being</w:t>
      </w:r>
      <w:r w:rsidRPr="00541471">
        <w:rPr>
          <w:rFonts w:cstheme="minorHAnsi"/>
          <w:sz w:val="22"/>
          <w:szCs w:val="22"/>
        </w:rPr>
        <w:t xml:space="preserve"> incompetent are the use of new technologies (37.2%), the emergence of new products or services (36.7%) and the low motivation of the employees (33%).</w:t>
      </w:r>
    </w:p>
    <w:p w14:paraId="0328B283" w14:textId="77777777" w:rsidR="00CD0C1E" w:rsidRPr="00541471" w:rsidRDefault="00CD0C1E" w:rsidP="00CD0C1E">
      <w:pPr>
        <w:jc w:val="both"/>
        <w:rPr>
          <w:rFonts w:cstheme="minorHAnsi"/>
          <w:sz w:val="22"/>
          <w:szCs w:val="22"/>
        </w:rPr>
      </w:pPr>
    </w:p>
    <w:p w14:paraId="4B54FDB7" w14:textId="77777777" w:rsidR="00CD0C1E" w:rsidRPr="00541471" w:rsidRDefault="00CD0C1E" w:rsidP="00CD0C1E">
      <w:pPr>
        <w:jc w:val="both"/>
        <w:rPr>
          <w:rFonts w:cstheme="minorHAnsi"/>
          <w:sz w:val="22"/>
          <w:szCs w:val="22"/>
        </w:rPr>
      </w:pPr>
      <w:r w:rsidRPr="00541471">
        <w:rPr>
          <w:rFonts w:cstheme="minorHAnsi"/>
          <w:sz w:val="22"/>
          <w:szCs w:val="22"/>
        </w:rPr>
        <w:t>The employees see their compliance with the industry's requirements at an average of 8.3 out of 10. In contrast, sector experts give the employees compl</w:t>
      </w:r>
      <w:r>
        <w:rPr>
          <w:rFonts w:cstheme="minorHAnsi"/>
          <w:sz w:val="22"/>
          <w:szCs w:val="22"/>
        </w:rPr>
        <w:t>y</w:t>
      </w:r>
      <w:r w:rsidRPr="00541471">
        <w:rPr>
          <w:rFonts w:cstheme="minorHAnsi"/>
          <w:sz w:val="22"/>
          <w:szCs w:val="22"/>
        </w:rPr>
        <w:t xml:space="preserve"> with the digital and technological transformation an average of 6.7.</w:t>
      </w:r>
    </w:p>
    <w:p w14:paraId="1696432E" w14:textId="77777777" w:rsidR="00CD0C1E" w:rsidRPr="00541471" w:rsidRDefault="00CD0C1E" w:rsidP="00CD0C1E">
      <w:pPr>
        <w:jc w:val="both"/>
        <w:rPr>
          <w:rFonts w:cstheme="minorHAnsi"/>
          <w:sz w:val="22"/>
          <w:szCs w:val="22"/>
        </w:rPr>
      </w:pPr>
    </w:p>
    <w:p w14:paraId="1D9C0332" w14:textId="77777777" w:rsidR="00CD0C1E" w:rsidRPr="00541471" w:rsidRDefault="00CD0C1E" w:rsidP="00CD0C1E">
      <w:pPr>
        <w:jc w:val="both"/>
        <w:rPr>
          <w:rFonts w:cstheme="minorHAnsi"/>
          <w:sz w:val="22"/>
          <w:szCs w:val="22"/>
        </w:rPr>
      </w:pPr>
      <w:r w:rsidRPr="00541471">
        <w:rPr>
          <w:rFonts w:cstheme="minorHAnsi"/>
          <w:sz w:val="22"/>
          <w:szCs w:val="22"/>
        </w:rPr>
        <w:t xml:space="preserve">Overall, only 22.6% of the employers and managers stated that they use indicators to measure the performance of the employees in the institution/organization/workplace. The sectors where indicators are used most intensively to measure the performance of employees are </w:t>
      </w:r>
      <w:r>
        <w:rPr>
          <w:rFonts w:cstheme="minorHAnsi"/>
          <w:sz w:val="22"/>
          <w:szCs w:val="22"/>
        </w:rPr>
        <w:t xml:space="preserve">the </w:t>
      </w:r>
      <w:r w:rsidRPr="00541471">
        <w:rPr>
          <w:rFonts w:cstheme="minorHAnsi"/>
          <w:sz w:val="22"/>
          <w:szCs w:val="22"/>
        </w:rPr>
        <w:t>finance and banking, health, and energy sectors. The sector in which performance indicators are used the least was determined as the education sector. They listed these indicators as manager observation, effective work, feedback, and positive feedback from service recipients. The first four rankings in the ICT and education sectors are the same. The number of faulty services and average work completion time in the energy sector, profit, number of customers per employee in the finance and banking sector, and the number of services provided in the health sector are also seen as important indicators.</w:t>
      </w:r>
    </w:p>
    <w:p w14:paraId="05335395" w14:textId="77777777" w:rsidR="00CD0C1E" w:rsidRPr="00541471" w:rsidRDefault="00CD0C1E" w:rsidP="00CD0C1E">
      <w:pPr>
        <w:jc w:val="both"/>
        <w:rPr>
          <w:rFonts w:cstheme="minorHAnsi"/>
          <w:sz w:val="22"/>
          <w:szCs w:val="22"/>
        </w:rPr>
      </w:pPr>
    </w:p>
    <w:p w14:paraId="1D1A3A5F" w14:textId="77777777" w:rsidR="00CD0C1E" w:rsidRPr="00541471" w:rsidRDefault="00CD0C1E" w:rsidP="00CD0C1E">
      <w:pPr>
        <w:jc w:val="both"/>
        <w:rPr>
          <w:rFonts w:cstheme="minorHAnsi"/>
          <w:sz w:val="22"/>
          <w:szCs w:val="22"/>
        </w:rPr>
      </w:pPr>
      <w:r w:rsidRPr="00541471">
        <w:rPr>
          <w:rFonts w:cstheme="minorHAnsi"/>
          <w:sz w:val="22"/>
          <w:szCs w:val="22"/>
        </w:rPr>
        <w:t>According to the managers in all sectors, the most important reasons that reduce the competence of the personnel in the institution are the use of new technologies (37.2%), the emergence of new products or services (36.7%) and the low motivation of the employees (33%). The effect of the employees' skill deficiencies on the organisation's performance (1 = absolutely ineffective - 10 = very effective) is measured as 6.3. This score is highest in the health (6.8) and lowest in the energy (5.2) sectors.</w:t>
      </w:r>
    </w:p>
    <w:p w14:paraId="123E0DAE" w14:textId="77777777" w:rsidR="00CD0C1E" w:rsidRPr="00541471" w:rsidRDefault="00CD0C1E" w:rsidP="00CD0C1E">
      <w:pPr>
        <w:jc w:val="both"/>
        <w:rPr>
          <w:rFonts w:cstheme="minorHAnsi"/>
          <w:sz w:val="22"/>
          <w:szCs w:val="22"/>
        </w:rPr>
      </w:pPr>
    </w:p>
    <w:p w14:paraId="719F8468" w14:textId="77777777" w:rsidR="00CD0C1E" w:rsidRPr="00541471" w:rsidRDefault="00CD0C1E" w:rsidP="00CD0C1E">
      <w:pPr>
        <w:jc w:val="both"/>
        <w:rPr>
          <w:rFonts w:cstheme="minorHAnsi"/>
          <w:sz w:val="22"/>
          <w:szCs w:val="22"/>
        </w:rPr>
      </w:pPr>
      <w:r w:rsidRPr="00541471">
        <w:rPr>
          <w:rFonts w:cstheme="minorHAnsi"/>
          <w:sz w:val="22"/>
          <w:szCs w:val="22"/>
        </w:rPr>
        <w:t xml:space="preserve">About 7 out of 10 employers and managers said that they allocate a budget to fill the skill gaps of their employees. While 16.7% of the executives stated that they did not allocate a budget, 13.8% stated that they had plans in this direction even though they did not allocate a budget. The sectors that say they allocate a budget to fill the skill gaps of the employees the most are </w:t>
      </w:r>
      <w:r>
        <w:rPr>
          <w:rFonts w:cstheme="minorHAnsi"/>
          <w:sz w:val="22"/>
          <w:szCs w:val="22"/>
        </w:rPr>
        <w:t xml:space="preserve">the </w:t>
      </w:r>
      <w:r w:rsidRPr="00541471">
        <w:rPr>
          <w:rFonts w:cstheme="minorHAnsi"/>
          <w:sz w:val="22"/>
          <w:szCs w:val="22"/>
        </w:rPr>
        <w:t>energy, finance and banking and informatics sectors.</w:t>
      </w:r>
    </w:p>
    <w:p w14:paraId="0FA76C77" w14:textId="77777777" w:rsidR="00CD0C1E" w:rsidRPr="00541471" w:rsidRDefault="00CD0C1E" w:rsidP="00CD0C1E">
      <w:pPr>
        <w:jc w:val="both"/>
        <w:rPr>
          <w:rFonts w:cstheme="minorHAnsi"/>
          <w:sz w:val="22"/>
          <w:szCs w:val="22"/>
        </w:rPr>
      </w:pPr>
    </w:p>
    <w:p w14:paraId="24F8CD40" w14:textId="77777777" w:rsidR="00CD0C1E" w:rsidRPr="00541471" w:rsidRDefault="00CD0C1E" w:rsidP="00CD0C1E">
      <w:pPr>
        <w:jc w:val="both"/>
        <w:rPr>
          <w:rFonts w:cstheme="minorHAnsi"/>
          <w:sz w:val="22"/>
          <w:szCs w:val="22"/>
        </w:rPr>
      </w:pPr>
      <w:r w:rsidRPr="00556FF8">
        <w:rPr>
          <w:rFonts w:cstheme="minorHAnsi"/>
          <w:sz w:val="22"/>
          <w:szCs w:val="22"/>
        </w:rPr>
        <w:t>Approximately 70% of the managers state</w:t>
      </w:r>
      <w:r>
        <w:rPr>
          <w:rFonts w:cstheme="minorHAnsi"/>
          <w:sz w:val="22"/>
          <w:szCs w:val="22"/>
        </w:rPr>
        <w:t>d</w:t>
      </w:r>
      <w:r w:rsidRPr="00556FF8">
        <w:rPr>
          <w:rFonts w:cstheme="minorHAnsi"/>
          <w:sz w:val="22"/>
          <w:szCs w:val="22"/>
        </w:rPr>
        <w:t xml:space="preserve"> that they conduct training needs analysis in their institutions. </w:t>
      </w:r>
      <w:r>
        <w:rPr>
          <w:rFonts w:cstheme="minorHAnsi"/>
          <w:sz w:val="22"/>
          <w:szCs w:val="22"/>
        </w:rPr>
        <w:t>A t</w:t>
      </w:r>
      <w:r w:rsidRPr="00556FF8">
        <w:rPr>
          <w:rFonts w:cstheme="minorHAnsi"/>
          <w:sz w:val="22"/>
          <w:szCs w:val="22"/>
        </w:rPr>
        <w:t>raining needs analysis was most pronounced in the health, banking and finance and energy sectors.</w:t>
      </w:r>
    </w:p>
    <w:p w14:paraId="77E6D6AE" w14:textId="77777777" w:rsidR="00CD0C1E" w:rsidRPr="00541471" w:rsidRDefault="00CD0C1E" w:rsidP="00CD0C1E">
      <w:pPr>
        <w:jc w:val="both"/>
        <w:rPr>
          <w:rFonts w:cstheme="minorHAnsi"/>
          <w:sz w:val="22"/>
          <w:szCs w:val="22"/>
        </w:rPr>
      </w:pPr>
    </w:p>
    <w:p w14:paraId="6DC6C785" w14:textId="77777777" w:rsidR="00CD0C1E" w:rsidRPr="00541471" w:rsidRDefault="00CD0C1E" w:rsidP="00CD0C1E">
      <w:pPr>
        <w:jc w:val="both"/>
        <w:rPr>
          <w:rFonts w:cstheme="minorHAnsi"/>
          <w:sz w:val="22"/>
          <w:szCs w:val="22"/>
        </w:rPr>
      </w:pPr>
      <w:r w:rsidRPr="00541471">
        <w:rPr>
          <w:rFonts w:cstheme="minorHAnsi"/>
          <w:b/>
          <w:bCs/>
          <w:sz w:val="22"/>
          <w:szCs w:val="22"/>
        </w:rPr>
        <w:t>According to the ICT sector managers,</w:t>
      </w:r>
      <w:r w:rsidRPr="00541471">
        <w:rPr>
          <w:rFonts w:cstheme="minorHAnsi"/>
          <w:sz w:val="22"/>
          <w:szCs w:val="22"/>
        </w:rPr>
        <w:t xml:space="preserve"> the employees of any institution need training on adaptation to new technological developments to keep the personnel up to date</w:t>
      </w:r>
      <w:r>
        <w:rPr>
          <w:rFonts w:cstheme="minorHAnsi"/>
          <w:sz w:val="22"/>
          <w:szCs w:val="22"/>
        </w:rPr>
        <w:t>,</w:t>
      </w:r>
      <w:r w:rsidRPr="00541471">
        <w:rPr>
          <w:rFonts w:cstheme="minorHAnsi"/>
          <w:sz w:val="22"/>
          <w:szCs w:val="22"/>
        </w:rPr>
        <w:t xml:space="preserve"> especially on digital technology, graphic software, communication techniques, new information and systems. Employees stated that they need more practical training instead of </w:t>
      </w:r>
      <w:r>
        <w:rPr>
          <w:rFonts w:cstheme="minorHAnsi"/>
          <w:sz w:val="22"/>
          <w:szCs w:val="22"/>
        </w:rPr>
        <w:t xml:space="preserve">a </w:t>
      </w:r>
      <w:r w:rsidRPr="00541471">
        <w:rPr>
          <w:rFonts w:cstheme="minorHAnsi"/>
          <w:sz w:val="22"/>
          <w:szCs w:val="22"/>
        </w:rPr>
        <w:t>theoretical one. Since time is an essential parameter for IT sector employees, they said they need more efficient training</w:t>
      </w:r>
      <w:r>
        <w:rPr>
          <w:rFonts w:cstheme="minorHAnsi"/>
          <w:sz w:val="22"/>
          <w:szCs w:val="22"/>
        </w:rPr>
        <w:t>,</w:t>
      </w:r>
      <w:r w:rsidRPr="00541471">
        <w:rPr>
          <w:rFonts w:cstheme="minorHAnsi"/>
          <w:sz w:val="22"/>
          <w:szCs w:val="22"/>
        </w:rPr>
        <w:t xml:space="preserve"> which takes less time with more practical aspects. In addition, online education and courses were also mentioned as a source of professional development.</w:t>
      </w:r>
    </w:p>
    <w:p w14:paraId="7DE13252" w14:textId="77777777" w:rsidR="00CD0C1E" w:rsidRPr="00541471" w:rsidRDefault="00CD0C1E" w:rsidP="00CD0C1E">
      <w:pPr>
        <w:jc w:val="both"/>
        <w:rPr>
          <w:rFonts w:cstheme="minorHAnsi"/>
          <w:sz w:val="22"/>
          <w:szCs w:val="22"/>
        </w:rPr>
      </w:pPr>
    </w:p>
    <w:p w14:paraId="4354817B" w14:textId="77777777" w:rsidR="00CD0C1E" w:rsidRPr="00541471" w:rsidRDefault="00CD0C1E" w:rsidP="00CD0C1E">
      <w:pPr>
        <w:jc w:val="both"/>
        <w:rPr>
          <w:rFonts w:cstheme="minorHAnsi"/>
          <w:sz w:val="22"/>
          <w:szCs w:val="22"/>
        </w:rPr>
      </w:pPr>
      <w:r w:rsidRPr="00541471">
        <w:rPr>
          <w:rFonts w:cstheme="minorHAnsi"/>
          <w:b/>
          <w:bCs/>
          <w:sz w:val="22"/>
          <w:szCs w:val="22"/>
        </w:rPr>
        <w:lastRenderedPageBreak/>
        <w:t>According to the managers in the education sector</w:t>
      </w:r>
      <w:r w:rsidRPr="00541471">
        <w:rPr>
          <w:rFonts w:cstheme="minorHAnsi"/>
          <w:sz w:val="22"/>
          <w:szCs w:val="22"/>
        </w:rPr>
        <w:t xml:space="preserve">, employees in the education institution need training on the technology used in the education sector and new digital infrastructures supporting education processes. </w:t>
      </w:r>
      <w:r w:rsidRPr="00302266">
        <w:rPr>
          <w:rFonts w:cstheme="minorHAnsi"/>
          <w:sz w:val="22"/>
          <w:szCs w:val="22"/>
        </w:rPr>
        <w:t>While vocational training is emphasized, communication, analytical thinking, and reasoning skills are also listed as areas where training is needed</w:t>
      </w:r>
      <w:r w:rsidRPr="00541471">
        <w:rPr>
          <w:rFonts w:cstheme="minorHAnsi"/>
          <w:sz w:val="22"/>
          <w:szCs w:val="22"/>
        </w:rPr>
        <w:t xml:space="preserve">. </w:t>
      </w:r>
      <w:r w:rsidRPr="00C62496">
        <w:rPr>
          <w:rFonts w:cstheme="minorHAnsi"/>
          <w:sz w:val="22"/>
          <w:szCs w:val="22"/>
        </w:rPr>
        <w:t>In terms of employees, the training needs to focus on promoting and using new and digital technologies</w:t>
      </w:r>
      <w:r w:rsidRPr="00541471">
        <w:rPr>
          <w:rFonts w:cstheme="minorHAnsi"/>
          <w:sz w:val="22"/>
          <w:szCs w:val="22"/>
        </w:rPr>
        <w:t>. The need for continuous training on software, the use of Microsoft Office programs, and innovations in the digital field were emphasized. It has been stated that applied vocational training and personal development training are within the scope of need.</w:t>
      </w:r>
    </w:p>
    <w:p w14:paraId="1BF811BE" w14:textId="77777777" w:rsidR="00CD0C1E" w:rsidRPr="00541471" w:rsidRDefault="00CD0C1E" w:rsidP="00CD0C1E">
      <w:pPr>
        <w:jc w:val="both"/>
        <w:rPr>
          <w:rFonts w:cstheme="minorHAnsi"/>
          <w:sz w:val="22"/>
          <w:szCs w:val="22"/>
        </w:rPr>
      </w:pPr>
    </w:p>
    <w:p w14:paraId="16CD797F" w14:textId="77777777" w:rsidR="00CD0C1E" w:rsidRPr="00541471" w:rsidRDefault="00CD0C1E" w:rsidP="00CD0C1E">
      <w:pPr>
        <w:jc w:val="both"/>
        <w:rPr>
          <w:rFonts w:cstheme="minorHAnsi"/>
          <w:sz w:val="22"/>
          <w:szCs w:val="22"/>
        </w:rPr>
      </w:pPr>
      <w:r w:rsidRPr="00541471">
        <w:rPr>
          <w:rFonts w:cstheme="minorHAnsi"/>
          <w:b/>
          <w:bCs/>
          <w:sz w:val="22"/>
          <w:szCs w:val="22"/>
        </w:rPr>
        <w:t>According to the energy sector managers and employees</w:t>
      </w:r>
      <w:r w:rsidRPr="00541471">
        <w:rPr>
          <w:rFonts w:cstheme="minorHAnsi"/>
          <w:sz w:val="22"/>
          <w:szCs w:val="22"/>
        </w:rPr>
        <w:t xml:space="preserve">, it is stated that the need </w:t>
      </w:r>
      <w:r>
        <w:rPr>
          <w:rFonts w:cstheme="minorHAnsi"/>
          <w:sz w:val="22"/>
          <w:szCs w:val="22"/>
        </w:rPr>
        <w:t xml:space="preserve">for </w:t>
      </w:r>
      <w:r w:rsidRPr="00541471">
        <w:rPr>
          <w:rFonts w:cstheme="minorHAnsi"/>
          <w:sz w:val="22"/>
          <w:szCs w:val="22"/>
        </w:rPr>
        <w:t xml:space="preserve">technical training is a priority for the employees in energy institutions. It is thought that training on orientation and </w:t>
      </w:r>
      <w:r>
        <w:rPr>
          <w:rFonts w:cstheme="minorHAnsi"/>
          <w:sz w:val="22"/>
          <w:szCs w:val="22"/>
        </w:rPr>
        <w:t xml:space="preserve">the </w:t>
      </w:r>
      <w:r w:rsidRPr="00541471">
        <w:rPr>
          <w:rFonts w:cstheme="minorHAnsi"/>
          <w:sz w:val="22"/>
          <w:szCs w:val="22"/>
        </w:rPr>
        <w:t xml:space="preserve">use of new and digital technologies are also </w:t>
      </w:r>
      <w:r>
        <w:rPr>
          <w:rFonts w:cstheme="minorHAnsi"/>
          <w:sz w:val="22"/>
          <w:szCs w:val="22"/>
        </w:rPr>
        <w:t>critical</w:t>
      </w:r>
      <w:r w:rsidRPr="00541471">
        <w:rPr>
          <w:rFonts w:cstheme="minorHAnsi"/>
          <w:sz w:val="22"/>
          <w:szCs w:val="22"/>
        </w:rPr>
        <w:t>. There is also a need for a specialized training program in the sector where production managers have an essential place.</w:t>
      </w:r>
    </w:p>
    <w:p w14:paraId="63BABDF3" w14:textId="77777777" w:rsidR="00CD0C1E" w:rsidRPr="00541471" w:rsidRDefault="00CD0C1E" w:rsidP="00CD0C1E">
      <w:pPr>
        <w:jc w:val="both"/>
        <w:rPr>
          <w:rFonts w:cstheme="minorHAnsi"/>
          <w:sz w:val="22"/>
          <w:szCs w:val="22"/>
        </w:rPr>
      </w:pPr>
    </w:p>
    <w:p w14:paraId="0E15F1B1" w14:textId="77777777" w:rsidR="00CD0C1E" w:rsidRDefault="00CD0C1E" w:rsidP="00CD0C1E">
      <w:pPr>
        <w:jc w:val="both"/>
        <w:rPr>
          <w:rFonts w:cstheme="minorHAnsi"/>
          <w:sz w:val="22"/>
          <w:szCs w:val="22"/>
        </w:rPr>
      </w:pPr>
      <w:r w:rsidRPr="00541471">
        <w:rPr>
          <w:rFonts w:cstheme="minorHAnsi"/>
          <w:b/>
          <w:bCs/>
          <w:sz w:val="22"/>
          <w:szCs w:val="22"/>
        </w:rPr>
        <w:t>Managers stated that the employees of institutions/</w:t>
      </w:r>
      <w:r>
        <w:rPr>
          <w:rFonts w:cstheme="minorHAnsi"/>
          <w:b/>
          <w:bCs/>
          <w:sz w:val="22"/>
          <w:szCs w:val="22"/>
        </w:rPr>
        <w:t>organisations</w:t>
      </w:r>
      <w:r w:rsidRPr="00541471">
        <w:rPr>
          <w:rFonts w:cstheme="minorHAnsi"/>
          <w:b/>
          <w:bCs/>
          <w:sz w:val="22"/>
          <w:szCs w:val="22"/>
        </w:rPr>
        <w:t>/workplaces in the finance and banking sector need job-related and sector-oriented training</w:t>
      </w:r>
      <w:r w:rsidRPr="00541471">
        <w:rPr>
          <w:rFonts w:cstheme="minorHAnsi"/>
          <w:sz w:val="22"/>
          <w:szCs w:val="22"/>
        </w:rPr>
        <w:t xml:space="preserve">. In this context, within the scope of technical and technological training, it has been stated that there is a need for developing and changing digital applications, new products and applications, and training for </w:t>
      </w:r>
      <w:r>
        <w:rPr>
          <w:rFonts w:cstheme="minorHAnsi"/>
          <w:sz w:val="22"/>
          <w:szCs w:val="22"/>
        </w:rPr>
        <w:t>digitalisation</w:t>
      </w:r>
      <w:r w:rsidRPr="00541471">
        <w:rPr>
          <w:rFonts w:cstheme="minorHAnsi"/>
          <w:sz w:val="22"/>
          <w:szCs w:val="22"/>
        </w:rPr>
        <w:t xml:space="preserve">. </w:t>
      </w:r>
      <w:r w:rsidRPr="00C62496">
        <w:rPr>
          <w:rFonts w:cstheme="minorHAnsi"/>
          <w:sz w:val="22"/>
          <w:szCs w:val="22"/>
        </w:rPr>
        <w:t>In addition, it was stated that there is a need for communication, legislation, and sales marketing training</w:t>
      </w:r>
      <w:r w:rsidRPr="00541471">
        <w:rPr>
          <w:rFonts w:cstheme="minorHAnsi"/>
          <w:sz w:val="22"/>
          <w:szCs w:val="22"/>
        </w:rPr>
        <w:t>. On the other hand, considering soft skills, there is a necessity for training in psychology, motivation, stress/time management, problem-solving and taking the initiative was expressed. Managers emphasized that each unit should receive training within itself.</w:t>
      </w:r>
    </w:p>
    <w:p w14:paraId="7AE5C1AE" w14:textId="77777777" w:rsidR="00CD0C1E" w:rsidRDefault="00CD0C1E" w:rsidP="00CD0C1E">
      <w:pPr>
        <w:jc w:val="both"/>
        <w:rPr>
          <w:rFonts w:cstheme="minorHAnsi"/>
          <w:sz w:val="22"/>
          <w:szCs w:val="22"/>
        </w:rPr>
      </w:pPr>
    </w:p>
    <w:p w14:paraId="5B441AC2" w14:textId="77777777" w:rsidR="00CD0C1E" w:rsidRPr="00D76B50" w:rsidRDefault="00CD0C1E" w:rsidP="00CD0C1E">
      <w:pPr>
        <w:jc w:val="both"/>
        <w:rPr>
          <w:rFonts w:cstheme="minorHAnsi"/>
          <w:sz w:val="22"/>
          <w:szCs w:val="22"/>
        </w:rPr>
      </w:pPr>
      <w:r w:rsidRPr="00D76B50">
        <w:rPr>
          <w:rFonts w:cstheme="minorHAnsi"/>
          <w:sz w:val="22"/>
          <w:szCs w:val="22"/>
        </w:rPr>
        <w:t>Identified skills needs</w:t>
      </w:r>
      <w:r>
        <w:rPr>
          <w:rFonts w:cstheme="minorHAnsi"/>
          <w:sz w:val="22"/>
          <w:szCs w:val="22"/>
        </w:rPr>
        <w:t xml:space="preserve"> are</w:t>
      </w:r>
      <w:r w:rsidRPr="00D76B50">
        <w:rPr>
          <w:rFonts w:cstheme="minorHAnsi"/>
          <w:sz w:val="22"/>
          <w:szCs w:val="22"/>
        </w:rPr>
        <w:t>:</w:t>
      </w:r>
    </w:p>
    <w:p w14:paraId="5EC369B4" w14:textId="77777777" w:rsidR="00CD0C1E" w:rsidRDefault="00CD0C1E" w:rsidP="00CD0C1E">
      <w:pPr>
        <w:spacing w:after="160"/>
        <w:jc w:val="both"/>
        <w:rPr>
          <w:sz w:val="22"/>
          <w:szCs w:val="22"/>
        </w:rPr>
      </w:pPr>
    </w:p>
    <w:p w14:paraId="09BB0772" w14:textId="77777777" w:rsidR="00CD0C1E" w:rsidRPr="001210ED" w:rsidRDefault="00CD0C1E" w:rsidP="00CD0C1E">
      <w:pPr>
        <w:pStyle w:val="ListParagraph"/>
        <w:numPr>
          <w:ilvl w:val="1"/>
          <w:numId w:val="6"/>
        </w:numPr>
        <w:spacing w:after="160"/>
        <w:jc w:val="both"/>
        <w:rPr>
          <w:sz w:val="22"/>
          <w:szCs w:val="22"/>
        </w:rPr>
      </w:pPr>
      <w:r w:rsidRPr="001210ED">
        <w:rPr>
          <w:sz w:val="22"/>
          <w:szCs w:val="22"/>
        </w:rPr>
        <w:t>Analytical thinking, reasoning, and innovation</w:t>
      </w:r>
    </w:p>
    <w:p w14:paraId="671946DA" w14:textId="77777777" w:rsidR="00CD0C1E" w:rsidRPr="001210ED" w:rsidRDefault="00CD0C1E" w:rsidP="00CD0C1E">
      <w:pPr>
        <w:pStyle w:val="ListParagraph"/>
        <w:numPr>
          <w:ilvl w:val="1"/>
          <w:numId w:val="6"/>
        </w:numPr>
        <w:spacing w:after="160"/>
        <w:jc w:val="both"/>
        <w:rPr>
          <w:sz w:val="22"/>
          <w:szCs w:val="22"/>
        </w:rPr>
      </w:pPr>
      <w:r w:rsidRPr="001210ED">
        <w:rPr>
          <w:sz w:val="22"/>
          <w:szCs w:val="22"/>
        </w:rPr>
        <w:t>Active learning skills</w:t>
      </w:r>
    </w:p>
    <w:p w14:paraId="4FBFFA01" w14:textId="77777777" w:rsidR="00CD0C1E" w:rsidRPr="001210ED" w:rsidRDefault="00CD0C1E" w:rsidP="00CD0C1E">
      <w:pPr>
        <w:pStyle w:val="ListParagraph"/>
        <w:numPr>
          <w:ilvl w:val="1"/>
          <w:numId w:val="6"/>
        </w:numPr>
        <w:spacing w:after="160"/>
        <w:jc w:val="both"/>
        <w:rPr>
          <w:sz w:val="22"/>
          <w:szCs w:val="22"/>
        </w:rPr>
      </w:pPr>
      <w:r w:rsidRPr="001210ED">
        <w:rPr>
          <w:sz w:val="22"/>
          <w:szCs w:val="22"/>
        </w:rPr>
        <w:t>Communication skills</w:t>
      </w:r>
    </w:p>
    <w:p w14:paraId="12E6C5EB" w14:textId="77777777" w:rsidR="00CD0C1E" w:rsidRPr="001210ED" w:rsidRDefault="00CD0C1E" w:rsidP="00CD0C1E">
      <w:pPr>
        <w:pStyle w:val="ListParagraph"/>
        <w:numPr>
          <w:ilvl w:val="1"/>
          <w:numId w:val="6"/>
        </w:numPr>
        <w:spacing w:after="160"/>
        <w:jc w:val="both"/>
        <w:rPr>
          <w:sz w:val="22"/>
          <w:szCs w:val="22"/>
        </w:rPr>
      </w:pPr>
      <w:r w:rsidRPr="001210ED">
        <w:rPr>
          <w:sz w:val="22"/>
          <w:szCs w:val="22"/>
        </w:rPr>
        <w:t>Being able to teach and transfer knowledge</w:t>
      </w:r>
    </w:p>
    <w:p w14:paraId="3A437BC6" w14:textId="77777777" w:rsidR="00CD0C1E" w:rsidRPr="001210ED" w:rsidRDefault="00CD0C1E" w:rsidP="00CD0C1E">
      <w:pPr>
        <w:pStyle w:val="ListParagraph"/>
        <w:numPr>
          <w:ilvl w:val="1"/>
          <w:numId w:val="6"/>
        </w:numPr>
        <w:spacing w:after="160"/>
        <w:jc w:val="both"/>
        <w:rPr>
          <w:sz w:val="22"/>
          <w:szCs w:val="22"/>
        </w:rPr>
      </w:pPr>
      <w:r w:rsidRPr="001210ED">
        <w:rPr>
          <w:sz w:val="22"/>
          <w:szCs w:val="22"/>
        </w:rPr>
        <w:t>Creativity and originality</w:t>
      </w:r>
    </w:p>
    <w:p w14:paraId="49F025A2" w14:textId="77777777" w:rsidR="00CD0C1E" w:rsidRPr="001210ED" w:rsidRDefault="00CD0C1E" w:rsidP="00CD0C1E">
      <w:pPr>
        <w:pStyle w:val="ListParagraph"/>
        <w:numPr>
          <w:ilvl w:val="1"/>
          <w:numId w:val="6"/>
        </w:numPr>
        <w:spacing w:after="160"/>
        <w:jc w:val="both"/>
        <w:rPr>
          <w:sz w:val="22"/>
          <w:szCs w:val="22"/>
        </w:rPr>
      </w:pPr>
      <w:r w:rsidRPr="001210ED">
        <w:rPr>
          <w:sz w:val="22"/>
          <w:szCs w:val="22"/>
        </w:rPr>
        <w:t>Ability to adapt knowledge and experience to work</w:t>
      </w:r>
    </w:p>
    <w:p w14:paraId="1CE0955D" w14:textId="77777777" w:rsidR="00CD0C1E" w:rsidRPr="001210ED" w:rsidRDefault="00CD0C1E" w:rsidP="00CD0C1E">
      <w:pPr>
        <w:pStyle w:val="ListParagraph"/>
        <w:numPr>
          <w:ilvl w:val="1"/>
          <w:numId w:val="6"/>
        </w:numPr>
        <w:spacing w:after="160"/>
        <w:jc w:val="both"/>
        <w:rPr>
          <w:sz w:val="22"/>
          <w:szCs w:val="22"/>
        </w:rPr>
      </w:pPr>
      <w:r w:rsidRPr="001210ED">
        <w:rPr>
          <w:sz w:val="22"/>
          <w:szCs w:val="22"/>
        </w:rPr>
        <w:t>Teamwork through digital channels</w:t>
      </w:r>
    </w:p>
    <w:p w14:paraId="6ECEDEA2" w14:textId="77777777" w:rsidR="00CD0C1E" w:rsidRPr="001210ED" w:rsidRDefault="00CD0C1E" w:rsidP="00CD0C1E">
      <w:pPr>
        <w:pStyle w:val="ListParagraph"/>
        <w:numPr>
          <w:ilvl w:val="1"/>
          <w:numId w:val="6"/>
        </w:numPr>
        <w:spacing w:after="160"/>
        <w:jc w:val="both"/>
        <w:rPr>
          <w:sz w:val="22"/>
          <w:szCs w:val="22"/>
        </w:rPr>
      </w:pPr>
      <w:r w:rsidRPr="001210ED">
        <w:rPr>
          <w:sz w:val="22"/>
          <w:szCs w:val="22"/>
        </w:rPr>
        <w:t>Ability to serve through digital channels</w:t>
      </w:r>
    </w:p>
    <w:p w14:paraId="113FE27E" w14:textId="77777777" w:rsidR="00CD0C1E" w:rsidRPr="001210ED" w:rsidRDefault="00CD0C1E" w:rsidP="00CD0C1E">
      <w:pPr>
        <w:pStyle w:val="ListParagraph"/>
        <w:numPr>
          <w:ilvl w:val="1"/>
          <w:numId w:val="6"/>
        </w:numPr>
        <w:spacing w:after="160"/>
        <w:jc w:val="both"/>
        <w:rPr>
          <w:sz w:val="22"/>
          <w:szCs w:val="22"/>
        </w:rPr>
      </w:pPr>
      <w:r w:rsidRPr="001210ED">
        <w:rPr>
          <w:sz w:val="22"/>
          <w:szCs w:val="22"/>
        </w:rPr>
        <w:t>Taking initiatives</w:t>
      </w:r>
    </w:p>
    <w:p w14:paraId="5AE0B624" w14:textId="77777777" w:rsidR="00CD0C1E" w:rsidRPr="001210ED" w:rsidRDefault="00CD0C1E" w:rsidP="00CD0C1E">
      <w:pPr>
        <w:pStyle w:val="ListParagraph"/>
        <w:numPr>
          <w:ilvl w:val="1"/>
          <w:numId w:val="6"/>
        </w:numPr>
        <w:spacing w:after="160"/>
        <w:jc w:val="both"/>
        <w:rPr>
          <w:sz w:val="22"/>
          <w:szCs w:val="22"/>
        </w:rPr>
      </w:pPr>
      <w:r w:rsidRPr="001210ED">
        <w:rPr>
          <w:sz w:val="22"/>
          <w:szCs w:val="22"/>
        </w:rPr>
        <w:t>Stress tolerance and flexibility</w:t>
      </w:r>
    </w:p>
    <w:p w14:paraId="79B87005" w14:textId="77777777" w:rsidR="00CD0C1E" w:rsidRPr="001210ED" w:rsidRDefault="00CD0C1E" w:rsidP="00CD0C1E">
      <w:pPr>
        <w:pStyle w:val="ListParagraph"/>
        <w:numPr>
          <w:ilvl w:val="1"/>
          <w:numId w:val="6"/>
        </w:numPr>
        <w:spacing w:after="160"/>
        <w:jc w:val="both"/>
        <w:rPr>
          <w:sz w:val="22"/>
          <w:szCs w:val="22"/>
        </w:rPr>
      </w:pPr>
      <w:r w:rsidRPr="001210ED">
        <w:rPr>
          <w:sz w:val="22"/>
          <w:szCs w:val="22"/>
        </w:rPr>
        <w:t>Foreign language</w:t>
      </w:r>
    </w:p>
    <w:p w14:paraId="33AE7411" w14:textId="77777777" w:rsidR="00CD0C1E" w:rsidRPr="001210ED" w:rsidRDefault="00CD0C1E" w:rsidP="00CD0C1E">
      <w:pPr>
        <w:pStyle w:val="ListParagraph"/>
        <w:numPr>
          <w:ilvl w:val="1"/>
          <w:numId w:val="6"/>
        </w:numPr>
        <w:spacing w:after="160"/>
        <w:jc w:val="both"/>
        <w:rPr>
          <w:sz w:val="22"/>
          <w:szCs w:val="22"/>
        </w:rPr>
      </w:pPr>
      <w:r w:rsidRPr="001210ED">
        <w:rPr>
          <w:sz w:val="22"/>
          <w:szCs w:val="22"/>
        </w:rPr>
        <w:t>Artificial intelligence</w:t>
      </w:r>
    </w:p>
    <w:p w14:paraId="46A77A94" w14:textId="77777777" w:rsidR="00CD0C1E" w:rsidRPr="001210ED" w:rsidRDefault="00CD0C1E" w:rsidP="00CD0C1E">
      <w:pPr>
        <w:pStyle w:val="ListParagraph"/>
        <w:numPr>
          <w:ilvl w:val="1"/>
          <w:numId w:val="6"/>
        </w:numPr>
        <w:spacing w:after="160"/>
        <w:jc w:val="both"/>
        <w:rPr>
          <w:sz w:val="22"/>
          <w:szCs w:val="22"/>
        </w:rPr>
      </w:pPr>
      <w:r w:rsidRPr="001210ED">
        <w:rPr>
          <w:sz w:val="22"/>
          <w:szCs w:val="22"/>
        </w:rPr>
        <w:t>Data science and data analytics</w:t>
      </w:r>
    </w:p>
    <w:p w14:paraId="221667C5" w14:textId="77777777" w:rsidR="00CD0C1E" w:rsidRPr="001210ED" w:rsidRDefault="00CD0C1E" w:rsidP="00CD0C1E">
      <w:pPr>
        <w:pStyle w:val="ListParagraph"/>
        <w:numPr>
          <w:ilvl w:val="1"/>
          <w:numId w:val="6"/>
        </w:numPr>
        <w:spacing w:after="160"/>
        <w:jc w:val="both"/>
        <w:rPr>
          <w:sz w:val="22"/>
          <w:szCs w:val="22"/>
        </w:rPr>
      </w:pPr>
      <w:r w:rsidRPr="001210ED">
        <w:rPr>
          <w:sz w:val="22"/>
          <w:szCs w:val="22"/>
        </w:rPr>
        <w:t>Ability to use VR (virtual reality)</w:t>
      </w:r>
    </w:p>
    <w:p w14:paraId="5097A88A" w14:textId="77777777" w:rsidR="00CD0C1E" w:rsidRPr="001210ED" w:rsidRDefault="00CD0C1E" w:rsidP="00CD0C1E">
      <w:pPr>
        <w:pStyle w:val="ListParagraph"/>
        <w:numPr>
          <w:ilvl w:val="1"/>
          <w:numId w:val="6"/>
        </w:numPr>
        <w:spacing w:after="160"/>
        <w:jc w:val="both"/>
        <w:rPr>
          <w:sz w:val="22"/>
          <w:szCs w:val="22"/>
        </w:rPr>
      </w:pPr>
      <w:r w:rsidRPr="001210ED">
        <w:rPr>
          <w:sz w:val="22"/>
          <w:szCs w:val="22"/>
        </w:rPr>
        <w:t>3D printing capability</w:t>
      </w:r>
    </w:p>
    <w:p w14:paraId="652983E8" w14:textId="77777777" w:rsidR="00CD0C1E" w:rsidRPr="001210ED" w:rsidRDefault="00CD0C1E" w:rsidP="00CD0C1E">
      <w:pPr>
        <w:pStyle w:val="ListParagraph"/>
        <w:numPr>
          <w:ilvl w:val="1"/>
          <w:numId w:val="6"/>
        </w:numPr>
        <w:spacing w:after="160"/>
        <w:jc w:val="both"/>
        <w:rPr>
          <w:sz w:val="22"/>
          <w:szCs w:val="22"/>
        </w:rPr>
      </w:pPr>
      <w:r w:rsidRPr="001210ED">
        <w:rPr>
          <w:sz w:val="22"/>
          <w:szCs w:val="22"/>
        </w:rPr>
        <w:t>Use of wearable technologies</w:t>
      </w:r>
    </w:p>
    <w:p w14:paraId="04B649F4" w14:textId="77777777" w:rsidR="00CD0C1E" w:rsidRDefault="00CD0C1E" w:rsidP="00CD0C1E">
      <w:pPr>
        <w:jc w:val="both"/>
        <w:rPr>
          <w:rFonts w:cstheme="minorHAnsi"/>
          <w:sz w:val="22"/>
          <w:szCs w:val="22"/>
        </w:rPr>
      </w:pPr>
    </w:p>
    <w:p w14:paraId="603FD3FB" w14:textId="77777777" w:rsidR="00CD0C1E" w:rsidRDefault="00CD0C1E" w:rsidP="00CD0C1E">
      <w:pPr>
        <w:jc w:val="both"/>
        <w:rPr>
          <w:rFonts w:cstheme="minorHAnsi"/>
          <w:sz w:val="22"/>
          <w:szCs w:val="22"/>
        </w:rPr>
      </w:pPr>
      <w:r>
        <w:rPr>
          <w:rFonts w:cstheme="minorHAnsi"/>
          <w:sz w:val="22"/>
          <w:szCs w:val="22"/>
        </w:rPr>
        <w:t>Most (</w:t>
      </w:r>
      <w:r w:rsidRPr="006D45CA">
        <w:rPr>
          <w:rFonts w:cstheme="minorHAnsi"/>
          <w:sz w:val="22"/>
          <w:szCs w:val="22"/>
        </w:rPr>
        <w:t>81.6%</w:t>
      </w:r>
      <w:r>
        <w:rPr>
          <w:rFonts w:cstheme="minorHAnsi"/>
          <w:sz w:val="22"/>
          <w:szCs w:val="22"/>
        </w:rPr>
        <w:t>)</w:t>
      </w:r>
      <w:r w:rsidRPr="006D45CA">
        <w:rPr>
          <w:rFonts w:cstheme="minorHAnsi"/>
          <w:sz w:val="22"/>
          <w:szCs w:val="22"/>
        </w:rPr>
        <w:t xml:space="preserve"> </w:t>
      </w:r>
      <w:r>
        <w:rPr>
          <w:rFonts w:cstheme="minorHAnsi"/>
          <w:sz w:val="22"/>
          <w:szCs w:val="22"/>
        </w:rPr>
        <w:t xml:space="preserve">employers and </w:t>
      </w:r>
      <w:r w:rsidRPr="006D45CA">
        <w:rPr>
          <w:rFonts w:cstheme="minorHAnsi"/>
          <w:sz w:val="22"/>
          <w:szCs w:val="22"/>
        </w:rPr>
        <w:t>managers stated that they have carried out any training activity in the last year, while 17.9% of them stated that they have carried out any training activities outside the institution. The rate of employees who say that they have participated in any training activity in the last year is 78%.</w:t>
      </w:r>
    </w:p>
    <w:p w14:paraId="0BB422D2" w14:textId="77777777" w:rsidR="00CD0C1E" w:rsidRPr="00541471" w:rsidRDefault="00CD0C1E" w:rsidP="00CD0C1E">
      <w:pPr>
        <w:jc w:val="both"/>
        <w:rPr>
          <w:rFonts w:cstheme="minorHAnsi"/>
          <w:sz w:val="22"/>
          <w:szCs w:val="22"/>
        </w:rPr>
      </w:pPr>
    </w:p>
    <w:p w14:paraId="18A89594" w14:textId="77777777" w:rsidR="00CD0C1E" w:rsidRPr="00541471" w:rsidRDefault="00CD0C1E" w:rsidP="00CD0C1E">
      <w:pPr>
        <w:jc w:val="both"/>
        <w:rPr>
          <w:rFonts w:cstheme="minorHAnsi"/>
          <w:sz w:val="22"/>
          <w:szCs w:val="22"/>
        </w:rPr>
      </w:pPr>
      <w:r w:rsidRPr="00541471">
        <w:rPr>
          <w:rFonts w:cstheme="minorHAnsi"/>
          <w:sz w:val="22"/>
          <w:szCs w:val="22"/>
        </w:rPr>
        <w:t>Half (49.2%) of the sector experts and decision-makers stated that trainings were provided to increase the adaptation of new and digital technology in the sector, 39.4% stated that the training needs of the sector were well analysed, and 33.1% stated that digital strategies and action plans were developed.</w:t>
      </w:r>
    </w:p>
    <w:p w14:paraId="167F0697" w14:textId="77777777" w:rsidR="00CD0C1E" w:rsidRPr="00541471" w:rsidRDefault="00CD0C1E" w:rsidP="00CD0C1E">
      <w:pPr>
        <w:jc w:val="both"/>
        <w:rPr>
          <w:rFonts w:cstheme="minorHAnsi"/>
          <w:sz w:val="22"/>
          <w:szCs w:val="22"/>
        </w:rPr>
      </w:pPr>
    </w:p>
    <w:p w14:paraId="222C8EB2" w14:textId="77777777" w:rsidR="00CD0C1E" w:rsidRDefault="00CD0C1E" w:rsidP="00CD0C1E">
      <w:pPr>
        <w:jc w:val="both"/>
        <w:rPr>
          <w:rFonts w:cstheme="minorHAnsi"/>
          <w:sz w:val="22"/>
          <w:szCs w:val="22"/>
        </w:rPr>
      </w:pPr>
      <w:r>
        <w:rPr>
          <w:rFonts w:cstheme="minorHAnsi"/>
          <w:sz w:val="22"/>
          <w:szCs w:val="22"/>
        </w:rPr>
        <w:t>T</w:t>
      </w:r>
      <w:r w:rsidRPr="006D45CA">
        <w:rPr>
          <w:rFonts w:cstheme="minorHAnsi"/>
          <w:sz w:val="22"/>
          <w:szCs w:val="22"/>
        </w:rPr>
        <w:t xml:space="preserve">he </w:t>
      </w:r>
      <w:r>
        <w:rPr>
          <w:rFonts w:cstheme="minorHAnsi"/>
          <w:sz w:val="22"/>
          <w:szCs w:val="22"/>
        </w:rPr>
        <w:t xml:space="preserve">employers and </w:t>
      </w:r>
      <w:r w:rsidRPr="006D45CA">
        <w:rPr>
          <w:rFonts w:cstheme="minorHAnsi"/>
          <w:sz w:val="22"/>
          <w:szCs w:val="22"/>
        </w:rPr>
        <w:t>managers</w:t>
      </w:r>
      <w:r>
        <w:rPr>
          <w:rFonts w:cstheme="minorHAnsi"/>
          <w:sz w:val="22"/>
          <w:szCs w:val="22"/>
        </w:rPr>
        <w:t xml:space="preserve"> reported that </w:t>
      </w:r>
      <w:r w:rsidRPr="006D45CA">
        <w:rPr>
          <w:rFonts w:cstheme="minorHAnsi"/>
          <w:sz w:val="22"/>
          <w:szCs w:val="22"/>
        </w:rPr>
        <w:t>job-specific trainings</w:t>
      </w:r>
      <w:r>
        <w:rPr>
          <w:rFonts w:cstheme="minorHAnsi"/>
          <w:sz w:val="22"/>
          <w:szCs w:val="22"/>
        </w:rPr>
        <w:t xml:space="preserve"> (</w:t>
      </w:r>
      <w:r w:rsidRPr="006D45CA">
        <w:rPr>
          <w:rFonts w:cstheme="minorHAnsi"/>
          <w:sz w:val="22"/>
          <w:szCs w:val="22"/>
        </w:rPr>
        <w:t>66.6%</w:t>
      </w:r>
      <w:r>
        <w:rPr>
          <w:rFonts w:cstheme="minorHAnsi"/>
          <w:sz w:val="22"/>
          <w:szCs w:val="22"/>
        </w:rPr>
        <w:t>)</w:t>
      </w:r>
      <w:r w:rsidRPr="006D45CA">
        <w:rPr>
          <w:rFonts w:cstheme="minorHAnsi"/>
          <w:sz w:val="22"/>
          <w:szCs w:val="22"/>
        </w:rPr>
        <w:t>, onboarding/orientation trainings</w:t>
      </w:r>
      <w:r>
        <w:rPr>
          <w:rFonts w:cstheme="minorHAnsi"/>
          <w:sz w:val="22"/>
          <w:szCs w:val="22"/>
        </w:rPr>
        <w:t xml:space="preserve"> (</w:t>
      </w:r>
      <w:r w:rsidRPr="006D45CA">
        <w:rPr>
          <w:rFonts w:cstheme="minorHAnsi"/>
          <w:sz w:val="22"/>
          <w:szCs w:val="22"/>
        </w:rPr>
        <w:t>62.5%</w:t>
      </w:r>
      <w:r>
        <w:rPr>
          <w:rFonts w:cstheme="minorHAnsi"/>
          <w:sz w:val="22"/>
          <w:szCs w:val="22"/>
        </w:rPr>
        <w:t>)</w:t>
      </w:r>
      <w:r w:rsidRPr="006D45CA">
        <w:rPr>
          <w:rFonts w:cstheme="minorHAnsi"/>
          <w:sz w:val="22"/>
          <w:szCs w:val="22"/>
        </w:rPr>
        <w:t>, occupational health and safety trainings</w:t>
      </w:r>
      <w:r>
        <w:rPr>
          <w:rFonts w:cstheme="minorHAnsi"/>
          <w:sz w:val="22"/>
          <w:szCs w:val="22"/>
        </w:rPr>
        <w:t xml:space="preserve"> (</w:t>
      </w:r>
      <w:r w:rsidRPr="006D45CA">
        <w:rPr>
          <w:rFonts w:cstheme="minorHAnsi"/>
          <w:sz w:val="22"/>
          <w:szCs w:val="22"/>
        </w:rPr>
        <w:t>62%</w:t>
      </w:r>
      <w:r>
        <w:rPr>
          <w:rFonts w:cstheme="minorHAnsi"/>
          <w:sz w:val="22"/>
          <w:szCs w:val="22"/>
        </w:rPr>
        <w:t>) were provided.</w:t>
      </w:r>
      <w:r w:rsidRPr="006D45CA">
        <w:rPr>
          <w:rFonts w:cstheme="minorHAnsi"/>
          <w:sz w:val="22"/>
          <w:szCs w:val="22"/>
        </w:rPr>
        <w:t xml:space="preserve"> Software training </w:t>
      </w:r>
      <w:r>
        <w:rPr>
          <w:rFonts w:cstheme="minorHAnsi"/>
          <w:sz w:val="22"/>
          <w:szCs w:val="22"/>
        </w:rPr>
        <w:t>has been r</w:t>
      </w:r>
      <w:r w:rsidRPr="006D45CA">
        <w:rPr>
          <w:rFonts w:cstheme="minorHAnsi"/>
          <w:sz w:val="22"/>
          <w:szCs w:val="22"/>
        </w:rPr>
        <w:t>ank</w:t>
      </w:r>
      <w:r>
        <w:rPr>
          <w:rFonts w:cstheme="minorHAnsi"/>
          <w:sz w:val="22"/>
          <w:szCs w:val="22"/>
        </w:rPr>
        <w:t>ed</w:t>
      </w:r>
      <w:r w:rsidRPr="006D45CA">
        <w:rPr>
          <w:rFonts w:cstheme="minorHAnsi"/>
          <w:sz w:val="22"/>
          <w:szCs w:val="22"/>
        </w:rPr>
        <w:t xml:space="preserve"> fourth with 38%</w:t>
      </w:r>
      <w:r>
        <w:rPr>
          <w:rFonts w:cstheme="minorHAnsi"/>
          <w:sz w:val="22"/>
          <w:szCs w:val="22"/>
        </w:rPr>
        <w:t xml:space="preserve"> </w:t>
      </w:r>
      <w:r w:rsidRPr="006D45CA">
        <w:rPr>
          <w:rFonts w:cstheme="minorHAnsi"/>
          <w:sz w:val="22"/>
          <w:szCs w:val="22"/>
        </w:rPr>
        <w:t>to increase the skills of the</w:t>
      </w:r>
      <w:r>
        <w:rPr>
          <w:rFonts w:cstheme="minorHAnsi"/>
          <w:sz w:val="22"/>
          <w:szCs w:val="22"/>
        </w:rPr>
        <w:t>ir</w:t>
      </w:r>
      <w:r w:rsidRPr="006D45CA">
        <w:rPr>
          <w:rFonts w:cstheme="minorHAnsi"/>
          <w:sz w:val="22"/>
          <w:szCs w:val="22"/>
        </w:rPr>
        <w:t xml:space="preserve"> employees</w:t>
      </w:r>
      <w:r>
        <w:rPr>
          <w:rFonts w:cstheme="minorHAnsi"/>
          <w:sz w:val="22"/>
          <w:szCs w:val="22"/>
        </w:rPr>
        <w:t xml:space="preserve">. </w:t>
      </w:r>
    </w:p>
    <w:p w14:paraId="226B1337" w14:textId="77777777" w:rsidR="00CD0C1E" w:rsidRDefault="00CD0C1E" w:rsidP="00CD0C1E">
      <w:pPr>
        <w:jc w:val="both"/>
        <w:rPr>
          <w:rFonts w:cstheme="minorHAnsi"/>
          <w:sz w:val="22"/>
          <w:szCs w:val="22"/>
        </w:rPr>
      </w:pPr>
    </w:p>
    <w:p w14:paraId="00CCE293" w14:textId="77777777" w:rsidR="00CD0C1E" w:rsidRDefault="00CD0C1E" w:rsidP="00CD0C1E">
      <w:pPr>
        <w:jc w:val="both"/>
        <w:rPr>
          <w:rFonts w:cstheme="minorHAnsi"/>
          <w:sz w:val="22"/>
          <w:szCs w:val="22"/>
        </w:rPr>
      </w:pPr>
      <w:r>
        <w:rPr>
          <w:rFonts w:cstheme="minorHAnsi"/>
          <w:sz w:val="22"/>
          <w:szCs w:val="22"/>
        </w:rPr>
        <w:t>Majority of employers and</w:t>
      </w:r>
      <w:r w:rsidRPr="0008688D">
        <w:rPr>
          <w:rFonts w:cstheme="minorHAnsi"/>
          <w:sz w:val="22"/>
          <w:szCs w:val="22"/>
        </w:rPr>
        <w:t xml:space="preserve"> managers </w:t>
      </w:r>
      <w:r>
        <w:rPr>
          <w:rFonts w:cstheme="minorHAnsi"/>
          <w:sz w:val="22"/>
          <w:szCs w:val="22"/>
        </w:rPr>
        <w:t>(</w:t>
      </w:r>
      <w:r w:rsidRPr="0008688D">
        <w:rPr>
          <w:rFonts w:cstheme="minorHAnsi"/>
          <w:sz w:val="22"/>
          <w:szCs w:val="22"/>
        </w:rPr>
        <w:t>76.7%</w:t>
      </w:r>
      <w:r>
        <w:rPr>
          <w:rFonts w:cstheme="minorHAnsi"/>
          <w:sz w:val="22"/>
          <w:szCs w:val="22"/>
        </w:rPr>
        <w:t>) indicated</w:t>
      </w:r>
      <w:r w:rsidRPr="0008688D">
        <w:rPr>
          <w:rFonts w:cstheme="minorHAnsi"/>
          <w:sz w:val="22"/>
          <w:szCs w:val="22"/>
        </w:rPr>
        <w:t xml:space="preserve"> that the performances of the employees who receive training are evaluated. It is seen that performance evaluation is mostly done in </w:t>
      </w:r>
      <w:r>
        <w:rPr>
          <w:rFonts w:cstheme="minorHAnsi"/>
          <w:sz w:val="22"/>
          <w:szCs w:val="22"/>
        </w:rPr>
        <w:t xml:space="preserve">the </w:t>
      </w:r>
      <w:r w:rsidRPr="0008688D">
        <w:rPr>
          <w:rFonts w:cstheme="minorHAnsi"/>
          <w:sz w:val="22"/>
          <w:szCs w:val="22"/>
        </w:rPr>
        <w:t xml:space="preserve">health, </w:t>
      </w:r>
      <w:r>
        <w:rPr>
          <w:rFonts w:cstheme="minorHAnsi"/>
          <w:sz w:val="22"/>
          <w:szCs w:val="22"/>
        </w:rPr>
        <w:t>ICT,</w:t>
      </w:r>
      <w:r w:rsidRPr="0008688D">
        <w:rPr>
          <w:rFonts w:cstheme="minorHAnsi"/>
          <w:sz w:val="22"/>
          <w:szCs w:val="22"/>
        </w:rPr>
        <w:t xml:space="preserve"> and energy sectors.</w:t>
      </w:r>
      <w:r>
        <w:rPr>
          <w:rFonts w:cstheme="minorHAnsi"/>
          <w:sz w:val="22"/>
          <w:szCs w:val="22"/>
        </w:rPr>
        <w:t xml:space="preserve"> </w:t>
      </w:r>
      <w:r w:rsidRPr="00776CAA">
        <w:rPr>
          <w:rFonts w:cstheme="minorHAnsi"/>
          <w:sz w:val="22"/>
          <w:szCs w:val="22"/>
        </w:rPr>
        <w:t>It is observed that the employees are mostly satisfied with the training provided by the institution/organization/workplace.</w:t>
      </w:r>
    </w:p>
    <w:p w14:paraId="4F1CE0B7" w14:textId="77777777" w:rsidR="00CD0C1E" w:rsidRDefault="00CD0C1E" w:rsidP="00CD0C1E">
      <w:pPr>
        <w:jc w:val="both"/>
        <w:rPr>
          <w:rFonts w:cstheme="minorHAnsi"/>
          <w:sz w:val="22"/>
          <w:szCs w:val="22"/>
        </w:rPr>
      </w:pPr>
    </w:p>
    <w:p w14:paraId="21E5B8FB" w14:textId="77777777" w:rsidR="00CD0C1E" w:rsidRDefault="00CD0C1E" w:rsidP="00CD0C1E">
      <w:pPr>
        <w:jc w:val="both"/>
        <w:rPr>
          <w:rFonts w:cstheme="minorHAnsi"/>
          <w:sz w:val="22"/>
          <w:szCs w:val="22"/>
        </w:rPr>
      </w:pPr>
      <w:r>
        <w:rPr>
          <w:rFonts w:cstheme="minorHAnsi"/>
          <w:sz w:val="22"/>
          <w:szCs w:val="22"/>
        </w:rPr>
        <w:t xml:space="preserve">Half of </w:t>
      </w:r>
      <w:r w:rsidRPr="00776CAA">
        <w:rPr>
          <w:rFonts w:cstheme="minorHAnsi"/>
          <w:sz w:val="22"/>
          <w:szCs w:val="22"/>
        </w:rPr>
        <w:t xml:space="preserve">male employees </w:t>
      </w:r>
      <w:r>
        <w:rPr>
          <w:rFonts w:cstheme="minorHAnsi"/>
          <w:sz w:val="22"/>
          <w:szCs w:val="22"/>
        </w:rPr>
        <w:t>(</w:t>
      </w:r>
      <w:r w:rsidRPr="00776CAA">
        <w:rPr>
          <w:rFonts w:cstheme="minorHAnsi"/>
          <w:sz w:val="22"/>
          <w:szCs w:val="22"/>
        </w:rPr>
        <w:t>53.4%</w:t>
      </w:r>
      <w:r>
        <w:rPr>
          <w:rFonts w:cstheme="minorHAnsi"/>
          <w:sz w:val="22"/>
          <w:szCs w:val="22"/>
        </w:rPr>
        <w:t xml:space="preserve">) </w:t>
      </w:r>
      <w:r w:rsidRPr="00776CAA">
        <w:rPr>
          <w:rFonts w:cstheme="minorHAnsi"/>
          <w:sz w:val="22"/>
          <w:szCs w:val="22"/>
        </w:rPr>
        <w:t xml:space="preserve">and of female employees </w:t>
      </w:r>
      <w:r>
        <w:rPr>
          <w:rFonts w:cstheme="minorHAnsi"/>
          <w:sz w:val="22"/>
          <w:szCs w:val="22"/>
        </w:rPr>
        <w:t>(</w:t>
      </w:r>
      <w:r w:rsidRPr="00776CAA">
        <w:rPr>
          <w:rFonts w:cstheme="minorHAnsi"/>
          <w:sz w:val="22"/>
          <w:szCs w:val="22"/>
        </w:rPr>
        <w:t>48.1%</w:t>
      </w:r>
      <w:r>
        <w:rPr>
          <w:rFonts w:cstheme="minorHAnsi"/>
          <w:sz w:val="22"/>
          <w:szCs w:val="22"/>
        </w:rPr>
        <w:t>)</w:t>
      </w:r>
      <w:r w:rsidRPr="00776CAA">
        <w:rPr>
          <w:rFonts w:cstheme="minorHAnsi"/>
          <w:sz w:val="22"/>
          <w:szCs w:val="22"/>
        </w:rPr>
        <w:t xml:space="preserve"> stated that there was no change in their professional career expectations after the training. For approximately 25% of women and 35% of men</w:t>
      </w:r>
      <w:r>
        <w:rPr>
          <w:rFonts w:cstheme="minorHAnsi"/>
          <w:sz w:val="22"/>
          <w:szCs w:val="22"/>
        </w:rPr>
        <w:t xml:space="preserve"> reported </w:t>
      </w:r>
      <w:r w:rsidRPr="00776CAA">
        <w:rPr>
          <w:rFonts w:cstheme="minorHAnsi"/>
          <w:sz w:val="22"/>
          <w:szCs w:val="22"/>
        </w:rPr>
        <w:t xml:space="preserve">an expectation of a wage increase after the training. Approximately 36.3% of women and 32.1% of men stated that they expect to </w:t>
      </w:r>
      <w:r>
        <w:rPr>
          <w:rFonts w:cstheme="minorHAnsi"/>
          <w:sz w:val="22"/>
          <w:szCs w:val="22"/>
        </w:rPr>
        <w:t>promote</w:t>
      </w:r>
      <w:r w:rsidRPr="00776CAA">
        <w:rPr>
          <w:rFonts w:cstheme="minorHAnsi"/>
          <w:sz w:val="22"/>
          <w:szCs w:val="22"/>
        </w:rPr>
        <w:t xml:space="preserve"> </w:t>
      </w:r>
      <w:r>
        <w:rPr>
          <w:rFonts w:cstheme="minorHAnsi"/>
          <w:sz w:val="22"/>
          <w:szCs w:val="22"/>
        </w:rPr>
        <w:t>with</w:t>
      </w:r>
      <w:r w:rsidRPr="00776CAA">
        <w:rPr>
          <w:rFonts w:cstheme="minorHAnsi"/>
          <w:sz w:val="22"/>
          <w:szCs w:val="22"/>
        </w:rPr>
        <w:t>in the company</w:t>
      </w:r>
      <w:r>
        <w:rPr>
          <w:rFonts w:cstheme="minorHAnsi"/>
          <w:sz w:val="22"/>
          <w:szCs w:val="22"/>
        </w:rPr>
        <w:t>/institutions</w:t>
      </w:r>
      <w:r w:rsidRPr="00776CAA">
        <w:rPr>
          <w:rFonts w:cstheme="minorHAnsi"/>
          <w:sz w:val="22"/>
          <w:szCs w:val="22"/>
        </w:rPr>
        <w:t xml:space="preserve"> after the training.</w:t>
      </w:r>
    </w:p>
    <w:p w14:paraId="04F634BA" w14:textId="77777777" w:rsidR="00CD0C1E" w:rsidRDefault="00CD0C1E" w:rsidP="00CD0C1E">
      <w:pPr>
        <w:jc w:val="both"/>
        <w:rPr>
          <w:rFonts w:cstheme="minorHAnsi"/>
          <w:sz w:val="22"/>
          <w:szCs w:val="22"/>
        </w:rPr>
      </w:pPr>
    </w:p>
    <w:p w14:paraId="7451783E" w14:textId="77777777" w:rsidR="00CD0C1E" w:rsidRDefault="00CD0C1E" w:rsidP="00CD0C1E">
      <w:pPr>
        <w:jc w:val="both"/>
        <w:rPr>
          <w:rFonts w:cstheme="minorHAnsi"/>
          <w:sz w:val="22"/>
          <w:szCs w:val="22"/>
        </w:rPr>
      </w:pPr>
      <w:r w:rsidRPr="0008688D">
        <w:rPr>
          <w:rFonts w:cstheme="minorHAnsi"/>
          <w:sz w:val="22"/>
          <w:szCs w:val="22"/>
        </w:rPr>
        <w:t xml:space="preserve">According to the </w:t>
      </w:r>
      <w:r>
        <w:rPr>
          <w:rFonts w:cstheme="minorHAnsi"/>
          <w:sz w:val="22"/>
          <w:szCs w:val="22"/>
        </w:rPr>
        <w:t xml:space="preserve">employers and </w:t>
      </w:r>
      <w:r w:rsidRPr="0008688D">
        <w:rPr>
          <w:rFonts w:cstheme="minorHAnsi"/>
          <w:sz w:val="22"/>
          <w:szCs w:val="22"/>
        </w:rPr>
        <w:t>managers, the effect of the trainings received by the employees to increase their competencies on the performance of the organization is 7.8 on the scale (1 = absolutely ineffective - 10 = very effective). This effect was highest in the I</w:t>
      </w:r>
      <w:r>
        <w:rPr>
          <w:rFonts w:cstheme="minorHAnsi"/>
          <w:sz w:val="22"/>
          <w:szCs w:val="22"/>
        </w:rPr>
        <w:t>C</w:t>
      </w:r>
      <w:r w:rsidRPr="0008688D">
        <w:rPr>
          <w:rFonts w:cstheme="minorHAnsi"/>
          <w:sz w:val="22"/>
          <w:szCs w:val="22"/>
        </w:rPr>
        <w:t>T sector (8.1) and the lowest in the energy sector (7.8).</w:t>
      </w:r>
    </w:p>
    <w:p w14:paraId="747ED6F6" w14:textId="77777777" w:rsidR="00CD0C1E" w:rsidRDefault="00CD0C1E" w:rsidP="00CD0C1E">
      <w:pPr>
        <w:jc w:val="both"/>
        <w:rPr>
          <w:rFonts w:cstheme="minorHAnsi"/>
          <w:sz w:val="22"/>
          <w:szCs w:val="22"/>
        </w:rPr>
      </w:pPr>
    </w:p>
    <w:p w14:paraId="41097FB2" w14:textId="77777777" w:rsidR="00CD0C1E" w:rsidRPr="00541471" w:rsidRDefault="00CD0C1E" w:rsidP="00CD0C1E">
      <w:pPr>
        <w:jc w:val="both"/>
        <w:rPr>
          <w:rFonts w:cstheme="minorHAnsi"/>
          <w:sz w:val="22"/>
          <w:szCs w:val="22"/>
        </w:rPr>
      </w:pPr>
      <w:r w:rsidRPr="00541471">
        <w:rPr>
          <w:rFonts w:cstheme="minorHAnsi"/>
          <w:sz w:val="22"/>
          <w:szCs w:val="22"/>
        </w:rPr>
        <w:t>Participating in in-house training (75%) ranks first among the activities carried out by the employees to increase their skills within the framework of individual professional development. This activity is followed by following the relevant portals, blogs and forums on the internet (60.2%), getting help from friends (46.4%), benefiting from online or distance education programs (45.3%).</w:t>
      </w:r>
    </w:p>
    <w:p w14:paraId="2474B1E6" w14:textId="77777777" w:rsidR="00CD0C1E" w:rsidRPr="00541471" w:rsidRDefault="00CD0C1E" w:rsidP="00CD0C1E">
      <w:pPr>
        <w:jc w:val="both"/>
        <w:rPr>
          <w:rFonts w:cstheme="minorHAnsi"/>
          <w:sz w:val="22"/>
          <w:szCs w:val="22"/>
        </w:rPr>
      </w:pPr>
    </w:p>
    <w:p w14:paraId="2BD97D0D" w14:textId="77777777" w:rsidR="00CD0C1E" w:rsidRDefault="00CD0C1E" w:rsidP="00CD0C1E">
      <w:pPr>
        <w:jc w:val="both"/>
        <w:rPr>
          <w:rFonts w:cstheme="minorHAnsi"/>
          <w:sz w:val="22"/>
          <w:szCs w:val="22"/>
        </w:rPr>
      </w:pPr>
      <w:r w:rsidRPr="00541471">
        <w:rPr>
          <w:rFonts w:cstheme="minorHAnsi"/>
          <w:sz w:val="22"/>
          <w:szCs w:val="22"/>
        </w:rPr>
        <w:t xml:space="preserve">Employees stated that they spent an average of 16 hours in the last month for the activities they carried out to increase their skills. It has been determined that female employees spend 2 hours less time than their male counterparts for these activities last month. Approximately 3 out of 4 employees stated that they would like to devote more time to the activities they carry out in order to increase their skills. It is seen that male employees want to devote more time to these activities at a lower rate than females. Employees who expressed that they want to devote more time to the activities they carry out to increase their qualifications and skills are mostly in the education, </w:t>
      </w:r>
      <w:r>
        <w:rPr>
          <w:rFonts w:cstheme="minorHAnsi"/>
          <w:sz w:val="22"/>
          <w:szCs w:val="22"/>
        </w:rPr>
        <w:t>ICT,</w:t>
      </w:r>
      <w:r w:rsidRPr="00541471">
        <w:rPr>
          <w:rFonts w:cstheme="minorHAnsi"/>
          <w:sz w:val="22"/>
          <w:szCs w:val="22"/>
        </w:rPr>
        <w:t xml:space="preserve"> and health sectors.</w:t>
      </w:r>
    </w:p>
    <w:p w14:paraId="519F33EA" w14:textId="77777777" w:rsidR="00CD0C1E" w:rsidRDefault="00CD0C1E" w:rsidP="00CD0C1E">
      <w:pPr>
        <w:jc w:val="both"/>
        <w:rPr>
          <w:rFonts w:cstheme="minorHAnsi"/>
          <w:sz w:val="22"/>
          <w:szCs w:val="22"/>
        </w:rPr>
      </w:pPr>
    </w:p>
    <w:p w14:paraId="639769D4" w14:textId="77777777" w:rsidR="00CD0C1E" w:rsidRPr="00541471" w:rsidRDefault="00CD0C1E" w:rsidP="00CD0C1E">
      <w:pPr>
        <w:jc w:val="both"/>
        <w:rPr>
          <w:rFonts w:cstheme="minorHAnsi"/>
          <w:sz w:val="22"/>
          <w:szCs w:val="22"/>
        </w:rPr>
      </w:pPr>
      <w:r>
        <w:rPr>
          <w:rFonts w:cstheme="minorHAnsi"/>
          <w:sz w:val="22"/>
          <w:szCs w:val="22"/>
        </w:rPr>
        <w:t>Most female employees indicated i</w:t>
      </w:r>
      <w:r w:rsidRPr="00AB56CB">
        <w:rPr>
          <w:rFonts w:cstheme="minorHAnsi"/>
          <w:sz w:val="22"/>
          <w:szCs w:val="22"/>
        </w:rPr>
        <w:t>ntensive and long working hours</w:t>
      </w:r>
      <w:r>
        <w:rPr>
          <w:rFonts w:cstheme="minorHAnsi"/>
          <w:sz w:val="22"/>
          <w:szCs w:val="22"/>
        </w:rPr>
        <w:t xml:space="preserve"> prevent them spending more time on activities to increase their qualifications and skills. Male employees mentioned that they do not have spare time outside of the working hours for increasing their skills and qualifications. Male employees </w:t>
      </w:r>
      <w:r w:rsidRPr="00AB56CB">
        <w:rPr>
          <w:rFonts w:cstheme="minorHAnsi"/>
          <w:sz w:val="22"/>
          <w:szCs w:val="22"/>
        </w:rPr>
        <w:t xml:space="preserve">chose the </w:t>
      </w:r>
      <w:r>
        <w:rPr>
          <w:rFonts w:cstheme="minorHAnsi"/>
          <w:sz w:val="22"/>
          <w:szCs w:val="22"/>
        </w:rPr>
        <w:t>options</w:t>
      </w:r>
      <w:r w:rsidRPr="00AB56CB">
        <w:rPr>
          <w:rFonts w:cstheme="minorHAnsi"/>
          <w:sz w:val="22"/>
          <w:szCs w:val="22"/>
        </w:rPr>
        <w:t xml:space="preserve"> </w:t>
      </w:r>
      <w:r>
        <w:rPr>
          <w:rFonts w:cstheme="minorHAnsi"/>
          <w:sz w:val="22"/>
          <w:szCs w:val="22"/>
        </w:rPr>
        <w:t>of</w:t>
      </w:r>
      <w:r w:rsidRPr="00AB56CB">
        <w:rPr>
          <w:rFonts w:cstheme="minorHAnsi"/>
          <w:sz w:val="22"/>
          <w:szCs w:val="22"/>
        </w:rPr>
        <w:t xml:space="preserve"> social environment and family obligations and financial inadequacies at a higher rate than </w:t>
      </w:r>
      <w:r>
        <w:rPr>
          <w:rFonts w:cstheme="minorHAnsi"/>
          <w:sz w:val="22"/>
          <w:szCs w:val="22"/>
        </w:rPr>
        <w:t>female employees</w:t>
      </w:r>
      <w:r w:rsidRPr="00AB56CB">
        <w:rPr>
          <w:rFonts w:cstheme="minorHAnsi"/>
          <w:sz w:val="22"/>
          <w:szCs w:val="22"/>
        </w:rPr>
        <w:t>.</w:t>
      </w:r>
    </w:p>
    <w:p w14:paraId="42C3D158" w14:textId="77777777" w:rsidR="00CD0C1E" w:rsidRPr="00541471" w:rsidRDefault="00CD0C1E" w:rsidP="00CD0C1E">
      <w:pPr>
        <w:pStyle w:val="Heading1"/>
        <w:numPr>
          <w:ilvl w:val="1"/>
          <w:numId w:val="44"/>
        </w:numPr>
        <w:jc w:val="both"/>
        <w:rPr>
          <w:sz w:val="28"/>
          <w:szCs w:val="28"/>
        </w:rPr>
      </w:pPr>
      <w:bookmarkStart w:id="36" w:name="_Toc108219159"/>
      <w:bookmarkStart w:id="37" w:name="_Toc118366173"/>
      <w:r w:rsidRPr="00541471">
        <w:rPr>
          <w:sz w:val="28"/>
          <w:szCs w:val="28"/>
        </w:rPr>
        <w:lastRenderedPageBreak/>
        <w:t>Gender and disability perspective</w:t>
      </w:r>
      <w:bookmarkEnd w:id="36"/>
      <w:bookmarkEnd w:id="37"/>
    </w:p>
    <w:p w14:paraId="6D42E2F3" w14:textId="77777777" w:rsidR="00CD0C1E" w:rsidRPr="00541471" w:rsidRDefault="00CD0C1E" w:rsidP="00CD0C1E">
      <w:pPr>
        <w:jc w:val="both"/>
        <w:rPr>
          <w:rFonts w:cstheme="minorHAnsi"/>
          <w:sz w:val="22"/>
          <w:szCs w:val="22"/>
        </w:rPr>
      </w:pPr>
      <w:r>
        <w:rPr>
          <w:rFonts w:cstheme="minorHAnsi"/>
          <w:sz w:val="22"/>
          <w:szCs w:val="22"/>
        </w:rPr>
        <w:t>T</w:t>
      </w:r>
      <w:r w:rsidRPr="009F1F50">
        <w:rPr>
          <w:rFonts w:cstheme="minorHAnsi"/>
          <w:sz w:val="22"/>
          <w:szCs w:val="22"/>
        </w:rPr>
        <w:t xml:space="preserve">he gender distribution of the employees in the five sectors was calculated as </w:t>
      </w:r>
      <w:r>
        <w:rPr>
          <w:rFonts w:cstheme="minorHAnsi"/>
          <w:sz w:val="22"/>
          <w:szCs w:val="22"/>
        </w:rPr>
        <w:t>4</w:t>
      </w:r>
      <w:r w:rsidRPr="009F1F50">
        <w:rPr>
          <w:rFonts w:cstheme="minorHAnsi"/>
          <w:sz w:val="22"/>
          <w:szCs w:val="22"/>
        </w:rPr>
        <w:t xml:space="preserve">5% female and </w:t>
      </w:r>
      <w:r>
        <w:rPr>
          <w:rFonts w:cstheme="minorHAnsi"/>
          <w:sz w:val="22"/>
          <w:szCs w:val="22"/>
        </w:rPr>
        <w:t>5</w:t>
      </w:r>
      <w:r w:rsidRPr="009F1F50">
        <w:rPr>
          <w:rFonts w:cstheme="minorHAnsi"/>
          <w:sz w:val="22"/>
          <w:szCs w:val="22"/>
        </w:rPr>
        <w:t>5% male.</w:t>
      </w:r>
      <w:r>
        <w:rPr>
          <w:rFonts w:cstheme="minorHAnsi"/>
          <w:sz w:val="22"/>
          <w:szCs w:val="22"/>
        </w:rPr>
        <w:t xml:space="preserve"> </w:t>
      </w:r>
      <w:r w:rsidRPr="00DD3976">
        <w:rPr>
          <w:rFonts w:cstheme="minorHAnsi"/>
          <w:sz w:val="22"/>
          <w:szCs w:val="22"/>
        </w:rPr>
        <w:t xml:space="preserve">The ratio of female managers is listed as </w:t>
      </w:r>
      <w:r>
        <w:rPr>
          <w:rFonts w:cstheme="minorHAnsi"/>
          <w:sz w:val="22"/>
          <w:szCs w:val="22"/>
        </w:rPr>
        <w:t xml:space="preserve">health, education, </w:t>
      </w:r>
      <w:r w:rsidRPr="00DD3976">
        <w:rPr>
          <w:rFonts w:cstheme="minorHAnsi"/>
          <w:sz w:val="22"/>
          <w:szCs w:val="22"/>
        </w:rPr>
        <w:t>finance and banking, I</w:t>
      </w:r>
      <w:r>
        <w:rPr>
          <w:rFonts w:cstheme="minorHAnsi"/>
          <w:sz w:val="22"/>
          <w:szCs w:val="22"/>
        </w:rPr>
        <w:t>C</w:t>
      </w:r>
      <w:r w:rsidRPr="00DD3976">
        <w:rPr>
          <w:rFonts w:cstheme="minorHAnsi"/>
          <w:sz w:val="22"/>
          <w:szCs w:val="22"/>
        </w:rPr>
        <w:t>T, and energy, respectively.</w:t>
      </w:r>
    </w:p>
    <w:p w14:paraId="3A097725" w14:textId="77777777" w:rsidR="00CD0C1E" w:rsidRDefault="00CD0C1E" w:rsidP="00CD0C1E">
      <w:pPr>
        <w:jc w:val="both"/>
        <w:rPr>
          <w:rFonts w:cstheme="minorHAnsi"/>
          <w:sz w:val="22"/>
          <w:szCs w:val="22"/>
        </w:rPr>
      </w:pPr>
    </w:p>
    <w:p w14:paraId="182C8B74" w14:textId="77777777" w:rsidR="00CD0C1E" w:rsidRPr="00541471" w:rsidRDefault="00CD0C1E" w:rsidP="00CD0C1E">
      <w:pPr>
        <w:jc w:val="both"/>
        <w:rPr>
          <w:rFonts w:cstheme="minorHAnsi"/>
          <w:sz w:val="22"/>
          <w:szCs w:val="22"/>
        </w:rPr>
      </w:pPr>
      <w:r w:rsidRPr="00AC5E90">
        <w:rPr>
          <w:rFonts w:cstheme="minorHAnsi"/>
          <w:sz w:val="22"/>
          <w:szCs w:val="22"/>
        </w:rPr>
        <w:t>When the percentage distribution of managers (including mid-level managers) in the sector is examined in terms of gender</w:t>
      </w:r>
      <w:r>
        <w:rPr>
          <w:rFonts w:cstheme="minorHAnsi"/>
          <w:sz w:val="22"/>
          <w:szCs w:val="22"/>
        </w:rPr>
        <w:t>, both sector experts and managers, employers</w:t>
      </w:r>
      <w:r w:rsidRPr="00AC5E90">
        <w:rPr>
          <w:rFonts w:cstheme="minorHAnsi"/>
          <w:sz w:val="22"/>
          <w:szCs w:val="22"/>
        </w:rPr>
        <w:t xml:space="preserve"> </w:t>
      </w:r>
      <w:r>
        <w:rPr>
          <w:rFonts w:cstheme="minorHAnsi"/>
          <w:sz w:val="22"/>
          <w:szCs w:val="22"/>
        </w:rPr>
        <w:t xml:space="preserve">reported a female to two male managers in 3 managers. </w:t>
      </w:r>
      <w:r w:rsidRPr="00DD3976">
        <w:rPr>
          <w:rFonts w:cstheme="minorHAnsi"/>
          <w:sz w:val="22"/>
          <w:szCs w:val="22"/>
        </w:rPr>
        <w:t>The ratio of female managers is listed as</w:t>
      </w:r>
      <w:r>
        <w:rPr>
          <w:rFonts w:cstheme="minorHAnsi"/>
          <w:sz w:val="22"/>
          <w:szCs w:val="22"/>
        </w:rPr>
        <w:t xml:space="preserve"> </w:t>
      </w:r>
      <w:r w:rsidRPr="00DD3976">
        <w:rPr>
          <w:rFonts w:cstheme="minorHAnsi"/>
          <w:sz w:val="22"/>
          <w:szCs w:val="22"/>
        </w:rPr>
        <w:t>finance and banking, health, education, I</w:t>
      </w:r>
      <w:r>
        <w:rPr>
          <w:rFonts w:cstheme="minorHAnsi"/>
          <w:sz w:val="22"/>
          <w:szCs w:val="22"/>
        </w:rPr>
        <w:t>C</w:t>
      </w:r>
      <w:r w:rsidRPr="00DD3976">
        <w:rPr>
          <w:rFonts w:cstheme="minorHAnsi"/>
          <w:sz w:val="22"/>
          <w:szCs w:val="22"/>
        </w:rPr>
        <w:t>T, and energy, respectively.</w:t>
      </w:r>
    </w:p>
    <w:p w14:paraId="7FEE9FC7" w14:textId="77777777" w:rsidR="00CD0C1E" w:rsidRDefault="00CD0C1E" w:rsidP="00CD0C1E">
      <w:pPr>
        <w:jc w:val="both"/>
        <w:rPr>
          <w:rFonts w:cstheme="minorHAnsi"/>
          <w:sz w:val="22"/>
          <w:szCs w:val="22"/>
        </w:rPr>
      </w:pPr>
    </w:p>
    <w:p w14:paraId="00748FCE" w14:textId="77777777" w:rsidR="00CD0C1E" w:rsidRDefault="00CD0C1E" w:rsidP="00CD0C1E">
      <w:pPr>
        <w:jc w:val="both"/>
        <w:rPr>
          <w:rFonts w:cstheme="minorHAnsi"/>
          <w:sz w:val="22"/>
          <w:szCs w:val="22"/>
        </w:rPr>
      </w:pPr>
      <w:r w:rsidRPr="00EA7069">
        <w:rPr>
          <w:rFonts w:cstheme="minorHAnsi"/>
          <w:sz w:val="22"/>
          <w:szCs w:val="22"/>
        </w:rPr>
        <w:t>The most important reasons for the low number of female managers in the sectors compared to the number of male managers were reported as the male-dominated culture in working life at 50.3%, the few female role models in the sector at 36.7% and long working hours at 27.6%.</w:t>
      </w:r>
    </w:p>
    <w:p w14:paraId="12BD84B7" w14:textId="77777777" w:rsidR="00CD0C1E" w:rsidRDefault="00CD0C1E" w:rsidP="00CD0C1E">
      <w:pPr>
        <w:jc w:val="both"/>
        <w:rPr>
          <w:rFonts w:cstheme="minorHAnsi"/>
          <w:sz w:val="22"/>
          <w:szCs w:val="22"/>
        </w:rPr>
      </w:pPr>
    </w:p>
    <w:p w14:paraId="0B9920C6" w14:textId="77777777" w:rsidR="00CD0C1E" w:rsidRDefault="00CD0C1E" w:rsidP="00CD0C1E">
      <w:pPr>
        <w:jc w:val="both"/>
        <w:rPr>
          <w:rFonts w:cstheme="minorHAnsi"/>
          <w:sz w:val="22"/>
          <w:szCs w:val="22"/>
        </w:rPr>
      </w:pPr>
      <w:r w:rsidRPr="00EA7069">
        <w:rPr>
          <w:rFonts w:cstheme="minorHAnsi"/>
          <w:sz w:val="22"/>
          <w:szCs w:val="22"/>
        </w:rPr>
        <w:t>In order to increase the number of female managers in the sector, it is necessary to increase nursery opportunities (46.4%), introduce role models (44.4%) and support postpartum part-time work opportunities (37.2%).</w:t>
      </w:r>
    </w:p>
    <w:p w14:paraId="0C8B0511" w14:textId="77777777" w:rsidR="00CD0C1E" w:rsidRDefault="00CD0C1E" w:rsidP="00CD0C1E">
      <w:pPr>
        <w:jc w:val="both"/>
        <w:rPr>
          <w:rFonts w:cstheme="minorHAnsi"/>
          <w:sz w:val="22"/>
          <w:szCs w:val="22"/>
        </w:rPr>
      </w:pPr>
    </w:p>
    <w:p w14:paraId="4C4E10B0" w14:textId="77777777" w:rsidR="00CD0C1E" w:rsidRDefault="00CD0C1E" w:rsidP="00CD0C1E">
      <w:pPr>
        <w:jc w:val="both"/>
        <w:rPr>
          <w:rFonts w:cstheme="minorHAnsi"/>
          <w:sz w:val="22"/>
          <w:szCs w:val="22"/>
        </w:rPr>
      </w:pPr>
      <w:r w:rsidRPr="00D05136">
        <w:rPr>
          <w:rFonts w:cstheme="minorHAnsi"/>
          <w:sz w:val="22"/>
          <w:szCs w:val="22"/>
        </w:rPr>
        <w:t>According to all employees who responded to the survey, the probability of being a female manager in all sectors is 53.9%. The sectors with the highest likelihood of being a manager for women are the health sector (69.5%), the education sector (55.7%), and the finance and banking sector (52.7%), while the ICT sector (42.9%) is the lowest.</w:t>
      </w:r>
    </w:p>
    <w:p w14:paraId="69E31846" w14:textId="77777777" w:rsidR="00CD0C1E" w:rsidRDefault="00CD0C1E" w:rsidP="00CD0C1E">
      <w:pPr>
        <w:jc w:val="both"/>
        <w:rPr>
          <w:rFonts w:cstheme="minorHAnsi"/>
          <w:sz w:val="22"/>
          <w:szCs w:val="22"/>
        </w:rPr>
      </w:pPr>
    </w:p>
    <w:p w14:paraId="48271FFA" w14:textId="77777777" w:rsidR="00CD0C1E" w:rsidRDefault="00CD0C1E" w:rsidP="00CD0C1E">
      <w:pPr>
        <w:jc w:val="both"/>
        <w:rPr>
          <w:rFonts w:cstheme="minorHAnsi"/>
          <w:sz w:val="22"/>
          <w:szCs w:val="22"/>
        </w:rPr>
      </w:pPr>
      <w:r w:rsidRPr="009373DA">
        <w:rPr>
          <w:rFonts w:cstheme="minorHAnsi"/>
          <w:sz w:val="22"/>
          <w:szCs w:val="22"/>
        </w:rPr>
        <w:t>According to 54.2% of industry experts, the development and increase in the use of new technologies will positively affect the employment of women in the industry.</w:t>
      </w:r>
    </w:p>
    <w:p w14:paraId="20029EE7" w14:textId="77777777" w:rsidR="00CD0C1E" w:rsidRDefault="00CD0C1E" w:rsidP="00CD0C1E">
      <w:pPr>
        <w:jc w:val="both"/>
        <w:rPr>
          <w:rFonts w:cstheme="minorHAnsi"/>
          <w:sz w:val="22"/>
          <w:szCs w:val="22"/>
        </w:rPr>
      </w:pPr>
    </w:p>
    <w:p w14:paraId="1F96B8AB" w14:textId="77777777" w:rsidR="00CD0C1E" w:rsidRDefault="00CD0C1E" w:rsidP="00CD0C1E">
      <w:pPr>
        <w:jc w:val="both"/>
        <w:rPr>
          <w:rFonts w:cstheme="minorHAnsi"/>
          <w:sz w:val="22"/>
          <w:szCs w:val="22"/>
        </w:rPr>
      </w:pPr>
      <w:r w:rsidRPr="00D05136">
        <w:rPr>
          <w:rFonts w:cstheme="minorHAnsi"/>
          <w:sz w:val="22"/>
          <w:szCs w:val="22"/>
        </w:rPr>
        <w:t>The majority of sector experts, decision-makers, employers and managers indicated that developing new, digital and assistive technologies would increase the employment of people with disabilities in all sectors. About 8 out of 10 industry experts and managers expressed their opinion</w:t>
      </w:r>
      <w:r w:rsidRPr="008F7CFA">
        <w:rPr>
          <w:rFonts w:cstheme="minorHAnsi"/>
          <w:sz w:val="22"/>
          <w:szCs w:val="22"/>
        </w:rPr>
        <w:t>.</w:t>
      </w:r>
    </w:p>
    <w:p w14:paraId="74374D29" w14:textId="77777777" w:rsidR="00CD0C1E" w:rsidRDefault="00CD0C1E" w:rsidP="00CD0C1E">
      <w:pPr>
        <w:jc w:val="both"/>
        <w:rPr>
          <w:rFonts w:cstheme="minorHAnsi"/>
          <w:sz w:val="22"/>
          <w:szCs w:val="22"/>
        </w:rPr>
      </w:pPr>
    </w:p>
    <w:p w14:paraId="08982452" w14:textId="77777777" w:rsidR="00CD0C1E" w:rsidRPr="00CF6DEA" w:rsidRDefault="00CD0C1E" w:rsidP="00CD0C1E">
      <w:pPr>
        <w:jc w:val="both"/>
      </w:pPr>
      <w:r w:rsidRPr="00D05136">
        <w:rPr>
          <w:rFonts w:cstheme="minorHAnsi"/>
          <w:sz w:val="22"/>
          <w:szCs w:val="22"/>
        </w:rPr>
        <w:t>According to sector experts, decision-makers, employers and managers, assistive technologies are at the forefront of the most important facilitators in the participation of disabled people in the workforce. Technological transformation and facilitating the involvement of the disabled in education took second place. In addition, the change in society's perspective on disabled people and artificial intelligence applications are also emerging as important factors</w:t>
      </w:r>
      <w:r w:rsidRPr="00751B23">
        <w:rPr>
          <w:rFonts w:cstheme="minorHAnsi"/>
          <w:sz w:val="22"/>
          <w:szCs w:val="22"/>
        </w:rPr>
        <w:t>.</w:t>
      </w:r>
    </w:p>
    <w:p w14:paraId="3AD8113A" w14:textId="77777777" w:rsidR="00CD0C1E" w:rsidRDefault="00CD0C1E" w:rsidP="00CF6DEA"/>
    <w:p w14:paraId="05A5A470" w14:textId="43452258" w:rsidR="00D45D49" w:rsidRPr="00DD72BE" w:rsidRDefault="00CD0C1E" w:rsidP="00DD72BE">
      <w:pPr>
        <w:pStyle w:val="Heading1"/>
      </w:pPr>
      <w:bookmarkStart w:id="38" w:name="_Toc118366159"/>
      <w:r>
        <w:t>4</w:t>
      </w:r>
      <w:r w:rsidR="008654D3" w:rsidRPr="00DD72BE">
        <w:t xml:space="preserve">. </w:t>
      </w:r>
      <w:r w:rsidR="00A03972" w:rsidRPr="00DD72BE">
        <w:t>RECOMMENDAT</w:t>
      </w:r>
      <w:r w:rsidR="00A03972" w:rsidRPr="009C54EF">
        <w:rPr>
          <w:color w:val="1F3864" w:themeColor="accent1" w:themeShade="80"/>
        </w:rPr>
        <w:t>IONS</w:t>
      </w:r>
      <w:bookmarkEnd w:id="38"/>
    </w:p>
    <w:p w14:paraId="2C03A51D" w14:textId="2DF0AE25" w:rsidR="00D45D49" w:rsidRDefault="00D45D49" w:rsidP="00D45D49">
      <w:pPr>
        <w:spacing w:after="160" w:line="259" w:lineRule="auto"/>
        <w:jc w:val="both"/>
        <w:rPr>
          <w:rFonts w:asciiTheme="minorHAnsi" w:eastAsiaTheme="minorHAnsi" w:hAnsiTheme="minorHAnsi" w:cstheme="minorBidi"/>
          <w:sz w:val="22"/>
          <w:szCs w:val="22"/>
        </w:rPr>
      </w:pPr>
      <w:r w:rsidRPr="00D157CD">
        <w:rPr>
          <w:rFonts w:asciiTheme="minorHAnsi" w:eastAsiaTheme="minorHAnsi" w:hAnsiTheme="minorHAnsi" w:cstheme="minorBidi"/>
          <w:sz w:val="22"/>
          <w:szCs w:val="22"/>
        </w:rPr>
        <w:t xml:space="preserve">These recommendations are based on the qualitative </w:t>
      </w:r>
      <w:r>
        <w:rPr>
          <w:rFonts w:asciiTheme="minorHAnsi" w:eastAsiaTheme="minorHAnsi" w:hAnsiTheme="minorHAnsi" w:cstheme="minorBidi"/>
          <w:sz w:val="22"/>
          <w:szCs w:val="22"/>
        </w:rPr>
        <w:t>and</w:t>
      </w:r>
      <w:r w:rsidRPr="00D157CD">
        <w:rPr>
          <w:rFonts w:asciiTheme="minorHAnsi" w:eastAsiaTheme="minorHAnsi" w:hAnsiTheme="minorHAnsi" w:cstheme="minorBidi"/>
          <w:sz w:val="22"/>
          <w:szCs w:val="22"/>
        </w:rPr>
        <w:t xml:space="preserve"> quantitative information derived from the Desk Research, </w:t>
      </w:r>
      <w:r w:rsidR="00477B5F">
        <w:rPr>
          <w:rFonts w:asciiTheme="minorHAnsi" w:eastAsiaTheme="minorHAnsi" w:hAnsiTheme="minorHAnsi" w:cstheme="minorBidi"/>
          <w:sz w:val="22"/>
          <w:szCs w:val="22"/>
        </w:rPr>
        <w:t xml:space="preserve">the SWOT Analysis Workshop, </w:t>
      </w:r>
      <w:r w:rsidRPr="00D157CD">
        <w:rPr>
          <w:rFonts w:asciiTheme="minorHAnsi" w:eastAsiaTheme="minorHAnsi" w:hAnsiTheme="minorHAnsi" w:cstheme="minorBidi"/>
          <w:sz w:val="22"/>
          <w:szCs w:val="22"/>
        </w:rPr>
        <w:t>the Pre</w:t>
      </w:r>
      <w:r w:rsidR="002E01C1">
        <w:rPr>
          <w:rFonts w:asciiTheme="minorHAnsi" w:eastAsiaTheme="minorHAnsi" w:hAnsiTheme="minorHAnsi" w:cstheme="minorBidi"/>
          <w:sz w:val="22"/>
          <w:szCs w:val="22"/>
        </w:rPr>
        <w:t>/Post</w:t>
      </w:r>
      <w:r w:rsidRPr="00D157CD">
        <w:rPr>
          <w:rFonts w:asciiTheme="minorHAnsi" w:eastAsiaTheme="minorHAnsi" w:hAnsiTheme="minorHAnsi" w:cstheme="minorBidi"/>
          <w:sz w:val="22"/>
          <w:szCs w:val="22"/>
        </w:rPr>
        <w:t xml:space="preserve">-Study Workshops, </w:t>
      </w:r>
      <w:r w:rsidR="002E01C1">
        <w:rPr>
          <w:rFonts w:asciiTheme="minorHAnsi" w:eastAsiaTheme="minorHAnsi" w:hAnsiTheme="minorHAnsi" w:cstheme="minorBidi"/>
          <w:sz w:val="22"/>
          <w:szCs w:val="22"/>
        </w:rPr>
        <w:t xml:space="preserve">and </w:t>
      </w:r>
      <w:r w:rsidRPr="00D157CD">
        <w:rPr>
          <w:rFonts w:asciiTheme="minorHAnsi" w:eastAsiaTheme="minorHAnsi" w:hAnsiTheme="minorHAnsi" w:cstheme="minorBidi"/>
          <w:sz w:val="22"/>
          <w:szCs w:val="22"/>
        </w:rPr>
        <w:t>the Field Study’s face-to-face interviews</w:t>
      </w:r>
      <w:r w:rsidR="002E01C1">
        <w:rPr>
          <w:rFonts w:asciiTheme="minorHAnsi" w:eastAsiaTheme="minorHAnsi" w:hAnsiTheme="minorHAnsi" w:cstheme="minorBidi"/>
          <w:sz w:val="22"/>
          <w:szCs w:val="22"/>
        </w:rPr>
        <w:t>.</w:t>
      </w:r>
    </w:p>
    <w:p w14:paraId="4C40113F" w14:textId="5A60A618" w:rsidR="00E8794B" w:rsidRPr="00F27B9D" w:rsidRDefault="00CD0C1E" w:rsidP="00CD0C1E">
      <w:pPr>
        <w:pStyle w:val="Heading1"/>
        <w:rPr>
          <w:sz w:val="28"/>
          <w:szCs w:val="28"/>
        </w:rPr>
      </w:pPr>
      <w:bookmarkStart w:id="39" w:name="_Toc108219161"/>
      <w:bookmarkStart w:id="40" w:name="_Toc118366160"/>
      <w:r>
        <w:rPr>
          <w:sz w:val="28"/>
          <w:szCs w:val="28"/>
        </w:rPr>
        <w:lastRenderedPageBreak/>
        <w:t>4.1</w:t>
      </w:r>
      <w:r w:rsidR="00BD6CC8">
        <w:rPr>
          <w:sz w:val="28"/>
          <w:szCs w:val="28"/>
        </w:rPr>
        <w:t xml:space="preserve">. </w:t>
      </w:r>
      <w:r w:rsidR="00E8794B" w:rsidRPr="00F27B9D">
        <w:rPr>
          <w:sz w:val="28"/>
          <w:szCs w:val="28"/>
        </w:rPr>
        <w:t>All sectors (Common)</w:t>
      </w:r>
      <w:bookmarkEnd w:id="39"/>
      <w:bookmarkEnd w:id="40"/>
    </w:p>
    <w:p w14:paraId="72C151D8" w14:textId="5FD8A99E" w:rsidR="00CD0C1E" w:rsidRDefault="00CD0C1E" w:rsidP="00CD0C1E">
      <w:pPr>
        <w:spacing w:after="160"/>
        <w:ind w:left="720"/>
        <w:jc w:val="both"/>
        <w:rPr>
          <w:sz w:val="22"/>
          <w:szCs w:val="22"/>
        </w:rPr>
      </w:pPr>
    </w:p>
    <w:tbl>
      <w:tblPr>
        <w:tblW w:w="972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1800"/>
        <w:gridCol w:w="6120"/>
      </w:tblGrid>
      <w:tr w:rsidR="00CD0C1E" w:rsidRPr="00ED6BF0" w14:paraId="2E8EDF45" w14:textId="77777777" w:rsidTr="00CD0C1E">
        <w:trPr>
          <w:trHeight w:val="310"/>
        </w:trPr>
        <w:tc>
          <w:tcPr>
            <w:tcW w:w="9720" w:type="dxa"/>
            <w:gridSpan w:val="3"/>
            <w:shd w:val="clear" w:color="auto" w:fill="D9E2F3" w:themeFill="accent1" w:themeFillTint="33"/>
          </w:tcPr>
          <w:p w14:paraId="73340ACA" w14:textId="77777777" w:rsidR="00CD0C1E" w:rsidRPr="00ED6BF0" w:rsidRDefault="00CD0C1E" w:rsidP="00CD0C1E">
            <w:pPr>
              <w:spacing w:after="160" w:line="259" w:lineRule="auto"/>
              <w:jc w:val="center"/>
              <w:rPr>
                <w:rFonts w:cstheme="minorHAnsi"/>
                <w:b/>
                <w:bCs/>
                <w:sz w:val="20"/>
                <w:szCs w:val="20"/>
              </w:rPr>
            </w:pPr>
            <w:r w:rsidRPr="00ED6BF0">
              <w:rPr>
                <w:rFonts w:cstheme="minorHAnsi"/>
                <w:b/>
                <w:bCs/>
                <w:sz w:val="20"/>
                <w:szCs w:val="20"/>
              </w:rPr>
              <w:t>RECOMMENDATIONS</w:t>
            </w:r>
          </w:p>
        </w:tc>
      </w:tr>
      <w:tr w:rsidR="00CD0C1E" w:rsidRPr="00ED6BF0" w14:paraId="102F5834" w14:textId="77777777" w:rsidTr="00CD0C1E">
        <w:trPr>
          <w:trHeight w:val="310"/>
        </w:trPr>
        <w:tc>
          <w:tcPr>
            <w:tcW w:w="1800" w:type="dxa"/>
            <w:shd w:val="clear" w:color="auto" w:fill="D9E2F3" w:themeFill="accent1" w:themeFillTint="33"/>
          </w:tcPr>
          <w:p w14:paraId="3A182585" w14:textId="77777777" w:rsidR="00CD0C1E" w:rsidRPr="00ED6BF0" w:rsidRDefault="00CD0C1E" w:rsidP="00CD0C1E">
            <w:pPr>
              <w:spacing w:after="160" w:line="259" w:lineRule="auto"/>
              <w:rPr>
                <w:rFonts w:cstheme="minorHAnsi"/>
                <w:b/>
                <w:bCs/>
                <w:sz w:val="20"/>
                <w:szCs w:val="20"/>
              </w:rPr>
            </w:pPr>
            <w:r w:rsidRPr="00ED6BF0">
              <w:rPr>
                <w:rFonts w:cstheme="minorHAnsi"/>
                <w:b/>
                <w:bCs/>
                <w:sz w:val="20"/>
                <w:szCs w:val="20"/>
              </w:rPr>
              <w:t>Category</w:t>
            </w:r>
          </w:p>
        </w:tc>
        <w:tc>
          <w:tcPr>
            <w:tcW w:w="1800" w:type="dxa"/>
            <w:shd w:val="clear" w:color="auto" w:fill="D9E2F3" w:themeFill="accent1" w:themeFillTint="33"/>
          </w:tcPr>
          <w:p w14:paraId="4B6435C9" w14:textId="77777777" w:rsidR="00CD0C1E" w:rsidRPr="00ED6BF0" w:rsidRDefault="00CD0C1E" w:rsidP="00CD0C1E">
            <w:pPr>
              <w:spacing w:after="160" w:line="259" w:lineRule="auto"/>
              <w:rPr>
                <w:rFonts w:cstheme="minorHAnsi"/>
                <w:b/>
                <w:bCs/>
                <w:sz w:val="20"/>
                <w:szCs w:val="20"/>
              </w:rPr>
            </w:pPr>
            <w:r w:rsidRPr="00ED6BF0">
              <w:rPr>
                <w:rFonts w:cstheme="minorHAnsi"/>
                <w:b/>
                <w:bCs/>
                <w:sz w:val="20"/>
                <w:szCs w:val="20"/>
              </w:rPr>
              <w:t>Sub-Category</w:t>
            </w:r>
          </w:p>
        </w:tc>
        <w:tc>
          <w:tcPr>
            <w:tcW w:w="6120" w:type="dxa"/>
            <w:shd w:val="clear" w:color="auto" w:fill="D9E2F3" w:themeFill="accent1" w:themeFillTint="33"/>
          </w:tcPr>
          <w:p w14:paraId="5E702B05" w14:textId="77777777" w:rsidR="00CD0C1E" w:rsidRPr="00ED6BF0" w:rsidRDefault="00CD0C1E" w:rsidP="00CD0C1E">
            <w:pPr>
              <w:spacing w:after="160" w:line="259" w:lineRule="auto"/>
              <w:rPr>
                <w:rFonts w:cstheme="minorHAnsi"/>
                <w:b/>
                <w:bCs/>
                <w:sz w:val="20"/>
                <w:szCs w:val="20"/>
              </w:rPr>
            </w:pPr>
            <w:r w:rsidRPr="00ED6BF0">
              <w:rPr>
                <w:rFonts w:cstheme="minorHAnsi"/>
                <w:b/>
                <w:bCs/>
                <w:sz w:val="20"/>
                <w:szCs w:val="20"/>
              </w:rPr>
              <w:t>Recommendations</w:t>
            </w:r>
          </w:p>
        </w:tc>
      </w:tr>
      <w:tr w:rsidR="00CD0C1E" w:rsidRPr="00ED6BF0" w14:paraId="6D130BD0" w14:textId="77777777" w:rsidTr="00CD0C1E">
        <w:trPr>
          <w:trHeight w:val="310"/>
        </w:trPr>
        <w:tc>
          <w:tcPr>
            <w:tcW w:w="1800" w:type="dxa"/>
            <w:vMerge w:val="restart"/>
            <w:shd w:val="clear" w:color="auto" w:fill="FBE4D5" w:themeFill="accent2" w:themeFillTint="33"/>
          </w:tcPr>
          <w:p w14:paraId="03578043" w14:textId="77777777" w:rsidR="00CD0C1E" w:rsidRPr="00ED6BF0" w:rsidRDefault="00CD0C1E" w:rsidP="00CD0C1E">
            <w:pPr>
              <w:spacing w:after="160" w:line="259" w:lineRule="auto"/>
              <w:rPr>
                <w:rFonts w:cstheme="minorHAnsi"/>
                <w:b/>
                <w:bCs/>
                <w:sz w:val="20"/>
                <w:szCs w:val="20"/>
              </w:rPr>
            </w:pPr>
            <w:r w:rsidRPr="00ED6BF0">
              <w:rPr>
                <w:rFonts w:cstheme="minorHAnsi"/>
                <w:b/>
                <w:bCs/>
                <w:sz w:val="20"/>
                <w:szCs w:val="20"/>
              </w:rPr>
              <w:t>The decent future of work</w:t>
            </w:r>
          </w:p>
        </w:tc>
        <w:tc>
          <w:tcPr>
            <w:tcW w:w="1800" w:type="dxa"/>
            <w:shd w:val="clear" w:color="auto" w:fill="FBE4D5" w:themeFill="accent2" w:themeFillTint="33"/>
          </w:tcPr>
          <w:p w14:paraId="4EE034C0" w14:textId="77777777" w:rsidR="00CD0C1E" w:rsidRPr="00ED6BF0" w:rsidRDefault="00CD0C1E" w:rsidP="00CD0C1E">
            <w:pPr>
              <w:spacing w:after="160" w:line="259" w:lineRule="auto"/>
              <w:rPr>
                <w:rFonts w:cstheme="minorHAnsi"/>
                <w:b/>
                <w:bCs/>
                <w:sz w:val="20"/>
                <w:szCs w:val="20"/>
              </w:rPr>
            </w:pPr>
            <w:r w:rsidRPr="00ED6BF0">
              <w:rPr>
                <w:rFonts w:cstheme="minorHAnsi"/>
                <w:b/>
                <w:bCs/>
                <w:sz w:val="20"/>
                <w:szCs w:val="20"/>
              </w:rPr>
              <w:t>Awareness</w:t>
            </w:r>
            <w:r>
              <w:rPr>
                <w:rFonts w:cstheme="minorHAnsi"/>
                <w:b/>
                <w:bCs/>
                <w:sz w:val="20"/>
                <w:szCs w:val="20"/>
              </w:rPr>
              <w:t>-Raising</w:t>
            </w:r>
            <w:r w:rsidRPr="00ED6BF0">
              <w:rPr>
                <w:rFonts w:cstheme="minorHAnsi"/>
                <w:b/>
                <w:bCs/>
                <w:sz w:val="20"/>
                <w:szCs w:val="20"/>
              </w:rPr>
              <w:t xml:space="preserve"> </w:t>
            </w:r>
          </w:p>
        </w:tc>
        <w:tc>
          <w:tcPr>
            <w:tcW w:w="6120" w:type="dxa"/>
            <w:shd w:val="clear" w:color="auto" w:fill="FBE4D5" w:themeFill="accent2" w:themeFillTint="33"/>
          </w:tcPr>
          <w:p w14:paraId="0A547C40" w14:textId="77777777" w:rsidR="00CD0C1E" w:rsidRPr="00ED6BF0" w:rsidRDefault="00CD0C1E" w:rsidP="00CD0C1E">
            <w:pPr>
              <w:numPr>
                <w:ilvl w:val="0"/>
                <w:numId w:val="29"/>
              </w:numPr>
              <w:spacing w:after="160" w:line="259" w:lineRule="auto"/>
              <w:contextualSpacing/>
              <w:rPr>
                <w:rFonts w:cstheme="minorHAnsi"/>
                <w:sz w:val="20"/>
                <w:szCs w:val="20"/>
              </w:rPr>
            </w:pPr>
            <w:r w:rsidRPr="00ED6BF0">
              <w:rPr>
                <w:rFonts w:cstheme="minorHAnsi"/>
                <w:sz w:val="20"/>
                <w:szCs w:val="20"/>
              </w:rPr>
              <w:t>Continue with the Awareness-Raising campaigns and events for “decent future work”.</w:t>
            </w:r>
          </w:p>
          <w:p w14:paraId="662F5633" w14:textId="77777777" w:rsidR="00CD0C1E" w:rsidRPr="00ED6BF0" w:rsidRDefault="00CD0C1E" w:rsidP="00CD0C1E">
            <w:pPr>
              <w:numPr>
                <w:ilvl w:val="0"/>
                <w:numId w:val="29"/>
              </w:numPr>
              <w:spacing w:after="160" w:line="259" w:lineRule="auto"/>
              <w:contextualSpacing/>
              <w:rPr>
                <w:rFonts w:cstheme="minorHAnsi"/>
                <w:sz w:val="20"/>
                <w:szCs w:val="20"/>
              </w:rPr>
            </w:pPr>
            <w:r w:rsidRPr="00ED6BF0">
              <w:rPr>
                <w:rFonts w:cstheme="minorHAnsi"/>
                <w:sz w:val="20"/>
                <w:szCs w:val="20"/>
              </w:rPr>
              <w:t>Continue strengthening the unions’ capacity.</w:t>
            </w:r>
          </w:p>
          <w:p w14:paraId="410AD026" w14:textId="77777777" w:rsidR="00CD0C1E" w:rsidRPr="00ED6BF0" w:rsidRDefault="00CD0C1E" w:rsidP="00CD0C1E">
            <w:pPr>
              <w:numPr>
                <w:ilvl w:val="0"/>
                <w:numId w:val="29"/>
              </w:numPr>
              <w:spacing w:after="160" w:line="259" w:lineRule="auto"/>
              <w:contextualSpacing/>
              <w:rPr>
                <w:rFonts w:cstheme="minorHAnsi"/>
                <w:sz w:val="20"/>
                <w:szCs w:val="20"/>
              </w:rPr>
            </w:pPr>
            <w:r w:rsidRPr="00ED6BF0">
              <w:rPr>
                <w:rFonts w:cstheme="minorHAnsi"/>
                <w:sz w:val="20"/>
                <w:szCs w:val="20"/>
              </w:rPr>
              <w:t>Increase social dialogue at sector and company level.</w:t>
            </w:r>
          </w:p>
          <w:p w14:paraId="56E011AD" w14:textId="77777777" w:rsidR="00CD0C1E" w:rsidRPr="00ED6BF0" w:rsidRDefault="00CD0C1E" w:rsidP="00CD0C1E">
            <w:pPr>
              <w:numPr>
                <w:ilvl w:val="0"/>
                <w:numId w:val="29"/>
              </w:numPr>
              <w:spacing w:after="160" w:line="259" w:lineRule="auto"/>
              <w:contextualSpacing/>
              <w:rPr>
                <w:rFonts w:cstheme="minorHAnsi"/>
                <w:b/>
                <w:bCs/>
                <w:sz w:val="20"/>
                <w:szCs w:val="20"/>
              </w:rPr>
            </w:pPr>
            <w:r w:rsidRPr="00ED6BF0">
              <w:rPr>
                <w:rFonts w:cstheme="minorHAnsi"/>
                <w:sz w:val="20"/>
                <w:szCs w:val="20"/>
              </w:rPr>
              <w:t>Use specific days such as Labour Day for awareness raising events about decent work. Develop and broadcast audio-visual guides for all cohorts.</w:t>
            </w:r>
          </w:p>
        </w:tc>
      </w:tr>
      <w:tr w:rsidR="00CD0C1E" w:rsidRPr="00ED6BF0" w14:paraId="2522B68F" w14:textId="77777777" w:rsidTr="00CD0C1E">
        <w:trPr>
          <w:trHeight w:val="310"/>
        </w:trPr>
        <w:tc>
          <w:tcPr>
            <w:tcW w:w="1800" w:type="dxa"/>
            <w:vMerge/>
            <w:shd w:val="clear" w:color="auto" w:fill="FBE4D5" w:themeFill="accent2" w:themeFillTint="33"/>
          </w:tcPr>
          <w:p w14:paraId="0EB90EF8" w14:textId="77777777" w:rsidR="00CD0C1E" w:rsidRPr="00ED6BF0" w:rsidRDefault="00CD0C1E" w:rsidP="00CD0C1E">
            <w:pPr>
              <w:spacing w:after="160" w:line="259" w:lineRule="auto"/>
              <w:rPr>
                <w:rFonts w:cstheme="minorHAnsi"/>
                <w:b/>
                <w:bCs/>
                <w:sz w:val="20"/>
                <w:szCs w:val="20"/>
              </w:rPr>
            </w:pPr>
          </w:p>
        </w:tc>
        <w:tc>
          <w:tcPr>
            <w:tcW w:w="1800" w:type="dxa"/>
            <w:shd w:val="clear" w:color="auto" w:fill="FBE4D5" w:themeFill="accent2" w:themeFillTint="33"/>
          </w:tcPr>
          <w:p w14:paraId="6C8002DA" w14:textId="77777777" w:rsidR="00CD0C1E" w:rsidRPr="00ED6BF0" w:rsidRDefault="00CD0C1E" w:rsidP="00CD0C1E">
            <w:pPr>
              <w:spacing w:after="160" w:line="259" w:lineRule="auto"/>
              <w:rPr>
                <w:rFonts w:cstheme="minorHAnsi"/>
                <w:b/>
                <w:bCs/>
                <w:sz w:val="20"/>
                <w:szCs w:val="20"/>
              </w:rPr>
            </w:pPr>
            <w:r w:rsidRPr="00ED6BF0">
              <w:rPr>
                <w:rFonts w:cstheme="minorHAnsi"/>
                <w:b/>
                <w:bCs/>
                <w:sz w:val="20"/>
                <w:szCs w:val="20"/>
              </w:rPr>
              <w:t xml:space="preserve">Occupational Safety and Health </w:t>
            </w:r>
          </w:p>
        </w:tc>
        <w:tc>
          <w:tcPr>
            <w:tcW w:w="6120" w:type="dxa"/>
            <w:shd w:val="clear" w:color="auto" w:fill="FBE4D5" w:themeFill="accent2" w:themeFillTint="33"/>
          </w:tcPr>
          <w:p w14:paraId="05FA5F55" w14:textId="77777777" w:rsidR="00CD0C1E" w:rsidRPr="00ED6BF0" w:rsidRDefault="00CD0C1E" w:rsidP="00CD0C1E">
            <w:pPr>
              <w:numPr>
                <w:ilvl w:val="0"/>
                <w:numId w:val="30"/>
              </w:numPr>
              <w:spacing w:after="160" w:line="259" w:lineRule="auto"/>
              <w:contextualSpacing/>
              <w:rPr>
                <w:rFonts w:cstheme="minorHAnsi"/>
                <w:sz w:val="20"/>
                <w:szCs w:val="20"/>
              </w:rPr>
            </w:pPr>
            <w:r w:rsidRPr="00ED6BF0">
              <w:rPr>
                <w:rFonts w:cstheme="minorHAnsi"/>
                <w:sz w:val="20"/>
                <w:szCs w:val="20"/>
              </w:rPr>
              <w:t>Promote “Remote Work Regulation” and elaborate for Occupational Safety and Health for remote work.</w:t>
            </w:r>
          </w:p>
          <w:p w14:paraId="7127F659" w14:textId="77777777" w:rsidR="00CD0C1E" w:rsidRPr="00ED6BF0" w:rsidRDefault="00CD0C1E" w:rsidP="00CD0C1E">
            <w:pPr>
              <w:spacing w:after="160" w:line="259" w:lineRule="auto"/>
              <w:ind w:left="360"/>
              <w:contextualSpacing/>
              <w:rPr>
                <w:rFonts w:cstheme="minorHAnsi"/>
                <w:b/>
                <w:bCs/>
                <w:sz w:val="20"/>
                <w:szCs w:val="20"/>
              </w:rPr>
            </w:pPr>
          </w:p>
        </w:tc>
      </w:tr>
      <w:tr w:rsidR="00CD0C1E" w:rsidRPr="00ED6BF0" w14:paraId="1DB8884E" w14:textId="77777777" w:rsidTr="00CD0C1E">
        <w:trPr>
          <w:trHeight w:val="310"/>
        </w:trPr>
        <w:tc>
          <w:tcPr>
            <w:tcW w:w="1800" w:type="dxa"/>
            <w:vMerge/>
            <w:shd w:val="clear" w:color="auto" w:fill="FBE4D5" w:themeFill="accent2" w:themeFillTint="33"/>
          </w:tcPr>
          <w:p w14:paraId="3FC25A1A" w14:textId="77777777" w:rsidR="00CD0C1E" w:rsidRPr="00ED6BF0" w:rsidRDefault="00CD0C1E" w:rsidP="00CD0C1E">
            <w:pPr>
              <w:spacing w:after="160" w:line="259" w:lineRule="auto"/>
              <w:rPr>
                <w:rFonts w:cstheme="minorHAnsi"/>
                <w:b/>
                <w:bCs/>
                <w:sz w:val="20"/>
                <w:szCs w:val="20"/>
              </w:rPr>
            </w:pPr>
          </w:p>
        </w:tc>
        <w:tc>
          <w:tcPr>
            <w:tcW w:w="1800" w:type="dxa"/>
            <w:shd w:val="clear" w:color="auto" w:fill="FBE4D5" w:themeFill="accent2" w:themeFillTint="33"/>
          </w:tcPr>
          <w:p w14:paraId="1E075C3B" w14:textId="77777777" w:rsidR="00CD0C1E" w:rsidRPr="00ED6BF0" w:rsidRDefault="00CD0C1E" w:rsidP="00CD0C1E">
            <w:pPr>
              <w:spacing w:after="160" w:line="259" w:lineRule="auto"/>
              <w:rPr>
                <w:rFonts w:cstheme="minorHAnsi"/>
                <w:b/>
                <w:bCs/>
                <w:sz w:val="20"/>
                <w:szCs w:val="20"/>
              </w:rPr>
            </w:pPr>
            <w:r w:rsidRPr="00ED6BF0">
              <w:rPr>
                <w:rFonts w:cstheme="minorHAnsi"/>
                <w:b/>
                <w:bCs/>
                <w:sz w:val="20"/>
                <w:szCs w:val="20"/>
              </w:rPr>
              <w:t>Remote and flexible working</w:t>
            </w:r>
          </w:p>
          <w:p w14:paraId="1B6A1389" w14:textId="77777777" w:rsidR="00CD0C1E" w:rsidRPr="00ED6BF0" w:rsidRDefault="00CD0C1E" w:rsidP="00CD0C1E">
            <w:pPr>
              <w:spacing w:after="160" w:line="259" w:lineRule="auto"/>
              <w:rPr>
                <w:rFonts w:cstheme="minorHAnsi"/>
                <w:b/>
                <w:bCs/>
                <w:sz w:val="20"/>
                <w:szCs w:val="20"/>
              </w:rPr>
            </w:pPr>
          </w:p>
        </w:tc>
        <w:tc>
          <w:tcPr>
            <w:tcW w:w="6120" w:type="dxa"/>
            <w:shd w:val="clear" w:color="auto" w:fill="FBE4D5" w:themeFill="accent2" w:themeFillTint="33"/>
          </w:tcPr>
          <w:p w14:paraId="4F7C28EA" w14:textId="77777777" w:rsidR="00CD0C1E" w:rsidRPr="00ED6BF0" w:rsidRDefault="00CD0C1E" w:rsidP="00CD0C1E">
            <w:pPr>
              <w:numPr>
                <w:ilvl w:val="0"/>
                <w:numId w:val="30"/>
              </w:numPr>
              <w:spacing w:after="160" w:line="259" w:lineRule="auto"/>
              <w:contextualSpacing/>
              <w:rPr>
                <w:rFonts w:cstheme="minorHAnsi"/>
                <w:sz w:val="20"/>
                <w:szCs w:val="20"/>
              </w:rPr>
            </w:pPr>
            <w:r w:rsidRPr="00ED6BF0">
              <w:rPr>
                <w:rFonts w:cstheme="minorHAnsi"/>
                <w:sz w:val="20"/>
                <w:szCs w:val="20"/>
              </w:rPr>
              <w:t>Ensure that remote workers receive appropriate information on their employment and working conditions, in a language that they understand, is crucial for raising their awareness of their labour rights.</w:t>
            </w:r>
          </w:p>
          <w:p w14:paraId="693A710C" w14:textId="77777777" w:rsidR="00CD0C1E" w:rsidRPr="00ED6BF0" w:rsidRDefault="00CD0C1E" w:rsidP="00CD0C1E">
            <w:pPr>
              <w:numPr>
                <w:ilvl w:val="0"/>
                <w:numId w:val="30"/>
              </w:numPr>
              <w:spacing w:after="160" w:line="259" w:lineRule="auto"/>
              <w:contextualSpacing/>
              <w:rPr>
                <w:rFonts w:cstheme="minorHAnsi"/>
                <w:sz w:val="20"/>
                <w:szCs w:val="20"/>
              </w:rPr>
            </w:pPr>
            <w:r w:rsidRPr="00ED6BF0">
              <w:rPr>
                <w:rFonts w:cstheme="minorHAnsi"/>
                <w:sz w:val="20"/>
                <w:szCs w:val="20"/>
              </w:rPr>
              <w:t xml:space="preserve"> Facilitate the transition of remote workers and economic units from the informal to the formal economy, while respecting workers’ fundamental rights and ensuring opportunities for income security, livelihoods, and entrepreneurship. </w:t>
            </w:r>
          </w:p>
          <w:p w14:paraId="020FC39D" w14:textId="77777777" w:rsidR="00CD0C1E" w:rsidRPr="00ED6BF0" w:rsidRDefault="00CD0C1E" w:rsidP="00CD0C1E">
            <w:pPr>
              <w:numPr>
                <w:ilvl w:val="0"/>
                <w:numId w:val="30"/>
              </w:numPr>
              <w:spacing w:after="160" w:line="259" w:lineRule="auto"/>
              <w:contextualSpacing/>
              <w:rPr>
                <w:rFonts w:cstheme="minorHAnsi"/>
                <w:sz w:val="20"/>
                <w:szCs w:val="20"/>
              </w:rPr>
            </w:pPr>
            <w:r w:rsidRPr="00ED6BF0">
              <w:rPr>
                <w:rFonts w:cstheme="minorHAnsi"/>
                <w:sz w:val="20"/>
                <w:szCs w:val="20"/>
              </w:rPr>
              <w:t>Take measures to prevent the informalization of formal economy jobs by means of emerging technologies.</w:t>
            </w:r>
          </w:p>
          <w:p w14:paraId="31D000E1" w14:textId="77777777" w:rsidR="00CD0C1E" w:rsidRPr="00ED6BF0" w:rsidRDefault="00CD0C1E" w:rsidP="00CD0C1E">
            <w:pPr>
              <w:numPr>
                <w:ilvl w:val="0"/>
                <w:numId w:val="30"/>
              </w:numPr>
              <w:spacing w:after="160" w:line="259" w:lineRule="auto"/>
              <w:contextualSpacing/>
              <w:rPr>
                <w:rFonts w:cstheme="minorHAnsi"/>
                <w:sz w:val="20"/>
                <w:szCs w:val="20"/>
              </w:rPr>
            </w:pPr>
            <w:r w:rsidRPr="00ED6BF0">
              <w:rPr>
                <w:rFonts w:cstheme="minorHAnsi"/>
                <w:sz w:val="20"/>
                <w:szCs w:val="20"/>
              </w:rPr>
              <w:t xml:space="preserve">Facilitate registration of informal remote workers to the social security systems. </w:t>
            </w:r>
          </w:p>
          <w:p w14:paraId="13BE7CFA" w14:textId="77777777" w:rsidR="00CD0C1E" w:rsidRPr="00ED6BF0" w:rsidRDefault="00CD0C1E" w:rsidP="00CD0C1E">
            <w:pPr>
              <w:numPr>
                <w:ilvl w:val="0"/>
                <w:numId w:val="30"/>
              </w:numPr>
              <w:spacing w:after="160" w:line="259" w:lineRule="auto"/>
              <w:contextualSpacing/>
              <w:rPr>
                <w:rFonts w:cstheme="minorHAnsi"/>
                <w:sz w:val="20"/>
                <w:szCs w:val="20"/>
              </w:rPr>
            </w:pPr>
            <w:r w:rsidRPr="00ED6BF0">
              <w:rPr>
                <w:rFonts w:cstheme="minorHAnsi"/>
                <w:sz w:val="20"/>
                <w:szCs w:val="20"/>
              </w:rPr>
              <w:t xml:space="preserve">Ensure that remote workers, including those considered as self-employed and those in the informal economy, effectively enjoy freedom of association and the right to collective bargain. </w:t>
            </w:r>
          </w:p>
          <w:p w14:paraId="0DCD4702" w14:textId="77777777" w:rsidR="00CD0C1E" w:rsidRPr="00ED6BF0" w:rsidRDefault="00CD0C1E" w:rsidP="00CD0C1E">
            <w:pPr>
              <w:numPr>
                <w:ilvl w:val="0"/>
                <w:numId w:val="30"/>
              </w:numPr>
              <w:spacing w:after="160" w:line="259" w:lineRule="auto"/>
              <w:contextualSpacing/>
              <w:rPr>
                <w:rFonts w:cstheme="minorHAnsi"/>
                <w:sz w:val="20"/>
                <w:szCs w:val="20"/>
              </w:rPr>
            </w:pPr>
            <w:r w:rsidRPr="00ED6BF0">
              <w:rPr>
                <w:rFonts w:cstheme="minorHAnsi"/>
                <w:sz w:val="20"/>
                <w:szCs w:val="20"/>
              </w:rPr>
              <w:t xml:space="preserve">Contribute to awareness-raising efforts among employers and provide them with support to help implement best practices in the employment of remote workers and increase decent work. </w:t>
            </w:r>
          </w:p>
          <w:p w14:paraId="1729D672" w14:textId="77777777" w:rsidR="00CD0C1E" w:rsidRPr="00ED6BF0" w:rsidRDefault="00CD0C1E" w:rsidP="00CD0C1E">
            <w:pPr>
              <w:numPr>
                <w:ilvl w:val="0"/>
                <w:numId w:val="30"/>
              </w:numPr>
              <w:spacing w:after="160" w:line="259" w:lineRule="auto"/>
              <w:contextualSpacing/>
              <w:rPr>
                <w:rFonts w:cstheme="minorHAnsi"/>
                <w:sz w:val="20"/>
                <w:szCs w:val="20"/>
              </w:rPr>
            </w:pPr>
            <w:r w:rsidRPr="00ED6BF0">
              <w:rPr>
                <w:rFonts w:cstheme="minorHAnsi"/>
                <w:sz w:val="20"/>
                <w:szCs w:val="20"/>
              </w:rPr>
              <w:t xml:space="preserve">Adopt measures to monitor remote workers and work modalities and identify remote workers and sectors. </w:t>
            </w:r>
          </w:p>
          <w:p w14:paraId="3B14882A" w14:textId="77777777" w:rsidR="00CD0C1E" w:rsidRPr="00ED6BF0" w:rsidRDefault="00CD0C1E" w:rsidP="00CD0C1E">
            <w:pPr>
              <w:numPr>
                <w:ilvl w:val="0"/>
                <w:numId w:val="30"/>
              </w:numPr>
              <w:spacing w:after="160" w:line="259" w:lineRule="auto"/>
              <w:contextualSpacing/>
              <w:rPr>
                <w:rFonts w:cstheme="minorHAnsi"/>
                <w:b/>
                <w:bCs/>
                <w:sz w:val="20"/>
                <w:szCs w:val="20"/>
              </w:rPr>
            </w:pPr>
            <w:r w:rsidRPr="00ED6BF0">
              <w:rPr>
                <w:rFonts w:cstheme="minorHAnsi"/>
                <w:sz w:val="20"/>
                <w:szCs w:val="20"/>
              </w:rPr>
              <w:t>Collaborate with Labour Ministries of other countries to prevent informal work from Turkey.</w:t>
            </w:r>
          </w:p>
        </w:tc>
      </w:tr>
      <w:tr w:rsidR="00CD0C1E" w:rsidRPr="00ED6BF0" w14:paraId="042EB77F" w14:textId="77777777" w:rsidTr="00CD0C1E">
        <w:trPr>
          <w:trHeight w:val="310"/>
        </w:trPr>
        <w:tc>
          <w:tcPr>
            <w:tcW w:w="1800" w:type="dxa"/>
            <w:vMerge w:val="restart"/>
            <w:shd w:val="clear" w:color="auto" w:fill="FBE4D5" w:themeFill="accent2" w:themeFillTint="33"/>
          </w:tcPr>
          <w:p w14:paraId="4B51D208" w14:textId="77777777" w:rsidR="00CD0C1E" w:rsidRPr="00ED6BF0" w:rsidRDefault="00CD0C1E" w:rsidP="00CD0C1E">
            <w:pPr>
              <w:spacing w:after="160" w:line="259" w:lineRule="auto"/>
              <w:rPr>
                <w:rFonts w:cstheme="minorHAnsi"/>
                <w:b/>
                <w:bCs/>
                <w:sz w:val="20"/>
                <w:szCs w:val="20"/>
              </w:rPr>
            </w:pPr>
            <w:r w:rsidRPr="00ED6BF0">
              <w:rPr>
                <w:rFonts w:cstheme="minorHAnsi"/>
                <w:b/>
                <w:bCs/>
                <w:sz w:val="20"/>
                <w:szCs w:val="20"/>
              </w:rPr>
              <w:t>Digital technologies and compliance</w:t>
            </w:r>
          </w:p>
        </w:tc>
        <w:tc>
          <w:tcPr>
            <w:tcW w:w="1800" w:type="dxa"/>
            <w:shd w:val="clear" w:color="auto" w:fill="FBE4D5" w:themeFill="accent2" w:themeFillTint="33"/>
          </w:tcPr>
          <w:p w14:paraId="1CF35181" w14:textId="77777777" w:rsidR="00CD0C1E" w:rsidRPr="00ED6BF0" w:rsidRDefault="00CD0C1E" w:rsidP="00CD0C1E">
            <w:pPr>
              <w:spacing w:after="160" w:line="259" w:lineRule="auto"/>
              <w:rPr>
                <w:rFonts w:cstheme="minorHAnsi"/>
                <w:b/>
                <w:bCs/>
                <w:sz w:val="20"/>
                <w:szCs w:val="20"/>
              </w:rPr>
            </w:pPr>
            <w:r w:rsidRPr="00ED6BF0">
              <w:rPr>
                <w:rFonts w:cstheme="minorHAnsi"/>
                <w:b/>
                <w:bCs/>
                <w:sz w:val="20"/>
                <w:szCs w:val="20"/>
              </w:rPr>
              <w:t>New technologies and transformation</w:t>
            </w:r>
          </w:p>
        </w:tc>
        <w:tc>
          <w:tcPr>
            <w:tcW w:w="6120" w:type="dxa"/>
            <w:shd w:val="clear" w:color="auto" w:fill="FBE4D5" w:themeFill="accent2" w:themeFillTint="33"/>
          </w:tcPr>
          <w:p w14:paraId="3D8A781D" w14:textId="77777777" w:rsidR="00CD0C1E" w:rsidRPr="00ED6BF0" w:rsidRDefault="00CD0C1E" w:rsidP="00CD0C1E">
            <w:pPr>
              <w:numPr>
                <w:ilvl w:val="0"/>
                <w:numId w:val="31"/>
              </w:numPr>
              <w:spacing w:after="160" w:line="259" w:lineRule="auto"/>
              <w:contextualSpacing/>
              <w:rPr>
                <w:rFonts w:cstheme="minorHAnsi"/>
                <w:sz w:val="20"/>
                <w:szCs w:val="20"/>
              </w:rPr>
            </w:pPr>
            <w:r w:rsidRPr="00ED6BF0">
              <w:rPr>
                <w:rFonts w:cstheme="minorHAnsi"/>
                <w:sz w:val="20"/>
                <w:szCs w:val="20"/>
              </w:rPr>
              <w:t>Conduct a large scale and representative qualification and skill survey covering all economic activities.</w:t>
            </w:r>
          </w:p>
        </w:tc>
      </w:tr>
      <w:tr w:rsidR="00CD0C1E" w:rsidRPr="00ED6BF0" w14:paraId="53A02616" w14:textId="77777777" w:rsidTr="00CD0C1E">
        <w:trPr>
          <w:trHeight w:val="908"/>
        </w:trPr>
        <w:tc>
          <w:tcPr>
            <w:tcW w:w="1800" w:type="dxa"/>
            <w:vMerge/>
            <w:shd w:val="clear" w:color="auto" w:fill="FBE4D5" w:themeFill="accent2" w:themeFillTint="33"/>
          </w:tcPr>
          <w:p w14:paraId="0F423724" w14:textId="77777777" w:rsidR="00CD0C1E" w:rsidRPr="00ED6BF0" w:rsidRDefault="00CD0C1E" w:rsidP="00CD0C1E">
            <w:pPr>
              <w:spacing w:after="160" w:line="259" w:lineRule="auto"/>
              <w:rPr>
                <w:rFonts w:cstheme="minorHAnsi"/>
                <w:b/>
                <w:bCs/>
                <w:sz w:val="20"/>
                <w:szCs w:val="20"/>
              </w:rPr>
            </w:pPr>
          </w:p>
        </w:tc>
        <w:tc>
          <w:tcPr>
            <w:tcW w:w="1800" w:type="dxa"/>
            <w:shd w:val="clear" w:color="auto" w:fill="FBE4D5" w:themeFill="accent2" w:themeFillTint="33"/>
          </w:tcPr>
          <w:p w14:paraId="7A4A15CC" w14:textId="77777777" w:rsidR="00CD0C1E" w:rsidRPr="00ED6BF0" w:rsidRDefault="00CD0C1E" w:rsidP="00CD0C1E">
            <w:pPr>
              <w:spacing w:after="160" w:line="259" w:lineRule="auto"/>
              <w:rPr>
                <w:rFonts w:cstheme="minorHAnsi"/>
                <w:b/>
                <w:bCs/>
                <w:sz w:val="20"/>
                <w:szCs w:val="20"/>
              </w:rPr>
            </w:pPr>
            <w:r w:rsidRPr="00ED6BF0">
              <w:rPr>
                <w:rFonts w:cstheme="minorHAnsi"/>
                <w:b/>
                <w:bCs/>
                <w:sz w:val="20"/>
                <w:szCs w:val="20"/>
              </w:rPr>
              <w:t>Compliance with the new technologies</w:t>
            </w:r>
          </w:p>
        </w:tc>
        <w:tc>
          <w:tcPr>
            <w:tcW w:w="6120" w:type="dxa"/>
            <w:shd w:val="clear" w:color="auto" w:fill="FBE4D5" w:themeFill="accent2" w:themeFillTint="33"/>
          </w:tcPr>
          <w:p w14:paraId="07333C62" w14:textId="77777777" w:rsidR="00CD0C1E" w:rsidRPr="00ED6BF0" w:rsidRDefault="00CD0C1E" w:rsidP="00CD0C1E">
            <w:pPr>
              <w:numPr>
                <w:ilvl w:val="0"/>
                <w:numId w:val="31"/>
              </w:numPr>
              <w:spacing w:after="160" w:line="259" w:lineRule="auto"/>
              <w:contextualSpacing/>
              <w:rPr>
                <w:rFonts w:cstheme="minorHAnsi"/>
                <w:sz w:val="20"/>
                <w:szCs w:val="20"/>
              </w:rPr>
            </w:pPr>
            <w:r w:rsidRPr="00ED6BF0">
              <w:rPr>
                <w:rFonts w:cstheme="minorHAnsi"/>
                <w:sz w:val="20"/>
                <w:szCs w:val="20"/>
              </w:rPr>
              <w:t>Accessible sectoral digital transformation platforms for available staff and new curricula in schools (including universities) can be introduced. Occupation specific skills shall be compatible and complementary to new technologies.</w:t>
            </w:r>
          </w:p>
        </w:tc>
      </w:tr>
      <w:tr w:rsidR="00CD0C1E" w:rsidRPr="00ED6BF0" w14:paraId="0A26D5C0" w14:textId="77777777" w:rsidTr="00CD0C1E">
        <w:trPr>
          <w:trHeight w:val="710"/>
        </w:trPr>
        <w:tc>
          <w:tcPr>
            <w:tcW w:w="1800" w:type="dxa"/>
            <w:vMerge/>
            <w:shd w:val="clear" w:color="auto" w:fill="FBE4D5" w:themeFill="accent2" w:themeFillTint="33"/>
          </w:tcPr>
          <w:p w14:paraId="41E1F375" w14:textId="77777777" w:rsidR="00CD0C1E" w:rsidRPr="00ED6BF0" w:rsidRDefault="00CD0C1E" w:rsidP="00CD0C1E">
            <w:pPr>
              <w:spacing w:after="160" w:line="259" w:lineRule="auto"/>
              <w:rPr>
                <w:rFonts w:cstheme="minorHAnsi"/>
                <w:b/>
                <w:bCs/>
                <w:sz w:val="20"/>
                <w:szCs w:val="20"/>
              </w:rPr>
            </w:pPr>
          </w:p>
        </w:tc>
        <w:tc>
          <w:tcPr>
            <w:tcW w:w="1800" w:type="dxa"/>
            <w:shd w:val="clear" w:color="auto" w:fill="FBE4D5" w:themeFill="accent2" w:themeFillTint="33"/>
          </w:tcPr>
          <w:p w14:paraId="1445A4B3" w14:textId="77777777" w:rsidR="00CD0C1E" w:rsidRPr="00ED6BF0" w:rsidRDefault="00CD0C1E" w:rsidP="00CD0C1E">
            <w:pPr>
              <w:spacing w:after="160" w:line="259" w:lineRule="auto"/>
              <w:rPr>
                <w:rFonts w:cstheme="minorHAnsi"/>
                <w:b/>
                <w:bCs/>
                <w:sz w:val="20"/>
                <w:szCs w:val="20"/>
              </w:rPr>
            </w:pPr>
            <w:r w:rsidRPr="00ED6BF0">
              <w:rPr>
                <w:rFonts w:cstheme="minorHAnsi"/>
                <w:b/>
                <w:bCs/>
                <w:sz w:val="20"/>
                <w:szCs w:val="20"/>
              </w:rPr>
              <w:t>Investment in the new technologies</w:t>
            </w:r>
          </w:p>
        </w:tc>
        <w:tc>
          <w:tcPr>
            <w:tcW w:w="6120" w:type="dxa"/>
            <w:shd w:val="clear" w:color="auto" w:fill="FBE4D5" w:themeFill="accent2" w:themeFillTint="33"/>
          </w:tcPr>
          <w:p w14:paraId="4ECC2EA9" w14:textId="77777777" w:rsidR="00CD0C1E" w:rsidRPr="00ED6BF0" w:rsidRDefault="00CD0C1E" w:rsidP="00CD0C1E">
            <w:pPr>
              <w:numPr>
                <w:ilvl w:val="0"/>
                <w:numId w:val="31"/>
              </w:numPr>
              <w:spacing w:after="160" w:line="259" w:lineRule="auto"/>
              <w:contextualSpacing/>
              <w:rPr>
                <w:rFonts w:cstheme="minorHAnsi"/>
                <w:sz w:val="20"/>
                <w:szCs w:val="20"/>
              </w:rPr>
            </w:pPr>
            <w:r w:rsidRPr="00ED6BF0">
              <w:rPr>
                <w:rFonts w:cstheme="minorHAnsi"/>
                <w:sz w:val="20"/>
                <w:szCs w:val="20"/>
              </w:rPr>
              <w:t xml:space="preserve">Cooperate with the Ministry of Industry and Technology and Digital Transformation Office of Presidency to support employers for cost-effective technology adaptation. </w:t>
            </w:r>
          </w:p>
        </w:tc>
      </w:tr>
      <w:tr w:rsidR="00CD0C1E" w:rsidRPr="00ED6BF0" w14:paraId="223ABF2C" w14:textId="77777777" w:rsidTr="00CD0C1E">
        <w:trPr>
          <w:trHeight w:val="310"/>
        </w:trPr>
        <w:tc>
          <w:tcPr>
            <w:tcW w:w="1800" w:type="dxa"/>
            <w:shd w:val="clear" w:color="auto" w:fill="FBE4D5" w:themeFill="accent2" w:themeFillTint="33"/>
          </w:tcPr>
          <w:p w14:paraId="0EE2DDC0" w14:textId="77777777" w:rsidR="00CD0C1E" w:rsidRPr="00ED6BF0" w:rsidRDefault="00CD0C1E" w:rsidP="00CD0C1E">
            <w:pPr>
              <w:spacing w:after="160" w:line="259" w:lineRule="auto"/>
              <w:rPr>
                <w:rFonts w:cstheme="minorHAnsi"/>
                <w:b/>
                <w:bCs/>
                <w:sz w:val="20"/>
                <w:szCs w:val="20"/>
              </w:rPr>
            </w:pPr>
            <w:r w:rsidRPr="00ED6BF0">
              <w:rPr>
                <w:rFonts w:cstheme="minorHAnsi"/>
                <w:b/>
                <w:bCs/>
                <w:sz w:val="20"/>
                <w:szCs w:val="20"/>
              </w:rPr>
              <w:t>Lost professions</w:t>
            </w:r>
          </w:p>
        </w:tc>
        <w:tc>
          <w:tcPr>
            <w:tcW w:w="1800" w:type="dxa"/>
            <w:shd w:val="clear" w:color="auto" w:fill="FBE4D5" w:themeFill="accent2" w:themeFillTint="33"/>
          </w:tcPr>
          <w:p w14:paraId="3061CEAA" w14:textId="77777777" w:rsidR="00CD0C1E" w:rsidRPr="00ED6BF0" w:rsidRDefault="00CD0C1E" w:rsidP="00CD0C1E">
            <w:pPr>
              <w:spacing w:after="160" w:line="259" w:lineRule="auto"/>
              <w:rPr>
                <w:rFonts w:cstheme="minorHAnsi"/>
                <w:b/>
                <w:bCs/>
                <w:sz w:val="20"/>
                <w:szCs w:val="20"/>
              </w:rPr>
            </w:pPr>
            <w:r w:rsidRPr="00ED6BF0">
              <w:rPr>
                <w:rFonts w:cstheme="minorHAnsi"/>
                <w:b/>
                <w:bCs/>
                <w:sz w:val="20"/>
                <w:szCs w:val="20"/>
              </w:rPr>
              <w:t>Obsolete occupations</w:t>
            </w:r>
          </w:p>
        </w:tc>
        <w:tc>
          <w:tcPr>
            <w:tcW w:w="6120" w:type="dxa"/>
            <w:shd w:val="clear" w:color="auto" w:fill="FBE4D5" w:themeFill="accent2" w:themeFillTint="33"/>
          </w:tcPr>
          <w:p w14:paraId="33422746" w14:textId="77777777" w:rsidR="00CD0C1E" w:rsidRPr="00ED6BF0" w:rsidRDefault="00CD0C1E" w:rsidP="00CD0C1E">
            <w:pPr>
              <w:numPr>
                <w:ilvl w:val="0"/>
                <w:numId w:val="31"/>
              </w:numPr>
              <w:spacing w:after="160" w:line="259" w:lineRule="auto"/>
              <w:contextualSpacing/>
              <w:rPr>
                <w:rFonts w:cstheme="minorHAnsi"/>
                <w:sz w:val="20"/>
                <w:szCs w:val="20"/>
              </w:rPr>
            </w:pPr>
            <w:r w:rsidRPr="00ED6BF0">
              <w:rPr>
                <w:rFonts w:cstheme="minorHAnsi"/>
                <w:sz w:val="20"/>
                <w:szCs w:val="20"/>
              </w:rPr>
              <w:t>Conduct gap analysis between existing competences and future competences for future jobs on the base of specific occupation.</w:t>
            </w:r>
          </w:p>
          <w:p w14:paraId="0BE98844" w14:textId="77777777" w:rsidR="00CD0C1E" w:rsidRPr="00ED6BF0" w:rsidRDefault="00CD0C1E" w:rsidP="00CD0C1E">
            <w:pPr>
              <w:numPr>
                <w:ilvl w:val="0"/>
                <w:numId w:val="31"/>
              </w:numPr>
              <w:spacing w:after="160" w:line="259" w:lineRule="auto"/>
              <w:contextualSpacing/>
              <w:rPr>
                <w:rFonts w:cstheme="minorHAnsi"/>
                <w:sz w:val="20"/>
                <w:szCs w:val="20"/>
              </w:rPr>
            </w:pPr>
            <w:r w:rsidRPr="00ED6BF0">
              <w:rPr>
                <w:rFonts w:cstheme="minorHAnsi"/>
                <w:sz w:val="20"/>
                <w:szCs w:val="20"/>
              </w:rPr>
              <w:t xml:space="preserve">Support upskilling mechanism in workplaces. Cooperate with sectoral committees of the chambers. </w:t>
            </w:r>
          </w:p>
          <w:p w14:paraId="191D5865" w14:textId="77777777" w:rsidR="00CD0C1E" w:rsidRPr="00ED6BF0" w:rsidRDefault="00CD0C1E" w:rsidP="00CD0C1E">
            <w:pPr>
              <w:numPr>
                <w:ilvl w:val="0"/>
                <w:numId w:val="31"/>
              </w:numPr>
              <w:spacing w:after="160" w:line="259" w:lineRule="auto"/>
              <w:contextualSpacing/>
              <w:rPr>
                <w:rFonts w:cstheme="minorHAnsi"/>
                <w:sz w:val="20"/>
                <w:szCs w:val="20"/>
              </w:rPr>
            </w:pPr>
            <w:r w:rsidRPr="00ED6BF0">
              <w:rPr>
                <w:rFonts w:cstheme="minorHAnsi"/>
                <w:sz w:val="20"/>
                <w:szCs w:val="20"/>
              </w:rPr>
              <w:t>Provide innovative solutions for educational and vocational training systems.</w:t>
            </w:r>
          </w:p>
          <w:p w14:paraId="15D4DD4E" w14:textId="77777777" w:rsidR="00CD0C1E" w:rsidRPr="00ED6BF0" w:rsidRDefault="00CD0C1E" w:rsidP="00CD0C1E">
            <w:pPr>
              <w:numPr>
                <w:ilvl w:val="0"/>
                <w:numId w:val="31"/>
              </w:numPr>
              <w:spacing w:after="160" w:line="259" w:lineRule="auto"/>
              <w:contextualSpacing/>
              <w:rPr>
                <w:rFonts w:cstheme="minorHAnsi"/>
                <w:sz w:val="20"/>
                <w:szCs w:val="20"/>
              </w:rPr>
            </w:pPr>
            <w:r w:rsidRPr="00ED6BF0">
              <w:rPr>
                <w:rFonts w:cstheme="minorHAnsi"/>
                <w:sz w:val="20"/>
                <w:szCs w:val="20"/>
              </w:rPr>
              <w:t>Define indicators, monitor, and evaluate upskilling efforts for industries and obsolete occupations.</w:t>
            </w:r>
          </w:p>
        </w:tc>
      </w:tr>
      <w:tr w:rsidR="00CD0C1E" w:rsidRPr="00ED6BF0" w14:paraId="6BD442F3" w14:textId="77777777" w:rsidTr="00CD0C1E">
        <w:trPr>
          <w:trHeight w:val="1839"/>
        </w:trPr>
        <w:tc>
          <w:tcPr>
            <w:tcW w:w="1800" w:type="dxa"/>
            <w:shd w:val="clear" w:color="auto" w:fill="FBE4D5" w:themeFill="accent2" w:themeFillTint="33"/>
          </w:tcPr>
          <w:p w14:paraId="42C4B98D" w14:textId="77777777" w:rsidR="00CD0C1E" w:rsidRPr="00ED6BF0" w:rsidRDefault="00CD0C1E" w:rsidP="00CD0C1E">
            <w:pPr>
              <w:spacing w:after="160" w:line="259" w:lineRule="auto"/>
              <w:rPr>
                <w:rFonts w:cstheme="minorHAnsi"/>
                <w:b/>
                <w:bCs/>
                <w:sz w:val="20"/>
                <w:szCs w:val="20"/>
              </w:rPr>
            </w:pPr>
            <w:r w:rsidRPr="00ED6BF0">
              <w:rPr>
                <w:rFonts w:cstheme="minorHAnsi"/>
                <w:b/>
                <w:bCs/>
                <w:sz w:val="20"/>
                <w:szCs w:val="20"/>
              </w:rPr>
              <w:t>Prominent professions</w:t>
            </w:r>
          </w:p>
        </w:tc>
        <w:tc>
          <w:tcPr>
            <w:tcW w:w="1800" w:type="dxa"/>
            <w:shd w:val="clear" w:color="auto" w:fill="FBE4D5" w:themeFill="accent2" w:themeFillTint="33"/>
          </w:tcPr>
          <w:p w14:paraId="100F2367" w14:textId="77777777" w:rsidR="00CD0C1E" w:rsidRPr="00ED6BF0" w:rsidRDefault="00CD0C1E" w:rsidP="00CD0C1E">
            <w:pPr>
              <w:spacing w:after="160" w:line="259" w:lineRule="auto"/>
              <w:rPr>
                <w:rFonts w:cstheme="minorHAnsi"/>
                <w:b/>
                <w:bCs/>
                <w:sz w:val="20"/>
                <w:szCs w:val="20"/>
              </w:rPr>
            </w:pPr>
            <w:r w:rsidRPr="00ED6BF0">
              <w:rPr>
                <w:rFonts w:cstheme="minorHAnsi"/>
                <w:b/>
                <w:bCs/>
                <w:sz w:val="20"/>
                <w:szCs w:val="20"/>
              </w:rPr>
              <w:t xml:space="preserve">Data-related jobs </w:t>
            </w:r>
          </w:p>
        </w:tc>
        <w:tc>
          <w:tcPr>
            <w:tcW w:w="6120" w:type="dxa"/>
            <w:shd w:val="clear" w:color="auto" w:fill="FBE4D5" w:themeFill="accent2" w:themeFillTint="33"/>
          </w:tcPr>
          <w:p w14:paraId="2FCDDD57" w14:textId="77777777" w:rsidR="00CD0C1E" w:rsidRPr="00ED6BF0" w:rsidRDefault="00CD0C1E" w:rsidP="00CD0C1E">
            <w:pPr>
              <w:pStyle w:val="ListParagraph"/>
              <w:numPr>
                <w:ilvl w:val="0"/>
                <w:numId w:val="37"/>
              </w:numPr>
              <w:spacing w:after="160" w:line="259" w:lineRule="auto"/>
              <w:rPr>
                <w:rFonts w:cstheme="minorHAnsi"/>
                <w:sz w:val="20"/>
                <w:szCs w:val="20"/>
              </w:rPr>
            </w:pPr>
            <w:r w:rsidRPr="00ED6BF0">
              <w:rPr>
                <w:rFonts w:cstheme="minorHAnsi"/>
                <w:sz w:val="20"/>
                <w:szCs w:val="20"/>
              </w:rPr>
              <w:t>Data science;</w:t>
            </w:r>
          </w:p>
          <w:p w14:paraId="07B131EB" w14:textId="77777777" w:rsidR="00CD0C1E" w:rsidRPr="00ED6BF0" w:rsidRDefault="00CD0C1E" w:rsidP="00CD0C1E">
            <w:pPr>
              <w:pStyle w:val="ListParagraph"/>
              <w:numPr>
                <w:ilvl w:val="0"/>
                <w:numId w:val="37"/>
              </w:numPr>
              <w:spacing w:after="160" w:line="259" w:lineRule="auto"/>
              <w:rPr>
                <w:rFonts w:cstheme="minorHAnsi"/>
                <w:sz w:val="20"/>
                <w:szCs w:val="20"/>
              </w:rPr>
            </w:pPr>
            <w:r w:rsidRPr="00ED6BF0">
              <w:rPr>
                <w:rFonts w:cstheme="minorHAnsi"/>
                <w:sz w:val="20"/>
                <w:szCs w:val="20"/>
              </w:rPr>
              <w:t>Artificial intelligence;</w:t>
            </w:r>
          </w:p>
          <w:p w14:paraId="33D4B9A5" w14:textId="77777777" w:rsidR="00CD0C1E" w:rsidRPr="00ED6BF0" w:rsidRDefault="00CD0C1E" w:rsidP="00CD0C1E">
            <w:pPr>
              <w:pStyle w:val="ListParagraph"/>
              <w:numPr>
                <w:ilvl w:val="0"/>
                <w:numId w:val="37"/>
              </w:numPr>
              <w:spacing w:after="160" w:line="259" w:lineRule="auto"/>
              <w:rPr>
                <w:rFonts w:cstheme="minorHAnsi"/>
                <w:sz w:val="20"/>
                <w:szCs w:val="20"/>
              </w:rPr>
            </w:pPr>
            <w:r w:rsidRPr="00ED6BF0">
              <w:rPr>
                <w:rFonts w:cstheme="minorHAnsi"/>
                <w:sz w:val="20"/>
                <w:szCs w:val="20"/>
              </w:rPr>
              <w:t>Machine learning;</w:t>
            </w:r>
          </w:p>
          <w:p w14:paraId="02E2CE67" w14:textId="77777777" w:rsidR="00CD0C1E" w:rsidRPr="00ED6BF0" w:rsidRDefault="00CD0C1E" w:rsidP="00CD0C1E">
            <w:pPr>
              <w:pStyle w:val="ListParagraph"/>
              <w:numPr>
                <w:ilvl w:val="0"/>
                <w:numId w:val="37"/>
              </w:numPr>
              <w:spacing w:after="160" w:line="259" w:lineRule="auto"/>
              <w:rPr>
                <w:rFonts w:cstheme="minorHAnsi"/>
                <w:sz w:val="20"/>
                <w:szCs w:val="20"/>
              </w:rPr>
            </w:pPr>
            <w:r w:rsidRPr="00ED6BF0">
              <w:rPr>
                <w:rFonts w:cstheme="minorHAnsi"/>
                <w:sz w:val="20"/>
                <w:szCs w:val="20"/>
              </w:rPr>
              <w:t>Cloud computing;</w:t>
            </w:r>
          </w:p>
          <w:p w14:paraId="521508A1" w14:textId="77777777" w:rsidR="00CD0C1E" w:rsidRPr="00ED6BF0" w:rsidRDefault="00CD0C1E" w:rsidP="00CD0C1E">
            <w:pPr>
              <w:pStyle w:val="ListParagraph"/>
              <w:numPr>
                <w:ilvl w:val="0"/>
                <w:numId w:val="37"/>
              </w:numPr>
              <w:spacing w:after="160" w:line="259" w:lineRule="auto"/>
              <w:rPr>
                <w:rFonts w:cstheme="minorHAnsi"/>
                <w:sz w:val="20"/>
                <w:szCs w:val="20"/>
              </w:rPr>
            </w:pPr>
            <w:r w:rsidRPr="00ED6BF0">
              <w:rPr>
                <w:rFonts w:cstheme="minorHAnsi"/>
                <w:sz w:val="20"/>
                <w:szCs w:val="20"/>
              </w:rPr>
              <w:t>Block chain;</w:t>
            </w:r>
          </w:p>
          <w:p w14:paraId="0BF8DFB6" w14:textId="77777777" w:rsidR="00CD0C1E" w:rsidRPr="00ED6BF0" w:rsidRDefault="00CD0C1E" w:rsidP="00CD0C1E">
            <w:pPr>
              <w:pStyle w:val="ListParagraph"/>
              <w:numPr>
                <w:ilvl w:val="0"/>
                <w:numId w:val="37"/>
              </w:numPr>
              <w:spacing w:after="160" w:line="259" w:lineRule="auto"/>
              <w:rPr>
                <w:rFonts w:cstheme="minorHAnsi"/>
                <w:sz w:val="20"/>
                <w:szCs w:val="20"/>
              </w:rPr>
            </w:pPr>
            <w:r w:rsidRPr="00ED6BF0">
              <w:rPr>
                <w:rFonts w:cstheme="minorHAnsi"/>
                <w:sz w:val="20"/>
                <w:szCs w:val="20"/>
              </w:rPr>
              <w:t>Programming;</w:t>
            </w:r>
          </w:p>
          <w:p w14:paraId="65AAFDB7" w14:textId="77777777" w:rsidR="00CD0C1E" w:rsidRPr="00ED6BF0" w:rsidRDefault="00CD0C1E" w:rsidP="00CD0C1E">
            <w:pPr>
              <w:pStyle w:val="ListParagraph"/>
              <w:numPr>
                <w:ilvl w:val="0"/>
                <w:numId w:val="37"/>
              </w:numPr>
              <w:spacing w:after="160" w:line="259" w:lineRule="auto"/>
              <w:rPr>
                <w:rFonts w:cstheme="minorHAnsi"/>
                <w:sz w:val="20"/>
                <w:szCs w:val="20"/>
              </w:rPr>
            </w:pPr>
            <w:r w:rsidRPr="00ED6BF0">
              <w:rPr>
                <w:rFonts w:cstheme="minorHAnsi"/>
                <w:sz w:val="20"/>
                <w:szCs w:val="20"/>
              </w:rPr>
              <w:t>Web and Application Development</w:t>
            </w:r>
          </w:p>
        </w:tc>
      </w:tr>
      <w:tr w:rsidR="00CD0C1E" w:rsidRPr="00ED6BF0" w14:paraId="1A4B364E" w14:textId="77777777" w:rsidTr="00CD0C1E">
        <w:trPr>
          <w:trHeight w:val="310"/>
        </w:trPr>
        <w:tc>
          <w:tcPr>
            <w:tcW w:w="1800" w:type="dxa"/>
            <w:shd w:val="clear" w:color="auto" w:fill="FBE4D5" w:themeFill="accent2" w:themeFillTint="33"/>
          </w:tcPr>
          <w:p w14:paraId="49194C94" w14:textId="77777777" w:rsidR="00CD0C1E" w:rsidRPr="00ED6BF0" w:rsidRDefault="00CD0C1E" w:rsidP="00CD0C1E">
            <w:pPr>
              <w:spacing w:after="160" w:line="259" w:lineRule="auto"/>
              <w:rPr>
                <w:rFonts w:cstheme="minorHAnsi"/>
                <w:b/>
                <w:bCs/>
                <w:sz w:val="20"/>
                <w:szCs w:val="20"/>
              </w:rPr>
            </w:pPr>
          </w:p>
        </w:tc>
        <w:tc>
          <w:tcPr>
            <w:tcW w:w="1800" w:type="dxa"/>
            <w:shd w:val="clear" w:color="auto" w:fill="FBE4D5" w:themeFill="accent2" w:themeFillTint="33"/>
          </w:tcPr>
          <w:p w14:paraId="6A9B9D9C" w14:textId="77777777" w:rsidR="00CD0C1E" w:rsidRPr="00ED6BF0" w:rsidRDefault="00CD0C1E" w:rsidP="00CD0C1E">
            <w:pPr>
              <w:spacing w:after="160" w:line="259" w:lineRule="auto"/>
              <w:rPr>
                <w:rFonts w:cstheme="minorHAnsi"/>
                <w:b/>
                <w:bCs/>
                <w:sz w:val="20"/>
                <w:szCs w:val="20"/>
              </w:rPr>
            </w:pPr>
            <w:r w:rsidRPr="00ED6BF0">
              <w:rPr>
                <w:rFonts w:cstheme="minorHAnsi"/>
                <w:b/>
                <w:bCs/>
                <w:sz w:val="20"/>
                <w:szCs w:val="20"/>
              </w:rPr>
              <w:t>Skill gaps and shortages</w:t>
            </w:r>
          </w:p>
        </w:tc>
        <w:tc>
          <w:tcPr>
            <w:tcW w:w="6120" w:type="dxa"/>
            <w:shd w:val="clear" w:color="auto" w:fill="FBE4D5" w:themeFill="accent2" w:themeFillTint="33"/>
          </w:tcPr>
          <w:p w14:paraId="6EFA4D53" w14:textId="77777777" w:rsidR="00CD0C1E" w:rsidRPr="00ED6BF0" w:rsidRDefault="00CD0C1E" w:rsidP="00CD0C1E">
            <w:pPr>
              <w:numPr>
                <w:ilvl w:val="0"/>
                <w:numId w:val="32"/>
              </w:numPr>
              <w:spacing w:after="160" w:line="259" w:lineRule="auto"/>
              <w:contextualSpacing/>
              <w:rPr>
                <w:rFonts w:cstheme="minorHAnsi"/>
                <w:sz w:val="20"/>
                <w:szCs w:val="20"/>
              </w:rPr>
            </w:pPr>
            <w:r w:rsidRPr="00ED6BF0">
              <w:rPr>
                <w:rFonts w:cstheme="minorHAnsi"/>
                <w:sz w:val="20"/>
                <w:szCs w:val="20"/>
              </w:rPr>
              <w:t>Innovative funding opportunities or incentives can be provided to businesses for reskilling or upskilling:</w:t>
            </w:r>
          </w:p>
          <w:p w14:paraId="13755953" w14:textId="77777777" w:rsidR="00CD0C1E" w:rsidRPr="00ED6BF0" w:rsidRDefault="00CD0C1E" w:rsidP="00CD0C1E">
            <w:pPr>
              <w:numPr>
                <w:ilvl w:val="1"/>
                <w:numId w:val="32"/>
              </w:numPr>
              <w:spacing w:after="160" w:line="259" w:lineRule="auto"/>
              <w:contextualSpacing/>
              <w:rPr>
                <w:rFonts w:cstheme="minorHAnsi"/>
                <w:sz w:val="20"/>
                <w:szCs w:val="20"/>
              </w:rPr>
            </w:pPr>
            <w:r w:rsidRPr="00ED6BF0">
              <w:rPr>
                <w:rFonts w:cstheme="minorHAnsi"/>
                <w:sz w:val="20"/>
                <w:szCs w:val="20"/>
              </w:rPr>
              <w:t>Wage subsidies;</w:t>
            </w:r>
          </w:p>
          <w:p w14:paraId="17F0757C" w14:textId="77777777" w:rsidR="00CD0C1E" w:rsidRPr="00ED6BF0" w:rsidRDefault="00CD0C1E" w:rsidP="00CD0C1E">
            <w:pPr>
              <w:numPr>
                <w:ilvl w:val="1"/>
                <w:numId w:val="32"/>
              </w:numPr>
              <w:spacing w:after="160" w:line="259" w:lineRule="auto"/>
              <w:contextualSpacing/>
              <w:rPr>
                <w:rFonts w:cstheme="minorHAnsi"/>
                <w:sz w:val="20"/>
                <w:szCs w:val="20"/>
              </w:rPr>
            </w:pPr>
            <w:r w:rsidRPr="00ED6BF0">
              <w:rPr>
                <w:rFonts w:cstheme="minorHAnsi"/>
                <w:sz w:val="20"/>
                <w:szCs w:val="20"/>
              </w:rPr>
              <w:t>Funding online learning;</w:t>
            </w:r>
          </w:p>
          <w:p w14:paraId="7ED7CF97" w14:textId="77777777" w:rsidR="00CD0C1E" w:rsidRPr="00ED6BF0" w:rsidRDefault="00CD0C1E" w:rsidP="00CD0C1E">
            <w:pPr>
              <w:numPr>
                <w:ilvl w:val="1"/>
                <w:numId w:val="32"/>
              </w:numPr>
              <w:spacing w:after="160" w:line="259" w:lineRule="auto"/>
              <w:contextualSpacing/>
              <w:rPr>
                <w:rFonts w:cstheme="minorHAnsi"/>
                <w:sz w:val="20"/>
                <w:szCs w:val="20"/>
              </w:rPr>
            </w:pPr>
            <w:r w:rsidRPr="00ED6BF0">
              <w:rPr>
                <w:rFonts w:cstheme="minorHAnsi"/>
                <w:sz w:val="20"/>
                <w:szCs w:val="20"/>
              </w:rPr>
              <w:t xml:space="preserve">Supporting free education portals such as “bilgeis platform” – </w:t>
            </w:r>
            <w:hyperlink r:id="rId13" w:history="1">
              <w:r w:rsidRPr="00ED6BF0">
                <w:rPr>
                  <w:rFonts w:cstheme="minorHAnsi"/>
                  <w:color w:val="0563C1" w:themeColor="hyperlink"/>
                  <w:sz w:val="20"/>
                  <w:szCs w:val="20"/>
                  <w:u w:val="single"/>
                </w:rPr>
                <w:t>https://bilgeis.net</w:t>
              </w:r>
            </w:hyperlink>
            <w:r w:rsidRPr="00ED6BF0">
              <w:rPr>
                <w:rFonts w:cstheme="minorHAnsi"/>
                <w:sz w:val="20"/>
                <w:szCs w:val="20"/>
              </w:rPr>
              <w:t xml:space="preserve"> );</w:t>
            </w:r>
          </w:p>
          <w:p w14:paraId="3843C0E0" w14:textId="77777777" w:rsidR="00CD0C1E" w:rsidRPr="00ED6BF0" w:rsidRDefault="00CD0C1E" w:rsidP="00CD0C1E">
            <w:pPr>
              <w:numPr>
                <w:ilvl w:val="1"/>
                <w:numId w:val="32"/>
              </w:numPr>
              <w:spacing w:after="160" w:line="259" w:lineRule="auto"/>
              <w:contextualSpacing/>
              <w:rPr>
                <w:rFonts w:cstheme="minorHAnsi"/>
                <w:sz w:val="20"/>
                <w:szCs w:val="20"/>
              </w:rPr>
            </w:pPr>
            <w:r w:rsidRPr="00ED6BF0">
              <w:rPr>
                <w:rFonts w:cstheme="minorHAnsi"/>
                <w:sz w:val="20"/>
                <w:szCs w:val="20"/>
              </w:rPr>
              <w:t xml:space="preserve">Funding or incentives can be given against performance evaluation criteria. </w:t>
            </w:r>
          </w:p>
        </w:tc>
      </w:tr>
      <w:tr w:rsidR="00CD0C1E" w:rsidRPr="00ED6BF0" w14:paraId="5F981CF6" w14:textId="77777777" w:rsidTr="00CD0C1E">
        <w:trPr>
          <w:trHeight w:val="310"/>
        </w:trPr>
        <w:tc>
          <w:tcPr>
            <w:tcW w:w="1800" w:type="dxa"/>
            <w:shd w:val="clear" w:color="auto" w:fill="FBE4D5" w:themeFill="accent2" w:themeFillTint="33"/>
          </w:tcPr>
          <w:p w14:paraId="526F1B83" w14:textId="77777777" w:rsidR="00CD0C1E" w:rsidRPr="00ED6BF0" w:rsidRDefault="00CD0C1E" w:rsidP="00CD0C1E">
            <w:pPr>
              <w:spacing w:after="160" w:line="259" w:lineRule="auto"/>
              <w:rPr>
                <w:rFonts w:cstheme="minorHAnsi"/>
                <w:b/>
                <w:bCs/>
                <w:sz w:val="20"/>
                <w:szCs w:val="20"/>
              </w:rPr>
            </w:pPr>
            <w:r w:rsidRPr="00ED6BF0">
              <w:rPr>
                <w:rFonts w:cstheme="minorHAnsi"/>
                <w:b/>
                <w:bCs/>
                <w:sz w:val="20"/>
                <w:szCs w:val="20"/>
              </w:rPr>
              <w:t>Future skills needed</w:t>
            </w:r>
          </w:p>
        </w:tc>
        <w:tc>
          <w:tcPr>
            <w:tcW w:w="1800" w:type="dxa"/>
            <w:shd w:val="clear" w:color="auto" w:fill="FBE4D5" w:themeFill="accent2" w:themeFillTint="33"/>
          </w:tcPr>
          <w:p w14:paraId="0B7F4DE1" w14:textId="77777777" w:rsidR="00CD0C1E" w:rsidRPr="00ED6BF0" w:rsidRDefault="00CD0C1E" w:rsidP="00CD0C1E">
            <w:pPr>
              <w:spacing w:after="160" w:line="259" w:lineRule="auto"/>
              <w:rPr>
                <w:rFonts w:cstheme="minorHAnsi"/>
                <w:b/>
                <w:bCs/>
                <w:sz w:val="20"/>
                <w:szCs w:val="20"/>
              </w:rPr>
            </w:pPr>
            <w:r w:rsidRPr="00ED6BF0">
              <w:rPr>
                <w:rFonts w:cstheme="minorHAnsi"/>
                <w:b/>
                <w:bCs/>
                <w:sz w:val="20"/>
                <w:szCs w:val="20"/>
              </w:rPr>
              <w:t>Soft skills</w:t>
            </w:r>
          </w:p>
        </w:tc>
        <w:tc>
          <w:tcPr>
            <w:tcW w:w="6120" w:type="dxa"/>
            <w:tcBorders>
              <w:right w:val="nil"/>
            </w:tcBorders>
            <w:shd w:val="clear" w:color="auto" w:fill="FBE4D5" w:themeFill="accent2" w:themeFillTint="33"/>
          </w:tcPr>
          <w:p w14:paraId="2DDB69AF" w14:textId="77777777" w:rsidR="00CD0C1E" w:rsidRPr="00ED6BF0" w:rsidRDefault="00CD0C1E" w:rsidP="00CD0C1E">
            <w:pPr>
              <w:numPr>
                <w:ilvl w:val="0"/>
                <w:numId w:val="32"/>
              </w:numPr>
              <w:spacing w:after="160" w:line="259" w:lineRule="auto"/>
              <w:contextualSpacing/>
              <w:rPr>
                <w:rFonts w:cstheme="minorHAnsi"/>
                <w:sz w:val="20"/>
                <w:szCs w:val="20"/>
              </w:rPr>
            </w:pPr>
            <w:r w:rsidRPr="00ED6BF0">
              <w:rPr>
                <w:rFonts w:cstheme="minorHAnsi"/>
                <w:sz w:val="20"/>
                <w:szCs w:val="20"/>
              </w:rPr>
              <w:t>Sectoral experts shall work on qualification for developing easily transferable cross-cutting skills across many occupations and roles.</w:t>
            </w:r>
          </w:p>
          <w:p w14:paraId="55723A36" w14:textId="77777777" w:rsidR="00CD0C1E" w:rsidRPr="00ED6BF0" w:rsidRDefault="00CD0C1E" w:rsidP="00CD0C1E">
            <w:pPr>
              <w:numPr>
                <w:ilvl w:val="0"/>
                <w:numId w:val="32"/>
              </w:numPr>
              <w:spacing w:after="160" w:line="259" w:lineRule="auto"/>
              <w:contextualSpacing/>
              <w:rPr>
                <w:rFonts w:cstheme="minorHAnsi"/>
                <w:sz w:val="20"/>
                <w:szCs w:val="20"/>
              </w:rPr>
            </w:pPr>
            <w:r w:rsidRPr="00ED6BF0">
              <w:rPr>
                <w:rFonts w:cstheme="minorHAnsi"/>
                <w:sz w:val="20"/>
                <w:szCs w:val="20"/>
              </w:rPr>
              <w:t>Identified skills needs:</w:t>
            </w:r>
          </w:p>
          <w:p w14:paraId="1A300914" w14:textId="77777777" w:rsidR="00CD0C1E" w:rsidRPr="00ED6BF0" w:rsidRDefault="00CD0C1E" w:rsidP="00CD0C1E">
            <w:pPr>
              <w:numPr>
                <w:ilvl w:val="0"/>
                <w:numId w:val="32"/>
              </w:numPr>
              <w:spacing w:after="160" w:line="259" w:lineRule="auto"/>
              <w:contextualSpacing/>
              <w:rPr>
                <w:rFonts w:cstheme="minorHAnsi"/>
                <w:sz w:val="20"/>
                <w:szCs w:val="20"/>
              </w:rPr>
            </w:pPr>
            <w:r w:rsidRPr="00ED6BF0">
              <w:rPr>
                <w:rFonts w:cstheme="minorHAnsi"/>
                <w:sz w:val="20"/>
                <w:szCs w:val="20"/>
              </w:rPr>
              <w:t>Analytical thinking, reasoning, and innovation</w:t>
            </w:r>
          </w:p>
          <w:p w14:paraId="3FD9077A" w14:textId="77777777" w:rsidR="00CD0C1E" w:rsidRPr="00ED6BF0" w:rsidRDefault="00CD0C1E" w:rsidP="00CD0C1E">
            <w:pPr>
              <w:numPr>
                <w:ilvl w:val="0"/>
                <w:numId w:val="32"/>
              </w:numPr>
              <w:spacing w:after="160" w:line="259" w:lineRule="auto"/>
              <w:contextualSpacing/>
              <w:rPr>
                <w:rFonts w:cstheme="minorHAnsi"/>
                <w:sz w:val="20"/>
                <w:szCs w:val="20"/>
              </w:rPr>
            </w:pPr>
            <w:r w:rsidRPr="00ED6BF0">
              <w:rPr>
                <w:rFonts w:cstheme="minorHAnsi"/>
                <w:sz w:val="20"/>
                <w:szCs w:val="20"/>
              </w:rPr>
              <w:t>Active learning skills</w:t>
            </w:r>
          </w:p>
          <w:p w14:paraId="0400AA8A" w14:textId="77777777" w:rsidR="00CD0C1E" w:rsidRPr="00ED6BF0" w:rsidRDefault="00CD0C1E" w:rsidP="00CD0C1E">
            <w:pPr>
              <w:numPr>
                <w:ilvl w:val="0"/>
                <w:numId w:val="32"/>
              </w:numPr>
              <w:spacing w:after="160" w:line="259" w:lineRule="auto"/>
              <w:contextualSpacing/>
              <w:rPr>
                <w:rFonts w:cstheme="minorHAnsi"/>
                <w:sz w:val="20"/>
                <w:szCs w:val="20"/>
              </w:rPr>
            </w:pPr>
            <w:r w:rsidRPr="00ED6BF0">
              <w:rPr>
                <w:rFonts w:cstheme="minorHAnsi"/>
                <w:sz w:val="20"/>
                <w:szCs w:val="20"/>
              </w:rPr>
              <w:t>Communication skills</w:t>
            </w:r>
          </w:p>
          <w:p w14:paraId="289B3418" w14:textId="77777777" w:rsidR="00CD0C1E" w:rsidRPr="00ED6BF0" w:rsidRDefault="00CD0C1E" w:rsidP="00CD0C1E">
            <w:pPr>
              <w:numPr>
                <w:ilvl w:val="0"/>
                <w:numId w:val="32"/>
              </w:numPr>
              <w:spacing w:after="160" w:line="259" w:lineRule="auto"/>
              <w:contextualSpacing/>
              <w:rPr>
                <w:rFonts w:cstheme="minorHAnsi"/>
                <w:sz w:val="20"/>
                <w:szCs w:val="20"/>
              </w:rPr>
            </w:pPr>
            <w:r w:rsidRPr="00ED6BF0">
              <w:rPr>
                <w:rFonts w:cstheme="minorHAnsi"/>
                <w:sz w:val="20"/>
                <w:szCs w:val="20"/>
              </w:rPr>
              <w:t>Being able to teach and transfer knowledge</w:t>
            </w:r>
          </w:p>
          <w:p w14:paraId="652A4CE4" w14:textId="77777777" w:rsidR="00CD0C1E" w:rsidRPr="00ED6BF0" w:rsidRDefault="00CD0C1E" w:rsidP="00CD0C1E">
            <w:pPr>
              <w:numPr>
                <w:ilvl w:val="0"/>
                <w:numId w:val="32"/>
              </w:numPr>
              <w:spacing w:after="160" w:line="259" w:lineRule="auto"/>
              <w:contextualSpacing/>
              <w:rPr>
                <w:rFonts w:cstheme="minorHAnsi"/>
                <w:sz w:val="20"/>
                <w:szCs w:val="20"/>
              </w:rPr>
            </w:pPr>
            <w:r w:rsidRPr="00ED6BF0">
              <w:rPr>
                <w:rFonts w:cstheme="minorHAnsi"/>
                <w:sz w:val="20"/>
                <w:szCs w:val="20"/>
              </w:rPr>
              <w:t>Creativity and originality</w:t>
            </w:r>
          </w:p>
          <w:p w14:paraId="22D4AE4E" w14:textId="77777777" w:rsidR="00CD0C1E" w:rsidRPr="00ED6BF0" w:rsidRDefault="00CD0C1E" w:rsidP="00CD0C1E">
            <w:pPr>
              <w:numPr>
                <w:ilvl w:val="0"/>
                <w:numId w:val="32"/>
              </w:numPr>
              <w:spacing w:after="160" w:line="259" w:lineRule="auto"/>
              <w:contextualSpacing/>
              <w:rPr>
                <w:rFonts w:cstheme="minorHAnsi"/>
                <w:sz w:val="20"/>
                <w:szCs w:val="20"/>
              </w:rPr>
            </w:pPr>
            <w:r w:rsidRPr="00ED6BF0">
              <w:rPr>
                <w:rFonts w:cstheme="minorHAnsi"/>
                <w:sz w:val="20"/>
                <w:szCs w:val="20"/>
              </w:rPr>
              <w:t>Ability to adapt knowledge and experience to work</w:t>
            </w:r>
          </w:p>
          <w:p w14:paraId="542FBA41" w14:textId="77777777" w:rsidR="00CD0C1E" w:rsidRPr="00ED6BF0" w:rsidRDefault="00CD0C1E" w:rsidP="00CD0C1E">
            <w:pPr>
              <w:numPr>
                <w:ilvl w:val="0"/>
                <w:numId w:val="32"/>
              </w:numPr>
              <w:spacing w:after="160" w:line="259" w:lineRule="auto"/>
              <w:contextualSpacing/>
              <w:rPr>
                <w:rFonts w:cstheme="minorHAnsi"/>
                <w:sz w:val="20"/>
                <w:szCs w:val="20"/>
              </w:rPr>
            </w:pPr>
            <w:r w:rsidRPr="00ED6BF0">
              <w:rPr>
                <w:rFonts w:cstheme="minorHAnsi"/>
                <w:sz w:val="20"/>
                <w:szCs w:val="20"/>
              </w:rPr>
              <w:t>Teamwork through digital channels</w:t>
            </w:r>
          </w:p>
          <w:p w14:paraId="46093A3C" w14:textId="77777777" w:rsidR="00CD0C1E" w:rsidRPr="00ED6BF0" w:rsidRDefault="00CD0C1E" w:rsidP="00CD0C1E">
            <w:pPr>
              <w:numPr>
                <w:ilvl w:val="0"/>
                <w:numId w:val="32"/>
              </w:numPr>
              <w:spacing w:after="160" w:line="259" w:lineRule="auto"/>
              <w:contextualSpacing/>
              <w:rPr>
                <w:rFonts w:cstheme="minorHAnsi"/>
                <w:sz w:val="20"/>
                <w:szCs w:val="20"/>
              </w:rPr>
            </w:pPr>
            <w:r w:rsidRPr="00ED6BF0">
              <w:rPr>
                <w:rFonts w:cstheme="minorHAnsi"/>
                <w:sz w:val="20"/>
                <w:szCs w:val="20"/>
              </w:rPr>
              <w:t>Ability to serve through digital channels</w:t>
            </w:r>
          </w:p>
          <w:p w14:paraId="6B0BFBD7" w14:textId="77777777" w:rsidR="00CD0C1E" w:rsidRPr="00ED6BF0" w:rsidRDefault="00CD0C1E" w:rsidP="00CD0C1E">
            <w:pPr>
              <w:numPr>
                <w:ilvl w:val="0"/>
                <w:numId w:val="32"/>
              </w:numPr>
              <w:spacing w:after="160" w:line="259" w:lineRule="auto"/>
              <w:contextualSpacing/>
              <w:rPr>
                <w:rFonts w:cstheme="minorHAnsi"/>
                <w:sz w:val="20"/>
                <w:szCs w:val="20"/>
              </w:rPr>
            </w:pPr>
            <w:r w:rsidRPr="00ED6BF0">
              <w:rPr>
                <w:rFonts w:cstheme="minorHAnsi"/>
                <w:sz w:val="20"/>
                <w:szCs w:val="20"/>
              </w:rPr>
              <w:t>Taking initiatives</w:t>
            </w:r>
          </w:p>
          <w:p w14:paraId="45C96476" w14:textId="77777777" w:rsidR="00CD0C1E" w:rsidRPr="00ED6BF0" w:rsidRDefault="00CD0C1E" w:rsidP="00CD0C1E">
            <w:pPr>
              <w:numPr>
                <w:ilvl w:val="0"/>
                <w:numId w:val="32"/>
              </w:numPr>
              <w:spacing w:after="160" w:line="259" w:lineRule="auto"/>
              <w:contextualSpacing/>
              <w:rPr>
                <w:rFonts w:cstheme="minorHAnsi"/>
                <w:sz w:val="20"/>
                <w:szCs w:val="20"/>
              </w:rPr>
            </w:pPr>
            <w:r w:rsidRPr="00ED6BF0">
              <w:rPr>
                <w:rFonts w:cstheme="minorHAnsi"/>
                <w:sz w:val="20"/>
                <w:szCs w:val="20"/>
              </w:rPr>
              <w:t>Stress tolerance and flexibility</w:t>
            </w:r>
          </w:p>
          <w:p w14:paraId="5A1FD85C" w14:textId="77777777" w:rsidR="00CD0C1E" w:rsidRPr="00ED6BF0" w:rsidRDefault="00CD0C1E" w:rsidP="00CD0C1E">
            <w:pPr>
              <w:numPr>
                <w:ilvl w:val="0"/>
                <w:numId w:val="32"/>
              </w:numPr>
              <w:spacing w:after="160" w:line="259" w:lineRule="auto"/>
              <w:contextualSpacing/>
              <w:rPr>
                <w:rFonts w:cstheme="minorHAnsi"/>
                <w:sz w:val="20"/>
                <w:szCs w:val="20"/>
              </w:rPr>
            </w:pPr>
            <w:r w:rsidRPr="00ED6BF0">
              <w:rPr>
                <w:rFonts w:cstheme="minorHAnsi"/>
                <w:sz w:val="20"/>
                <w:szCs w:val="20"/>
              </w:rPr>
              <w:lastRenderedPageBreak/>
              <w:t>Foreign language</w:t>
            </w:r>
          </w:p>
          <w:p w14:paraId="12BC24EE" w14:textId="77777777" w:rsidR="00CD0C1E" w:rsidRPr="00ED6BF0" w:rsidRDefault="00CD0C1E" w:rsidP="00CD0C1E">
            <w:pPr>
              <w:numPr>
                <w:ilvl w:val="0"/>
                <w:numId w:val="32"/>
              </w:numPr>
              <w:spacing w:after="160" w:line="259" w:lineRule="auto"/>
              <w:contextualSpacing/>
              <w:rPr>
                <w:rFonts w:cstheme="minorHAnsi"/>
                <w:sz w:val="20"/>
                <w:szCs w:val="20"/>
              </w:rPr>
            </w:pPr>
            <w:r w:rsidRPr="00ED6BF0">
              <w:rPr>
                <w:rFonts w:cstheme="minorHAnsi"/>
                <w:sz w:val="20"/>
                <w:szCs w:val="20"/>
              </w:rPr>
              <w:t>Artificial intelligence</w:t>
            </w:r>
          </w:p>
          <w:p w14:paraId="56E17A54" w14:textId="77777777" w:rsidR="00CD0C1E" w:rsidRPr="00ED6BF0" w:rsidRDefault="00CD0C1E" w:rsidP="00CD0C1E">
            <w:pPr>
              <w:numPr>
                <w:ilvl w:val="0"/>
                <w:numId w:val="32"/>
              </w:numPr>
              <w:spacing w:after="160" w:line="259" w:lineRule="auto"/>
              <w:contextualSpacing/>
              <w:rPr>
                <w:rFonts w:cstheme="minorHAnsi"/>
                <w:sz w:val="20"/>
                <w:szCs w:val="20"/>
              </w:rPr>
            </w:pPr>
            <w:r w:rsidRPr="00ED6BF0">
              <w:rPr>
                <w:rFonts w:cstheme="minorHAnsi"/>
                <w:sz w:val="20"/>
                <w:szCs w:val="20"/>
              </w:rPr>
              <w:t>Data science and data analytics</w:t>
            </w:r>
          </w:p>
          <w:p w14:paraId="231EC760" w14:textId="77777777" w:rsidR="00CD0C1E" w:rsidRPr="00ED6BF0" w:rsidRDefault="00CD0C1E" w:rsidP="00CD0C1E">
            <w:pPr>
              <w:numPr>
                <w:ilvl w:val="0"/>
                <w:numId w:val="32"/>
              </w:numPr>
              <w:spacing w:after="160" w:line="259" w:lineRule="auto"/>
              <w:contextualSpacing/>
              <w:rPr>
                <w:rFonts w:cstheme="minorHAnsi"/>
                <w:sz w:val="20"/>
                <w:szCs w:val="20"/>
              </w:rPr>
            </w:pPr>
            <w:r w:rsidRPr="00ED6BF0">
              <w:rPr>
                <w:rFonts w:cstheme="minorHAnsi"/>
                <w:sz w:val="20"/>
                <w:szCs w:val="20"/>
              </w:rPr>
              <w:t>Ability to use VR (virtual reality)</w:t>
            </w:r>
          </w:p>
          <w:p w14:paraId="6ED38610" w14:textId="77777777" w:rsidR="00CD0C1E" w:rsidRPr="00ED6BF0" w:rsidRDefault="00CD0C1E" w:rsidP="00CD0C1E">
            <w:pPr>
              <w:numPr>
                <w:ilvl w:val="0"/>
                <w:numId w:val="32"/>
              </w:numPr>
              <w:spacing w:after="160" w:line="259" w:lineRule="auto"/>
              <w:contextualSpacing/>
              <w:rPr>
                <w:rFonts w:cstheme="minorHAnsi"/>
                <w:sz w:val="20"/>
                <w:szCs w:val="20"/>
              </w:rPr>
            </w:pPr>
            <w:r w:rsidRPr="00ED6BF0">
              <w:rPr>
                <w:rFonts w:cstheme="minorHAnsi"/>
                <w:sz w:val="20"/>
                <w:szCs w:val="20"/>
              </w:rPr>
              <w:t>3D printing capability</w:t>
            </w:r>
          </w:p>
          <w:p w14:paraId="43CB0BFF" w14:textId="77777777" w:rsidR="00CD0C1E" w:rsidRPr="00ED6BF0" w:rsidRDefault="00CD0C1E" w:rsidP="00CD0C1E">
            <w:pPr>
              <w:numPr>
                <w:ilvl w:val="0"/>
                <w:numId w:val="32"/>
              </w:numPr>
              <w:spacing w:after="160" w:line="259" w:lineRule="auto"/>
              <w:contextualSpacing/>
              <w:rPr>
                <w:rFonts w:cstheme="minorHAnsi"/>
                <w:b/>
                <w:bCs/>
                <w:sz w:val="20"/>
                <w:szCs w:val="20"/>
              </w:rPr>
            </w:pPr>
            <w:r w:rsidRPr="00ED6BF0">
              <w:rPr>
                <w:rFonts w:cstheme="minorHAnsi"/>
                <w:sz w:val="20"/>
                <w:szCs w:val="20"/>
              </w:rPr>
              <w:t>Use of wearable technologies</w:t>
            </w:r>
          </w:p>
        </w:tc>
      </w:tr>
      <w:tr w:rsidR="00CD0C1E" w:rsidRPr="00ED6BF0" w14:paraId="1F0A75B9" w14:textId="77777777" w:rsidTr="00CD0C1E">
        <w:trPr>
          <w:trHeight w:val="310"/>
        </w:trPr>
        <w:tc>
          <w:tcPr>
            <w:tcW w:w="1800" w:type="dxa"/>
            <w:shd w:val="clear" w:color="auto" w:fill="FBE4D5" w:themeFill="accent2" w:themeFillTint="33"/>
          </w:tcPr>
          <w:p w14:paraId="699BF5B6" w14:textId="77777777" w:rsidR="00CD0C1E" w:rsidRPr="00ED6BF0" w:rsidRDefault="00CD0C1E" w:rsidP="00CD0C1E">
            <w:pPr>
              <w:spacing w:after="160" w:line="259" w:lineRule="auto"/>
              <w:rPr>
                <w:rFonts w:cstheme="minorHAnsi"/>
                <w:b/>
                <w:bCs/>
                <w:sz w:val="20"/>
                <w:szCs w:val="20"/>
              </w:rPr>
            </w:pPr>
            <w:r w:rsidRPr="00ED6BF0">
              <w:rPr>
                <w:rFonts w:cstheme="minorHAnsi"/>
                <w:b/>
                <w:bCs/>
                <w:sz w:val="20"/>
                <w:szCs w:val="20"/>
              </w:rPr>
              <w:lastRenderedPageBreak/>
              <w:t>Training, work force development and upskilling</w:t>
            </w:r>
          </w:p>
        </w:tc>
        <w:tc>
          <w:tcPr>
            <w:tcW w:w="1800" w:type="dxa"/>
            <w:shd w:val="clear" w:color="auto" w:fill="FBE4D5" w:themeFill="accent2" w:themeFillTint="33"/>
          </w:tcPr>
          <w:p w14:paraId="1F2E39FC" w14:textId="77777777" w:rsidR="00CD0C1E" w:rsidRPr="00ED6BF0" w:rsidRDefault="00CD0C1E" w:rsidP="00CD0C1E">
            <w:pPr>
              <w:spacing w:after="160" w:line="259" w:lineRule="auto"/>
              <w:rPr>
                <w:rFonts w:cstheme="minorHAnsi"/>
                <w:b/>
                <w:bCs/>
                <w:sz w:val="20"/>
                <w:szCs w:val="20"/>
              </w:rPr>
            </w:pPr>
            <w:r w:rsidRPr="00ED6BF0">
              <w:rPr>
                <w:rFonts w:cstheme="minorHAnsi"/>
                <w:b/>
                <w:bCs/>
                <w:sz w:val="20"/>
                <w:szCs w:val="20"/>
              </w:rPr>
              <w:t>Training needs</w:t>
            </w:r>
          </w:p>
        </w:tc>
        <w:tc>
          <w:tcPr>
            <w:tcW w:w="6120" w:type="dxa"/>
            <w:shd w:val="clear" w:color="auto" w:fill="FBE4D5" w:themeFill="accent2" w:themeFillTint="33"/>
          </w:tcPr>
          <w:p w14:paraId="4B733D7B" w14:textId="77777777" w:rsidR="00CD0C1E" w:rsidRPr="00ED6BF0" w:rsidRDefault="00CD0C1E" w:rsidP="00CD0C1E">
            <w:pPr>
              <w:numPr>
                <w:ilvl w:val="0"/>
                <w:numId w:val="33"/>
              </w:numPr>
              <w:spacing w:after="160" w:line="259" w:lineRule="auto"/>
              <w:contextualSpacing/>
              <w:rPr>
                <w:rFonts w:cstheme="minorHAnsi"/>
                <w:sz w:val="20"/>
                <w:szCs w:val="20"/>
              </w:rPr>
            </w:pPr>
            <w:r w:rsidRPr="00ED6BF0">
              <w:rPr>
                <w:rFonts w:cstheme="minorHAnsi"/>
                <w:sz w:val="20"/>
                <w:szCs w:val="20"/>
              </w:rPr>
              <w:t xml:space="preserve">A general and sectoral training needs assessment is important to identify performance requirements and the knowledge, skills, and abilities needed by sectoral workforce to achieve the requirements. The training needs analysis can be conducted through a representative skill survey. </w:t>
            </w:r>
          </w:p>
        </w:tc>
      </w:tr>
      <w:tr w:rsidR="00CD0C1E" w:rsidRPr="00ED6BF0" w14:paraId="6289572F" w14:textId="77777777" w:rsidTr="00CD0C1E">
        <w:trPr>
          <w:trHeight w:val="310"/>
        </w:trPr>
        <w:tc>
          <w:tcPr>
            <w:tcW w:w="1800" w:type="dxa"/>
            <w:shd w:val="clear" w:color="auto" w:fill="FBE4D5" w:themeFill="accent2" w:themeFillTint="33"/>
          </w:tcPr>
          <w:p w14:paraId="6F52EC1B" w14:textId="77777777" w:rsidR="00CD0C1E" w:rsidRPr="00ED6BF0" w:rsidRDefault="00CD0C1E" w:rsidP="00CD0C1E">
            <w:pPr>
              <w:spacing w:after="160" w:line="259" w:lineRule="auto"/>
              <w:rPr>
                <w:rFonts w:cstheme="minorHAnsi"/>
                <w:b/>
                <w:bCs/>
                <w:sz w:val="20"/>
                <w:szCs w:val="20"/>
              </w:rPr>
            </w:pPr>
          </w:p>
        </w:tc>
        <w:tc>
          <w:tcPr>
            <w:tcW w:w="1800" w:type="dxa"/>
            <w:shd w:val="clear" w:color="auto" w:fill="FBE4D5" w:themeFill="accent2" w:themeFillTint="33"/>
          </w:tcPr>
          <w:p w14:paraId="5B38C6F6" w14:textId="77777777" w:rsidR="00CD0C1E" w:rsidRPr="00ED6BF0" w:rsidRDefault="00CD0C1E" w:rsidP="00CD0C1E">
            <w:pPr>
              <w:spacing w:after="160" w:line="259" w:lineRule="auto"/>
              <w:rPr>
                <w:rFonts w:cstheme="minorHAnsi"/>
                <w:b/>
                <w:bCs/>
                <w:sz w:val="20"/>
                <w:szCs w:val="20"/>
              </w:rPr>
            </w:pPr>
            <w:r w:rsidRPr="00ED6BF0">
              <w:rPr>
                <w:rFonts w:cstheme="minorHAnsi"/>
                <w:b/>
                <w:bCs/>
                <w:sz w:val="20"/>
                <w:szCs w:val="20"/>
              </w:rPr>
              <w:t>Training to existing staff</w:t>
            </w:r>
          </w:p>
        </w:tc>
        <w:tc>
          <w:tcPr>
            <w:tcW w:w="6120" w:type="dxa"/>
            <w:tcBorders>
              <w:right w:val="nil"/>
            </w:tcBorders>
            <w:shd w:val="clear" w:color="auto" w:fill="FBE4D5" w:themeFill="accent2" w:themeFillTint="33"/>
          </w:tcPr>
          <w:p w14:paraId="2C35AEA6" w14:textId="77777777" w:rsidR="00CD0C1E" w:rsidRPr="00ED6BF0" w:rsidRDefault="00CD0C1E" w:rsidP="00CD0C1E">
            <w:pPr>
              <w:numPr>
                <w:ilvl w:val="0"/>
                <w:numId w:val="33"/>
              </w:numPr>
              <w:spacing w:after="160" w:line="259" w:lineRule="auto"/>
              <w:contextualSpacing/>
              <w:rPr>
                <w:rFonts w:cstheme="minorHAnsi"/>
                <w:sz w:val="20"/>
                <w:szCs w:val="20"/>
              </w:rPr>
            </w:pPr>
            <w:r w:rsidRPr="00ED6BF0">
              <w:rPr>
                <w:rFonts w:cstheme="minorHAnsi"/>
                <w:sz w:val="20"/>
                <w:szCs w:val="20"/>
              </w:rPr>
              <w:t xml:space="preserve">Providing in-service digital trainings to increase the skills of experienced workers regarding the use of new technologies especially digital technologies. </w:t>
            </w:r>
          </w:p>
          <w:p w14:paraId="2279E3A2" w14:textId="77777777" w:rsidR="00CD0C1E" w:rsidRPr="00ED6BF0" w:rsidRDefault="00CD0C1E" w:rsidP="00CD0C1E">
            <w:pPr>
              <w:numPr>
                <w:ilvl w:val="0"/>
                <w:numId w:val="33"/>
              </w:numPr>
              <w:spacing w:after="160" w:line="259" w:lineRule="auto"/>
              <w:contextualSpacing/>
              <w:rPr>
                <w:rFonts w:cstheme="minorHAnsi"/>
                <w:sz w:val="20"/>
                <w:szCs w:val="20"/>
              </w:rPr>
            </w:pPr>
            <w:r w:rsidRPr="00ED6BF0">
              <w:rPr>
                <w:rFonts w:cstheme="minorHAnsi"/>
                <w:sz w:val="20"/>
                <w:szCs w:val="20"/>
              </w:rPr>
              <w:t>Partnership of industry and TVET institutions (experts to contribute to the curriculum as well as deliver training digitally) + industry financing of TVET programmes.</w:t>
            </w:r>
          </w:p>
          <w:p w14:paraId="391E82B6" w14:textId="77777777" w:rsidR="00CD0C1E" w:rsidRPr="00ED6BF0" w:rsidRDefault="00CD0C1E" w:rsidP="00CD0C1E">
            <w:pPr>
              <w:numPr>
                <w:ilvl w:val="0"/>
                <w:numId w:val="33"/>
              </w:numPr>
              <w:spacing w:after="160" w:line="259" w:lineRule="auto"/>
              <w:contextualSpacing/>
              <w:rPr>
                <w:rFonts w:cstheme="minorHAnsi"/>
                <w:sz w:val="20"/>
                <w:szCs w:val="20"/>
              </w:rPr>
            </w:pPr>
            <w:r w:rsidRPr="00ED6BF0">
              <w:rPr>
                <w:rFonts w:cstheme="minorHAnsi"/>
                <w:sz w:val="20"/>
                <w:szCs w:val="20"/>
              </w:rPr>
              <w:t>Public-private partnerships for meeting sectoral labour requirements, promoting national skill standards, providing on-the-job training, and improving the quality of training overall.</w:t>
            </w:r>
          </w:p>
        </w:tc>
      </w:tr>
      <w:tr w:rsidR="00CD0C1E" w:rsidRPr="00ED6BF0" w14:paraId="17B6B206" w14:textId="77777777" w:rsidTr="00CD0C1E">
        <w:trPr>
          <w:trHeight w:val="310"/>
        </w:trPr>
        <w:tc>
          <w:tcPr>
            <w:tcW w:w="1800" w:type="dxa"/>
            <w:shd w:val="clear" w:color="auto" w:fill="FBE4D5" w:themeFill="accent2" w:themeFillTint="33"/>
          </w:tcPr>
          <w:p w14:paraId="49E28276" w14:textId="77777777" w:rsidR="00CD0C1E" w:rsidRPr="00ED6BF0" w:rsidRDefault="00CD0C1E" w:rsidP="00CD0C1E">
            <w:pPr>
              <w:spacing w:after="160" w:line="259" w:lineRule="auto"/>
              <w:rPr>
                <w:rFonts w:cstheme="minorHAnsi"/>
                <w:b/>
                <w:bCs/>
                <w:sz w:val="20"/>
                <w:szCs w:val="20"/>
              </w:rPr>
            </w:pPr>
            <w:r w:rsidRPr="00ED6BF0">
              <w:rPr>
                <w:rFonts w:cstheme="minorHAnsi"/>
                <w:b/>
                <w:bCs/>
                <w:sz w:val="20"/>
                <w:szCs w:val="20"/>
              </w:rPr>
              <w:t>Gender perspective</w:t>
            </w:r>
          </w:p>
        </w:tc>
        <w:tc>
          <w:tcPr>
            <w:tcW w:w="1800" w:type="dxa"/>
            <w:shd w:val="clear" w:color="auto" w:fill="FBE4D5" w:themeFill="accent2" w:themeFillTint="33"/>
          </w:tcPr>
          <w:p w14:paraId="11B3C149" w14:textId="77777777" w:rsidR="00CD0C1E" w:rsidRPr="00ED6BF0" w:rsidRDefault="00CD0C1E" w:rsidP="00CD0C1E">
            <w:pPr>
              <w:spacing w:after="160" w:line="259" w:lineRule="auto"/>
              <w:rPr>
                <w:rFonts w:cstheme="minorHAnsi"/>
                <w:b/>
                <w:bCs/>
                <w:sz w:val="20"/>
                <w:szCs w:val="20"/>
              </w:rPr>
            </w:pPr>
            <w:r w:rsidRPr="00ED6BF0">
              <w:rPr>
                <w:rFonts w:cstheme="minorHAnsi"/>
                <w:b/>
                <w:bCs/>
                <w:sz w:val="20"/>
                <w:szCs w:val="20"/>
              </w:rPr>
              <w:t>Role modelling</w:t>
            </w:r>
          </w:p>
        </w:tc>
        <w:tc>
          <w:tcPr>
            <w:tcW w:w="6120" w:type="dxa"/>
            <w:shd w:val="clear" w:color="auto" w:fill="FBE4D5" w:themeFill="accent2" w:themeFillTint="33"/>
          </w:tcPr>
          <w:p w14:paraId="380ACDE2" w14:textId="77777777" w:rsidR="00CD0C1E" w:rsidRPr="00ED6BF0" w:rsidRDefault="00CD0C1E" w:rsidP="00CD0C1E">
            <w:pPr>
              <w:numPr>
                <w:ilvl w:val="0"/>
                <w:numId w:val="34"/>
              </w:numPr>
              <w:spacing w:after="160" w:line="259" w:lineRule="auto"/>
              <w:contextualSpacing/>
              <w:rPr>
                <w:rFonts w:cstheme="minorHAnsi"/>
                <w:sz w:val="20"/>
                <w:szCs w:val="20"/>
              </w:rPr>
            </w:pPr>
            <w:r w:rsidRPr="00ED6BF0">
              <w:rPr>
                <w:rFonts w:cstheme="minorHAnsi"/>
                <w:sz w:val="20"/>
                <w:szCs w:val="20"/>
              </w:rPr>
              <w:t>Continue supporting women full and effective participation in the labour market with equal opportunities.</w:t>
            </w:r>
          </w:p>
          <w:p w14:paraId="11893211" w14:textId="77777777" w:rsidR="00CD0C1E" w:rsidRPr="00ED6BF0" w:rsidRDefault="00CD0C1E" w:rsidP="00CD0C1E">
            <w:pPr>
              <w:numPr>
                <w:ilvl w:val="0"/>
                <w:numId w:val="34"/>
              </w:numPr>
              <w:spacing w:after="160" w:line="259" w:lineRule="auto"/>
              <w:contextualSpacing/>
              <w:rPr>
                <w:rFonts w:cstheme="minorHAnsi"/>
                <w:sz w:val="20"/>
                <w:szCs w:val="20"/>
              </w:rPr>
            </w:pPr>
            <w:r w:rsidRPr="00ED6BF0">
              <w:rPr>
                <w:rFonts w:cstheme="minorHAnsi"/>
                <w:sz w:val="20"/>
                <w:szCs w:val="20"/>
              </w:rPr>
              <w:t>Increase nursery facilities and support postpartum part-time / flexible and remote work possibilities.</w:t>
            </w:r>
          </w:p>
          <w:p w14:paraId="57527D48" w14:textId="77777777" w:rsidR="00CD0C1E" w:rsidRPr="00ED6BF0" w:rsidRDefault="00CD0C1E" w:rsidP="00CD0C1E">
            <w:pPr>
              <w:numPr>
                <w:ilvl w:val="0"/>
                <w:numId w:val="34"/>
              </w:numPr>
              <w:spacing w:after="160" w:line="259" w:lineRule="auto"/>
              <w:contextualSpacing/>
              <w:rPr>
                <w:rFonts w:cstheme="minorHAnsi"/>
                <w:sz w:val="20"/>
                <w:szCs w:val="20"/>
              </w:rPr>
            </w:pPr>
            <w:r w:rsidRPr="00ED6BF0">
              <w:rPr>
                <w:rFonts w:cstheme="minorHAnsi"/>
                <w:sz w:val="20"/>
                <w:szCs w:val="20"/>
              </w:rPr>
              <w:t>Enhance the use of enabling technology, in particular information and communications technology, to promote the empowerment of women.</w:t>
            </w:r>
          </w:p>
          <w:p w14:paraId="129D1B76" w14:textId="77777777" w:rsidR="00CD0C1E" w:rsidRPr="00ED6BF0" w:rsidRDefault="00CD0C1E" w:rsidP="00CD0C1E">
            <w:pPr>
              <w:numPr>
                <w:ilvl w:val="0"/>
                <w:numId w:val="34"/>
              </w:numPr>
              <w:spacing w:after="160" w:line="259" w:lineRule="auto"/>
              <w:contextualSpacing/>
              <w:rPr>
                <w:rFonts w:cstheme="minorHAnsi"/>
                <w:sz w:val="20"/>
                <w:szCs w:val="20"/>
              </w:rPr>
            </w:pPr>
            <w:r w:rsidRPr="00ED6BF0">
              <w:rPr>
                <w:rFonts w:cstheme="minorHAnsi"/>
                <w:sz w:val="20"/>
                <w:szCs w:val="20"/>
              </w:rPr>
              <w:t>Arrange working hours in some sectors if there is no flexible or remote work possibilities.</w:t>
            </w:r>
          </w:p>
          <w:p w14:paraId="30332B5A" w14:textId="77777777" w:rsidR="00CD0C1E" w:rsidRPr="00ED6BF0" w:rsidRDefault="00CD0C1E" w:rsidP="00CD0C1E">
            <w:pPr>
              <w:numPr>
                <w:ilvl w:val="0"/>
                <w:numId w:val="34"/>
              </w:numPr>
              <w:spacing w:after="160" w:line="259" w:lineRule="auto"/>
              <w:contextualSpacing/>
              <w:rPr>
                <w:rFonts w:cstheme="minorHAnsi"/>
                <w:sz w:val="20"/>
                <w:szCs w:val="20"/>
              </w:rPr>
            </w:pPr>
            <w:r w:rsidRPr="00ED6BF0">
              <w:rPr>
                <w:rFonts w:cstheme="minorHAnsi"/>
                <w:sz w:val="20"/>
                <w:szCs w:val="20"/>
              </w:rPr>
              <w:t>Promote the visibility of role model female managers by supporting women managers working groups or networking events.</w:t>
            </w:r>
          </w:p>
          <w:p w14:paraId="3612D8FD" w14:textId="77777777" w:rsidR="00CD0C1E" w:rsidRPr="00ED6BF0" w:rsidRDefault="00CD0C1E" w:rsidP="00CD0C1E">
            <w:pPr>
              <w:numPr>
                <w:ilvl w:val="0"/>
                <w:numId w:val="34"/>
              </w:numPr>
              <w:spacing w:after="160" w:line="259" w:lineRule="auto"/>
              <w:contextualSpacing/>
              <w:rPr>
                <w:rFonts w:cstheme="minorHAnsi"/>
                <w:sz w:val="20"/>
                <w:szCs w:val="20"/>
              </w:rPr>
            </w:pPr>
            <w:r w:rsidRPr="00ED6BF0">
              <w:rPr>
                <w:rFonts w:cstheme="minorHAnsi"/>
                <w:sz w:val="20"/>
                <w:szCs w:val="20"/>
              </w:rPr>
              <w:t>Adopt measures to ensure and monitor that women employees’ participating in-house training equally.</w:t>
            </w:r>
          </w:p>
          <w:p w14:paraId="0C1B2BB8" w14:textId="77777777" w:rsidR="00CD0C1E" w:rsidRPr="00ED6BF0" w:rsidRDefault="00CD0C1E" w:rsidP="00CD0C1E">
            <w:pPr>
              <w:numPr>
                <w:ilvl w:val="0"/>
                <w:numId w:val="34"/>
              </w:numPr>
              <w:spacing w:after="160" w:line="259" w:lineRule="auto"/>
              <w:contextualSpacing/>
              <w:rPr>
                <w:rFonts w:cstheme="minorHAnsi"/>
                <w:sz w:val="20"/>
                <w:szCs w:val="20"/>
              </w:rPr>
            </w:pPr>
            <w:r w:rsidRPr="00ED6BF0">
              <w:rPr>
                <w:rFonts w:cstheme="minorHAnsi"/>
                <w:sz w:val="20"/>
                <w:szCs w:val="20"/>
              </w:rPr>
              <w:t>Support businesses for gender-equality training.</w:t>
            </w:r>
          </w:p>
          <w:p w14:paraId="0968E21A" w14:textId="77777777" w:rsidR="00CD0C1E" w:rsidRPr="00ED6BF0" w:rsidRDefault="00CD0C1E" w:rsidP="00CD0C1E">
            <w:pPr>
              <w:numPr>
                <w:ilvl w:val="0"/>
                <w:numId w:val="34"/>
              </w:numPr>
              <w:spacing w:after="160" w:line="259" w:lineRule="auto"/>
              <w:contextualSpacing/>
              <w:rPr>
                <w:rFonts w:cstheme="minorHAnsi"/>
                <w:b/>
                <w:bCs/>
                <w:sz w:val="20"/>
                <w:szCs w:val="20"/>
              </w:rPr>
            </w:pPr>
            <w:r w:rsidRPr="00ED6BF0">
              <w:rPr>
                <w:rFonts w:cstheme="minorHAnsi"/>
                <w:sz w:val="20"/>
                <w:szCs w:val="20"/>
              </w:rPr>
              <w:t>Provide psychological support for work-life balance.</w:t>
            </w:r>
          </w:p>
        </w:tc>
      </w:tr>
      <w:tr w:rsidR="00CD0C1E" w:rsidRPr="00ED6BF0" w14:paraId="1C208590" w14:textId="77777777" w:rsidTr="00CD0C1E">
        <w:trPr>
          <w:trHeight w:val="310"/>
        </w:trPr>
        <w:tc>
          <w:tcPr>
            <w:tcW w:w="1800" w:type="dxa"/>
            <w:shd w:val="clear" w:color="auto" w:fill="FBE4D5" w:themeFill="accent2" w:themeFillTint="33"/>
          </w:tcPr>
          <w:p w14:paraId="56D85AF5" w14:textId="77777777" w:rsidR="00CD0C1E" w:rsidRPr="00ED6BF0" w:rsidRDefault="00CD0C1E" w:rsidP="00CD0C1E">
            <w:pPr>
              <w:spacing w:after="160" w:line="259" w:lineRule="auto"/>
              <w:rPr>
                <w:rFonts w:cstheme="minorHAnsi"/>
                <w:b/>
                <w:bCs/>
                <w:sz w:val="20"/>
                <w:szCs w:val="20"/>
              </w:rPr>
            </w:pPr>
            <w:r w:rsidRPr="00ED6BF0">
              <w:rPr>
                <w:rFonts w:cstheme="minorHAnsi"/>
                <w:b/>
                <w:bCs/>
                <w:sz w:val="20"/>
                <w:szCs w:val="20"/>
              </w:rPr>
              <w:t>Disability perspective</w:t>
            </w:r>
          </w:p>
        </w:tc>
        <w:tc>
          <w:tcPr>
            <w:tcW w:w="1800" w:type="dxa"/>
            <w:shd w:val="clear" w:color="auto" w:fill="FBE4D5" w:themeFill="accent2" w:themeFillTint="33"/>
          </w:tcPr>
          <w:p w14:paraId="45264D7C" w14:textId="77777777" w:rsidR="00CD0C1E" w:rsidRPr="00ED6BF0" w:rsidRDefault="00CD0C1E" w:rsidP="00CD0C1E">
            <w:pPr>
              <w:spacing w:after="160" w:line="259" w:lineRule="auto"/>
              <w:rPr>
                <w:rFonts w:cstheme="minorHAnsi"/>
                <w:b/>
                <w:bCs/>
                <w:sz w:val="20"/>
                <w:szCs w:val="20"/>
              </w:rPr>
            </w:pPr>
            <w:r w:rsidRPr="00ED6BF0">
              <w:rPr>
                <w:rFonts w:cstheme="minorHAnsi"/>
                <w:b/>
                <w:bCs/>
                <w:sz w:val="20"/>
                <w:szCs w:val="20"/>
              </w:rPr>
              <w:t xml:space="preserve">PwDs participation in Labour Force </w:t>
            </w:r>
          </w:p>
        </w:tc>
        <w:tc>
          <w:tcPr>
            <w:tcW w:w="6120" w:type="dxa"/>
            <w:shd w:val="clear" w:color="auto" w:fill="FBE4D5" w:themeFill="accent2" w:themeFillTint="33"/>
          </w:tcPr>
          <w:p w14:paraId="697757C6" w14:textId="77777777" w:rsidR="00CD0C1E" w:rsidRPr="00ED6BF0" w:rsidRDefault="00CD0C1E" w:rsidP="00CD0C1E">
            <w:pPr>
              <w:numPr>
                <w:ilvl w:val="0"/>
                <w:numId w:val="35"/>
              </w:numPr>
              <w:spacing w:after="160" w:line="259" w:lineRule="auto"/>
              <w:contextualSpacing/>
              <w:rPr>
                <w:rFonts w:cstheme="minorHAnsi"/>
                <w:sz w:val="20"/>
                <w:szCs w:val="20"/>
              </w:rPr>
            </w:pPr>
            <w:r w:rsidRPr="00ED6BF0">
              <w:rPr>
                <w:rFonts w:cstheme="minorHAnsi"/>
                <w:sz w:val="20"/>
                <w:szCs w:val="20"/>
              </w:rPr>
              <w:t>Continue supporting PwDs through the development plans, national education and labour market strategies, especially through sectoral strategies.</w:t>
            </w:r>
          </w:p>
          <w:p w14:paraId="226F3CF2" w14:textId="77777777" w:rsidR="00CD0C1E" w:rsidRPr="00ED6BF0" w:rsidRDefault="00CD0C1E" w:rsidP="00CD0C1E">
            <w:pPr>
              <w:numPr>
                <w:ilvl w:val="0"/>
                <w:numId w:val="35"/>
              </w:numPr>
              <w:spacing w:after="160" w:line="259" w:lineRule="auto"/>
              <w:contextualSpacing/>
              <w:rPr>
                <w:rFonts w:cstheme="minorHAnsi"/>
                <w:sz w:val="20"/>
                <w:szCs w:val="20"/>
              </w:rPr>
            </w:pPr>
            <w:r w:rsidRPr="00ED6BF0">
              <w:rPr>
                <w:rFonts w:cstheme="minorHAnsi"/>
                <w:sz w:val="20"/>
                <w:szCs w:val="20"/>
              </w:rPr>
              <w:t xml:space="preserve">Regulate remote work for PwDs, adopt specific measures to promote the employment of PwDs in different sectors. </w:t>
            </w:r>
          </w:p>
          <w:p w14:paraId="2081C69D" w14:textId="77777777" w:rsidR="00CD0C1E" w:rsidRPr="00ED6BF0" w:rsidRDefault="00CD0C1E" w:rsidP="00CD0C1E">
            <w:pPr>
              <w:numPr>
                <w:ilvl w:val="0"/>
                <w:numId w:val="35"/>
              </w:numPr>
              <w:spacing w:after="160" w:line="259" w:lineRule="auto"/>
              <w:contextualSpacing/>
              <w:rPr>
                <w:rFonts w:cstheme="minorHAnsi"/>
                <w:sz w:val="20"/>
                <w:szCs w:val="20"/>
              </w:rPr>
            </w:pPr>
            <w:r w:rsidRPr="00ED6BF0">
              <w:rPr>
                <w:rFonts w:cstheme="minorHAnsi"/>
                <w:sz w:val="20"/>
                <w:szCs w:val="20"/>
              </w:rPr>
              <w:t>Support the use of assistive technologies and applications for PwDs to take their places in the labour market.</w:t>
            </w:r>
          </w:p>
          <w:p w14:paraId="2DAD3F71" w14:textId="77777777" w:rsidR="00CD0C1E" w:rsidRPr="00ED6BF0" w:rsidRDefault="00CD0C1E" w:rsidP="00CD0C1E">
            <w:pPr>
              <w:numPr>
                <w:ilvl w:val="0"/>
                <w:numId w:val="35"/>
              </w:numPr>
              <w:spacing w:after="160" w:line="259" w:lineRule="auto"/>
              <w:contextualSpacing/>
              <w:rPr>
                <w:rFonts w:cstheme="minorHAnsi"/>
                <w:sz w:val="20"/>
                <w:szCs w:val="20"/>
              </w:rPr>
            </w:pPr>
            <w:r w:rsidRPr="00ED6BF0">
              <w:rPr>
                <w:rFonts w:cstheme="minorHAnsi"/>
                <w:sz w:val="20"/>
                <w:szCs w:val="20"/>
              </w:rPr>
              <w:t>Support developers of assistive technologies and applications for PwDs.</w:t>
            </w:r>
          </w:p>
          <w:p w14:paraId="6A6793B0" w14:textId="77777777" w:rsidR="00CD0C1E" w:rsidRPr="00ED6BF0" w:rsidRDefault="00CD0C1E" w:rsidP="00CD0C1E">
            <w:pPr>
              <w:numPr>
                <w:ilvl w:val="0"/>
                <w:numId w:val="35"/>
              </w:numPr>
              <w:spacing w:after="160" w:line="259" w:lineRule="auto"/>
              <w:contextualSpacing/>
              <w:rPr>
                <w:rFonts w:cstheme="minorHAnsi"/>
                <w:sz w:val="20"/>
                <w:szCs w:val="20"/>
              </w:rPr>
            </w:pPr>
            <w:r w:rsidRPr="00ED6BF0">
              <w:rPr>
                <w:rFonts w:cstheme="minorHAnsi"/>
                <w:sz w:val="20"/>
                <w:szCs w:val="20"/>
              </w:rPr>
              <w:lastRenderedPageBreak/>
              <w:t>Strengthen statistics for disaggregating PwDs in labour force, develop indicators.</w:t>
            </w:r>
          </w:p>
          <w:p w14:paraId="2299A546" w14:textId="77777777" w:rsidR="00CD0C1E" w:rsidRPr="00ED6BF0" w:rsidRDefault="00CD0C1E" w:rsidP="00CD0C1E">
            <w:pPr>
              <w:numPr>
                <w:ilvl w:val="0"/>
                <w:numId w:val="35"/>
              </w:numPr>
              <w:spacing w:after="160" w:line="259" w:lineRule="auto"/>
              <w:contextualSpacing/>
              <w:rPr>
                <w:rFonts w:cstheme="minorHAnsi"/>
                <w:sz w:val="20"/>
                <w:szCs w:val="20"/>
              </w:rPr>
            </w:pPr>
            <w:r w:rsidRPr="00ED6BF0">
              <w:rPr>
                <w:rFonts w:cstheme="minorHAnsi"/>
                <w:sz w:val="20"/>
                <w:szCs w:val="20"/>
              </w:rPr>
              <w:t xml:space="preserve"> Monitor the implementation of disability inclusive labour policies by setting indicators, milestones, and targets.</w:t>
            </w:r>
          </w:p>
          <w:p w14:paraId="7B663C34" w14:textId="77777777" w:rsidR="00CD0C1E" w:rsidRPr="00ED6BF0" w:rsidRDefault="00CD0C1E" w:rsidP="00CD0C1E">
            <w:pPr>
              <w:numPr>
                <w:ilvl w:val="0"/>
                <w:numId w:val="35"/>
              </w:numPr>
              <w:spacing w:after="160" w:line="259" w:lineRule="auto"/>
              <w:contextualSpacing/>
              <w:rPr>
                <w:rFonts w:cstheme="minorHAnsi"/>
                <w:sz w:val="20"/>
                <w:szCs w:val="20"/>
              </w:rPr>
            </w:pPr>
            <w:r w:rsidRPr="00ED6BF0">
              <w:rPr>
                <w:rFonts w:cstheme="minorHAnsi"/>
                <w:sz w:val="20"/>
                <w:szCs w:val="20"/>
              </w:rPr>
              <w:t xml:space="preserve"> Adopt measures to ensure and monitor that PwDs access equal pay for equal work.</w:t>
            </w:r>
          </w:p>
        </w:tc>
      </w:tr>
      <w:tr w:rsidR="00CD0C1E" w:rsidRPr="00ED6BF0" w14:paraId="568A7E74" w14:textId="77777777" w:rsidTr="00CD0C1E">
        <w:trPr>
          <w:trHeight w:val="980"/>
        </w:trPr>
        <w:tc>
          <w:tcPr>
            <w:tcW w:w="1800" w:type="dxa"/>
            <w:shd w:val="clear" w:color="auto" w:fill="FBE4D5" w:themeFill="accent2" w:themeFillTint="33"/>
          </w:tcPr>
          <w:p w14:paraId="26B0A3BB" w14:textId="77777777" w:rsidR="00CD0C1E" w:rsidRPr="00ED6BF0" w:rsidRDefault="00CD0C1E" w:rsidP="00CD0C1E">
            <w:pPr>
              <w:spacing w:after="160" w:line="259" w:lineRule="auto"/>
              <w:rPr>
                <w:rFonts w:cstheme="minorHAnsi"/>
                <w:b/>
                <w:bCs/>
                <w:sz w:val="20"/>
                <w:szCs w:val="20"/>
              </w:rPr>
            </w:pPr>
          </w:p>
        </w:tc>
        <w:tc>
          <w:tcPr>
            <w:tcW w:w="1800" w:type="dxa"/>
            <w:shd w:val="clear" w:color="auto" w:fill="FBE4D5" w:themeFill="accent2" w:themeFillTint="33"/>
          </w:tcPr>
          <w:p w14:paraId="6185FC2C" w14:textId="77777777" w:rsidR="00CD0C1E" w:rsidRPr="00ED6BF0" w:rsidRDefault="00CD0C1E" w:rsidP="00CD0C1E">
            <w:pPr>
              <w:spacing w:after="160" w:line="259" w:lineRule="auto"/>
              <w:rPr>
                <w:rFonts w:cstheme="minorHAnsi"/>
                <w:b/>
                <w:bCs/>
                <w:sz w:val="20"/>
                <w:szCs w:val="20"/>
              </w:rPr>
            </w:pPr>
            <w:r w:rsidRPr="00ED6BF0">
              <w:rPr>
                <w:rFonts w:cstheme="minorHAnsi"/>
                <w:b/>
                <w:bCs/>
                <w:sz w:val="20"/>
                <w:szCs w:val="20"/>
              </w:rPr>
              <w:t>Increasing participation in education and renewing curricula for education</w:t>
            </w:r>
          </w:p>
        </w:tc>
        <w:tc>
          <w:tcPr>
            <w:tcW w:w="6120" w:type="dxa"/>
            <w:shd w:val="clear" w:color="auto" w:fill="FBE4D5" w:themeFill="accent2" w:themeFillTint="33"/>
          </w:tcPr>
          <w:p w14:paraId="6C280983" w14:textId="77777777" w:rsidR="00CD0C1E" w:rsidRPr="00ED6BF0" w:rsidRDefault="00CD0C1E" w:rsidP="00CD0C1E">
            <w:pPr>
              <w:numPr>
                <w:ilvl w:val="0"/>
                <w:numId w:val="36"/>
              </w:numPr>
              <w:spacing w:after="160" w:line="259" w:lineRule="auto"/>
              <w:contextualSpacing/>
              <w:rPr>
                <w:rFonts w:cstheme="minorHAnsi"/>
                <w:sz w:val="20"/>
                <w:szCs w:val="20"/>
              </w:rPr>
            </w:pPr>
            <w:r w:rsidRPr="00ED6BF0">
              <w:rPr>
                <w:rFonts w:cstheme="minorHAnsi"/>
                <w:sz w:val="20"/>
                <w:szCs w:val="20"/>
              </w:rPr>
              <w:t>Renew curricula and training modes and modalities to include more PwDs in education.</w:t>
            </w:r>
          </w:p>
          <w:p w14:paraId="5701C526" w14:textId="77777777" w:rsidR="00CD0C1E" w:rsidRPr="00ED6BF0" w:rsidRDefault="00CD0C1E" w:rsidP="00CD0C1E">
            <w:pPr>
              <w:numPr>
                <w:ilvl w:val="0"/>
                <w:numId w:val="36"/>
              </w:numPr>
              <w:spacing w:after="160" w:line="259" w:lineRule="auto"/>
              <w:contextualSpacing/>
              <w:rPr>
                <w:rFonts w:cstheme="minorHAnsi"/>
                <w:sz w:val="20"/>
                <w:szCs w:val="20"/>
              </w:rPr>
            </w:pPr>
            <w:r w:rsidRPr="00ED6BF0">
              <w:rPr>
                <w:rFonts w:cstheme="minorHAnsi"/>
                <w:sz w:val="20"/>
                <w:szCs w:val="20"/>
              </w:rPr>
              <w:t>Monitor and support the professional development of PwDs.</w:t>
            </w:r>
          </w:p>
          <w:p w14:paraId="79F525A2" w14:textId="77777777" w:rsidR="00CD0C1E" w:rsidRPr="00ED6BF0" w:rsidRDefault="00CD0C1E" w:rsidP="00CD0C1E">
            <w:pPr>
              <w:numPr>
                <w:ilvl w:val="0"/>
                <w:numId w:val="36"/>
              </w:numPr>
              <w:spacing w:after="160" w:line="259" w:lineRule="auto"/>
              <w:contextualSpacing/>
              <w:rPr>
                <w:rFonts w:cstheme="minorHAnsi"/>
                <w:sz w:val="20"/>
                <w:szCs w:val="20"/>
              </w:rPr>
            </w:pPr>
            <w:r w:rsidRPr="00ED6BF0">
              <w:rPr>
                <w:rFonts w:cstheme="minorHAnsi"/>
                <w:sz w:val="20"/>
                <w:szCs w:val="20"/>
              </w:rPr>
              <w:t>Develop modalities for PwDs adaptation to digital technologies and new business processes.</w:t>
            </w:r>
          </w:p>
          <w:p w14:paraId="4CB1A818" w14:textId="77777777" w:rsidR="00CD0C1E" w:rsidRPr="00ED6BF0" w:rsidRDefault="00CD0C1E" w:rsidP="00CD0C1E">
            <w:pPr>
              <w:spacing w:after="160" w:line="259" w:lineRule="auto"/>
              <w:rPr>
                <w:rFonts w:cstheme="minorHAnsi"/>
                <w:sz w:val="20"/>
                <w:szCs w:val="20"/>
              </w:rPr>
            </w:pPr>
          </w:p>
        </w:tc>
      </w:tr>
    </w:tbl>
    <w:p w14:paraId="15EFFB4D" w14:textId="77777777" w:rsidR="00CD0C1E" w:rsidRPr="00CD0C1E" w:rsidRDefault="00CD0C1E" w:rsidP="00CD0C1E">
      <w:pPr>
        <w:spacing w:after="160"/>
        <w:jc w:val="both"/>
        <w:rPr>
          <w:sz w:val="22"/>
          <w:szCs w:val="22"/>
        </w:rPr>
      </w:pPr>
    </w:p>
    <w:p w14:paraId="2616992C" w14:textId="2467586F" w:rsidR="00E8794B" w:rsidRDefault="00CD0C1E" w:rsidP="00CD0C1E">
      <w:pPr>
        <w:pStyle w:val="Heading1"/>
        <w:rPr>
          <w:sz w:val="28"/>
          <w:szCs w:val="28"/>
        </w:rPr>
      </w:pPr>
      <w:bookmarkStart w:id="41" w:name="_Toc108219162"/>
      <w:bookmarkStart w:id="42" w:name="_Toc118366161"/>
      <w:r>
        <w:rPr>
          <w:sz w:val="28"/>
          <w:szCs w:val="28"/>
        </w:rPr>
        <w:t>4.2</w:t>
      </w:r>
      <w:r w:rsidR="00BD6CC8">
        <w:rPr>
          <w:sz w:val="28"/>
          <w:szCs w:val="28"/>
        </w:rPr>
        <w:t xml:space="preserve">. </w:t>
      </w:r>
      <w:r w:rsidR="00E8794B">
        <w:rPr>
          <w:sz w:val="28"/>
          <w:szCs w:val="28"/>
        </w:rPr>
        <w:t>Sector</w:t>
      </w:r>
      <w:r>
        <w:rPr>
          <w:sz w:val="28"/>
          <w:szCs w:val="28"/>
        </w:rPr>
        <w:t>-S</w:t>
      </w:r>
      <w:r w:rsidR="00E8794B">
        <w:rPr>
          <w:sz w:val="28"/>
          <w:szCs w:val="28"/>
        </w:rPr>
        <w:t xml:space="preserve">pecific </w:t>
      </w:r>
      <w:r>
        <w:rPr>
          <w:sz w:val="28"/>
          <w:szCs w:val="28"/>
        </w:rPr>
        <w:t>R</w:t>
      </w:r>
      <w:r w:rsidR="00E8794B">
        <w:rPr>
          <w:sz w:val="28"/>
          <w:szCs w:val="28"/>
        </w:rPr>
        <w:t>ecommendations</w:t>
      </w:r>
      <w:bookmarkEnd w:id="41"/>
      <w:bookmarkEnd w:id="42"/>
    </w:p>
    <w:p w14:paraId="58BDA5A1" w14:textId="7E880686" w:rsidR="00CD0C1E" w:rsidRDefault="00CD0C1E" w:rsidP="00CD0C1E"/>
    <w:tbl>
      <w:tblPr>
        <w:tblW w:w="971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0"/>
        <w:gridCol w:w="1880"/>
        <w:gridCol w:w="6160"/>
      </w:tblGrid>
      <w:tr w:rsidR="00CD0C1E" w:rsidRPr="00ED6BF0" w14:paraId="132AFB85" w14:textId="77777777" w:rsidTr="00CD0C1E">
        <w:trPr>
          <w:trHeight w:val="150"/>
        </w:trPr>
        <w:tc>
          <w:tcPr>
            <w:tcW w:w="9710" w:type="dxa"/>
            <w:gridSpan w:val="3"/>
            <w:shd w:val="clear" w:color="auto" w:fill="D9E2F3" w:themeFill="accent1" w:themeFillTint="33"/>
          </w:tcPr>
          <w:p w14:paraId="73E429F8" w14:textId="77777777" w:rsidR="00CD0C1E" w:rsidRPr="00ED6BF0" w:rsidRDefault="00CD0C1E" w:rsidP="00CD0C1E">
            <w:pPr>
              <w:jc w:val="center"/>
              <w:rPr>
                <w:b/>
                <w:bCs/>
                <w:sz w:val="20"/>
                <w:szCs w:val="20"/>
              </w:rPr>
            </w:pPr>
            <w:r w:rsidRPr="00ED6BF0">
              <w:rPr>
                <w:b/>
                <w:bCs/>
                <w:sz w:val="20"/>
                <w:szCs w:val="20"/>
              </w:rPr>
              <w:t>SECTOR-SPECIFIC RECOMMENDATIONS</w:t>
            </w:r>
          </w:p>
        </w:tc>
      </w:tr>
      <w:tr w:rsidR="00CD0C1E" w:rsidRPr="00ED6BF0" w14:paraId="76975645" w14:textId="77777777" w:rsidTr="00CD0C1E">
        <w:trPr>
          <w:trHeight w:val="150"/>
        </w:trPr>
        <w:tc>
          <w:tcPr>
            <w:tcW w:w="1670" w:type="dxa"/>
            <w:shd w:val="clear" w:color="auto" w:fill="D9E2F3" w:themeFill="accent1" w:themeFillTint="33"/>
          </w:tcPr>
          <w:p w14:paraId="72FFCA7F" w14:textId="77777777" w:rsidR="00CD0C1E" w:rsidRPr="00ED6BF0" w:rsidRDefault="00CD0C1E" w:rsidP="00CD0C1E">
            <w:pPr>
              <w:rPr>
                <w:b/>
                <w:bCs/>
                <w:sz w:val="20"/>
                <w:szCs w:val="20"/>
              </w:rPr>
            </w:pPr>
            <w:r w:rsidRPr="00ED6BF0">
              <w:rPr>
                <w:b/>
                <w:bCs/>
                <w:sz w:val="20"/>
                <w:szCs w:val="20"/>
              </w:rPr>
              <w:t>Category</w:t>
            </w:r>
          </w:p>
        </w:tc>
        <w:tc>
          <w:tcPr>
            <w:tcW w:w="1880" w:type="dxa"/>
            <w:shd w:val="clear" w:color="auto" w:fill="D9E2F3" w:themeFill="accent1" w:themeFillTint="33"/>
          </w:tcPr>
          <w:p w14:paraId="5A085848" w14:textId="77777777" w:rsidR="00CD0C1E" w:rsidRPr="00ED6BF0" w:rsidRDefault="00CD0C1E" w:rsidP="00CD0C1E">
            <w:pPr>
              <w:rPr>
                <w:b/>
                <w:bCs/>
                <w:sz w:val="20"/>
                <w:szCs w:val="20"/>
              </w:rPr>
            </w:pPr>
            <w:r w:rsidRPr="00ED6BF0">
              <w:rPr>
                <w:b/>
                <w:bCs/>
                <w:sz w:val="20"/>
                <w:szCs w:val="20"/>
              </w:rPr>
              <w:t>Sub-Category</w:t>
            </w:r>
          </w:p>
        </w:tc>
        <w:tc>
          <w:tcPr>
            <w:tcW w:w="6160" w:type="dxa"/>
            <w:shd w:val="clear" w:color="auto" w:fill="D9E2F3" w:themeFill="accent1" w:themeFillTint="33"/>
          </w:tcPr>
          <w:p w14:paraId="0D2F9C99" w14:textId="77777777" w:rsidR="00CD0C1E" w:rsidRPr="00ED6BF0" w:rsidRDefault="00CD0C1E" w:rsidP="00CD0C1E">
            <w:pPr>
              <w:rPr>
                <w:b/>
                <w:bCs/>
                <w:sz w:val="20"/>
                <w:szCs w:val="20"/>
              </w:rPr>
            </w:pPr>
            <w:r w:rsidRPr="00ED6BF0">
              <w:rPr>
                <w:b/>
                <w:bCs/>
                <w:sz w:val="20"/>
                <w:szCs w:val="20"/>
              </w:rPr>
              <w:t>Recommendations</w:t>
            </w:r>
          </w:p>
        </w:tc>
      </w:tr>
      <w:tr w:rsidR="00CD0C1E" w:rsidRPr="00ED6BF0" w14:paraId="00C9253A" w14:textId="77777777" w:rsidTr="00CD0C1E">
        <w:trPr>
          <w:trHeight w:val="150"/>
        </w:trPr>
        <w:tc>
          <w:tcPr>
            <w:tcW w:w="1670" w:type="dxa"/>
            <w:shd w:val="clear" w:color="auto" w:fill="FBE4D5" w:themeFill="accent2" w:themeFillTint="33"/>
          </w:tcPr>
          <w:p w14:paraId="26D59A37" w14:textId="77777777" w:rsidR="00CD0C1E" w:rsidRPr="007A2D92" w:rsidRDefault="00CD0C1E" w:rsidP="00CD0C1E">
            <w:pPr>
              <w:rPr>
                <w:b/>
                <w:bCs/>
                <w:sz w:val="20"/>
                <w:szCs w:val="20"/>
              </w:rPr>
            </w:pPr>
            <w:r w:rsidRPr="007A2D92">
              <w:rPr>
                <w:b/>
                <w:bCs/>
                <w:sz w:val="20"/>
                <w:szCs w:val="20"/>
              </w:rPr>
              <w:t>The decent future of work</w:t>
            </w:r>
          </w:p>
        </w:tc>
        <w:tc>
          <w:tcPr>
            <w:tcW w:w="1880" w:type="dxa"/>
            <w:shd w:val="clear" w:color="auto" w:fill="FBE4D5" w:themeFill="accent2" w:themeFillTint="33"/>
          </w:tcPr>
          <w:p w14:paraId="6B8A0146" w14:textId="77777777" w:rsidR="00CD0C1E" w:rsidRPr="007A2D92" w:rsidRDefault="00CD0C1E" w:rsidP="00CD0C1E">
            <w:pPr>
              <w:rPr>
                <w:b/>
                <w:bCs/>
                <w:sz w:val="20"/>
                <w:szCs w:val="20"/>
              </w:rPr>
            </w:pPr>
            <w:r w:rsidRPr="007A2D92">
              <w:rPr>
                <w:b/>
                <w:bCs/>
                <w:sz w:val="20"/>
                <w:szCs w:val="20"/>
              </w:rPr>
              <w:t>Action Planning</w:t>
            </w:r>
          </w:p>
        </w:tc>
        <w:tc>
          <w:tcPr>
            <w:tcW w:w="6160" w:type="dxa"/>
            <w:shd w:val="clear" w:color="auto" w:fill="FBE4D5" w:themeFill="accent2" w:themeFillTint="33"/>
          </w:tcPr>
          <w:p w14:paraId="285FDDB5" w14:textId="77777777" w:rsidR="00CD0C1E" w:rsidRPr="00ED6BF0" w:rsidRDefault="00CD0C1E" w:rsidP="00CD0C1E">
            <w:pPr>
              <w:rPr>
                <w:sz w:val="20"/>
                <w:szCs w:val="20"/>
              </w:rPr>
            </w:pPr>
            <w:r w:rsidRPr="00ED6BF0">
              <w:rPr>
                <w:sz w:val="20"/>
                <w:szCs w:val="20"/>
              </w:rPr>
              <w:t>Make sector-specific action plans or update existing ones</w:t>
            </w:r>
          </w:p>
        </w:tc>
      </w:tr>
      <w:tr w:rsidR="00CD0C1E" w:rsidRPr="00E11380" w14:paraId="4B6511AB" w14:textId="77777777" w:rsidTr="00CD0C1E">
        <w:trPr>
          <w:trHeight w:val="150"/>
        </w:trPr>
        <w:tc>
          <w:tcPr>
            <w:tcW w:w="1670" w:type="dxa"/>
            <w:shd w:val="clear" w:color="auto" w:fill="FBE4D5" w:themeFill="accent2" w:themeFillTint="33"/>
          </w:tcPr>
          <w:p w14:paraId="3FA5C596" w14:textId="77777777" w:rsidR="00CD0C1E" w:rsidRPr="007A2D92" w:rsidRDefault="00CD0C1E" w:rsidP="00CD0C1E">
            <w:pPr>
              <w:rPr>
                <w:b/>
                <w:bCs/>
                <w:sz w:val="20"/>
                <w:szCs w:val="20"/>
              </w:rPr>
            </w:pPr>
          </w:p>
        </w:tc>
        <w:tc>
          <w:tcPr>
            <w:tcW w:w="1880" w:type="dxa"/>
            <w:shd w:val="clear" w:color="auto" w:fill="FBE4D5" w:themeFill="accent2" w:themeFillTint="33"/>
          </w:tcPr>
          <w:p w14:paraId="5599E914" w14:textId="77777777" w:rsidR="00CD0C1E" w:rsidRPr="007A2D92" w:rsidRDefault="00CD0C1E" w:rsidP="00CD0C1E">
            <w:pPr>
              <w:rPr>
                <w:b/>
                <w:bCs/>
                <w:sz w:val="20"/>
                <w:szCs w:val="20"/>
              </w:rPr>
            </w:pPr>
            <w:r w:rsidRPr="007A2D92">
              <w:rPr>
                <w:b/>
                <w:bCs/>
                <w:sz w:val="20"/>
                <w:szCs w:val="20"/>
              </w:rPr>
              <w:t>Awareness-Raising</w:t>
            </w:r>
          </w:p>
        </w:tc>
        <w:tc>
          <w:tcPr>
            <w:tcW w:w="6160" w:type="dxa"/>
            <w:shd w:val="clear" w:color="auto" w:fill="FBE4D5" w:themeFill="accent2" w:themeFillTint="33"/>
          </w:tcPr>
          <w:p w14:paraId="0C8F848D" w14:textId="77777777" w:rsidR="00CD0C1E" w:rsidRDefault="00CD0C1E" w:rsidP="00CD0C1E">
            <w:pPr>
              <w:pStyle w:val="ListParagraph"/>
              <w:numPr>
                <w:ilvl w:val="0"/>
                <w:numId w:val="39"/>
              </w:numPr>
              <w:rPr>
                <w:sz w:val="20"/>
                <w:szCs w:val="20"/>
              </w:rPr>
            </w:pPr>
            <w:r w:rsidRPr="00051D59">
              <w:rPr>
                <w:sz w:val="20"/>
                <w:szCs w:val="20"/>
              </w:rPr>
              <w:t>Action Pans should focus more on «awareness raising» campaigns at employers and managers level in the Information and Communication Technologies (ICT) and Health sectors.</w:t>
            </w:r>
          </w:p>
          <w:p w14:paraId="78DCD85B" w14:textId="77777777" w:rsidR="00CD0C1E" w:rsidRPr="00E11380" w:rsidRDefault="00CD0C1E" w:rsidP="00CD0C1E">
            <w:pPr>
              <w:numPr>
                <w:ilvl w:val="0"/>
                <w:numId w:val="39"/>
              </w:numPr>
              <w:spacing w:after="160"/>
              <w:jc w:val="both"/>
              <w:rPr>
                <w:sz w:val="20"/>
                <w:szCs w:val="20"/>
              </w:rPr>
            </w:pPr>
            <w:r w:rsidRPr="00051D59">
              <w:rPr>
                <w:sz w:val="20"/>
                <w:szCs w:val="20"/>
              </w:rPr>
              <w:t>The education sector has duties to increase the awareness of those who use the services of the sectors and to train the users. It is recommended that the education sector take this into account.</w:t>
            </w:r>
          </w:p>
        </w:tc>
      </w:tr>
      <w:tr w:rsidR="00CD0C1E" w:rsidRPr="00051D59" w14:paraId="24919D29" w14:textId="77777777" w:rsidTr="00CD0C1E">
        <w:trPr>
          <w:trHeight w:val="150"/>
        </w:trPr>
        <w:tc>
          <w:tcPr>
            <w:tcW w:w="1670" w:type="dxa"/>
            <w:shd w:val="clear" w:color="auto" w:fill="FBE4D5" w:themeFill="accent2" w:themeFillTint="33"/>
          </w:tcPr>
          <w:p w14:paraId="7F63BBA3" w14:textId="77777777" w:rsidR="00CD0C1E" w:rsidRPr="007A2D92" w:rsidRDefault="00CD0C1E" w:rsidP="00CD0C1E">
            <w:pPr>
              <w:rPr>
                <w:b/>
                <w:bCs/>
                <w:sz w:val="20"/>
                <w:szCs w:val="20"/>
              </w:rPr>
            </w:pPr>
          </w:p>
        </w:tc>
        <w:tc>
          <w:tcPr>
            <w:tcW w:w="1880" w:type="dxa"/>
            <w:shd w:val="clear" w:color="auto" w:fill="FBE4D5" w:themeFill="accent2" w:themeFillTint="33"/>
          </w:tcPr>
          <w:p w14:paraId="30225959" w14:textId="77777777" w:rsidR="00CD0C1E" w:rsidRPr="007A2D92" w:rsidRDefault="00CD0C1E" w:rsidP="00CD0C1E">
            <w:pPr>
              <w:rPr>
                <w:b/>
                <w:bCs/>
                <w:sz w:val="20"/>
                <w:szCs w:val="20"/>
              </w:rPr>
            </w:pPr>
            <w:r>
              <w:rPr>
                <w:b/>
                <w:bCs/>
                <w:sz w:val="20"/>
                <w:szCs w:val="20"/>
              </w:rPr>
              <w:t xml:space="preserve">Occupational </w:t>
            </w:r>
            <w:r w:rsidRPr="007A2D92">
              <w:rPr>
                <w:b/>
                <w:bCs/>
                <w:sz w:val="20"/>
                <w:szCs w:val="20"/>
              </w:rPr>
              <w:t>Health and Safety</w:t>
            </w:r>
          </w:p>
        </w:tc>
        <w:tc>
          <w:tcPr>
            <w:tcW w:w="6160" w:type="dxa"/>
            <w:shd w:val="clear" w:color="auto" w:fill="FBE4D5" w:themeFill="accent2" w:themeFillTint="33"/>
          </w:tcPr>
          <w:p w14:paraId="30CA6BFF" w14:textId="77777777" w:rsidR="00CD0C1E" w:rsidRPr="00E11380" w:rsidRDefault="00CD0C1E" w:rsidP="00CD0C1E">
            <w:pPr>
              <w:pStyle w:val="ListParagraph"/>
              <w:numPr>
                <w:ilvl w:val="0"/>
                <w:numId w:val="42"/>
              </w:numPr>
              <w:rPr>
                <w:sz w:val="20"/>
                <w:szCs w:val="20"/>
              </w:rPr>
            </w:pPr>
            <w:r w:rsidRPr="00E11380">
              <w:rPr>
                <w:sz w:val="20"/>
                <w:szCs w:val="20"/>
              </w:rPr>
              <w:t>Action planning should also consider the working conditions of health workers (wages, workload and time, and violence against health workers).</w:t>
            </w:r>
          </w:p>
          <w:p w14:paraId="609DE61C" w14:textId="77777777" w:rsidR="00CD0C1E" w:rsidRPr="00051D59" w:rsidRDefault="00CD0C1E" w:rsidP="00CD0C1E">
            <w:pPr>
              <w:rPr>
                <w:sz w:val="20"/>
                <w:szCs w:val="20"/>
              </w:rPr>
            </w:pPr>
          </w:p>
        </w:tc>
      </w:tr>
      <w:tr w:rsidR="00CD0C1E" w:rsidRPr="007A2D92" w14:paraId="7526D161" w14:textId="77777777" w:rsidTr="00CD0C1E">
        <w:trPr>
          <w:trHeight w:val="150"/>
        </w:trPr>
        <w:tc>
          <w:tcPr>
            <w:tcW w:w="1670" w:type="dxa"/>
            <w:shd w:val="clear" w:color="auto" w:fill="FBE4D5" w:themeFill="accent2" w:themeFillTint="33"/>
          </w:tcPr>
          <w:p w14:paraId="0146F156" w14:textId="77777777" w:rsidR="00CD0C1E" w:rsidRPr="007A2D92" w:rsidRDefault="00CD0C1E" w:rsidP="00CD0C1E">
            <w:pPr>
              <w:rPr>
                <w:b/>
                <w:bCs/>
                <w:sz w:val="20"/>
                <w:szCs w:val="20"/>
              </w:rPr>
            </w:pPr>
          </w:p>
        </w:tc>
        <w:tc>
          <w:tcPr>
            <w:tcW w:w="1880" w:type="dxa"/>
            <w:shd w:val="clear" w:color="auto" w:fill="FBE4D5" w:themeFill="accent2" w:themeFillTint="33"/>
          </w:tcPr>
          <w:p w14:paraId="19A50FA4" w14:textId="77777777" w:rsidR="00CD0C1E" w:rsidRPr="007A2D92" w:rsidRDefault="00CD0C1E" w:rsidP="00CD0C1E">
            <w:pPr>
              <w:rPr>
                <w:b/>
                <w:bCs/>
                <w:sz w:val="20"/>
                <w:szCs w:val="20"/>
              </w:rPr>
            </w:pPr>
            <w:r>
              <w:rPr>
                <w:b/>
                <w:bCs/>
                <w:sz w:val="20"/>
                <w:szCs w:val="20"/>
              </w:rPr>
              <w:t xml:space="preserve">Remote and </w:t>
            </w:r>
            <w:r w:rsidRPr="007A2D92">
              <w:rPr>
                <w:b/>
                <w:bCs/>
                <w:sz w:val="20"/>
                <w:szCs w:val="20"/>
              </w:rPr>
              <w:t>Flexible Working</w:t>
            </w:r>
          </w:p>
        </w:tc>
        <w:tc>
          <w:tcPr>
            <w:tcW w:w="6160" w:type="dxa"/>
            <w:shd w:val="clear" w:color="auto" w:fill="FBE4D5" w:themeFill="accent2" w:themeFillTint="33"/>
          </w:tcPr>
          <w:p w14:paraId="6C55BE2C" w14:textId="77777777" w:rsidR="00CD0C1E" w:rsidRDefault="00CD0C1E" w:rsidP="00CD0C1E">
            <w:pPr>
              <w:pStyle w:val="ListParagraph"/>
              <w:numPr>
                <w:ilvl w:val="0"/>
                <w:numId w:val="38"/>
              </w:numPr>
              <w:jc w:val="both"/>
              <w:rPr>
                <w:sz w:val="20"/>
                <w:szCs w:val="20"/>
              </w:rPr>
            </w:pPr>
            <w:r w:rsidRPr="00051D59">
              <w:rPr>
                <w:sz w:val="20"/>
                <w:szCs w:val="20"/>
              </w:rPr>
              <w:t>Take measures to prevent the unregistered work through new technologies, especially in the Information and Communication Technologies sector and popular jobs in all sectors (project writing, management, reporting, etc.).</w:t>
            </w:r>
          </w:p>
          <w:p w14:paraId="306DA126" w14:textId="77777777" w:rsidR="00CD0C1E" w:rsidRPr="00051D59" w:rsidRDefault="00CD0C1E" w:rsidP="00CD0C1E">
            <w:pPr>
              <w:numPr>
                <w:ilvl w:val="0"/>
                <w:numId w:val="38"/>
              </w:numPr>
              <w:jc w:val="both"/>
              <w:rPr>
                <w:sz w:val="20"/>
                <w:szCs w:val="20"/>
              </w:rPr>
            </w:pPr>
            <w:r w:rsidRPr="00051D59">
              <w:rPr>
                <w:sz w:val="20"/>
                <w:szCs w:val="20"/>
              </w:rPr>
              <w:t>Especially for the education sector, develop and expand new remote and flexible working practices and employment relations with rules and regulations.</w:t>
            </w:r>
          </w:p>
          <w:p w14:paraId="78CBF41C" w14:textId="77777777" w:rsidR="00CD0C1E" w:rsidRPr="007A2D92" w:rsidRDefault="00CD0C1E" w:rsidP="00CD0C1E">
            <w:pPr>
              <w:pStyle w:val="ListParagraph"/>
              <w:numPr>
                <w:ilvl w:val="0"/>
                <w:numId w:val="38"/>
              </w:numPr>
              <w:spacing w:after="100" w:afterAutospacing="1"/>
              <w:jc w:val="both"/>
              <w:rPr>
                <w:sz w:val="20"/>
                <w:szCs w:val="20"/>
              </w:rPr>
            </w:pPr>
            <w:r w:rsidRPr="00051D59">
              <w:rPr>
                <w:sz w:val="20"/>
                <w:szCs w:val="20"/>
              </w:rPr>
              <w:t>Focus primarily on ICT and Finance and Banking sectors for remote working arrangements. It is recommended to discuss the good practices in the Finance and Banking sector, to carry out studies on regulations within the sector and adaptation to other sectors.</w:t>
            </w:r>
          </w:p>
          <w:p w14:paraId="4360D70C" w14:textId="77777777" w:rsidR="00CD0C1E" w:rsidRPr="007A2D92" w:rsidRDefault="00CD0C1E" w:rsidP="00CD0C1E">
            <w:pPr>
              <w:pStyle w:val="ListParagraph"/>
              <w:numPr>
                <w:ilvl w:val="0"/>
                <w:numId w:val="38"/>
              </w:numPr>
              <w:spacing w:after="160"/>
              <w:jc w:val="both"/>
              <w:rPr>
                <w:sz w:val="20"/>
                <w:szCs w:val="20"/>
              </w:rPr>
            </w:pPr>
            <w:r w:rsidRPr="00051D59">
              <w:rPr>
                <w:sz w:val="20"/>
                <w:szCs w:val="20"/>
              </w:rPr>
              <w:t xml:space="preserve">Detail the legal regulations regarding job descriptions, flexible and remote working and rights in the education sector. detail the legal </w:t>
            </w:r>
            <w:r w:rsidRPr="00051D59">
              <w:rPr>
                <w:sz w:val="20"/>
                <w:szCs w:val="20"/>
              </w:rPr>
              <w:lastRenderedPageBreak/>
              <w:t>regulations regarding job descriptions, flexible and remote working and rights in the education sector.</w:t>
            </w:r>
          </w:p>
        </w:tc>
      </w:tr>
      <w:tr w:rsidR="00CD0C1E" w:rsidRPr="007A2D92" w14:paraId="16EFC34F" w14:textId="77777777" w:rsidTr="00CD0C1E">
        <w:trPr>
          <w:trHeight w:val="150"/>
        </w:trPr>
        <w:tc>
          <w:tcPr>
            <w:tcW w:w="1670" w:type="dxa"/>
            <w:shd w:val="clear" w:color="auto" w:fill="FBE4D5" w:themeFill="accent2" w:themeFillTint="33"/>
          </w:tcPr>
          <w:p w14:paraId="6D3B7743" w14:textId="77777777" w:rsidR="00CD0C1E" w:rsidRPr="007A2D92" w:rsidRDefault="00CD0C1E" w:rsidP="00CD0C1E">
            <w:pPr>
              <w:rPr>
                <w:b/>
                <w:bCs/>
                <w:sz w:val="20"/>
                <w:szCs w:val="20"/>
              </w:rPr>
            </w:pPr>
            <w:r w:rsidRPr="007A2D92">
              <w:rPr>
                <w:b/>
                <w:bCs/>
                <w:sz w:val="20"/>
                <w:szCs w:val="20"/>
              </w:rPr>
              <w:lastRenderedPageBreak/>
              <w:t>Training, workforce development and upskilling</w:t>
            </w:r>
          </w:p>
        </w:tc>
        <w:tc>
          <w:tcPr>
            <w:tcW w:w="1880" w:type="dxa"/>
            <w:shd w:val="clear" w:color="auto" w:fill="FBE4D5" w:themeFill="accent2" w:themeFillTint="33"/>
          </w:tcPr>
          <w:p w14:paraId="1D5B3D74" w14:textId="77777777" w:rsidR="00CD0C1E" w:rsidRPr="007A2D92" w:rsidRDefault="00CD0C1E" w:rsidP="00CD0C1E">
            <w:pPr>
              <w:rPr>
                <w:b/>
                <w:bCs/>
                <w:sz w:val="20"/>
                <w:szCs w:val="20"/>
              </w:rPr>
            </w:pPr>
          </w:p>
        </w:tc>
        <w:tc>
          <w:tcPr>
            <w:tcW w:w="6160" w:type="dxa"/>
            <w:shd w:val="clear" w:color="auto" w:fill="FBE4D5" w:themeFill="accent2" w:themeFillTint="33"/>
          </w:tcPr>
          <w:p w14:paraId="50514536" w14:textId="77777777" w:rsidR="00CD0C1E" w:rsidRPr="00051D59" w:rsidRDefault="00CD0C1E" w:rsidP="00CD0C1E">
            <w:pPr>
              <w:numPr>
                <w:ilvl w:val="0"/>
                <w:numId w:val="41"/>
              </w:numPr>
              <w:jc w:val="both"/>
              <w:rPr>
                <w:sz w:val="20"/>
                <w:szCs w:val="20"/>
              </w:rPr>
            </w:pPr>
            <w:r w:rsidRPr="00051D59">
              <w:rPr>
                <w:sz w:val="20"/>
                <w:szCs w:val="20"/>
              </w:rPr>
              <w:t>Give priority to the intersecting ICT and education sectors in terms of skills needed in the future and gaining these skills.</w:t>
            </w:r>
          </w:p>
          <w:p w14:paraId="58D8F9B0" w14:textId="77777777" w:rsidR="00CD0C1E" w:rsidRPr="007A2D92" w:rsidRDefault="00CD0C1E" w:rsidP="00CD0C1E">
            <w:pPr>
              <w:numPr>
                <w:ilvl w:val="0"/>
                <w:numId w:val="41"/>
              </w:numPr>
              <w:spacing w:after="160"/>
              <w:jc w:val="both"/>
              <w:rPr>
                <w:sz w:val="20"/>
                <w:szCs w:val="20"/>
              </w:rPr>
            </w:pPr>
            <w:r w:rsidRPr="00051D59">
              <w:rPr>
                <w:sz w:val="20"/>
                <w:szCs w:val="20"/>
              </w:rPr>
              <w:t>Support online training and teaching materials for all levels of education, vocational education and training, adult education and professional development.</w:t>
            </w:r>
          </w:p>
        </w:tc>
      </w:tr>
      <w:tr w:rsidR="00CD0C1E" w:rsidRPr="007A2D92" w14:paraId="3A166B8D" w14:textId="77777777" w:rsidTr="00CD0C1E">
        <w:trPr>
          <w:trHeight w:val="150"/>
        </w:trPr>
        <w:tc>
          <w:tcPr>
            <w:tcW w:w="1670" w:type="dxa"/>
            <w:shd w:val="clear" w:color="auto" w:fill="FBE4D5" w:themeFill="accent2" w:themeFillTint="33"/>
          </w:tcPr>
          <w:p w14:paraId="07247689" w14:textId="77777777" w:rsidR="00CD0C1E" w:rsidRPr="007A2D92" w:rsidRDefault="00CD0C1E" w:rsidP="00CD0C1E">
            <w:pPr>
              <w:rPr>
                <w:b/>
                <w:bCs/>
                <w:sz w:val="20"/>
                <w:szCs w:val="20"/>
              </w:rPr>
            </w:pPr>
            <w:r w:rsidRPr="007A2D92">
              <w:rPr>
                <w:b/>
                <w:bCs/>
                <w:sz w:val="20"/>
                <w:szCs w:val="20"/>
              </w:rPr>
              <w:t>Gender Perspective</w:t>
            </w:r>
          </w:p>
        </w:tc>
        <w:tc>
          <w:tcPr>
            <w:tcW w:w="1880" w:type="dxa"/>
            <w:shd w:val="clear" w:color="auto" w:fill="FBE4D5" w:themeFill="accent2" w:themeFillTint="33"/>
          </w:tcPr>
          <w:p w14:paraId="1CE4082A" w14:textId="77777777" w:rsidR="00CD0C1E" w:rsidRPr="007A2D92" w:rsidRDefault="00CD0C1E" w:rsidP="00CD0C1E">
            <w:pPr>
              <w:rPr>
                <w:b/>
                <w:bCs/>
                <w:sz w:val="20"/>
                <w:szCs w:val="20"/>
              </w:rPr>
            </w:pPr>
          </w:p>
        </w:tc>
        <w:tc>
          <w:tcPr>
            <w:tcW w:w="6160" w:type="dxa"/>
            <w:shd w:val="clear" w:color="auto" w:fill="FBE4D5" w:themeFill="accent2" w:themeFillTint="33"/>
          </w:tcPr>
          <w:p w14:paraId="7319F50B" w14:textId="77777777" w:rsidR="00CD0C1E" w:rsidRDefault="00CD0C1E" w:rsidP="00CD0C1E">
            <w:pPr>
              <w:pStyle w:val="ListParagraph"/>
              <w:numPr>
                <w:ilvl w:val="0"/>
                <w:numId w:val="40"/>
              </w:numPr>
              <w:rPr>
                <w:sz w:val="20"/>
                <w:szCs w:val="20"/>
              </w:rPr>
            </w:pPr>
            <w:r w:rsidRPr="00051D59">
              <w:rPr>
                <w:sz w:val="20"/>
                <w:szCs w:val="20"/>
              </w:rPr>
              <w:t>Encourage women's empowerment, it is recommended to increase and expand the use of facilitating technologies, especially information and communication technologies.</w:t>
            </w:r>
          </w:p>
          <w:p w14:paraId="45DA9344" w14:textId="77777777" w:rsidR="00CD0C1E" w:rsidRPr="00051D59" w:rsidRDefault="00CD0C1E" w:rsidP="00CD0C1E">
            <w:pPr>
              <w:numPr>
                <w:ilvl w:val="0"/>
                <w:numId w:val="40"/>
              </w:numPr>
              <w:spacing w:after="160"/>
              <w:jc w:val="both"/>
              <w:rPr>
                <w:sz w:val="20"/>
                <w:szCs w:val="20"/>
              </w:rPr>
            </w:pPr>
            <w:r w:rsidRPr="00051D59">
              <w:rPr>
                <w:sz w:val="20"/>
                <w:szCs w:val="20"/>
              </w:rPr>
              <w:t>Focus more on the education of girls and women in the renewable energy sector, science, technology, engineering, mathematics.</w:t>
            </w:r>
          </w:p>
          <w:p w14:paraId="6D5083AC" w14:textId="77777777" w:rsidR="00CD0C1E" w:rsidRPr="007A2D92" w:rsidRDefault="00CD0C1E" w:rsidP="00CD0C1E">
            <w:pPr>
              <w:numPr>
                <w:ilvl w:val="0"/>
                <w:numId w:val="40"/>
              </w:numPr>
              <w:jc w:val="both"/>
              <w:rPr>
                <w:sz w:val="20"/>
                <w:szCs w:val="20"/>
              </w:rPr>
            </w:pPr>
            <w:r w:rsidRPr="007A2D92">
              <w:rPr>
                <w:sz w:val="20"/>
                <w:szCs w:val="20"/>
              </w:rPr>
              <w:t>Regulate the working hours of female employees in sectors where flexible or remote working opportunities are not available (especially in the health sector).</w:t>
            </w:r>
          </w:p>
          <w:p w14:paraId="44D853DF" w14:textId="77777777" w:rsidR="00CD0C1E" w:rsidRPr="007A2D92" w:rsidRDefault="00CD0C1E" w:rsidP="00CD0C1E">
            <w:pPr>
              <w:numPr>
                <w:ilvl w:val="0"/>
                <w:numId w:val="40"/>
              </w:numPr>
              <w:spacing w:after="160"/>
              <w:jc w:val="both"/>
              <w:rPr>
                <w:sz w:val="20"/>
                <w:szCs w:val="20"/>
              </w:rPr>
            </w:pPr>
            <w:r w:rsidRPr="007A2D92">
              <w:rPr>
                <w:sz w:val="20"/>
                <w:szCs w:val="20"/>
              </w:rPr>
              <w:t>Increase the involvement of women in the renewable energy sector through improved workplace conditions, mentoring and professional development.</w:t>
            </w:r>
          </w:p>
        </w:tc>
      </w:tr>
    </w:tbl>
    <w:p w14:paraId="436F383E" w14:textId="77777777" w:rsidR="00CD0C1E" w:rsidRPr="00CD0C1E" w:rsidRDefault="00CD0C1E" w:rsidP="00CD0C1E"/>
    <w:p w14:paraId="73315787" w14:textId="0E136780" w:rsidR="00E8794B" w:rsidRPr="00541471" w:rsidRDefault="00E8794B" w:rsidP="00CD0C1E">
      <w:pPr>
        <w:pStyle w:val="Heading1"/>
        <w:numPr>
          <w:ilvl w:val="1"/>
          <w:numId w:val="43"/>
        </w:numPr>
        <w:rPr>
          <w:sz w:val="28"/>
          <w:szCs w:val="28"/>
        </w:rPr>
      </w:pPr>
      <w:bookmarkStart w:id="43" w:name="_Toc108219163"/>
      <w:bookmarkStart w:id="44" w:name="_Toc118366162"/>
      <w:r>
        <w:rPr>
          <w:sz w:val="28"/>
          <w:szCs w:val="28"/>
        </w:rPr>
        <w:t xml:space="preserve">Recommendations by </w:t>
      </w:r>
      <w:r w:rsidR="00CD0C1E">
        <w:rPr>
          <w:sz w:val="28"/>
          <w:szCs w:val="28"/>
        </w:rPr>
        <w:t>S</w:t>
      </w:r>
      <w:r>
        <w:rPr>
          <w:sz w:val="28"/>
          <w:szCs w:val="28"/>
        </w:rPr>
        <w:t xml:space="preserve">ector </w:t>
      </w:r>
      <w:r w:rsidR="00CD0C1E">
        <w:rPr>
          <w:sz w:val="28"/>
          <w:szCs w:val="28"/>
        </w:rPr>
        <w:t>E</w:t>
      </w:r>
      <w:r>
        <w:rPr>
          <w:sz w:val="28"/>
          <w:szCs w:val="28"/>
        </w:rPr>
        <w:t>xperts</w:t>
      </w:r>
      <w:bookmarkEnd w:id="43"/>
      <w:bookmarkEnd w:id="44"/>
    </w:p>
    <w:p w14:paraId="29C3F2F9" w14:textId="3DEBDCC7" w:rsidR="00E8794B" w:rsidRPr="00F27B9D" w:rsidRDefault="00E8794B" w:rsidP="00CD0C1E">
      <w:pPr>
        <w:pStyle w:val="Heading1"/>
        <w:numPr>
          <w:ilvl w:val="2"/>
          <w:numId w:val="43"/>
        </w:numPr>
        <w:rPr>
          <w:sz w:val="28"/>
          <w:szCs w:val="28"/>
        </w:rPr>
      </w:pPr>
      <w:bookmarkStart w:id="45" w:name="_Toc108219164"/>
      <w:bookmarkStart w:id="46" w:name="_Toc118366163"/>
      <w:r w:rsidRPr="00F27B9D">
        <w:rPr>
          <w:sz w:val="28"/>
          <w:szCs w:val="28"/>
        </w:rPr>
        <w:t>Education</w:t>
      </w:r>
      <w:bookmarkEnd w:id="45"/>
      <w:bookmarkEnd w:id="46"/>
    </w:p>
    <w:p w14:paraId="5D4D10C6" w14:textId="77777777" w:rsidR="00E8794B" w:rsidRPr="00012BA3" w:rsidRDefault="00E8794B" w:rsidP="00E8794B">
      <w:pPr>
        <w:jc w:val="both"/>
        <w:rPr>
          <w:rFonts w:cstheme="minorHAnsi"/>
          <w:sz w:val="22"/>
          <w:szCs w:val="22"/>
        </w:rPr>
      </w:pPr>
      <w:r w:rsidRPr="00012BA3">
        <w:rPr>
          <w:rFonts w:cstheme="minorHAnsi"/>
          <w:sz w:val="22"/>
          <w:szCs w:val="22"/>
        </w:rPr>
        <w:t>The education sector experts stated that the new employment forms and employment relations that arise with the use of new and digital technologies in working life. According to them, legal regulations regarding job definitions, flexible-remote working and rights should be elaborated more. They indicated that all kinds of needs analyses should be carried out on a continuous and regular basis. Sector experts also noted that the arrangements for the training needs that w</w:t>
      </w:r>
      <w:r>
        <w:rPr>
          <w:rFonts w:cstheme="minorHAnsi"/>
          <w:sz w:val="22"/>
          <w:szCs w:val="22"/>
        </w:rPr>
        <w:t>ould</w:t>
      </w:r>
      <w:r w:rsidRPr="00012BA3">
        <w:rPr>
          <w:rFonts w:cstheme="minorHAnsi"/>
          <w:sz w:val="22"/>
          <w:szCs w:val="22"/>
        </w:rPr>
        <w:t xml:space="preserve"> emerge because of this analysis should also be considered. It was stated that arrangements should be made for an employment model based on merit and constantly updating itself in the education sector.</w:t>
      </w:r>
    </w:p>
    <w:p w14:paraId="70895F5B" w14:textId="77777777" w:rsidR="00E8794B" w:rsidRPr="00F27B9D" w:rsidRDefault="00E8794B" w:rsidP="00CD0C1E">
      <w:pPr>
        <w:pStyle w:val="Heading1"/>
        <w:numPr>
          <w:ilvl w:val="2"/>
          <w:numId w:val="43"/>
        </w:numPr>
        <w:rPr>
          <w:sz w:val="28"/>
          <w:szCs w:val="28"/>
        </w:rPr>
      </w:pPr>
      <w:bookmarkStart w:id="47" w:name="_Toc108219165"/>
      <w:bookmarkStart w:id="48" w:name="_Toc118366164"/>
      <w:r w:rsidRPr="00F27B9D">
        <w:rPr>
          <w:sz w:val="28"/>
          <w:szCs w:val="28"/>
        </w:rPr>
        <w:t>Health</w:t>
      </w:r>
      <w:bookmarkEnd w:id="47"/>
      <w:bookmarkEnd w:id="48"/>
    </w:p>
    <w:p w14:paraId="611C27AF" w14:textId="77777777" w:rsidR="00E8794B" w:rsidRDefault="00E8794B" w:rsidP="00E8794B">
      <w:pPr>
        <w:jc w:val="both"/>
        <w:rPr>
          <w:rFonts w:cstheme="minorHAnsi"/>
          <w:b/>
          <w:bCs/>
          <w:sz w:val="22"/>
          <w:szCs w:val="22"/>
        </w:rPr>
      </w:pPr>
      <w:r w:rsidRPr="00012BA3">
        <w:rPr>
          <w:rFonts w:cstheme="minorHAnsi"/>
          <w:sz w:val="22"/>
          <w:szCs w:val="22"/>
        </w:rPr>
        <w:t>Health sector experts stated that new employment forms and employment relations emerging with the use of digital technologies in working life should be organized for employers and employees related to education, budget, labour law and the scope of labour law. In addition, they stated that social regulations should be made, and business rules should be regulated according to the legislation</w:t>
      </w:r>
      <w:r>
        <w:rPr>
          <w:rFonts w:cstheme="minorHAnsi"/>
          <w:sz w:val="22"/>
          <w:szCs w:val="22"/>
        </w:rPr>
        <w:t xml:space="preserve">. </w:t>
      </w:r>
    </w:p>
    <w:p w14:paraId="102B47B5" w14:textId="77777777" w:rsidR="00E8794B" w:rsidRPr="00F27B9D" w:rsidRDefault="00E8794B" w:rsidP="00CD0C1E">
      <w:pPr>
        <w:pStyle w:val="Heading1"/>
        <w:numPr>
          <w:ilvl w:val="2"/>
          <w:numId w:val="43"/>
        </w:numPr>
        <w:rPr>
          <w:sz w:val="28"/>
          <w:szCs w:val="28"/>
        </w:rPr>
      </w:pPr>
      <w:bookmarkStart w:id="49" w:name="_Toc108219166"/>
      <w:bookmarkStart w:id="50" w:name="_Toc118366165"/>
      <w:r w:rsidRPr="00F27B9D">
        <w:rPr>
          <w:sz w:val="28"/>
          <w:szCs w:val="28"/>
        </w:rPr>
        <w:t>Energy</w:t>
      </w:r>
      <w:bookmarkEnd w:id="49"/>
      <w:bookmarkEnd w:id="50"/>
    </w:p>
    <w:p w14:paraId="676AAA24" w14:textId="77777777" w:rsidR="00E8794B" w:rsidRDefault="00E8794B" w:rsidP="00E8794B">
      <w:pPr>
        <w:jc w:val="both"/>
        <w:rPr>
          <w:rFonts w:cstheme="minorHAnsi"/>
          <w:sz w:val="22"/>
          <w:szCs w:val="22"/>
        </w:rPr>
      </w:pPr>
      <w:r w:rsidRPr="00012BA3">
        <w:rPr>
          <w:rFonts w:cstheme="minorHAnsi"/>
          <w:sz w:val="22"/>
          <w:szCs w:val="22"/>
        </w:rPr>
        <w:t>According to energy sector experts, the importance of education is stated in the first place in terms of new employment forms that emerge with the use of digital technologies in working life, employment relations and regulations that need to be made.</w:t>
      </w:r>
    </w:p>
    <w:p w14:paraId="020E1A8C" w14:textId="77777777" w:rsidR="00E8794B" w:rsidRPr="00012BA3" w:rsidRDefault="00E8794B" w:rsidP="00E8794B">
      <w:pPr>
        <w:jc w:val="both"/>
        <w:rPr>
          <w:rFonts w:cstheme="minorHAnsi"/>
          <w:sz w:val="22"/>
          <w:szCs w:val="22"/>
        </w:rPr>
      </w:pPr>
    </w:p>
    <w:p w14:paraId="721D1CD0" w14:textId="77777777" w:rsidR="00E8794B" w:rsidRPr="00553CB3" w:rsidRDefault="00E8794B" w:rsidP="00E8794B">
      <w:pPr>
        <w:jc w:val="both"/>
        <w:rPr>
          <w:rFonts w:cstheme="minorHAnsi"/>
          <w:sz w:val="22"/>
          <w:szCs w:val="22"/>
        </w:rPr>
      </w:pPr>
      <w:r w:rsidRPr="00012BA3">
        <w:rPr>
          <w:rFonts w:cstheme="minorHAnsi"/>
          <w:sz w:val="22"/>
          <w:szCs w:val="22"/>
        </w:rPr>
        <w:t>In the energy sector, it is recommended that the inspections be more stringent, especially in the field of automation. It was also stated that the problem of employment reduction that will occur after the automation should be well planned and that regulations should be made for people who will be unemployed for this reason.</w:t>
      </w:r>
    </w:p>
    <w:p w14:paraId="61E73AFE" w14:textId="77777777" w:rsidR="00E8794B" w:rsidRPr="00F27B9D" w:rsidRDefault="00E8794B" w:rsidP="00CD0C1E">
      <w:pPr>
        <w:pStyle w:val="Heading1"/>
        <w:numPr>
          <w:ilvl w:val="2"/>
          <w:numId w:val="43"/>
        </w:numPr>
        <w:rPr>
          <w:sz w:val="28"/>
          <w:szCs w:val="28"/>
        </w:rPr>
      </w:pPr>
      <w:bookmarkStart w:id="51" w:name="_Toc108219167"/>
      <w:bookmarkStart w:id="52" w:name="_Toc118366166"/>
      <w:r w:rsidRPr="00F27B9D">
        <w:rPr>
          <w:sz w:val="28"/>
          <w:szCs w:val="28"/>
        </w:rPr>
        <w:t>Finance and Banking</w:t>
      </w:r>
      <w:bookmarkEnd w:id="51"/>
      <w:bookmarkEnd w:id="52"/>
    </w:p>
    <w:p w14:paraId="7ECF1489" w14:textId="7DA38592" w:rsidR="00E8794B" w:rsidRPr="00012BA3" w:rsidRDefault="00E8794B" w:rsidP="00E8794B">
      <w:pPr>
        <w:jc w:val="both"/>
        <w:rPr>
          <w:rFonts w:cstheme="minorHAnsi"/>
          <w:sz w:val="22"/>
          <w:szCs w:val="22"/>
        </w:rPr>
      </w:pPr>
      <w:r w:rsidRPr="00012BA3">
        <w:rPr>
          <w:rFonts w:cstheme="minorHAnsi"/>
          <w:sz w:val="22"/>
          <w:szCs w:val="22"/>
        </w:rPr>
        <w:t xml:space="preserve">According to finance and banking sector experts, the answers to the new employment forms that arise with the use of new and digital technologies in working life and the regulations that need to be made regarding employment relations are mainly for training. Industry experts emphasized the necessity of focusing on in-sector training, </w:t>
      </w:r>
      <w:r w:rsidR="00BD6CC8">
        <w:rPr>
          <w:rFonts w:cstheme="minorHAnsi"/>
          <w:sz w:val="22"/>
          <w:szCs w:val="22"/>
        </w:rPr>
        <w:t>digitalisation</w:t>
      </w:r>
      <w:r w:rsidRPr="00012BA3">
        <w:rPr>
          <w:rFonts w:cstheme="minorHAnsi"/>
          <w:sz w:val="22"/>
          <w:szCs w:val="22"/>
        </w:rPr>
        <w:t>, and regulations regarding the protection of personal data. The necessity of legislative regulations and legal regulations for business processes, especially remote working, is seen among the answers.</w:t>
      </w:r>
    </w:p>
    <w:p w14:paraId="6953CC0B" w14:textId="77777777" w:rsidR="00E8794B" w:rsidRPr="00F27B9D" w:rsidRDefault="00E8794B" w:rsidP="00CD0C1E">
      <w:pPr>
        <w:pStyle w:val="Heading1"/>
        <w:numPr>
          <w:ilvl w:val="2"/>
          <w:numId w:val="43"/>
        </w:numPr>
        <w:rPr>
          <w:sz w:val="28"/>
          <w:szCs w:val="28"/>
        </w:rPr>
      </w:pPr>
      <w:bookmarkStart w:id="53" w:name="_Toc108219168"/>
      <w:bookmarkStart w:id="54" w:name="_Toc118366167"/>
      <w:r w:rsidRPr="00F27B9D">
        <w:rPr>
          <w:sz w:val="28"/>
          <w:szCs w:val="28"/>
        </w:rPr>
        <w:t>ICT</w:t>
      </w:r>
      <w:bookmarkEnd w:id="53"/>
      <w:bookmarkEnd w:id="54"/>
    </w:p>
    <w:p w14:paraId="4EC7C100" w14:textId="77777777" w:rsidR="00E8794B" w:rsidRPr="000F6EFD" w:rsidRDefault="00E8794B" w:rsidP="00E8794B">
      <w:pPr>
        <w:jc w:val="both"/>
        <w:rPr>
          <w:rFonts w:cstheme="minorHAnsi"/>
          <w:sz w:val="22"/>
          <w:szCs w:val="22"/>
        </w:rPr>
      </w:pPr>
      <w:r w:rsidRPr="000F6EFD">
        <w:rPr>
          <w:rFonts w:cstheme="minorHAnsi"/>
          <w:sz w:val="22"/>
          <w:szCs w:val="22"/>
        </w:rPr>
        <w:t xml:space="preserve">According to </w:t>
      </w:r>
      <w:r>
        <w:rPr>
          <w:rFonts w:cstheme="minorHAnsi"/>
          <w:sz w:val="22"/>
          <w:szCs w:val="22"/>
        </w:rPr>
        <w:t>ICT</w:t>
      </w:r>
      <w:r w:rsidRPr="000F6EFD">
        <w:rPr>
          <w:rFonts w:cstheme="minorHAnsi"/>
          <w:sz w:val="22"/>
          <w:szCs w:val="22"/>
        </w:rPr>
        <w:t xml:space="preserve"> </w:t>
      </w:r>
      <w:r>
        <w:rPr>
          <w:rFonts w:cstheme="minorHAnsi"/>
          <w:sz w:val="22"/>
          <w:szCs w:val="22"/>
        </w:rPr>
        <w:t>sector</w:t>
      </w:r>
      <w:r w:rsidRPr="000F6EFD">
        <w:rPr>
          <w:rFonts w:cstheme="minorHAnsi"/>
          <w:sz w:val="22"/>
          <w:szCs w:val="22"/>
        </w:rPr>
        <w:t xml:space="preserve"> experts, new employment forms and employment relations that emerge with the use of digital technologies in working life</w:t>
      </w:r>
      <w:r>
        <w:rPr>
          <w:rFonts w:cstheme="minorHAnsi"/>
          <w:sz w:val="22"/>
          <w:szCs w:val="22"/>
        </w:rPr>
        <w:t xml:space="preserve"> </w:t>
      </w:r>
    </w:p>
    <w:p w14:paraId="6043F244" w14:textId="77777777" w:rsidR="00E8794B" w:rsidRPr="000F6EFD" w:rsidRDefault="00E8794B" w:rsidP="00E8794B">
      <w:pPr>
        <w:jc w:val="both"/>
        <w:rPr>
          <w:rFonts w:cstheme="minorHAnsi"/>
          <w:sz w:val="22"/>
          <w:szCs w:val="22"/>
        </w:rPr>
      </w:pPr>
    </w:p>
    <w:p w14:paraId="29B20FAB" w14:textId="77777777" w:rsidR="00E8794B" w:rsidRDefault="00E8794B" w:rsidP="00EE67D9">
      <w:pPr>
        <w:numPr>
          <w:ilvl w:val="0"/>
          <w:numId w:val="5"/>
        </w:numPr>
        <w:spacing w:after="160"/>
        <w:jc w:val="both"/>
        <w:rPr>
          <w:sz w:val="22"/>
          <w:szCs w:val="22"/>
        </w:rPr>
      </w:pPr>
      <w:r w:rsidRPr="00B11641">
        <w:rPr>
          <w:sz w:val="22"/>
          <w:szCs w:val="22"/>
        </w:rPr>
        <w:t>Projecting state-supported trainings together with the private sector</w:t>
      </w:r>
      <w:r>
        <w:rPr>
          <w:sz w:val="22"/>
          <w:szCs w:val="22"/>
        </w:rPr>
        <w:t>.</w:t>
      </w:r>
    </w:p>
    <w:p w14:paraId="2F0FDB5A" w14:textId="77777777" w:rsidR="00E8794B" w:rsidRPr="00B11641" w:rsidRDefault="00E8794B" w:rsidP="00EE67D9">
      <w:pPr>
        <w:numPr>
          <w:ilvl w:val="0"/>
          <w:numId w:val="5"/>
        </w:numPr>
        <w:spacing w:after="160"/>
        <w:jc w:val="both"/>
        <w:rPr>
          <w:sz w:val="22"/>
          <w:szCs w:val="22"/>
        </w:rPr>
      </w:pPr>
      <w:r w:rsidRPr="00B11641">
        <w:rPr>
          <w:sz w:val="22"/>
          <w:szCs w:val="22"/>
        </w:rPr>
        <w:t>Take measures to prevent the informalization of formal economy jobs, especially in the ICT sector, by means of emerging technologies.</w:t>
      </w:r>
    </w:p>
    <w:p w14:paraId="0E5EE96F" w14:textId="77777777" w:rsidR="00E8794B" w:rsidRPr="00B11641" w:rsidRDefault="00E8794B" w:rsidP="00EE67D9">
      <w:pPr>
        <w:numPr>
          <w:ilvl w:val="0"/>
          <w:numId w:val="5"/>
        </w:numPr>
        <w:spacing w:after="160"/>
        <w:jc w:val="both"/>
        <w:rPr>
          <w:sz w:val="22"/>
          <w:szCs w:val="22"/>
        </w:rPr>
      </w:pPr>
      <w:r w:rsidRPr="00B11641">
        <w:rPr>
          <w:sz w:val="22"/>
          <w:szCs w:val="22"/>
        </w:rPr>
        <w:t xml:space="preserve">Facilitate registration of informal remote workers, especially in the ICT sector, to the social security systems. </w:t>
      </w:r>
    </w:p>
    <w:p w14:paraId="6A2E03B7" w14:textId="77777777" w:rsidR="00E8794B" w:rsidRPr="00B11641" w:rsidRDefault="00E8794B" w:rsidP="00EE67D9">
      <w:pPr>
        <w:numPr>
          <w:ilvl w:val="0"/>
          <w:numId w:val="5"/>
        </w:numPr>
        <w:spacing w:after="160"/>
        <w:jc w:val="both"/>
        <w:rPr>
          <w:sz w:val="22"/>
          <w:szCs w:val="22"/>
        </w:rPr>
      </w:pPr>
      <w:r w:rsidRPr="00B11641">
        <w:rPr>
          <w:sz w:val="22"/>
          <w:szCs w:val="22"/>
        </w:rPr>
        <w:t>Sharing the necessary employment data with universities in an up-to-date manner,</w:t>
      </w:r>
    </w:p>
    <w:p w14:paraId="02516CC2" w14:textId="77777777" w:rsidR="00E8794B" w:rsidRPr="00B11641" w:rsidRDefault="00E8794B" w:rsidP="00EE67D9">
      <w:pPr>
        <w:numPr>
          <w:ilvl w:val="0"/>
          <w:numId w:val="5"/>
        </w:numPr>
        <w:spacing w:after="160"/>
        <w:jc w:val="both"/>
        <w:rPr>
          <w:sz w:val="22"/>
          <w:szCs w:val="22"/>
        </w:rPr>
      </w:pPr>
      <w:r w:rsidRPr="00B11641">
        <w:rPr>
          <w:sz w:val="22"/>
          <w:szCs w:val="22"/>
        </w:rPr>
        <w:t xml:space="preserve">Continuing to give incentives to the </w:t>
      </w:r>
      <w:r>
        <w:rPr>
          <w:sz w:val="22"/>
          <w:szCs w:val="22"/>
        </w:rPr>
        <w:t xml:space="preserve">ICT </w:t>
      </w:r>
      <w:r w:rsidRPr="00B11641">
        <w:rPr>
          <w:sz w:val="22"/>
          <w:szCs w:val="22"/>
        </w:rPr>
        <w:t>sector to increase qualified employment,</w:t>
      </w:r>
    </w:p>
    <w:p w14:paraId="08C609D3" w14:textId="77777777" w:rsidR="00E8794B" w:rsidRPr="00B11641" w:rsidRDefault="00E8794B" w:rsidP="00EE67D9">
      <w:pPr>
        <w:numPr>
          <w:ilvl w:val="0"/>
          <w:numId w:val="5"/>
        </w:numPr>
        <w:spacing w:after="160"/>
        <w:jc w:val="both"/>
        <w:rPr>
          <w:sz w:val="22"/>
          <w:szCs w:val="22"/>
        </w:rPr>
      </w:pPr>
      <w:r w:rsidRPr="00B11641">
        <w:rPr>
          <w:sz w:val="22"/>
          <w:szCs w:val="22"/>
        </w:rPr>
        <w:t>The evolution and transformation of human abilities into many measurable parameters with technology, the writing of decision mechanisms suitable for the parameters, and the implementation of this mechanism by determining the ethical framework</w:t>
      </w:r>
    </w:p>
    <w:p w14:paraId="307391BD" w14:textId="3014C633" w:rsidR="00E8794B" w:rsidRPr="00445E14" w:rsidRDefault="00E8794B" w:rsidP="00EE67D9">
      <w:pPr>
        <w:numPr>
          <w:ilvl w:val="0"/>
          <w:numId w:val="5"/>
        </w:numPr>
        <w:spacing w:after="160"/>
        <w:jc w:val="both"/>
        <w:rPr>
          <w:sz w:val="22"/>
          <w:szCs w:val="22"/>
        </w:rPr>
      </w:pPr>
      <w:r w:rsidRPr="00B11641">
        <w:rPr>
          <w:sz w:val="22"/>
          <w:szCs w:val="22"/>
        </w:rPr>
        <w:t>Carrying out studies that will adapt institutions to digitali</w:t>
      </w:r>
      <w:r w:rsidR="00BD6CC8">
        <w:rPr>
          <w:sz w:val="22"/>
          <w:szCs w:val="22"/>
        </w:rPr>
        <w:t>s</w:t>
      </w:r>
      <w:r w:rsidRPr="00B11641">
        <w:rPr>
          <w:sz w:val="22"/>
          <w:szCs w:val="22"/>
        </w:rPr>
        <w:t>ation</w:t>
      </w:r>
      <w:r>
        <w:rPr>
          <w:sz w:val="22"/>
          <w:szCs w:val="22"/>
        </w:rPr>
        <w:t>.</w:t>
      </w:r>
    </w:p>
    <w:p w14:paraId="52FF2D9B" w14:textId="77777777" w:rsidR="006B2F74" w:rsidRDefault="006B2F74" w:rsidP="006B2F74">
      <w:pPr>
        <w:jc w:val="both"/>
        <w:rPr>
          <w:bCs/>
          <w:color w:val="FF0000"/>
          <w:sz w:val="22"/>
          <w:szCs w:val="22"/>
        </w:rPr>
      </w:pPr>
    </w:p>
    <w:p w14:paraId="33915C42" w14:textId="2E50E22E" w:rsidR="00467BF6" w:rsidRPr="003C5FB1" w:rsidRDefault="003C5FB1" w:rsidP="003C5FB1">
      <w:pPr>
        <w:pStyle w:val="Heading1"/>
      </w:pPr>
      <w:bookmarkStart w:id="55" w:name="_Toc118366174"/>
      <w:r>
        <w:t xml:space="preserve">5. </w:t>
      </w:r>
      <w:r w:rsidR="00467BF6" w:rsidRPr="003C5FB1">
        <w:t>BIB</w:t>
      </w:r>
      <w:r w:rsidR="001F5B4F" w:rsidRPr="003C5FB1">
        <w:t>L</w:t>
      </w:r>
      <w:r w:rsidR="00467BF6" w:rsidRPr="003C5FB1">
        <w:t>IOGRAPHY</w:t>
      </w:r>
      <w:bookmarkEnd w:id="55"/>
    </w:p>
    <w:p w14:paraId="7ED6064A" w14:textId="4496A7A6" w:rsidR="00467BF6" w:rsidRPr="00467BF6" w:rsidRDefault="00467BF6" w:rsidP="00DD72BE">
      <w:pPr>
        <w:pStyle w:val="Heading2"/>
      </w:pPr>
      <w:bookmarkStart w:id="56" w:name="_Toc118366175"/>
      <w:r w:rsidRPr="00467BF6">
        <w:t xml:space="preserve">5.1 References </w:t>
      </w:r>
      <w:r>
        <w:t>E</w:t>
      </w:r>
      <w:r w:rsidRPr="00467BF6">
        <w:t>xamined during Desk Research</w:t>
      </w:r>
      <w:bookmarkEnd w:id="56"/>
    </w:p>
    <w:p w14:paraId="73BC3D24" w14:textId="77777777" w:rsidR="00467BF6" w:rsidRPr="00A80B9D" w:rsidRDefault="00467BF6" w:rsidP="00467BF6">
      <w:pPr>
        <w:rPr>
          <w:sz w:val="22"/>
          <w:szCs w:val="22"/>
        </w:rPr>
      </w:pPr>
    </w:p>
    <w:p w14:paraId="425981D1" w14:textId="6F5273B9" w:rsidR="00467BF6" w:rsidRPr="00FC0AE9" w:rsidRDefault="00715D0F">
      <w:pPr>
        <w:rPr>
          <w:rFonts w:asciiTheme="majorHAnsi" w:eastAsiaTheme="majorEastAsia" w:hAnsiTheme="majorHAnsi" w:cstheme="majorBidi"/>
          <w:color w:val="2F5496" w:themeColor="accent1" w:themeShade="BF"/>
          <w:sz w:val="26"/>
          <w:szCs w:val="26"/>
        </w:rPr>
      </w:pPr>
      <w:r w:rsidRPr="00FC0AE9">
        <w:rPr>
          <w:rFonts w:asciiTheme="majorHAnsi" w:eastAsiaTheme="majorEastAsia" w:hAnsiTheme="majorHAnsi" w:cstheme="majorBidi"/>
          <w:color w:val="2F5496" w:themeColor="accent1" w:themeShade="BF"/>
          <w:sz w:val="26"/>
          <w:szCs w:val="26"/>
        </w:rPr>
        <w:t>5.1.1 Banking and Finance</w:t>
      </w:r>
    </w:p>
    <w:p w14:paraId="492E6044" w14:textId="132FE573" w:rsidR="00715D0F" w:rsidRPr="00FC0AE9" w:rsidRDefault="00715D0F">
      <w:pPr>
        <w:rPr>
          <w:rFonts w:asciiTheme="majorHAnsi" w:eastAsiaTheme="majorEastAsia" w:hAnsiTheme="majorHAnsi" w:cstheme="majorBidi"/>
          <w:color w:val="2F5496" w:themeColor="accent1" w:themeShade="BF"/>
          <w:sz w:val="26"/>
          <w:szCs w:val="26"/>
        </w:rPr>
      </w:pPr>
    </w:p>
    <w:p w14:paraId="19A51A88" w14:textId="387A1454" w:rsidR="00715D0F" w:rsidRPr="00FC0AE9" w:rsidRDefault="00715D0F" w:rsidP="00EE67D9">
      <w:pPr>
        <w:pStyle w:val="ListParagraph"/>
        <w:numPr>
          <w:ilvl w:val="0"/>
          <w:numId w:val="25"/>
        </w:numPr>
        <w:rPr>
          <w:rFonts w:asciiTheme="majorHAnsi" w:eastAsiaTheme="majorEastAsia" w:hAnsiTheme="majorHAnsi" w:cstheme="majorBidi"/>
          <w:color w:val="2F5496" w:themeColor="accent1" w:themeShade="BF"/>
          <w:sz w:val="26"/>
          <w:szCs w:val="26"/>
        </w:rPr>
      </w:pPr>
      <w:r w:rsidRPr="00FC0AE9">
        <w:rPr>
          <w:rFonts w:asciiTheme="majorHAnsi" w:eastAsiaTheme="majorEastAsia" w:hAnsiTheme="majorHAnsi" w:cstheme="majorBidi"/>
          <w:color w:val="2F5496" w:themeColor="accent1" w:themeShade="BF"/>
          <w:sz w:val="26"/>
          <w:szCs w:val="26"/>
        </w:rPr>
        <w:t>Resources</w:t>
      </w:r>
    </w:p>
    <w:p w14:paraId="0B64E38B" w14:textId="77777777" w:rsidR="00FC0AE9" w:rsidRPr="00FC0AE9" w:rsidRDefault="00FC0AE9" w:rsidP="00FC0AE9">
      <w:pPr>
        <w:pStyle w:val="ListParagraph"/>
        <w:rPr>
          <w:rFonts w:asciiTheme="majorHAnsi" w:eastAsiaTheme="majorEastAsia" w:hAnsiTheme="majorHAnsi" w:cstheme="majorBidi"/>
          <w:color w:val="2F5496" w:themeColor="accent1" w:themeShade="BF"/>
          <w:sz w:val="26"/>
          <w:szCs w:val="26"/>
        </w:rPr>
      </w:pPr>
    </w:p>
    <w:p w14:paraId="6DF78216" w14:textId="77777777" w:rsidR="00715D0F" w:rsidRPr="00AC740A" w:rsidRDefault="00715D0F"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rPr>
        <w:lastRenderedPageBreak/>
        <w:t xml:space="preserve">Accenture (2016). Cracking the Gender Code: Get 3x More Women in Computing. New York, NY: Accenture. Available at:  </w:t>
      </w:r>
      <w:hyperlink r:id="rId14" w:history="1">
        <w:r w:rsidRPr="00AC740A">
          <w:rPr>
            <w:rStyle w:val="Hyperlink"/>
            <w:rFonts w:asciiTheme="minorHAnsi" w:hAnsiTheme="minorHAnsi" w:cstheme="minorHAnsi"/>
            <w:noProof/>
            <w:sz w:val="20"/>
            <w:szCs w:val="20"/>
          </w:rPr>
          <w:t>https://www.accenture.com/t20161018T094638__w__/usen/_acnmedia/Accenture/next-gen-3/girls-who-code/Accenture-Cracking-The-Gender-CodeReport.pdf</w:t>
        </w:r>
      </w:hyperlink>
    </w:p>
    <w:p w14:paraId="4B46660D" w14:textId="77777777" w:rsidR="00715D0F" w:rsidRPr="00AC740A" w:rsidRDefault="00715D0F"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rPr>
        <w:t xml:space="preserve">Accenture (2017). New skills Now: Inclusion in the Digital Economy. New York, NY: Accenture. Available at: </w:t>
      </w:r>
      <w:hyperlink r:id="rId15" w:history="1">
        <w:r w:rsidRPr="00AC740A">
          <w:rPr>
            <w:rStyle w:val="Hyperlink"/>
            <w:rFonts w:asciiTheme="minorHAnsi" w:hAnsiTheme="minorHAnsi" w:cstheme="minorHAnsi"/>
            <w:noProof/>
            <w:sz w:val="20"/>
            <w:szCs w:val="20"/>
          </w:rPr>
          <w:t>https://www.accenture.com/_acnmedia/PDF-63/Accenture-New-Skills-Now-Inclusion-in-thedigital.pdf</w:t>
        </w:r>
      </w:hyperlink>
      <w:r w:rsidRPr="00AC740A">
        <w:rPr>
          <w:rFonts w:asciiTheme="minorHAnsi" w:hAnsiTheme="minorHAnsi" w:cstheme="minorHAnsi"/>
          <w:noProof/>
          <w:sz w:val="20"/>
          <w:szCs w:val="20"/>
        </w:rPr>
        <w:t xml:space="preserve">. </w:t>
      </w:r>
    </w:p>
    <w:p w14:paraId="66C5D577" w14:textId="77777777" w:rsidR="00715D0F" w:rsidRPr="00AC740A" w:rsidRDefault="00715D0F"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rPr>
        <w:t xml:space="preserve">Alliance for Financial Inclusion (2016). Digital Financial Services Basic Terminology. Kuala Lumpur, Malaysia: Alliance for Financial Inclusion. Available at:  </w:t>
      </w:r>
      <w:hyperlink r:id="rId16" w:history="1">
        <w:r w:rsidRPr="00AC740A">
          <w:rPr>
            <w:rStyle w:val="Hyperlink"/>
            <w:rFonts w:asciiTheme="minorHAnsi" w:hAnsiTheme="minorHAnsi" w:cstheme="minorHAnsi"/>
            <w:noProof/>
            <w:sz w:val="20"/>
            <w:szCs w:val="20"/>
          </w:rPr>
          <w:t>https://www.afiglobal.org/sites/default/files/publications/2016-08/Guideline Note-19 DFS-Terminology.pdf</w:t>
        </w:r>
      </w:hyperlink>
    </w:p>
    <w:p w14:paraId="4E9B20C7" w14:textId="77777777" w:rsidR="00715D0F" w:rsidRPr="00AC740A" w:rsidRDefault="00715D0F"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rPr>
        <w:t>Banking Regulation And Supervision Agency</w:t>
      </w:r>
      <w:r w:rsidRPr="00AC740A">
        <w:rPr>
          <w:rFonts w:asciiTheme="minorHAnsi" w:hAnsiTheme="minorHAnsi" w:cstheme="minorHAnsi"/>
          <w:b/>
          <w:bCs/>
          <w:noProof/>
          <w:sz w:val="20"/>
          <w:szCs w:val="20"/>
        </w:rPr>
        <w:t xml:space="preserve">: </w:t>
      </w:r>
      <w:r w:rsidRPr="00AC740A">
        <w:rPr>
          <w:rFonts w:asciiTheme="minorHAnsi" w:hAnsiTheme="minorHAnsi" w:cstheme="minorHAnsi"/>
          <w:noProof/>
          <w:sz w:val="20"/>
          <w:szCs w:val="20"/>
        </w:rPr>
        <w:t xml:space="preserve">Data available at: </w:t>
      </w:r>
      <w:hyperlink r:id="rId17" w:history="1">
        <w:r w:rsidRPr="00AC740A">
          <w:rPr>
            <w:rStyle w:val="Hyperlink"/>
            <w:rFonts w:asciiTheme="minorHAnsi" w:hAnsiTheme="minorHAnsi" w:cstheme="minorHAnsi"/>
            <w:noProof/>
            <w:sz w:val="20"/>
            <w:szCs w:val="20"/>
          </w:rPr>
          <w:t>https://www.bddk.org.tr/Data/Main-Indicators-Report/23</w:t>
        </w:r>
      </w:hyperlink>
    </w:p>
    <w:p w14:paraId="3045575F" w14:textId="77777777" w:rsidR="00715D0F" w:rsidRPr="00AC740A" w:rsidRDefault="00715D0F"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rPr>
        <w:t xml:space="preserve">Commission for Sustainable Development (2017). Working Group on the Digital Gender Divide: Recommendations for Action: Bridging the Gender Gap in Internet and Broadband Access and Use. Geneva, Switzerland: Broadband Commission for Sustainable Development. Available at: </w:t>
      </w:r>
      <w:hyperlink r:id="rId18" w:history="1">
        <w:r w:rsidRPr="00AC740A">
          <w:rPr>
            <w:rStyle w:val="Hyperlink"/>
            <w:rFonts w:asciiTheme="minorHAnsi" w:hAnsiTheme="minorHAnsi" w:cstheme="minorHAnsi"/>
            <w:noProof/>
            <w:sz w:val="20"/>
            <w:szCs w:val="20"/>
          </w:rPr>
          <w:t>http://broadbandcommission.org/Documents/publications/WorkingGroupDigitalGenderDividereport2017.pdf</w:t>
        </w:r>
      </w:hyperlink>
    </w:p>
    <w:p w14:paraId="6F35B29F" w14:textId="77777777" w:rsidR="00715D0F" w:rsidRPr="00AC740A" w:rsidRDefault="00715D0F"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rPr>
        <w:t xml:space="preserve">Datta, N., Angela Assy, Johanne Buba, Samantha Watson, et al. (2018). Integration: A New Approach to Youth Employment Programs. Washington, DC: World Bank Group. </w:t>
      </w:r>
    </w:p>
    <w:p w14:paraId="7A12792A" w14:textId="77777777" w:rsidR="00715D0F" w:rsidRPr="00AC740A" w:rsidRDefault="00715D0F" w:rsidP="00EE67D9">
      <w:pPr>
        <w:pStyle w:val="ListParagraph"/>
        <w:numPr>
          <w:ilvl w:val="0"/>
          <w:numId w:val="13"/>
        </w:numPr>
        <w:spacing w:after="160"/>
        <w:rPr>
          <w:rStyle w:val="Hyperlink"/>
          <w:rFonts w:asciiTheme="minorHAnsi" w:hAnsiTheme="minorHAnsi" w:cstheme="minorHAnsi"/>
          <w:noProof/>
          <w:sz w:val="20"/>
          <w:szCs w:val="20"/>
          <w:lang w:val="en-US"/>
        </w:rPr>
      </w:pPr>
      <w:r w:rsidRPr="00AC740A">
        <w:rPr>
          <w:rFonts w:asciiTheme="minorHAnsi" w:hAnsiTheme="minorHAnsi" w:cstheme="minorHAnsi"/>
          <w:noProof/>
          <w:sz w:val="20"/>
          <w:szCs w:val="20"/>
        </w:rPr>
        <w:t xml:space="preserve">Deloitte (2020), Banking Industry Outlook available at: </w:t>
      </w:r>
      <w:hyperlink r:id="rId19" w:history="1">
        <w:r w:rsidRPr="00AC740A">
          <w:rPr>
            <w:rStyle w:val="Hyperlink"/>
            <w:rFonts w:asciiTheme="minorHAnsi" w:hAnsiTheme="minorHAnsi" w:cstheme="minorHAnsi"/>
            <w:noProof/>
            <w:sz w:val="20"/>
            <w:szCs w:val="20"/>
          </w:rPr>
          <w:t>h</w:t>
        </w:r>
        <w:r w:rsidRPr="00AC740A">
          <w:rPr>
            <w:rStyle w:val="Hyperlink"/>
            <w:rFonts w:asciiTheme="minorHAnsi" w:hAnsiTheme="minorHAnsi" w:cstheme="minorHAnsi"/>
            <w:noProof/>
            <w:sz w:val="20"/>
            <w:szCs w:val="20"/>
            <w:lang w:val="en-US"/>
          </w:rPr>
          <w:t>ttps://www2.deloitte.com/us/en/insights/industry/financial-services/financial-services-industry-outlooks/banking-industry-outlook.html</w:t>
        </w:r>
      </w:hyperlink>
    </w:p>
    <w:p w14:paraId="31BF46C1" w14:textId="77777777" w:rsidR="00715D0F" w:rsidRPr="00AC740A" w:rsidRDefault="00715D0F"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rPr>
        <w:t>Deloitte, Achieving gender equity in financial services leadership,  available at: https://www2.deloitte.com/content/dam/Deloitte/lu/Documents/financial-services/lu-women-in-fsi-leadership-roles.pdf?nc=1</w:t>
      </w:r>
    </w:p>
    <w:p w14:paraId="120A35C1" w14:textId="77777777" w:rsidR="00715D0F" w:rsidRPr="00AC740A" w:rsidRDefault="00715D0F"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rPr>
        <w:t xml:space="preserve">Fiorillo, A. (2017). How to Bring More Women into Mobile Money. Women's Financial Inclusion Community of Practice. Available at: </w:t>
      </w:r>
      <w:hyperlink r:id="rId20" w:history="1">
        <w:r w:rsidRPr="00AC740A">
          <w:rPr>
            <w:rStyle w:val="Hyperlink"/>
            <w:rFonts w:asciiTheme="minorHAnsi" w:hAnsiTheme="minorHAnsi" w:cstheme="minorHAnsi"/>
            <w:noProof/>
            <w:sz w:val="20"/>
            <w:szCs w:val="20"/>
          </w:rPr>
          <w:t>https://www.microfinancegateway.org/library/how-bringmore-women-mobile-money</w:t>
        </w:r>
      </w:hyperlink>
      <w:r w:rsidRPr="00AC740A">
        <w:rPr>
          <w:rFonts w:asciiTheme="minorHAnsi" w:hAnsiTheme="minorHAnsi" w:cstheme="minorHAnsi"/>
          <w:noProof/>
          <w:sz w:val="20"/>
          <w:szCs w:val="20"/>
        </w:rPr>
        <w:t xml:space="preserve">. </w:t>
      </w:r>
    </w:p>
    <w:p w14:paraId="2CBCE636" w14:textId="77777777" w:rsidR="00715D0F" w:rsidRPr="00AC740A" w:rsidRDefault="00715D0F"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rPr>
        <w:t xml:space="preserve">GSMA Connected Women (2015). Bridging the gender gap: Mobile access and usage in low and middleincome countries. London, UK: GSMA. </w:t>
      </w:r>
    </w:p>
    <w:p w14:paraId="65D868D3" w14:textId="77777777" w:rsidR="00715D0F" w:rsidRPr="00AC740A" w:rsidRDefault="00715D0F"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rPr>
        <w:t xml:space="preserve">GSMA Connected Women (2018). The Mobile Gender Gap Report 2018. London, UK: GSMA. Available at: </w:t>
      </w:r>
      <w:hyperlink r:id="rId21" w:history="1">
        <w:r w:rsidRPr="00AC740A">
          <w:rPr>
            <w:rStyle w:val="Hyperlink"/>
            <w:rFonts w:asciiTheme="minorHAnsi" w:hAnsiTheme="minorHAnsi" w:cstheme="minorHAnsi"/>
            <w:noProof/>
            <w:sz w:val="20"/>
            <w:szCs w:val="20"/>
          </w:rPr>
          <w:t>https://www.gsma.com/mobilefordevelopment/connected-women/the-mobile-gender-gapreport-2018/</w:t>
        </w:r>
      </w:hyperlink>
      <w:r w:rsidRPr="00AC740A">
        <w:rPr>
          <w:rFonts w:asciiTheme="minorHAnsi" w:hAnsiTheme="minorHAnsi" w:cstheme="minorHAnsi"/>
          <w:noProof/>
          <w:sz w:val="20"/>
          <w:szCs w:val="20"/>
        </w:rPr>
        <w:t xml:space="preserve">. </w:t>
      </w:r>
    </w:p>
    <w:p w14:paraId="3A3A643C" w14:textId="77777777" w:rsidR="00715D0F" w:rsidRPr="00AC740A" w:rsidRDefault="00715D0F"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rPr>
        <w:t xml:space="preserve">Holman, D., Rosemary Batt, and Ursula Holtgrewe (2007). The global call center report: International perspectives on management and employment (Executive summary). Ithaca, NY: Cornell University ILR School. Available at: </w:t>
      </w:r>
      <w:hyperlink r:id="rId22" w:history="1">
        <w:r w:rsidRPr="00AC740A">
          <w:rPr>
            <w:rStyle w:val="Hyperlink"/>
            <w:rFonts w:asciiTheme="minorHAnsi" w:hAnsiTheme="minorHAnsi" w:cstheme="minorHAnsi"/>
            <w:noProof/>
            <w:sz w:val="20"/>
            <w:szCs w:val="20"/>
          </w:rPr>
          <w:t>https://digitalcommons.ilr.cornell.edu/cgi/viewcontent.cgi?article=1011&amp;context=reports</w:t>
        </w:r>
      </w:hyperlink>
      <w:r w:rsidRPr="00AC740A">
        <w:rPr>
          <w:rFonts w:asciiTheme="minorHAnsi" w:hAnsiTheme="minorHAnsi" w:cstheme="minorHAnsi"/>
          <w:noProof/>
          <w:sz w:val="20"/>
          <w:szCs w:val="20"/>
        </w:rPr>
        <w:t>.</w:t>
      </w:r>
    </w:p>
    <w:p w14:paraId="1C6383A7" w14:textId="017C7F9B" w:rsidR="00715D0F" w:rsidRPr="00FC0AE9" w:rsidRDefault="00715D0F" w:rsidP="00EE67D9">
      <w:pPr>
        <w:pStyle w:val="ListParagraph"/>
        <w:numPr>
          <w:ilvl w:val="0"/>
          <w:numId w:val="13"/>
        </w:numPr>
        <w:spacing w:after="160"/>
        <w:rPr>
          <w:rFonts w:asciiTheme="minorHAnsi" w:hAnsiTheme="minorHAnsi" w:cstheme="minorHAnsi"/>
          <w:noProof/>
          <w:color w:val="0563C1" w:themeColor="hyperlink"/>
          <w:sz w:val="20"/>
          <w:szCs w:val="20"/>
          <w:u w:val="single"/>
          <w:lang w:val="en"/>
        </w:rPr>
      </w:pPr>
      <w:r w:rsidRPr="00AC740A">
        <w:rPr>
          <w:rFonts w:asciiTheme="minorHAnsi" w:hAnsiTheme="minorHAnsi" w:cstheme="minorHAnsi"/>
          <w:noProof/>
          <w:sz w:val="20"/>
          <w:szCs w:val="20"/>
          <w:lang w:val="en"/>
        </w:rPr>
        <w:t xml:space="preserve">ILO (2018) The economics of artificial intelligence: Implications for the future of work, available at: </w:t>
      </w:r>
      <w:hyperlink r:id="rId23" w:history="1">
        <w:r w:rsidRPr="00AC740A">
          <w:rPr>
            <w:rStyle w:val="Hyperlink"/>
            <w:rFonts w:asciiTheme="minorHAnsi" w:hAnsiTheme="minorHAnsi" w:cstheme="minorHAnsi"/>
            <w:noProof/>
            <w:sz w:val="20"/>
            <w:szCs w:val="20"/>
            <w:lang w:val="en"/>
          </w:rPr>
          <w:t>https://www.ilo.org/global/topics/future-of-work/publications/research-papers/WCMS_647306/lang--en/index.htm</w:t>
        </w:r>
      </w:hyperlink>
    </w:p>
    <w:p w14:paraId="30BE5EEF" w14:textId="77777777" w:rsidR="00715D0F" w:rsidRPr="00AC740A" w:rsidRDefault="00715D0F"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rPr>
        <w:t xml:space="preserve">Insurance association of </w:t>
      </w:r>
      <w:r>
        <w:rPr>
          <w:rFonts w:asciiTheme="minorHAnsi" w:hAnsiTheme="minorHAnsi" w:cstheme="minorHAnsi"/>
          <w:noProof/>
          <w:sz w:val="20"/>
          <w:szCs w:val="20"/>
        </w:rPr>
        <w:t>Türkiye</w:t>
      </w:r>
      <w:r w:rsidRPr="00AC740A">
        <w:rPr>
          <w:rFonts w:asciiTheme="minorHAnsi" w:hAnsiTheme="minorHAnsi" w:cstheme="minorHAnsi"/>
          <w:noProof/>
          <w:sz w:val="20"/>
          <w:szCs w:val="20"/>
        </w:rPr>
        <w:t xml:space="preserve"> Strategy Report (2020-2024), available at: </w:t>
      </w:r>
      <w:hyperlink r:id="rId24" w:history="1">
        <w:r w:rsidRPr="00AC740A">
          <w:rPr>
            <w:rStyle w:val="Hyperlink"/>
            <w:rFonts w:asciiTheme="minorHAnsi" w:hAnsiTheme="minorHAnsi" w:cstheme="minorHAnsi"/>
            <w:noProof/>
            <w:sz w:val="20"/>
            <w:szCs w:val="20"/>
          </w:rPr>
          <w:t>https://www.tsb.org.tr/images/Documents/ARA%C5%9ETIRMA/20200604_TSB%20STRATEJI%20ENG%2019-s%C4%B1k%C4%B1%C5%9Ft%C4%B1r%C4%B1ld%C4%B1.pdf</w:t>
        </w:r>
      </w:hyperlink>
    </w:p>
    <w:p w14:paraId="124CB252" w14:textId="77777777" w:rsidR="00715D0F" w:rsidRPr="00AC740A" w:rsidRDefault="00715D0F"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rPr>
        <w:t xml:space="preserve">Invest </w:t>
      </w:r>
      <w:r>
        <w:rPr>
          <w:rFonts w:asciiTheme="minorHAnsi" w:hAnsiTheme="minorHAnsi" w:cstheme="minorHAnsi"/>
          <w:noProof/>
          <w:sz w:val="20"/>
          <w:szCs w:val="20"/>
        </w:rPr>
        <w:t>Türkiye</w:t>
      </w:r>
      <w:r w:rsidRPr="00AC740A">
        <w:rPr>
          <w:rFonts w:asciiTheme="minorHAnsi" w:hAnsiTheme="minorHAnsi" w:cstheme="minorHAnsi"/>
          <w:noProof/>
          <w:sz w:val="20"/>
          <w:szCs w:val="20"/>
        </w:rPr>
        <w:t xml:space="preserve"> (2018), available at: </w:t>
      </w:r>
      <w:hyperlink r:id="rId25" w:history="1">
        <w:r w:rsidRPr="00AC740A">
          <w:rPr>
            <w:rStyle w:val="Hyperlink"/>
            <w:rFonts w:asciiTheme="minorHAnsi" w:hAnsiTheme="minorHAnsi" w:cstheme="minorHAnsi"/>
            <w:noProof/>
            <w:sz w:val="20"/>
            <w:szCs w:val="20"/>
          </w:rPr>
          <w:t>http://invest</w:t>
        </w:r>
        <w:r>
          <w:rPr>
            <w:rStyle w:val="Hyperlink"/>
            <w:rFonts w:asciiTheme="minorHAnsi" w:hAnsiTheme="minorHAnsi" w:cstheme="minorHAnsi"/>
            <w:noProof/>
            <w:sz w:val="20"/>
            <w:szCs w:val="20"/>
          </w:rPr>
          <w:t>Türkiye</w:t>
        </w:r>
        <w:r w:rsidRPr="00AC740A">
          <w:rPr>
            <w:rStyle w:val="Hyperlink"/>
            <w:rFonts w:asciiTheme="minorHAnsi" w:hAnsiTheme="minorHAnsi" w:cstheme="minorHAnsi"/>
            <w:noProof/>
            <w:sz w:val="20"/>
            <w:szCs w:val="20"/>
          </w:rPr>
          <w:t>.or.jp/wp-content/uploads/2018/04/FINANCIAL.SERVICES.INDUSTRY.pdf</w:t>
        </w:r>
      </w:hyperlink>
    </w:p>
    <w:p w14:paraId="2361AFCF" w14:textId="77777777" w:rsidR="00715D0F" w:rsidRPr="00AC740A" w:rsidRDefault="00715D0F"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rPr>
        <w:t xml:space="preserve">Lee, K. (2016). “Skills Training by Small and Medium-Sized Enterprises: Innovative Cases and the Consortium Approach in the Republic of Korea.” ABDI Working Paper Series. </w:t>
      </w:r>
    </w:p>
    <w:p w14:paraId="75A25EA1" w14:textId="77777777" w:rsidR="00715D0F" w:rsidRPr="00AC740A" w:rsidRDefault="00715D0F"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rPr>
        <w:t xml:space="preserve">McKinsey Global Institute (2017). Technology, Jobs, and the Future of Work. New York, NY: McKinsey Global Institute. Available at: </w:t>
      </w:r>
      <w:hyperlink r:id="rId26" w:history="1">
        <w:r w:rsidRPr="00AC740A">
          <w:rPr>
            <w:rStyle w:val="Hyperlink"/>
            <w:rFonts w:asciiTheme="minorHAnsi" w:hAnsiTheme="minorHAnsi" w:cstheme="minorHAnsi"/>
            <w:noProof/>
            <w:sz w:val="20"/>
            <w:szCs w:val="20"/>
          </w:rPr>
          <w:t>https://www.mckinsey.com/featured-insights/employment-andgrowth/technology-jobs-and-the-future-of-work</w:t>
        </w:r>
      </w:hyperlink>
    </w:p>
    <w:p w14:paraId="71153CCC" w14:textId="77777777" w:rsidR="00715D0F" w:rsidRPr="00AC740A" w:rsidRDefault="00715D0F"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rPr>
        <w:t xml:space="preserve">Narain, S. (2009). Gender and Access to Finance. World Bank Group. Available at: </w:t>
      </w:r>
      <w:hyperlink r:id="rId27" w:history="1">
        <w:r w:rsidRPr="00AC740A">
          <w:rPr>
            <w:rStyle w:val="Hyperlink"/>
            <w:rFonts w:asciiTheme="minorHAnsi" w:hAnsiTheme="minorHAnsi" w:cstheme="minorHAnsi"/>
            <w:noProof/>
            <w:sz w:val="20"/>
            <w:szCs w:val="20"/>
          </w:rPr>
          <w:t>http://siteresources.worldbank.org/EXTGENDERSTATS/Resources/SushmaNarainAccesstoFinanceAnalyticalPaper.doc</w:t>
        </w:r>
      </w:hyperlink>
      <w:r w:rsidRPr="00AC740A">
        <w:rPr>
          <w:rFonts w:asciiTheme="minorHAnsi" w:hAnsiTheme="minorHAnsi" w:cstheme="minorHAnsi"/>
          <w:noProof/>
          <w:sz w:val="20"/>
          <w:szCs w:val="20"/>
        </w:rPr>
        <w:t xml:space="preserve">. </w:t>
      </w:r>
    </w:p>
    <w:p w14:paraId="56CA571E" w14:textId="77777777" w:rsidR="00715D0F" w:rsidRPr="00AC740A" w:rsidRDefault="00715D0F"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rPr>
        <w:t xml:space="preserve">Organisation for Economic Co-operation and Development (2005). New perspectives on ICT skills and employment. Paris, France: OECD Publishing. </w:t>
      </w:r>
    </w:p>
    <w:p w14:paraId="2B7D013A" w14:textId="77777777" w:rsidR="00715D0F" w:rsidRPr="00AC740A" w:rsidRDefault="00715D0F"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rPr>
        <w:lastRenderedPageBreak/>
        <w:t xml:space="preserve">Presidency of the Republic of </w:t>
      </w:r>
      <w:r>
        <w:rPr>
          <w:rFonts w:asciiTheme="minorHAnsi" w:hAnsiTheme="minorHAnsi" w:cstheme="minorHAnsi"/>
          <w:noProof/>
          <w:sz w:val="20"/>
          <w:szCs w:val="20"/>
        </w:rPr>
        <w:t>Türkiye</w:t>
      </w:r>
      <w:r w:rsidRPr="00AC740A">
        <w:rPr>
          <w:rFonts w:asciiTheme="minorHAnsi" w:hAnsiTheme="minorHAnsi" w:cstheme="minorHAnsi"/>
          <w:noProof/>
          <w:sz w:val="20"/>
          <w:szCs w:val="20"/>
        </w:rPr>
        <w:t xml:space="preserve"> (May 2019) Financial services on </w:t>
      </w:r>
      <w:r>
        <w:rPr>
          <w:rFonts w:asciiTheme="minorHAnsi" w:hAnsiTheme="minorHAnsi" w:cstheme="minorHAnsi"/>
          <w:noProof/>
          <w:sz w:val="20"/>
          <w:szCs w:val="20"/>
        </w:rPr>
        <w:t>Türkiye</w:t>
      </w:r>
      <w:r w:rsidRPr="00AC740A">
        <w:rPr>
          <w:rFonts w:asciiTheme="minorHAnsi" w:hAnsiTheme="minorHAnsi" w:cstheme="minorHAnsi"/>
          <w:noProof/>
          <w:sz w:val="20"/>
          <w:szCs w:val="20"/>
        </w:rPr>
        <w:t xml:space="preserve">, available at: </w:t>
      </w:r>
      <w:hyperlink r:id="rId28" w:history="1">
        <w:r w:rsidRPr="00AC740A">
          <w:rPr>
            <w:rStyle w:val="Hyperlink"/>
            <w:rFonts w:asciiTheme="minorHAnsi" w:hAnsiTheme="minorHAnsi" w:cstheme="minorHAnsi"/>
            <w:noProof/>
            <w:sz w:val="20"/>
            <w:szCs w:val="20"/>
          </w:rPr>
          <w:t>https://www.invest.gov.tr/en/library/publications/lists/investpublications/financial-services-industry.pdf</w:t>
        </w:r>
      </w:hyperlink>
    </w:p>
    <w:p w14:paraId="75A4D40D" w14:textId="77777777" w:rsidR="00715D0F" w:rsidRPr="00AC740A" w:rsidRDefault="00715D0F"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rPr>
        <w:t xml:space="preserve">Presidency of the Republic of </w:t>
      </w:r>
      <w:r>
        <w:rPr>
          <w:rFonts w:asciiTheme="minorHAnsi" w:hAnsiTheme="minorHAnsi" w:cstheme="minorHAnsi"/>
          <w:noProof/>
          <w:sz w:val="20"/>
          <w:szCs w:val="20"/>
        </w:rPr>
        <w:t>Türkiye</w:t>
      </w:r>
      <w:r w:rsidRPr="00AC740A">
        <w:rPr>
          <w:rFonts w:asciiTheme="minorHAnsi" w:hAnsiTheme="minorHAnsi" w:cstheme="minorHAnsi"/>
          <w:noProof/>
          <w:sz w:val="20"/>
          <w:szCs w:val="20"/>
        </w:rPr>
        <w:t xml:space="preserve">, Presidency of Strategy and Budget (2019) Eleven Development Plan, available in:  </w:t>
      </w:r>
      <w:hyperlink r:id="rId29" w:history="1">
        <w:r w:rsidRPr="00AC740A">
          <w:rPr>
            <w:rStyle w:val="Hyperlink"/>
            <w:rFonts w:asciiTheme="minorHAnsi" w:hAnsiTheme="minorHAnsi" w:cstheme="minorHAnsi"/>
            <w:noProof/>
            <w:sz w:val="20"/>
            <w:szCs w:val="20"/>
          </w:rPr>
          <w:t>https://www.sbb.gov.tr/wp-content/uploads/2020/06/Eleventh_Development_Plan-2019-2023.pdf</w:t>
        </w:r>
      </w:hyperlink>
    </w:p>
    <w:p w14:paraId="4F67E996" w14:textId="77777777" w:rsidR="00715D0F" w:rsidRPr="00AC740A" w:rsidRDefault="00715D0F"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rPr>
        <w:t xml:space="preserve">Presidency of </w:t>
      </w:r>
      <w:r>
        <w:rPr>
          <w:rFonts w:asciiTheme="minorHAnsi" w:hAnsiTheme="minorHAnsi" w:cstheme="minorHAnsi"/>
          <w:noProof/>
          <w:sz w:val="20"/>
          <w:szCs w:val="20"/>
        </w:rPr>
        <w:t>Türkiye</w:t>
      </w:r>
      <w:r w:rsidRPr="00AC740A">
        <w:rPr>
          <w:rFonts w:asciiTheme="minorHAnsi" w:hAnsiTheme="minorHAnsi" w:cstheme="minorHAnsi"/>
          <w:noProof/>
          <w:sz w:val="20"/>
          <w:szCs w:val="20"/>
        </w:rPr>
        <w:t xml:space="preserve">, Economic Program 2019 – 2021, available at: </w:t>
      </w:r>
      <w:hyperlink r:id="rId30" w:history="1">
        <w:r w:rsidRPr="00AC740A">
          <w:rPr>
            <w:rStyle w:val="Hyperlink"/>
            <w:rFonts w:asciiTheme="minorHAnsi" w:hAnsiTheme="minorHAnsi" w:cstheme="minorHAnsi"/>
            <w:noProof/>
            <w:sz w:val="20"/>
            <w:szCs w:val="20"/>
          </w:rPr>
          <w:t>https://www.sbb.gov.tr/wp-content/uploads/2018/11/YeniEkonomiProgram%C4%B1_OVP_2019-2021.pdf</w:t>
        </w:r>
      </w:hyperlink>
    </w:p>
    <w:p w14:paraId="60790ADD" w14:textId="77777777" w:rsidR="00715D0F" w:rsidRPr="00AC740A" w:rsidRDefault="00715D0F"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rPr>
        <w:t xml:space="preserve">Presidency of </w:t>
      </w:r>
      <w:r>
        <w:rPr>
          <w:rFonts w:asciiTheme="minorHAnsi" w:hAnsiTheme="minorHAnsi" w:cstheme="minorHAnsi"/>
          <w:noProof/>
          <w:sz w:val="20"/>
          <w:szCs w:val="20"/>
        </w:rPr>
        <w:t>Türkiye</w:t>
      </w:r>
      <w:r w:rsidRPr="00AC740A">
        <w:rPr>
          <w:rFonts w:asciiTheme="minorHAnsi" w:hAnsiTheme="minorHAnsi" w:cstheme="minorHAnsi"/>
          <w:noProof/>
          <w:sz w:val="20"/>
          <w:szCs w:val="20"/>
        </w:rPr>
        <w:t xml:space="preserve">, Economic Program 2021 – 2023, available at: </w:t>
      </w:r>
      <w:hyperlink r:id="rId31" w:history="1">
        <w:r w:rsidRPr="00AC740A">
          <w:rPr>
            <w:rStyle w:val="Hyperlink"/>
            <w:rFonts w:asciiTheme="minorHAnsi" w:hAnsiTheme="minorHAnsi" w:cstheme="minorHAnsi"/>
            <w:noProof/>
            <w:sz w:val="20"/>
            <w:szCs w:val="20"/>
          </w:rPr>
          <w:t>https://www.sbb.gov.tr/wp-content/uploads/2020/09/YeniEkonomiProgram%C4%B1_OVP_2021-2023.pdf</w:t>
        </w:r>
      </w:hyperlink>
    </w:p>
    <w:p w14:paraId="1EA2A54A" w14:textId="77777777" w:rsidR="00715D0F" w:rsidRPr="00AC740A" w:rsidRDefault="00715D0F"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rPr>
        <w:t xml:space="preserve">Republic of </w:t>
      </w:r>
      <w:r>
        <w:rPr>
          <w:rFonts w:asciiTheme="minorHAnsi" w:hAnsiTheme="minorHAnsi" w:cstheme="minorHAnsi"/>
          <w:noProof/>
          <w:sz w:val="20"/>
          <w:szCs w:val="20"/>
        </w:rPr>
        <w:t>Türkiye</w:t>
      </w:r>
      <w:r w:rsidRPr="00AC740A">
        <w:rPr>
          <w:rFonts w:asciiTheme="minorHAnsi" w:hAnsiTheme="minorHAnsi" w:cstheme="minorHAnsi"/>
          <w:noProof/>
          <w:sz w:val="20"/>
          <w:szCs w:val="20"/>
        </w:rPr>
        <w:t xml:space="preserve">, Ministry of Treasury and Finance, New economy program balance-discipline-transformation 2019-2021, available at: </w:t>
      </w:r>
      <w:hyperlink r:id="rId32" w:history="1">
        <w:r w:rsidRPr="00AC740A">
          <w:rPr>
            <w:rStyle w:val="Hyperlink"/>
            <w:rFonts w:asciiTheme="minorHAnsi" w:hAnsiTheme="minorHAnsi" w:cstheme="minorHAnsi"/>
            <w:noProof/>
            <w:sz w:val="20"/>
            <w:szCs w:val="20"/>
          </w:rPr>
          <w:t>https://ms.hmb.gov.tr/uploads/2019/10/New-Economy-Program-2019-2021.pdf</w:t>
        </w:r>
      </w:hyperlink>
    </w:p>
    <w:p w14:paraId="60ABDC07" w14:textId="77777777" w:rsidR="00715D0F" w:rsidRPr="00AC740A" w:rsidRDefault="00715D0F"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rPr>
        <w:t xml:space="preserve">Selected Banking and Macroeconomic Indicators </w:t>
      </w:r>
      <w:r>
        <w:rPr>
          <w:rFonts w:asciiTheme="minorHAnsi" w:hAnsiTheme="minorHAnsi" w:cstheme="minorHAnsi"/>
          <w:noProof/>
          <w:sz w:val="20"/>
          <w:szCs w:val="20"/>
        </w:rPr>
        <w:t>Türkiye</w:t>
      </w:r>
      <w:r w:rsidRPr="00AC740A">
        <w:rPr>
          <w:rFonts w:asciiTheme="minorHAnsi" w:hAnsiTheme="minorHAnsi" w:cstheme="minorHAnsi"/>
          <w:noProof/>
          <w:sz w:val="20"/>
          <w:szCs w:val="20"/>
        </w:rPr>
        <w:t xml:space="preserve"> – European Union October 2020, available at. </w:t>
      </w:r>
      <w:hyperlink r:id="rId33" w:history="1">
        <w:r w:rsidRPr="00AC740A">
          <w:rPr>
            <w:rStyle w:val="Hyperlink"/>
            <w:rFonts w:asciiTheme="minorHAnsi" w:hAnsiTheme="minorHAnsi" w:cstheme="minorHAnsi"/>
            <w:noProof/>
            <w:sz w:val="20"/>
            <w:szCs w:val="20"/>
          </w:rPr>
          <w:t>https://www.tbb.org.tr/en/Content/Upload/Dokuman/182/TR-EU-2019.pdf</w:t>
        </w:r>
      </w:hyperlink>
    </w:p>
    <w:p w14:paraId="3C24D1B5" w14:textId="77777777" w:rsidR="00715D0F" w:rsidRPr="00AC740A" w:rsidRDefault="00715D0F"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rPr>
        <w:t xml:space="preserve">The Banks Association of </w:t>
      </w:r>
      <w:r>
        <w:rPr>
          <w:rFonts w:asciiTheme="minorHAnsi" w:hAnsiTheme="minorHAnsi" w:cstheme="minorHAnsi"/>
          <w:noProof/>
          <w:sz w:val="20"/>
          <w:szCs w:val="20"/>
        </w:rPr>
        <w:t>Türkiye</w:t>
      </w:r>
      <w:r w:rsidRPr="00AC740A">
        <w:rPr>
          <w:rFonts w:asciiTheme="minorHAnsi" w:hAnsiTheme="minorHAnsi" w:cstheme="minorHAnsi"/>
          <w:b/>
          <w:bCs/>
          <w:noProof/>
          <w:sz w:val="20"/>
          <w:szCs w:val="20"/>
        </w:rPr>
        <w:t xml:space="preserve"> (2020)</w:t>
      </w:r>
      <w:r w:rsidRPr="00AC740A">
        <w:rPr>
          <w:rFonts w:asciiTheme="minorHAnsi" w:hAnsiTheme="minorHAnsi" w:cstheme="minorHAnsi"/>
          <w:noProof/>
          <w:sz w:val="20"/>
          <w:szCs w:val="20"/>
        </w:rPr>
        <w:t xml:space="preserve"> Data available at: </w:t>
      </w:r>
      <w:hyperlink r:id="rId34" w:history="1">
        <w:r w:rsidRPr="00AC740A">
          <w:rPr>
            <w:rStyle w:val="Hyperlink"/>
            <w:rFonts w:asciiTheme="minorHAnsi" w:hAnsiTheme="minorHAnsi" w:cstheme="minorHAnsi"/>
            <w:noProof/>
            <w:sz w:val="20"/>
            <w:szCs w:val="20"/>
          </w:rPr>
          <w:t>https://www.tbb.org.tr/english/tbbbrosur10032005englishi.pdf</w:t>
        </w:r>
      </w:hyperlink>
    </w:p>
    <w:p w14:paraId="6B8DEC6F" w14:textId="77777777" w:rsidR="00715D0F" w:rsidRPr="00AC740A" w:rsidRDefault="00715D0F"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rPr>
        <w:t xml:space="preserve">The Banks Association of </w:t>
      </w:r>
      <w:r>
        <w:rPr>
          <w:rFonts w:asciiTheme="minorHAnsi" w:hAnsiTheme="minorHAnsi" w:cstheme="minorHAnsi"/>
          <w:noProof/>
          <w:sz w:val="20"/>
          <w:szCs w:val="20"/>
        </w:rPr>
        <w:t>Türkiye</w:t>
      </w:r>
      <w:r w:rsidRPr="00AC740A">
        <w:rPr>
          <w:rFonts w:asciiTheme="minorHAnsi" w:hAnsiTheme="minorHAnsi" w:cstheme="minorHAnsi"/>
          <w:noProof/>
          <w:sz w:val="20"/>
          <w:szCs w:val="20"/>
        </w:rPr>
        <w:t xml:space="preserve"> (2021) Banks and Banking sector information , available at. </w:t>
      </w:r>
      <w:hyperlink r:id="rId35" w:history="1">
        <w:r w:rsidRPr="00AC740A">
          <w:rPr>
            <w:rStyle w:val="Hyperlink"/>
            <w:rFonts w:asciiTheme="minorHAnsi" w:hAnsiTheme="minorHAnsi" w:cstheme="minorHAnsi"/>
            <w:noProof/>
            <w:sz w:val="20"/>
            <w:szCs w:val="20"/>
          </w:rPr>
          <w:t>https://www.tbb.org.tr/en/banks-and-banking-sector-information/statistical-reports/20</w:t>
        </w:r>
      </w:hyperlink>
    </w:p>
    <w:p w14:paraId="3EB45CCE" w14:textId="77777777" w:rsidR="00715D0F" w:rsidRPr="00AC740A" w:rsidRDefault="00715D0F"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rPr>
        <w:t xml:space="preserve">Turkish Banking Sector by International Comparisons November 2020, available at. </w:t>
      </w:r>
      <w:hyperlink r:id="rId36" w:history="1">
        <w:r w:rsidRPr="00AC740A">
          <w:rPr>
            <w:rStyle w:val="Hyperlink"/>
            <w:rFonts w:asciiTheme="minorHAnsi" w:hAnsiTheme="minorHAnsi" w:cstheme="minorHAnsi"/>
            <w:noProof/>
            <w:sz w:val="20"/>
            <w:szCs w:val="20"/>
          </w:rPr>
          <w:t>https://www.tbb.org.tr/en/Content/Upload/Dokuman/184/Turkish_Banking_Sector_by_International_Comparisons_(2019).pdf</w:t>
        </w:r>
      </w:hyperlink>
    </w:p>
    <w:p w14:paraId="285915B1" w14:textId="77777777" w:rsidR="00715D0F" w:rsidRPr="00AC740A" w:rsidRDefault="00715D0F"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rPr>
        <w:t>TÜRKİYE CUMHURİYETİ CUMHURBAŞKANLIĞI STRATEJİ VE BÜTÇE BAŞKANLIĞI</w:t>
      </w:r>
      <w:r w:rsidRPr="00AC740A">
        <w:rPr>
          <w:rFonts w:asciiTheme="minorHAnsi" w:hAnsiTheme="minorHAnsi" w:cstheme="minorHAnsi"/>
          <w:sz w:val="20"/>
          <w:szCs w:val="20"/>
        </w:rPr>
        <w:t xml:space="preserve"> </w:t>
      </w:r>
      <w:hyperlink r:id="rId37" w:history="1">
        <w:r w:rsidRPr="00AC740A">
          <w:rPr>
            <w:rStyle w:val="Hyperlink"/>
            <w:rFonts w:asciiTheme="minorHAnsi" w:hAnsiTheme="minorHAnsi" w:cstheme="minorHAnsi"/>
            <w:noProof/>
            <w:sz w:val="20"/>
            <w:szCs w:val="20"/>
          </w:rPr>
          <w:t>https://www.sbb.gov.tr/wp-content/uploads/2021/01/isgucu-piyasasi-2020-Yili-4-Ceyrek-Raporu.pdf</w:t>
        </w:r>
      </w:hyperlink>
    </w:p>
    <w:p w14:paraId="7CA1EC62" w14:textId="77777777" w:rsidR="00715D0F" w:rsidRPr="00AC740A" w:rsidRDefault="00715D0F"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rPr>
        <w:t xml:space="preserve">UNDP (2021)  </w:t>
      </w:r>
      <w:r>
        <w:rPr>
          <w:rFonts w:asciiTheme="minorHAnsi" w:hAnsiTheme="minorHAnsi" w:cstheme="minorHAnsi"/>
          <w:noProof/>
          <w:sz w:val="20"/>
          <w:szCs w:val="20"/>
        </w:rPr>
        <w:t>Türkiye</w:t>
      </w:r>
      <w:r w:rsidRPr="00AC740A">
        <w:rPr>
          <w:rFonts w:asciiTheme="minorHAnsi" w:hAnsiTheme="minorHAnsi" w:cstheme="minorHAnsi"/>
          <w:noProof/>
          <w:sz w:val="20"/>
          <w:szCs w:val="20"/>
        </w:rPr>
        <w:t xml:space="preserve"> Annual Report 2020, available at: </w:t>
      </w:r>
      <w:hyperlink r:id="rId38" w:history="1">
        <w:r w:rsidRPr="00AC740A">
          <w:rPr>
            <w:rStyle w:val="Hyperlink"/>
            <w:rFonts w:asciiTheme="minorHAnsi" w:hAnsiTheme="minorHAnsi" w:cstheme="minorHAnsi"/>
            <w:noProof/>
            <w:sz w:val="20"/>
            <w:szCs w:val="20"/>
          </w:rPr>
          <w:t>https://www.tr.undp.org/content/</w:t>
        </w:r>
        <w:r>
          <w:rPr>
            <w:rStyle w:val="Hyperlink"/>
            <w:rFonts w:asciiTheme="minorHAnsi" w:hAnsiTheme="minorHAnsi" w:cstheme="minorHAnsi"/>
            <w:noProof/>
            <w:sz w:val="20"/>
            <w:szCs w:val="20"/>
          </w:rPr>
          <w:t>Türkiye</w:t>
        </w:r>
        <w:r w:rsidRPr="00AC740A">
          <w:rPr>
            <w:rStyle w:val="Hyperlink"/>
            <w:rFonts w:asciiTheme="minorHAnsi" w:hAnsiTheme="minorHAnsi" w:cstheme="minorHAnsi"/>
            <w:noProof/>
            <w:sz w:val="20"/>
            <w:szCs w:val="20"/>
          </w:rPr>
          <w:t>/en/home/library/corporatereports/Annual-report-2020.html</w:t>
        </w:r>
      </w:hyperlink>
    </w:p>
    <w:p w14:paraId="6AF65792" w14:textId="77777777" w:rsidR="00715D0F" w:rsidRPr="007259F7" w:rsidRDefault="00715D0F" w:rsidP="00EE67D9">
      <w:pPr>
        <w:pStyle w:val="ListParagraph"/>
        <w:numPr>
          <w:ilvl w:val="0"/>
          <w:numId w:val="13"/>
        </w:numPr>
        <w:spacing w:after="160"/>
        <w:rPr>
          <w:rStyle w:val="Hyperlink"/>
          <w:rFonts w:asciiTheme="minorHAnsi" w:hAnsiTheme="minorHAnsi" w:cstheme="minorHAnsi"/>
          <w:noProof/>
          <w:sz w:val="20"/>
          <w:szCs w:val="20"/>
        </w:rPr>
      </w:pPr>
      <w:r w:rsidRPr="00AC740A">
        <w:rPr>
          <w:rFonts w:asciiTheme="minorHAnsi" w:hAnsiTheme="minorHAnsi" w:cstheme="minorHAnsi"/>
          <w:noProof/>
          <w:sz w:val="20"/>
          <w:szCs w:val="20"/>
        </w:rPr>
        <w:t xml:space="preserve">World Bank (2013). Connecting to Work: How information and Communication Technologies Could Help Expand Employment Opportunities. Washington, DC: World Bank Group. Available at: </w:t>
      </w:r>
      <w:hyperlink r:id="rId39" w:history="1">
        <w:r w:rsidRPr="00AC740A">
          <w:rPr>
            <w:rStyle w:val="Hyperlink"/>
            <w:rFonts w:asciiTheme="minorHAnsi" w:hAnsiTheme="minorHAnsi" w:cstheme="minorHAnsi"/>
            <w:noProof/>
            <w:sz w:val="20"/>
            <w:szCs w:val="20"/>
          </w:rPr>
          <w:t>http://documents.worldbank.org/curated/en/290301468340843514/Connecting-to-work-howinformation-and-communication-technologies-could-help-expand-employment-opportunities</w:t>
        </w:r>
      </w:hyperlink>
    </w:p>
    <w:p w14:paraId="078A7281" w14:textId="77777777" w:rsidR="00715D0F" w:rsidRPr="00AC740A" w:rsidRDefault="00715D0F" w:rsidP="00715D0F">
      <w:pPr>
        <w:pStyle w:val="ListParagraph"/>
        <w:spacing w:after="160"/>
        <w:rPr>
          <w:rFonts w:asciiTheme="minorHAnsi" w:hAnsiTheme="minorHAnsi" w:cstheme="minorHAnsi"/>
          <w:noProof/>
          <w:sz w:val="20"/>
          <w:szCs w:val="20"/>
        </w:rPr>
      </w:pPr>
    </w:p>
    <w:p w14:paraId="65577915" w14:textId="77777777" w:rsidR="00715D0F" w:rsidRPr="00AC740A" w:rsidRDefault="00715D0F"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rPr>
        <w:t xml:space="preserve">World Bank (2016). World Development Report 2016: Digital Dividends. Washington DC: World Bank Group. Available at: </w:t>
      </w:r>
      <w:hyperlink r:id="rId40" w:history="1">
        <w:r w:rsidRPr="00AC740A">
          <w:rPr>
            <w:rStyle w:val="Hyperlink"/>
            <w:rFonts w:asciiTheme="minorHAnsi" w:hAnsiTheme="minorHAnsi" w:cstheme="minorHAnsi"/>
            <w:noProof/>
            <w:sz w:val="20"/>
            <w:szCs w:val="20"/>
          </w:rPr>
          <w:t>http://www.worldbank.org/en/publication/wdr2016</w:t>
        </w:r>
      </w:hyperlink>
      <w:r w:rsidRPr="00AC740A">
        <w:rPr>
          <w:rFonts w:asciiTheme="minorHAnsi" w:hAnsiTheme="minorHAnsi" w:cstheme="minorHAnsi"/>
          <w:noProof/>
          <w:sz w:val="20"/>
          <w:szCs w:val="20"/>
        </w:rPr>
        <w:t xml:space="preserve">. </w:t>
      </w:r>
    </w:p>
    <w:p w14:paraId="67CCF9A3" w14:textId="77777777" w:rsidR="00715D0F" w:rsidRPr="00AC740A" w:rsidRDefault="00715D0F"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rPr>
        <w:t xml:space="preserve">World Bank (2018). Engendering ICT: Toolkit for Task Team-Leaders. Washington, DC: World Bank Group. </w:t>
      </w:r>
    </w:p>
    <w:p w14:paraId="3D91C858" w14:textId="77777777" w:rsidR="00715D0F" w:rsidRPr="00AC740A" w:rsidRDefault="00715D0F"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rPr>
        <w:t xml:space="preserve">World Bank, (2018) Digital Jobs available at:  </w:t>
      </w:r>
      <w:hyperlink r:id="rId41" w:history="1">
        <w:r w:rsidRPr="00AC740A">
          <w:rPr>
            <w:rStyle w:val="Hyperlink"/>
            <w:rFonts w:asciiTheme="minorHAnsi" w:hAnsiTheme="minorHAnsi" w:cstheme="minorHAnsi"/>
            <w:noProof/>
            <w:sz w:val="20"/>
            <w:szCs w:val="20"/>
          </w:rPr>
          <w:t>http://documents1.worldbank.org/curated/pt/824821543327613420/pdf/Summary-S4YE-Digital-Jobs-Report-Executive-Summary.pdf</w:t>
        </w:r>
      </w:hyperlink>
    </w:p>
    <w:p w14:paraId="1CBFA18D" w14:textId="77777777" w:rsidR="00715D0F" w:rsidRPr="00AC740A" w:rsidRDefault="00715D0F"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rPr>
        <w:t xml:space="preserve">World Wide Web Foundation (2015). Women’s Rights Online, Translating Access into Empowerment. Available at: </w:t>
      </w:r>
      <w:hyperlink r:id="rId42" w:history="1">
        <w:r w:rsidRPr="00AC740A">
          <w:rPr>
            <w:rStyle w:val="Hyperlink"/>
            <w:rFonts w:asciiTheme="minorHAnsi" w:hAnsiTheme="minorHAnsi" w:cstheme="minorHAnsi"/>
            <w:noProof/>
            <w:sz w:val="20"/>
            <w:szCs w:val="20"/>
          </w:rPr>
          <w:t>http://webfoundation.org/docs/2015/10/womens-rights-online21102015.pdf</w:t>
        </w:r>
      </w:hyperlink>
      <w:r w:rsidRPr="00AC740A">
        <w:rPr>
          <w:rFonts w:asciiTheme="minorHAnsi" w:hAnsiTheme="minorHAnsi" w:cstheme="minorHAnsi"/>
          <w:noProof/>
          <w:sz w:val="20"/>
          <w:szCs w:val="20"/>
        </w:rPr>
        <w:t>.</w:t>
      </w:r>
    </w:p>
    <w:p w14:paraId="7EA55FEE" w14:textId="77777777" w:rsidR="00715D0F" w:rsidRPr="00AC740A" w:rsidRDefault="00715D0F"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rPr>
        <w:t>Zenger, J. and Folkman, J (2019) “Research: Women score higher than men in most leadership skills,” Harvard Business Review, June 25</w:t>
      </w:r>
    </w:p>
    <w:p w14:paraId="295E3921" w14:textId="77777777" w:rsidR="00715D0F" w:rsidRDefault="00715D0F" w:rsidP="00715D0F">
      <w:pPr>
        <w:rPr>
          <w:rFonts w:cstheme="minorHAnsi"/>
          <w:noProof/>
          <w:sz w:val="20"/>
          <w:szCs w:val="20"/>
        </w:rPr>
      </w:pPr>
    </w:p>
    <w:p w14:paraId="48789CFC" w14:textId="0065E4D3" w:rsidR="00FC0AE9" w:rsidRDefault="00FC0AE9" w:rsidP="00EE67D9">
      <w:pPr>
        <w:pStyle w:val="Heading2"/>
        <w:numPr>
          <w:ilvl w:val="0"/>
          <w:numId w:val="24"/>
        </w:numPr>
        <w:spacing w:before="40" w:after="0"/>
      </w:pPr>
      <w:bookmarkStart w:id="57" w:name="_Toc118366176"/>
      <w:r w:rsidRPr="003F5711">
        <w:t>Websites:</w:t>
      </w:r>
      <w:bookmarkEnd w:id="57"/>
      <w:r w:rsidRPr="003F5711">
        <w:t xml:space="preserve"> </w:t>
      </w:r>
    </w:p>
    <w:p w14:paraId="60081E55" w14:textId="77777777" w:rsidR="00FC0AE9" w:rsidRPr="00FC0AE9" w:rsidRDefault="00FC0AE9" w:rsidP="00FC0AE9"/>
    <w:p w14:paraId="3AF7B3F2" w14:textId="6E893F52" w:rsidR="00715D0F" w:rsidRPr="00AC740A" w:rsidRDefault="00715D0F"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rPr>
        <w:t xml:space="preserve">Association of Financial Institutions: </w:t>
      </w:r>
      <w:hyperlink r:id="rId43" w:history="1">
        <w:r w:rsidRPr="00AC740A">
          <w:rPr>
            <w:rStyle w:val="Hyperlink"/>
            <w:rFonts w:asciiTheme="minorHAnsi" w:hAnsiTheme="minorHAnsi" w:cstheme="minorHAnsi"/>
            <w:sz w:val="20"/>
            <w:szCs w:val="20"/>
          </w:rPr>
          <w:t>http://www.fkb.org.tr</w:t>
        </w:r>
      </w:hyperlink>
    </w:p>
    <w:p w14:paraId="4BBF1013" w14:textId="77777777" w:rsidR="00715D0F" w:rsidRPr="00AC740A" w:rsidRDefault="00715D0F"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rPr>
        <w:t xml:space="preserve">Association of Real Estate and Real Estate Investment Companies: </w:t>
      </w:r>
      <w:hyperlink r:id="rId44" w:history="1">
        <w:r w:rsidRPr="00AC740A">
          <w:rPr>
            <w:rStyle w:val="Hyperlink"/>
            <w:rFonts w:asciiTheme="minorHAnsi" w:hAnsiTheme="minorHAnsi" w:cstheme="minorHAnsi"/>
            <w:sz w:val="20"/>
            <w:szCs w:val="20"/>
          </w:rPr>
          <w:t>http://www.gyoder.org.tr</w:t>
        </w:r>
      </w:hyperlink>
    </w:p>
    <w:p w14:paraId="7BD8757A" w14:textId="77777777" w:rsidR="00715D0F" w:rsidRPr="00AC740A" w:rsidRDefault="00715D0F"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rPr>
        <w:t xml:space="preserve">Banking Regulation and Supervision Agency: http://www.bddk.org.tr/ </w:t>
      </w:r>
    </w:p>
    <w:p w14:paraId="3A1FBB96" w14:textId="77777777" w:rsidR="00715D0F" w:rsidRPr="00AC740A" w:rsidRDefault="00715D0F"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rPr>
        <w:t xml:space="preserve">Banks Association of </w:t>
      </w:r>
      <w:r>
        <w:rPr>
          <w:rFonts w:asciiTheme="minorHAnsi" w:hAnsiTheme="minorHAnsi" w:cstheme="minorHAnsi"/>
          <w:sz w:val="20"/>
          <w:szCs w:val="20"/>
        </w:rPr>
        <w:t>Türkiye</w:t>
      </w:r>
      <w:r w:rsidRPr="00AC740A">
        <w:rPr>
          <w:rFonts w:asciiTheme="minorHAnsi" w:hAnsiTheme="minorHAnsi" w:cstheme="minorHAnsi"/>
          <w:sz w:val="20"/>
          <w:szCs w:val="20"/>
        </w:rPr>
        <w:t xml:space="preserve">: </w:t>
      </w:r>
      <w:hyperlink r:id="rId45" w:history="1">
        <w:r w:rsidRPr="00AC740A">
          <w:rPr>
            <w:rStyle w:val="Hyperlink"/>
            <w:rFonts w:asciiTheme="minorHAnsi" w:hAnsiTheme="minorHAnsi" w:cstheme="minorHAnsi"/>
            <w:sz w:val="20"/>
            <w:szCs w:val="20"/>
          </w:rPr>
          <w:t>http://www.tbb.org.tr</w:t>
        </w:r>
      </w:hyperlink>
    </w:p>
    <w:p w14:paraId="6E6C437B" w14:textId="77777777" w:rsidR="00715D0F" w:rsidRPr="00AC740A" w:rsidRDefault="00715D0F"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rPr>
        <w:t xml:space="preserve">Borsa Istanbul: </w:t>
      </w:r>
      <w:hyperlink r:id="rId46" w:history="1">
        <w:r w:rsidRPr="00AC740A">
          <w:rPr>
            <w:rStyle w:val="Hyperlink"/>
            <w:rFonts w:asciiTheme="minorHAnsi" w:hAnsiTheme="minorHAnsi" w:cstheme="minorHAnsi"/>
            <w:sz w:val="20"/>
            <w:szCs w:val="20"/>
          </w:rPr>
          <w:t>http://www.borsaistanbul.com</w:t>
        </w:r>
      </w:hyperlink>
      <w:r w:rsidRPr="00AC740A">
        <w:rPr>
          <w:rFonts w:asciiTheme="minorHAnsi" w:hAnsiTheme="minorHAnsi" w:cstheme="minorHAnsi"/>
          <w:sz w:val="20"/>
          <w:szCs w:val="20"/>
        </w:rPr>
        <w:t xml:space="preserve"> </w:t>
      </w:r>
    </w:p>
    <w:p w14:paraId="4A65A54B" w14:textId="77777777" w:rsidR="00715D0F" w:rsidRPr="00AC740A" w:rsidRDefault="00715D0F"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rPr>
        <w:lastRenderedPageBreak/>
        <w:t xml:space="preserve">Capital Markets Board of </w:t>
      </w:r>
      <w:r>
        <w:rPr>
          <w:rFonts w:asciiTheme="minorHAnsi" w:hAnsiTheme="minorHAnsi" w:cstheme="minorHAnsi"/>
          <w:sz w:val="20"/>
          <w:szCs w:val="20"/>
        </w:rPr>
        <w:t>Türkiye</w:t>
      </w:r>
      <w:r w:rsidRPr="00AC740A">
        <w:rPr>
          <w:rFonts w:asciiTheme="minorHAnsi" w:hAnsiTheme="minorHAnsi" w:cstheme="minorHAnsi"/>
          <w:sz w:val="20"/>
          <w:szCs w:val="20"/>
        </w:rPr>
        <w:t xml:space="preserve">: </w:t>
      </w:r>
      <w:hyperlink r:id="rId47" w:history="1">
        <w:r w:rsidRPr="00AC740A">
          <w:rPr>
            <w:rStyle w:val="Hyperlink"/>
            <w:rFonts w:asciiTheme="minorHAnsi" w:hAnsiTheme="minorHAnsi" w:cstheme="minorHAnsi"/>
            <w:sz w:val="20"/>
            <w:szCs w:val="20"/>
          </w:rPr>
          <w:t>http://www.cmb.gov.tr</w:t>
        </w:r>
      </w:hyperlink>
    </w:p>
    <w:p w14:paraId="3882FF65" w14:textId="77777777" w:rsidR="00715D0F" w:rsidRPr="00AC740A" w:rsidRDefault="00715D0F"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rPr>
        <w:t>Capital Markets Licensing Registry and Training Services: http://www.spl.com.tr/</w:t>
      </w:r>
    </w:p>
    <w:p w14:paraId="148C94AB" w14:textId="77777777" w:rsidR="00715D0F" w:rsidRPr="00AC740A" w:rsidRDefault="00715D0F"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rPr>
        <w:t xml:space="preserve">Central Bank of the Republic of </w:t>
      </w:r>
      <w:r>
        <w:rPr>
          <w:rFonts w:asciiTheme="minorHAnsi" w:hAnsiTheme="minorHAnsi" w:cstheme="minorHAnsi"/>
          <w:sz w:val="20"/>
          <w:szCs w:val="20"/>
        </w:rPr>
        <w:t>Türkiye</w:t>
      </w:r>
      <w:r w:rsidRPr="00AC740A">
        <w:rPr>
          <w:rFonts w:asciiTheme="minorHAnsi" w:hAnsiTheme="minorHAnsi" w:cstheme="minorHAnsi"/>
          <w:sz w:val="20"/>
          <w:szCs w:val="20"/>
        </w:rPr>
        <w:t xml:space="preserve">: http://www.tcmb.gov.tr </w:t>
      </w:r>
    </w:p>
    <w:p w14:paraId="703028D4" w14:textId="77777777" w:rsidR="00715D0F" w:rsidRPr="00AC740A" w:rsidRDefault="00715D0F"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rPr>
        <w:t xml:space="preserve">CSD of </w:t>
      </w:r>
      <w:r>
        <w:rPr>
          <w:rFonts w:asciiTheme="minorHAnsi" w:hAnsiTheme="minorHAnsi" w:cstheme="minorHAnsi"/>
          <w:sz w:val="20"/>
          <w:szCs w:val="20"/>
        </w:rPr>
        <w:t>Türkiye</w:t>
      </w:r>
      <w:r w:rsidRPr="00AC740A">
        <w:rPr>
          <w:rFonts w:asciiTheme="minorHAnsi" w:hAnsiTheme="minorHAnsi" w:cstheme="minorHAnsi"/>
          <w:sz w:val="20"/>
          <w:szCs w:val="20"/>
        </w:rPr>
        <w:t xml:space="preserve">: </w:t>
      </w:r>
      <w:hyperlink r:id="rId48" w:history="1">
        <w:r w:rsidRPr="00AC740A">
          <w:rPr>
            <w:rStyle w:val="Hyperlink"/>
            <w:rFonts w:asciiTheme="minorHAnsi" w:hAnsiTheme="minorHAnsi" w:cstheme="minorHAnsi"/>
            <w:sz w:val="20"/>
            <w:szCs w:val="20"/>
          </w:rPr>
          <w:t>http://www.mkk.com.tr</w:t>
        </w:r>
      </w:hyperlink>
      <w:r w:rsidRPr="00AC740A">
        <w:rPr>
          <w:rFonts w:asciiTheme="minorHAnsi" w:hAnsiTheme="minorHAnsi" w:cstheme="minorHAnsi"/>
          <w:sz w:val="20"/>
          <w:szCs w:val="20"/>
        </w:rPr>
        <w:t xml:space="preserve"> </w:t>
      </w:r>
    </w:p>
    <w:p w14:paraId="029B3C83" w14:textId="77777777" w:rsidR="00715D0F" w:rsidRPr="00AC740A" w:rsidRDefault="00715D0F"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rPr>
        <w:t xml:space="preserve">European banking Federation:  </w:t>
      </w:r>
      <w:hyperlink r:id="rId49" w:history="1">
        <w:r w:rsidRPr="00AC740A">
          <w:rPr>
            <w:rStyle w:val="Hyperlink"/>
            <w:rFonts w:asciiTheme="minorHAnsi" w:hAnsiTheme="minorHAnsi" w:cstheme="minorHAnsi"/>
            <w:sz w:val="20"/>
            <w:szCs w:val="20"/>
          </w:rPr>
          <w:t>https://www.ebf.eu/</w:t>
        </w:r>
        <w:r>
          <w:rPr>
            <w:rStyle w:val="Hyperlink"/>
            <w:rFonts w:asciiTheme="minorHAnsi" w:hAnsiTheme="minorHAnsi" w:cstheme="minorHAnsi"/>
            <w:sz w:val="20"/>
            <w:szCs w:val="20"/>
          </w:rPr>
          <w:t>Türkiye</w:t>
        </w:r>
        <w:r w:rsidRPr="00AC740A">
          <w:rPr>
            <w:rStyle w:val="Hyperlink"/>
            <w:rFonts w:asciiTheme="minorHAnsi" w:hAnsiTheme="minorHAnsi" w:cstheme="minorHAnsi"/>
            <w:sz w:val="20"/>
            <w:szCs w:val="20"/>
          </w:rPr>
          <w:t>/</w:t>
        </w:r>
      </w:hyperlink>
    </w:p>
    <w:p w14:paraId="186D2BDC" w14:textId="77777777" w:rsidR="00715D0F" w:rsidRPr="00AC740A" w:rsidRDefault="00715D0F"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rPr>
        <w:t xml:space="preserve">Insurance Association of </w:t>
      </w:r>
      <w:r>
        <w:rPr>
          <w:rFonts w:asciiTheme="minorHAnsi" w:hAnsiTheme="minorHAnsi" w:cstheme="minorHAnsi"/>
          <w:sz w:val="20"/>
          <w:szCs w:val="20"/>
        </w:rPr>
        <w:t>Türkiye</w:t>
      </w:r>
      <w:r w:rsidRPr="00AC740A">
        <w:rPr>
          <w:rFonts w:asciiTheme="minorHAnsi" w:hAnsiTheme="minorHAnsi" w:cstheme="minorHAnsi"/>
          <w:sz w:val="20"/>
          <w:szCs w:val="20"/>
        </w:rPr>
        <w:t xml:space="preserve">: </w:t>
      </w:r>
      <w:hyperlink r:id="rId50" w:history="1">
        <w:r w:rsidRPr="00AC740A">
          <w:rPr>
            <w:rStyle w:val="Hyperlink"/>
            <w:rFonts w:asciiTheme="minorHAnsi" w:hAnsiTheme="minorHAnsi" w:cstheme="minorHAnsi"/>
            <w:sz w:val="20"/>
            <w:szCs w:val="20"/>
          </w:rPr>
          <w:t>http://www.tsb.org.tr</w:t>
        </w:r>
      </w:hyperlink>
      <w:r w:rsidRPr="00AC740A">
        <w:rPr>
          <w:rFonts w:asciiTheme="minorHAnsi" w:hAnsiTheme="minorHAnsi" w:cstheme="minorHAnsi"/>
          <w:sz w:val="20"/>
          <w:szCs w:val="20"/>
        </w:rPr>
        <w:t xml:space="preserve"> </w:t>
      </w:r>
    </w:p>
    <w:p w14:paraId="2F38483A" w14:textId="77777777" w:rsidR="00715D0F" w:rsidRPr="00AC740A" w:rsidRDefault="00715D0F"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rPr>
        <w:t xml:space="preserve">Investment Agency: Presidency of Republic of </w:t>
      </w:r>
      <w:r>
        <w:rPr>
          <w:rFonts w:asciiTheme="minorHAnsi" w:hAnsiTheme="minorHAnsi" w:cstheme="minorHAnsi"/>
          <w:sz w:val="20"/>
          <w:szCs w:val="20"/>
        </w:rPr>
        <w:t>Türkiye</w:t>
      </w:r>
      <w:r w:rsidRPr="00AC740A">
        <w:rPr>
          <w:rFonts w:asciiTheme="minorHAnsi" w:hAnsiTheme="minorHAnsi" w:cstheme="minorHAnsi"/>
          <w:sz w:val="20"/>
          <w:szCs w:val="20"/>
        </w:rPr>
        <w:t xml:space="preserve">: </w:t>
      </w:r>
      <w:hyperlink r:id="rId51" w:history="1">
        <w:r w:rsidRPr="00AC740A">
          <w:rPr>
            <w:rStyle w:val="Hyperlink"/>
            <w:rFonts w:asciiTheme="minorHAnsi" w:hAnsiTheme="minorHAnsi" w:cstheme="minorHAnsi"/>
            <w:sz w:val="20"/>
            <w:szCs w:val="20"/>
          </w:rPr>
          <w:t>https://www.invest.gov.tr/en/sectors/pages/financial-services.aspx</w:t>
        </w:r>
      </w:hyperlink>
    </w:p>
    <w:p w14:paraId="1D37B77B" w14:textId="77777777" w:rsidR="00715D0F" w:rsidRPr="00AC740A" w:rsidRDefault="00715D0F"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rPr>
        <w:t xml:space="preserve">Ministry of Treasury and Finance: </w:t>
      </w:r>
      <w:hyperlink r:id="rId52" w:history="1">
        <w:r w:rsidRPr="00AC740A">
          <w:rPr>
            <w:rStyle w:val="Hyperlink"/>
            <w:rFonts w:asciiTheme="minorHAnsi" w:hAnsiTheme="minorHAnsi" w:cstheme="minorHAnsi"/>
            <w:sz w:val="20"/>
            <w:szCs w:val="20"/>
          </w:rPr>
          <w:t>http://www.treasury.gov.tr</w:t>
        </w:r>
      </w:hyperlink>
    </w:p>
    <w:p w14:paraId="7D86BE6D" w14:textId="77777777" w:rsidR="00715D0F" w:rsidRPr="00AC740A" w:rsidRDefault="00715D0F"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rPr>
        <w:t xml:space="preserve">Participation Banks Association of </w:t>
      </w:r>
      <w:r>
        <w:rPr>
          <w:rFonts w:asciiTheme="minorHAnsi" w:hAnsiTheme="minorHAnsi" w:cstheme="minorHAnsi"/>
          <w:sz w:val="20"/>
          <w:szCs w:val="20"/>
        </w:rPr>
        <w:t>Türkiye</w:t>
      </w:r>
      <w:r w:rsidRPr="00AC740A">
        <w:rPr>
          <w:rFonts w:asciiTheme="minorHAnsi" w:hAnsiTheme="minorHAnsi" w:cstheme="minorHAnsi"/>
          <w:sz w:val="20"/>
          <w:szCs w:val="20"/>
        </w:rPr>
        <w:t xml:space="preserve">: </w:t>
      </w:r>
      <w:hyperlink r:id="rId53" w:history="1">
        <w:r w:rsidRPr="00AC740A">
          <w:rPr>
            <w:rStyle w:val="Hyperlink"/>
            <w:rFonts w:asciiTheme="minorHAnsi" w:hAnsiTheme="minorHAnsi" w:cstheme="minorHAnsi"/>
            <w:sz w:val="20"/>
            <w:szCs w:val="20"/>
          </w:rPr>
          <w:t>http://www.tkbb.org.tr</w:t>
        </w:r>
      </w:hyperlink>
      <w:r w:rsidRPr="00AC740A">
        <w:rPr>
          <w:rFonts w:asciiTheme="minorHAnsi" w:hAnsiTheme="minorHAnsi" w:cstheme="minorHAnsi"/>
          <w:sz w:val="20"/>
          <w:szCs w:val="20"/>
        </w:rPr>
        <w:t xml:space="preserve"> </w:t>
      </w:r>
    </w:p>
    <w:p w14:paraId="35444626" w14:textId="77777777" w:rsidR="00715D0F" w:rsidRPr="00AC740A" w:rsidRDefault="00715D0F"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rPr>
        <w:t xml:space="preserve">Public Disclosure Platform: </w:t>
      </w:r>
      <w:hyperlink r:id="rId54" w:history="1">
        <w:r w:rsidRPr="00AC740A">
          <w:rPr>
            <w:rStyle w:val="Hyperlink"/>
            <w:rFonts w:asciiTheme="minorHAnsi" w:hAnsiTheme="minorHAnsi" w:cstheme="minorHAnsi"/>
            <w:sz w:val="20"/>
            <w:szCs w:val="20"/>
          </w:rPr>
          <w:t>http://www.kap.org.tr</w:t>
        </w:r>
      </w:hyperlink>
    </w:p>
    <w:p w14:paraId="1743DEAC" w14:textId="77777777" w:rsidR="00715D0F" w:rsidRPr="00AC740A" w:rsidRDefault="00715D0F"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rPr>
        <w:t xml:space="preserve">Takas Istanbul (Istanbul Clearing, Settlement and Custody Bank Inc.): </w:t>
      </w:r>
      <w:hyperlink r:id="rId55" w:history="1">
        <w:r w:rsidRPr="00AC740A">
          <w:rPr>
            <w:rStyle w:val="Hyperlink"/>
            <w:rFonts w:asciiTheme="minorHAnsi" w:hAnsiTheme="minorHAnsi" w:cstheme="minorHAnsi"/>
            <w:sz w:val="20"/>
            <w:szCs w:val="20"/>
          </w:rPr>
          <w:t>http://www.takasbank.com.tr</w:t>
        </w:r>
      </w:hyperlink>
    </w:p>
    <w:p w14:paraId="21C22F2C" w14:textId="77777777" w:rsidR="00715D0F" w:rsidRPr="00AC740A" w:rsidRDefault="00715D0F"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rPr>
        <w:t xml:space="preserve">Turkish Capital Markets Association: </w:t>
      </w:r>
      <w:hyperlink r:id="rId56" w:history="1">
        <w:r w:rsidRPr="00AC740A">
          <w:rPr>
            <w:rStyle w:val="Hyperlink"/>
            <w:rFonts w:asciiTheme="minorHAnsi" w:hAnsiTheme="minorHAnsi" w:cstheme="minorHAnsi"/>
            <w:sz w:val="20"/>
            <w:szCs w:val="20"/>
          </w:rPr>
          <w:t>http://www.tspb.org.tr</w:t>
        </w:r>
      </w:hyperlink>
    </w:p>
    <w:p w14:paraId="319877C9" w14:textId="77777777" w:rsidR="00715D0F" w:rsidRPr="00AC740A" w:rsidRDefault="00715D0F"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rPr>
        <w:t xml:space="preserve">Turkish Institutional Investment Managers’ Association: http://www.tkyd.org.tr/ </w:t>
      </w:r>
    </w:p>
    <w:p w14:paraId="41383AD4" w14:textId="77777777" w:rsidR="00715D0F" w:rsidRPr="00AC740A" w:rsidRDefault="00715D0F"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rPr>
        <w:t xml:space="preserve">Turkish Investor Relations Society: </w:t>
      </w:r>
      <w:hyperlink r:id="rId57" w:history="1">
        <w:r w:rsidRPr="00AC740A">
          <w:rPr>
            <w:rStyle w:val="Hyperlink"/>
            <w:rFonts w:asciiTheme="minorHAnsi" w:hAnsiTheme="minorHAnsi" w:cstheme="minorHAnsi"/>
            <w:sz w:val="20"/>
            <w:szCs w:val="20"/>
          </w:rPr>
          <w:t>http://www.tuyid.org</w:t>
        </w:r>
      </w:hyperlink>
      <w:r w:rsidRPr="00AC740A">
        <w:rPr>
          <w:rFonts w:asciiTheme="minorHAnsi" w:hAnsiTheme="minorHAnsi" w:cstheme="minorHAnsi"/>
          <w:sz w:val="20"/>
          <w:szCs w:val="20"/>
        </w:rPr>
        <w:t xml:space="preserve"> </w:t>
      </w:r>
    </w:p>
    <w:p w14:paraId="2535A492" w14:textId="77777777" w:rsidR="00715D0F" w:rsidRPr="00AC740A" w:rsidRDefault="00715D0F"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rPr>
        <w:t xml:space="preserve">Turkish Payment and Electronic Money Institutions Association: </w:t>
      </w:r>
      <w:hyperlink r:id="rId58" w:history="1">
        <w:r w:rsidRPr="00AC740A">
          <w:rPr>
            <w:rStyle w:val="Hyperlink"/>
            <w:rFonts w:asciiTheme="minorHAnsi" w:hAnsiTheme="minorHAnsi" w:cstheme="minorHAnsi"/>
            <w:sz w:val="20"/>
            <w:szCs w:val="20"/>
          </w:rPr>
          <w:t>http://www.oded.com.tr</w:t>
        </w:r>
      </w:hyperlink>
    </w:p>
    <w:p w14:paraId="2F8230F7" w14:textId="72E7188F" w:rsidR="00715D0F" w:rsidRPr="00FC0AE9" w:rsidRDefault="00715D0F">
      <w:pPr>
        <w:rPr>
          <w:rFonts w:asciiTheme="majorHAnsi" w:eastAsiaTheme="majorEastAsia" w:hAnsiTheme="majorHAnsi" w:cstheme="majorBidi"/>
          <w:color w:val="2F5496" w:themeColor="accent1" w:themeShade="BF"/>
          <w:sz w:val="26"/>
          <w:szCs w:val="26"/>
        </w:rPr>
      </w:pPr>
      <w:r w:rsidRPr="00FC0AE9">
        <w:rPr>
          <w:rFonts w:asciiTheme="majorHAnsi" w:eastAsiaTheme="majorEastAsia" w:hAnsiTheme="majorHAnsi" w:cstheme="majorBidi"/>
          <w:color w:val="2F5496" w:themeColor="accent1" w:themeShade="BF"/>
          <w:sz w:val="26"/>
          <w:szCs w:val="26"/>
        </w:rPr>
        <w:t>5.1.2 Education</w:t>
      </w:r>
    </w:p>
    <w:p w14:paraId="26A615AB" w14:textId="4C9A145E" w:rsidR="00715D0F" w:rsidRPr="00FC0AE9" w:rsidRDefault="00715D0F">
      <w:pPr>
        <w:rPr>
          <w:rFonts w:asciiTheme="majorHAnsi" w:eastAsiaTheme="majorEastAsia" w:hAnsiTheme="majorHAnsi" w:cstheme="majorBidi"/>
          <w:color w:val="2F5496" w:themeColor="accent1" w:themeShade="BF"/>
          <w:sz w:val="26"/>
          <w:szCs w:val="26"/>
        </w:rPr>
      </w:pPr>
    </w:p>
    <w:p w14:paraId="11FEFD30" w14:textId="74E55C4D" w:rsidR="00715D0F" w:rsidRDefault="00715D0F" w:rsidP="00EE67D9">
      <w:pPr>
        <w:pStyle w:val="ListParagraph"/>
        <w:numPr>
          <w:ilvl w:val="0"/>
          <w:numId w:val="15"/>
        </w:numPr>
        <w:spacing w:after="160" w:line="256" w:lineRule="auto"/>
        <w:rPr>
          <w:rFonts w:asciiTheme="majorHAnsi" w:eastAsiaTheme="majorEastAsia" w:hAnsiTheme="majorHAnsi" w:cstheme="majorBidi"/>
          <w:color w:val="2F5496" w:themeColor="accent1" w:themeShade="BF"/>
          <w:sz w:val="26"/>
          <w:szCs w:val="26"/>
        </w:rPr>
      </w:pPr>
      <w:r w:rsidRPr="00FC0AE9">
        <w:rPr>
          <w:rFonts w:asciiTheme="majorHAnsi" w:eastAsiaTheme="majorEastAsia" w:hAnsiTheme="majorHAnsi" w:cstheme="majorBidi"/>
          <w:color w:val="2F5496" w:themeColor="accent1" w:themeShade="BF"/>
          <w:sz w:val="26"/>
          <w:szCs w:val="26"/>
        </w:rPr>
        <w:t>Resources</w:t>
      </w:r>
    </w:p>
    <w:p w14:paraId="1E12E039" w14:textId="77777777" w:rsidR="00FC0AE9" w:rsidRPr="00FC0AE9" w:rsidRDefault="00FC0AE9" w:rsidP="00FC0AE9">
      <w:pPr>
        <w:pStyle w:val="ListParagraph"/>
        <w:spacing w:after="160" w:line="256" w:lineRule="auto"/>
        <w:rPr>
          <w:rFonts w:asciiTheme="majorHAnsi" w:eastAsiaTheme="majorEastAsia" w:hAnsiTheme="majorHAnsi" w:cstheme="majorBidi"/>
          <w:color w:val="2F5496" w:themeColor="accent1" w:themeShade="BF"/>
          <w:sz w:val="26"/>
          <w:szCs w:val="26"/>
        </w:rPr>
      </w:pPr>
    </w:p>
    <w:p w14:paraId="7E43DACC" w14:textId="77777777" w:rsidR="00715D0F" w:rsidRPr="00333B58" w:rsidRDefault="00715D0F" w:rsidP="00EE67D9">
      <w:pPr>
        <w:pStyle w:val="ListParagraph"/>
        <w:numPr>
          <w:ilvl w:val="0"/>
          <w:numId w:val="14"/>
        </w:numPr>
        <w:spacing w:after="160" w:line="256" w:lineRule="auto"/>
        <w:rPr>
          <w:sz w:val="20"/>
          <w:szCs w:val="20"/>
        </w:rPr>
      </w:pPr>
      <w:r w:rsidRPr="00333B58">
        <w:rPr>
          <w:sz w:val="20"/>
          <w:szCs w:val="20"/>
        </w:rPr>
        <w:t>CEDEFOP (2017) On the way to 2020: data for vocational education and training policies. Luxembourg: Publications Office</w:t>
      </w:r>
    </w:p>
    <w:p w14:paraId="0C2DC570" w14:textId="77777777" w:rsidR="00715D0F" w:rsidRPr="00333B58" w:rsidRDefault="00715D0F" w:rsidP="00EE67D9">
      <w:pPr>
        <w:pStyle w:val="ListParagraph"/>
        <w:numPr>
          <w:ilvl w:val="0"/>
          <w:numId w:val="14"/>
        </w:numPr>
        <w:spacing w:after="160" w:line="256" w:lineRule="auto"/>
        <w:rPr>
          <w:sz w:val="20"/>
          <w:szCs w:val="20"/>
        </w:rPr>
      </w:pPr>
      <w:r w:rsidRPr="00333B58">
        <w:rPr>
          <w:sz w:val="20"/>
          <w:szCs w:val="20"/>
        </w:rPr>
        <w:t>CEDEFOP (2020) Financing apprenticeships in the EU. Luxembourg: Publications Office</w:t>
      </w:r>
    </w:p>
    <w:p w14:paraId="52FC20F2" w14:textId="77777777" w:rsidR="00715D0F" w:rsidRPr="00333B58" w:rsidRDefault="00715D0F" w:rsidP="00EE67D9">
      <w:pPr>
        <w:pStyle w:val="ListParagraph"/>
        <w:numPr>
          <w:ilvl w:val="0"/>
          <w:numId w:val="14"/>
        </w:numPr>
        <w:spacing w:after="160" w:line="256" w:lineRule="auto"/>
        <w:rPr>
          <w:sz w:val="20"/>
          <w:szCs w:val="20"/>
        </w:rPr>
      </w:pPr>
      <w:r w:rsidRPr="00333B58">
        <w:rPr>
          <w:sz w:val="20"/>
          <w:szCs w:val="20"/>
        </w:rPr>
        <w:t>CEDEFOP (2020) The next steps for apprenticeship. Luxembourg: Publications Office</w:t>
      </w:r>
    </w:p>
    <w:p w14:paraId="2D88B3CA" w14:textId="77777777" w:rsidR="00715D0F" w:rsidRPr="00333B58" w:rsidRDefault="00715D0F" w:rsidP="00EE67D9">
      <w:pPr>
        <w:pStyle w:val="ListParagraph"/>
        <w:numPr>
          <w:ilvl w:val="0"/>
          <w:numId w:val="14"/>
        </w:numPr>
        <w:spacing w:after="160" w:line="256" w:lineRule="auto"/>
        <w:rPr>
          <w:sz w:val="20"/>
          <w:szCs w:val="20"/>
        </w:rPr>
      </w:pPr>
      <w:r w:rsidRPr="00333B58">
        <w:rPr>
          <w:sz w:val="20"/>
          <w:szCs w:val="20"/>
        </w:rPr>
        <w:t>CEDEFOP (2020). “How Are European Countries Managing Apprenticeships to Respond to the COVID-19 Crisis? Synthesis Report based on Information Provided by Cedefop Community of Apprenticeship Experts”.</w:t>
      </w:r>
    </w:p>
    <w:p w14:paraId="706617FC" w14:textId="77777777" w:rsidR="00715D0F" w:rsidRPr="00333B58" w:rsidRDefault="00715D0F" w:rsidP="00EE67D9">
      <w:pPr>
        <w:pStyle w:val="ListParagraph"/>
        <w:numPr>
          <w:ilvl w:val="0"/>
          <w:numId w:val="14"/>
        </w:numPr>
        <w:spacing w:after="160" w:line="256" w:lineRule="auto"/>
        <w:rPr>
          <w:sz w:val="20"/>
          <w:szCs w:val="20"/>
        </w:rPr>
      </w:pPr>
      <w:r w:rsidRPr="00333B58">
        <w:rPr>
          <w:sz w:val="20"/>
          <w:szCs w:val="20"/>
        </w:rPr>
        <w:t>CEDEFOP (Nov 2020) Briefing note - Adult learning and continuing vocational education and training valued by Europeans. Luxembourg: Publications Office</w:t>
      </w:r>
    </w:p>
    <w:p w14:paraId="17B302F4" w14:textId="17F03287" w:rsidR="00715D0F" w:rsidRPr="00333B58" w:rsidRDefault="00715D0F" w:rsidP="00EE67D9">
      <w:pPr>
        <w:pStyle w:val="ListParagraph"/>
        <w:numPr>
          <w:ilvl w:val="0"/>
          <w:numId w:val="14"/>
        </w:numPr>
        <w:spacing w:line="256" w:lineRule="auto"/>
        <w:rPr>
          <w:sz w:val="20"/>
          <w:szCs w:val="20"/>
        </w:rPr>
      </w:pPr>
      <w:r w:rsidRPr="00333B58">
        <w:rPr>
          <w:sz w:val="20"/>
          <w:szCs w:val="20"/>
        </w:rPr>
        <w:t>CEDEFOP/OECD report (2021): </w:t>
      </w:r>
      <w:hyperlink r:id="rId59" w:history="1">
        <w:r w:rsidRPr="00333B58">
          <w:rPr>
            <w:color w:val="0563C1"/>
            <w:sz w:val="20"/>
            <w:szCs w:val="20"/>
            <w:u w:val="single"/>
          </w:rPr>
          <w:t>The Next Steps for Apprenticeship</w:t>
        </w:r>
      </w:hyperlink>
    </w:p>
    <w:p w14:paraId="49850D67" w14:textId="77777777" w:rsidR="00715D0F" w:rsidRPr="00333B58" w:rsidRDefault="00715D0F" w:rsidP="00EE67D9">
      <w:pPr>
        <w:pStyle w:val="ListParagraph"/>
        <w:numPr>
          <w:ilvl w:val="0"/>
          <w:numId w:val="14"/>
        </w:numPr>
        <w:spacing w:after="160" w:line="256" w:lineRule="auto"/>
        <w:rPr>
          <w:sz w:val="20"/>
          <w:szCs w:val="20"/>
        </w:rPr>
      </w:pPr>
      <w:r w:rsidRPr="00333B58">
        <w:rPr>
          <w:sz w:val="20"/>
          <w:szCs w:val="20"/>
        </w:rPr>
        <w:t>Eurofound and ILO (2019) Working conditions in a global perspective, available at: https://www.eurofound.europa.eu/publications/report/2019/working-conditions-in-a-global-perspective</w:t>
      </w:r>
    </w:p>
    <w:p w14:paraId="105FFC31" w14:textId="77777777" w:rsidR="00715D0F" w:rsidRPr="00333B58" w:rsidRDefault="00715D0F" w:rsidP="00EE67D9">
      <w:pPr>
        <w:pStyle w:val="ListParagraph"/>
        <w:numPr>
          <w:ilvl w:val="0"/>
          <w:numId w:val="14"/>
        </w:numPr>
        <w:spacing w:after="160" w:line="256" w:lineRule="auto"/>
        <w:rPr>
          <w:rFonts w:cstheme="minorHAnsi"/>
          <w:sz w:val="20"/>
          <w:szCs w:val="20"/>
        </w:rPr>
      </w:pPr>
      <w:r w:rsidRPr="00333B58">
        <w:rPr>
          <w:rFonts w:cstheme="minorHAnsi"/>
          <w:sz w:val="20"/>
          <w:szCs w:val="20"/>
        </w:rPr>
        <w:t>European Commission/EACEA/Eurydice (2015), </w:t>
      </w:r>
      <w:r w:rsidRPr="00333B58">
        <w:rPr>
          <w:rFonts w:cstheme="minorHAnsi"/>
          <w:i/>
          <w:iCs/>
          <w:sz w:val="20"/>
          <w:szCs w:val="20"/>
        </w:rPr>
        <w:t>The Teaching Profession in Europe: Practices, Perceptions and Policies</w:t>
      </w:r>
      <w:r w:rsidRPr="00333B58">
        <w:rPr>
          <w:rFonts w:cstheme="minorHAnsi"/>
          <w:sz w:val="20"/>
          <w:szCs w:val="20"/>
        </w:rPr>
        <w:t>, Publications Office of the European Union, Luxembourg</w:t>
      </w:r>
    </w:p>
    <w:p w14:paraId="4D5A9A20" w14:textId="77777777" w:rsidR="00715D0F" w:rsidRPr="00333B58" w:rsidRDefault="00715D0F" w:rsidP="00EE67D9">
      <w:pPr>
        <w:pStyle w:val="ListParagraph"/>
        <w:numPr>
          <w:ilvl w:val="0"/>
          <w:numId w:val="14"/>
        </w:numPr>
        <w:spacing w:after="160" w:line="256" w:lineRule="auto"/>
        <w:rPr>
          <w:sz w:val="20"/>
          <w:szCs w:val="20"/>
        </w:rPr>
      </w:pPr>
      <w:r w:rsidRPr="00333B58">
        <w:rPr>
          <w:sz w:val="20"/>
          <w:szCs w:val="20"/>
        </w:rPr>
        <w:t xml:space="preserve">European Training Foundation (2020) Country fiche 2020 </w:t>
      </w:r>
      <w:r>
        <w:rPr>
          <w:sz w:val="20"/>
          <w:szCs w:val="20"/>
        </w:rPr>
        <w:t>Türkiye</w:t>
      </w:r>
      <w:r w:rsidRPr="00333B58">
        <w:rPr>
          <w:sz w:val="20"/>
          <w:szCs w:val="20"/>
        </w:rPr>
        <w:t xml:space="preserve"> - Education, Training and Employment Developments</w:t>
      </w:r>
    </w:p>
    <w:p w14:paraId="27D78B8D" w14:textId="77777777" w:rsidR="00715D0F" w:rsidRPr="00333B58" w:rsidRDefault="00715D0F" w:rsidP="00EE67D9">
      <w:pPr>
        <w:pStyle w:val="ListParagraph"/>
        <w:numPr>
          <w:ilvl w:val="0"/>
          <w:numId w:val="14"/>
        </w:numPr>
        <w:spacing w:after="160" w:line="256" w:lineRule="auto"/>
        <w:rPr>
          <w:sz w:val="20"/>
          <w:szCs w:val="20"/>
        </w:rPr>
      </w:pPr>
      <w:r w:rsidRPr="00333B58">
        <w:rPr>
          <w:sz w:val="20"/>
          <w:szCs w:val="20"/>
        </w:rPr>
        <w:t xml:space="preserve">European Training Foundation (2020) Initial vocational education and training traineeships in </w:t>
      </w:r>
      <w:r>
        <w:rPr>
          <w:sz w:val="20"/>
          <w:szCs w:val="20"/>
        </w:rPr>
        <w:t>Türkiye</w:t>
      </w:r>
      <w:r w:rsidRPr="00333B58">
        <w:rPr>
          <w:sz w:val="20"/>
          <w:szCs w:val="20"/>
        </w:rPr>
        <w:t>: An assessment of the extent and quality of traineeship provision</w:t>
      </w:r>
    </w:p>
    <w:p w14:paraId="13117678" w14:textId="77777777" w:rsidR="00715D0F" w:rsidRPr="00333B58" w:rsidRDefault="00715D0F" w:rsidP="00EE67D9">
      <w:pPr>
        <w:pStyle w:val="ListParagraph"/>
        <w:numPr>
          <w:ilvl w:val="0"/>
          <w:numId w:val="14"/>
        </w:numPr>
        <w:spacing w:after="160" w:line="256" w:lineRule="auto"/>
        <w:rPr>
          <w:sz w:val="20"/>
          <w:szCs w:val="20"/>
        </w:rPr>
      </w:pPr>
      <w:bookmarkStart w:id="58" w:name="_Hlk67594196"/>
      <w:r w:rsidRPr="00333B58">
        <w:rPr>
          <w:sz w:val="20"/>
          <w:szCs w:val="20"/>
        </w:rPr>
        <w:t xml:space="preserve">European Training Foundation (2020) </w:t>
      </w:r>
      <w:bookmarkEnd w:id="58"/>
      <w:r>
        <w:rPr>
          <w:sz w:val="20"/>
          <w:szCs w:val="20"/>
          <w:lang w:val="en-US"/>
        </w:rPr>
        <w:t>TÜRKIYE</w:t>
      </w:r>
      <w:r w:rsidRPr="00333B58">
        <w:rPr>
          <w:sz w:val="20"/>
          <w:szCs w:val="20"/>
          <w:lang w:val="en-US"/>
        </w:rPr>
        <w:t xml:space="preserve">. EDUCATION, TRAINING AND EMPLOYMENT DEVELOPMENTS 2020, European Training Foundation: Torino </w:t>
      </w:r>
    </w:p>
    <w:p w14:paraId="1FFA8FB2" w14:textId="77777777" w:rsidR="00715D0F" w:rsidRPr="00333B58" w:rsidRDefault="00715D0F" w:rsidP="00EE67D9">
      <w:pPr>
        <w:pStyle w:val="ListParagraph"/>
        <w:numPr>
          <w:ilvl w:val="0"/>
          <w:numId w:val="14"/>
        </w:numPr>
        <w:spacing w:after="160" w:line="256" w:lineRule="auto"/>
        <w:rPr>
          <w:sz w:val="20"/>
          <w:szCs w:val="20"/>
        </w:rPr>
      </w:pPr>
      <w:r w:rsidRPr="00333B58">
        <w:rPr>
          <w:sz w:val="20"/>
          <w:szCs w:val="20"/>
        </w:rPr>
        <w:t xml:space="preserve">Gentilini, Ugo; Almenfi, Mohamed; Orton, Ian; Dale, Pamela. 2020. Social Protection and Jobs Responses to COVID-19: A Real-Time Review of Country Measures. World Bank, Washington, DC. </w:t>
      </w:r>
    </w:p>
    <w:p w14:paraId="6A6758AF" w14:textId="77777777" w:rsidR="00715D0F" w:rsidRPr="00333B58" w:rsidRDefault="00715D0F" w:rsidP="00EE67D9">
      <w:pPr>
        <w:pStyle w:val="ListParagraph"/>
        <w:numPr>
          <w:ilvl w:val="0"/>
          <w:numId w:val="14"/>
        </w:numPr>
        <w:spacing w:after="160" w:line="256" w:lineRule="auto"/>
        <w:rPr>
          <w:sz w:val="20"/>
          <w:szCs w:val="20"/>
        </w:rPr>
      </w:pPr>
      <w:r w:rsidRPr="00333B58">
        <w:rPr>
          <w:sz w:val="20"/>
          <w:szCs w:val="20"/>
        </w:rPr>
        <w:t xml:space="preserve">Grown, Caren, and Carolina Sánchez-Páramo. 2020. “The Coronavirus Is Not Gender-blind, Nor Should We Be”. World Bank Blogs (blog). 20 April 2020. </w:t>
      </w:r>
      <w:hyperlink r:id="rId60" w:history="1">
        <w:r w:rsidRPr="00333B58">
          <w:rPr>
            <w:color w:val="0563C1"/>
            <w:sz w:val="20"/>
            <w:szCs w:val="20"/>
            <w:u w:val="single"/>
          </w:rPr>
          <w:t>https://blogs.worldbank.org/voices/coronavirusnot-gender-blind-nor-should-we-be?cid=SHR_BlogSiteShare_EN_EXT</w:t>
        </w:r>
      </w:hyperlink>
    </w:p>
    <w:p w14:paraId="19C2142F" w14:textId="77777777" w:rsidR="00715D0F" w:rsidRPr="00333B58" w:rsidRDefault="00715D0F" w:rsidP="00EE67D9">
      <w:pPr>
        <w:pStyle w:val="ListParagraph"/>
        <w:numPr>
          <w:ilvl w:val="0"/>
          <w:numId w:val="14"/>
        </w:numPr>
        <w:spacing w:after="160" w:line="256" w:lineRule="auto"/>
        <w:rPr>
          <w:sz w:val="20"/>
          <w:szCs w:val="20"/>
        </w:rPr>
      </w:pPr>
      <w:r w:rsidRPr="00333B58">
        <w:rPr>
          <w:sz w:val="20"/>
          <w:szCs w:val="20"/>
        </w:rPr>
        <w:lastRenderedPageBreak/>
        <w:t xml:space="preserve">ILO, World Bank and UNESCO (2020) Skills development in the time of COVID-19: Taking stock of the initial responses in technical and vocational education and training, available at: </w:t>
      </w:r>
      <w:hyperlink r:id="rId61" w:history="1">
        <w:r w:rsidRPr="00333B58">
          <w:rPr>
            <w:color w:val="0563C1"/>
            <w:sz w:val="20"/>
            <w:szCs w:val="20"/>
            <w:u w:val="single"/>
          </w:rPr>
          <w:t>https://www.ilo.org/wcmsp5/groups/public/---ed_emp/---ifp_skills/documents/publication/wcms_766557.pdf</w:t>
        </w:r>
      </w:hyperlink>
    </w:p>
    <w:p w14:paraId="458D040C" w14:textId="77777777" w:rsidR="00715D0F" w:rsidRDefault="00715D0F" w:rsidP="00EE67D9">
      <w:pPr>
        <w:pStyle w:val="ListParagraph"/>
        <w:numPr>
          <w:ilvl w:val="0"/>
          <w:numId w:val="14"/>
        </w:numPr>
        <w:spacing w:after="160" w:line="256" w:lineRule="auto"/>
        <w:rPr>
          <w:sz w:val="20"/>
          <w:szCs w:val="20"/>
        </w:rPr>
      </w:pPr>
      <w:r w:rsidRPr="004460FE">
        <w:rPr>
          <w:sz w:val="20"/>
          <w:szCs w:val="20"/>
        </w:rPr>
        <w:t>Hannah, K., George, B., Elizabeth, F., Kirsteen, H., &amp; Ruochen, L. R. (2019). </w:t>
      </w:r>
      <w:r w:rsidRPr="004460FE">
        <w:rPr>
          <w:i/>
          <w:iCs/>
          <w:sz w:val="20"/>
          <w:szCs w:val="20"/>
        </w:rPr>
        <w:t xml:space="preserve">OECD reviews of evaluation and assessment in education: Student assessment in </w:t>
      </w:r>
      <w:r>
        <w:rPr>
          <w:i/>
          <w:iCs/>
          <w:sz w:val="20"/>
          <w:szCs w:val="20"/>
        </w:rPr>
        <w:t>Türkiye</w:t>
      </w:r>
      <w:r w:rsidRPr="004460FE">
        <w:rPr>
          <w:sz w:val="20"/>
          <w:szCs w:val="20"/>
        </w:rPr>
        <w:t>. OECD Publishing.</w:t>
      </w:r>
    </w:p>
    <w:p w14:paraId="4DE12A4F" w14:textId="77777777" w:rsidR="00715D0F" w:rsidRPr="00333B58" w:rsidRDefault="00715D0F" w:rsidP="00EE67D9">
      <w:pPr>
        <w:pStyle w:val="ListParagraph"/>
        <w:numPr>
          <w:ilvl w:val="0"/>
          <w:numId w:val="14"/>
        </w:numPr>
        <w:spacing w:after="160" w:line="256" w:lineRule="auto"/>
        <w:rPr>
          <w:sz w:val="20"/>
          <w:szCs w:val="20"/>
        </w:rPr>
      </w:pPr>
      <w:r w:rsidRPr="00333B58">
        <w:rPr>
          <w:sz w:val="20"/>
          <w:szCs w:val="20"/>
        </w:rPr>
        <w:t xml:space="preserve">ILO. 2020. ILO Monitor: COVID-19 and the World of Work. Fifth edition. Updated estimates and analysis. </w:t>
      </w:r>
    </w:p>
    <w:p w14:paraId="5220EC65" w14:textId="77777777" w:rsidR="00715D0F" w:rsidRPr="00333B58" w:rsidRDefault="00715D0F" w:rsidP="00EE67D9">
      <w:pPr>
        <w:pStyle w:val="ListParagraph"/>
        <w:numPr>
          <w:ilvl w:val="0"/>
          <w:numId w:val="14"/>
        </w:numPr>
        <w:spacing w:after="160" w:line="256" w:lineRule="auto"/>
        <w:rPr>
          <w:sz w:val="20"/>
          <w:szCs w:val="20"/>
        </w:rPr>
      </w:pPr>
      <w:r w:rsidRPr="00333B58">
        <w:rPr>
          <w:sz w:val="20"/>
          <w:szCs w:val="20"/>
        </w:rPr>
        <w:t xml:space="preserve">ILO. 2020. Managing TVET during COVID-19. Resources for TVET Managers and Policy-Makers. ILO Note. </w:t>
      </w:r>
    </w:p>
    <w:p w14:paraId="5419B469" w14:textId="77777777" w:rsidR="00715D0F" w:rsidRPr="00333B58" w:rsidRDefault="00715D0F" w:rsidP="00EE67D9">
      <w:pPr>
        <w:pStyle w:val="ListParagraph"/>
        <w:numPr>
          <w:ilvl w:val="0"/>
          <w:numId w:val="14"/>
        </w:numPr>
        <w:spacing w:after="160" w:line="256" w:lineRule="auto"/>
        <w:rPr>
          <w:sz w:val="20"/>
          <w:szCs w:val="20"/>
        </w:rPr>
      </w:pPr>
      <w:r w:rsidRPr="00333B58">
        <w:rPr>
          <w:sz w:val="20"/>
          <w:szCs w:val="20"/>
        </w:rPr>
        <w:t xml:space="preserve">ILO. 2020. Teaching Online during COVID-19. Resources for TVET Teachers and Trainers. ILO Note.  </w:t>
      </w:r>
    </w:p>
    <w:p w14:paraId="792AF230" w14:textId="77777777" w:rsidR="00715D0F" w:rsidRPr="00333B58" w:rsidRDefault="00715D0F" w:rsidP="00EE67D9">
      <w:pPr>
        <w:pStyle w:val="ListParagraph"/>
        <w:numPr>
          <w:ilvl w:val="0"/>
          <w:numId w:val="14"/>
        </w:numPr>
        <w:spacing w:after="160" w:line="256" w:lineRule="auto"/>
        <w:rPr>
          <w:sz w:val="20"/>
          <w:szCs w:val="20"/>
        </w:rPr>
      </w:pPr>
      <w:r w:rsidRPr="00333B58">
        <w:rPr>
          <w:sz w:val="20"/>
          <w:szCs w:val="20"/>
        </w:rPr>
        <w:t xml:space="preserve">ILO/Cinterfor (Inter-American Centre for Knowledge Development in Vocational Training). 2020. “Vocational training: a response to COVID-19” available at: https://www.oitcinterfor.org/en/fp_covid19. ILOSTAT. </w:t>
      </w:r>
    </w:p>
    <w:p w14:paraId="7F9A17AA" w14:textId="77777777" w:rsidR="00715D0F" w:rsidRPr="00333B58" w:rsidRDefault="00715D0F" w:rsidP="00EE67D9">
      <w:pPr>
        <w:pStyle w:val="ListParagraph"/>
        <w:numPr>
          <w:ilvl w:val="0"/>
          <w:numId w:val="14"/>
        </w:numPr>
        <w:spacing w:after="160" w:line="256" w:lineRule="auto"/>
        <w:rPr>
          <w:sz w:val="20"/>
          <w:szCs w:val="20"/>
        </w:rPr>
      </w:pPr>
      <w:r w:rsidRPr="00333B58">
        <w:rPr>
          <w:sz w:val="20"/>
          <w:szCs w:val="20"/>
        </w:rPr>
        <w:t xml:space="preserve">ITU (International Telecommunication Union) and UNESCO (United Nations Educational, Scientific and Cultural Organization). (2020) State of Broadband Report 2020. License: CC BY-NC-SA 3.0 IGO. https:// www.itu.int/dms_pub/itu-s/opb/pol/S-POL-BROADBAND.21-2020-PDF-E.pdf. </w:t>
      </w:r>
    </w:p>
    <w:p w14:paraId="558ADB41" w14:textId="77777777" w:rsidR="00715D0F" w:rsidRPr="00333B58" w:rsidRDefault="00715D0F" w:rsidP="00EE67D9">
      <w:pPr>
        <w:pStyle w:val="ListParagraph"/>
        <w:numPr>
          <w:ilvl w:val="0"/>
          <w:numId w:val="14"/>
        </w:numPr>
        <w:spacing w:after="160" w:line="256" w:lineRule="auto"/>
        <w:rPr>
          <w:rFonts w:cstheme="minorHAnsi"/>
          <w:sz w:val="20"/>
          <w:szCs w:val="20"/>
        </w:rPr>
      </w:pPr>
      <w:r w:rsidRPr="00333B58">
        <w:rPr>
          <w:rFonts w:cstheme="minorHAnsi"/>
          <w:sz w:val="20"/>
          <w:szCs w:val="20"/>
        </w:rPr>
        <w:t>Kamal, K. (2017), </w:t>
      </w:r>
      <w:r w:rsidRPr="00333B58">
        <w:rPr>
          <w:rFonts w:cstheme="minorHAnsi"/>
          <w:i/>
          <w:iCs/>
          <w:sz w:val="20"/>
          <w:szCs w:val="20"/>
        </w:rPr>
        <w:t xml:space="preserve">Education in </w:t>
      </w:r>
      <w:r>
        <w:rPr>
          <w:rFonts w:cstheme="minorHAnsi"/>
          <w:i/>
          <w:iCs/>
          <w:sz w:val="20"/>
          <w:szCs w:val="20"/>
        </w:rPr>
        <w:t>Türkiye</w:t>
      </w:r>
      <w:r w:rsidRPr="00333B58">
        <w:rPr>
          <w:rFonts w:cstheme="minorHAnsi"/>
          <w:sz w:val="20"/>
          <w:szCs w:val="20"/>
        </w:rPr>
        <w:t>, </w:t>
      </w:r>
      <w:hyperlink r:id="rId62" w:tgtFrame="_blank" w:history="1">
        <w:r w:rsidRPr="00333B58">
          <w:rPr>
            <w:rStyle w:val="Hyperlink"/>
            <w:rFonts w:asciiTheme="minorHAnsi" w:hAnsiTheme="minorHAnsi" w:cstheme="minorHAnsi"/>
            <w:sz w:val="20"/>
            <w:szCs w:val="20"/>
          </w:rPr>
          <w:t>https://wenr.wes.org/2017/04/education-in-</w:t>
        </w:r>
        <w:r>
          <w:rPr>
            <w:rStyle w:val="Hyperlink"/>
            <w:rFonts w:asciiTheme="minorHAnsi" w:hAnsiTheme="minorHAnsi" w:cstheme="minorHAnsi"/>
            <w:sz w:val="20"/>
            <w:szCs w:val="20"/>
          </w:rPr>
          <w:t>Türkiye</w:t>
        </w:r>
      </w:hyperlink>
      <w:r w:rsidRPr="00333B58">
        <w:rPr>
          <w:rFonts w:cstheme="minorHAnsi"/>
          <w:sz w:val="20"/>
          <w:szCs w:val="20"/>
        </w:rPr>
        <w:t> </w:t>
      </w:r>
    </w:p>
    <w:p w14:paraId="4B0A2840" w14:textId="77777777" w:rsidR="00715D0F" w:rsidRPr="00333B58" w:rsidRDefault="00715D0F" w:rsidP="00EE67D9">
      <w:pPr>
        <w:pStyle w:val="ListParagraph"/>
        <w:numPr>
          <w:ilvl w:val="0"/>
          <w:numId w:val="14"/>
        </w:numPr>
        <w:spacing w:after="160" w:line="256" w:lineRule="auto"/>
        <w:rPr>
          <w:rFonts w:cstheme="minorHAnsi"/>
          <w:sz w:val="20"/>
          <w:szCs w:val="20"/>
        </w:rPr>
      </w:pPr>
      <w:r w:rsidRPr="00333B58">
        <w:rPr>
          <w:rFonts w:cstheme="minorHAnsi"/>
          <w:sz w:val="20"/>
          <w:szCs w:val="20"/>
        </w:rPr>
        <w:t>Kan, A. (2017), </w:t>
      </w:r>
      <w:r w:rsidRPr="00333B58">
        <w:rPr>
          <w:rFonts w:cstheme="minorHAnsi"/>
          <w:i/>
          <w:iCs/>
          <w:sz w:val="20"/>
          <w:szCs w:val="20"/>
        </w:rPr>
        <w:t>Teacher Capacity in School-based Assessment: Workshop Report</w:t>
      </w:r>
      <w:r w:rsidRPr="00333B58">
        <w:rPr>
          <w:rFonts w:cstheme="minorHAnsi"/>
          <w:sz w:val="20"/>
          <w:szCs w:val="20"/>
        </w:rPr>
        <w:t>, Ministry of National Education, Ankara.</w:t>
      </w:r>
    </w:p>
    <w:p w14:paraId="5FB6FEB5" w14:textId="77777777" w:rsidR="00715D0F" w:rsidRPr="00333B58" w:rsidRDefault="00715D0F" w:rsidP="00EE67D9">
      <w:pPr>
        <w:pStyle w:val="ListParagraph"/>
        <w:numPr>
          <w:ilvl w:val="0"/>
          <w:numId w:val="14"/>
        </w:numPr>
        <w:spacing w:after="160" w:line="256" w:lineRule="auto"/>
        <w:rPr>
          <w:rFonts w:cstheme="minorHAnsi"/>
          <w:sz w:val="20"/>
          <w:szCs w:val="20"/>
        </w:rPr>
      </w:pPr>
      <w:r w:rsidRPr="00333B58">
        <w:rPr>
          <w:rFonts w:cstheme="minorHAnsi"/>
          <w:sz w:val="20"/>
          <w:szCs w:val="20"/>
        </w:rPr>
        <w:t>MoNE (2018), </w:t>
      </w:r>
      <w:r w:rsidRPr="00333B58">
        <w:rPr>
          <w:rFonts w:cstheme="minorHAnsi"/>
          <w:i/>
          <w:iCs/>
          <w:sz w:val="20"/>
          <w:szCs w:val="20"/>
        </w:rPr>
        <w:t xml:space="preserve">Outlook of vocational and technical education in </w:t>
      </w:r>
      <w:r>
        <w:rPr>
          <w:rFonts w:cstheme="minorHAnsi"/>
          <w:i/>
          <w:iCs/>
          <w:sz w:val="20"/>
          <w:szCs w:val="20"/>
        </w:rPr>
        <w:t>Türkiye</w:t>
      </w:r>
      <w:r w:rsidRPr="00333B58">
        <w:rPr>
          <w:rFonts w:cstheme="minorHAnsi"/>
          <w:sz w:val="20"/>
          <w:szCs w:val="20"/>
        </w:rPr>
        <w:t>, </w:t>
      </w:r>
      <w:hyperlink r:id="rId63" w:tgtFrame="_blank" w:history="1">
        <w:r w:rsidRPr="00333B58">
          <w:rPr>
            <w:rStyle w:val="Hyperlink"/>
            <w:rFonts w:asciiTheme="minorHAnsi" w:hAnsiTheme="minorHAnsi" w:cstheme="minorHAnsi"/>
            <w:sz w:val="20"/>
            <w:szCs w:val="20"/>
          </w:rPr>
          <w:t>https://mtegm.meb.gov.tr/meb_iys_dosyalar/2018_11/12134429_No1_Turkiyede_Mesleki_ve_Teknik_Egitimin_Gorunumu.pdf</w:t>
        </w:r>
      </w:hyperlink>
      <w:r w:rsidRPr="00333B58">
        <w:rPr>
          <w:rFonts w:cstheme="minorHAnsi"/>
          <w:sz w:val="20"/>
          <w:szCs w:val="20"/>
        </w:rPr>
        <w:t>.</w:t>
      </w:r>
    </w:p>
    <w:p w14:paraId="0A564F55" w14:textId="77777777" w:rsidR="00715D0F" w:rsidRPr="00333B58" w:rsidRDefault="00715D0F" w:rsidP="00EE67D9">
      <w:pPr>
        <w:pStyle w:val="ListParagraph"/>
        <w:numPr>
          <w:ilvl w:val="0"/>
          <w:numId w:val="14"/>
        </w:numPr>
        <w:spacing w:after="160" w:line="256" w:lineRule="auto"/>
        <w:rPr>
          <w:sz w:val="20"/>
          <w:szCs w:val="20"/>
        </w:rPr>
      </w:pPr>
      <w:r w:rsidRPr="00333B58">
        <w:rPr>
          <w:sz w:val="20"/>
          <w:szCs w:val="20"/>
        </w:rPr>
        <w:t xml:space="preserve">OECD (2020). VET in a Time of Crisis: Building Foundations for Resilient Vocational Education and Training Systems.  Available at: http://www.oecd.org/ coronavirus/policy-responses/vet-in-a-time-of-crisis-building-foundations-for-resilient-vocationaleducation-and-training-systems-efff194c/. </w:t>
      </w:r>
    </w:p>
    <w:p w14:paraId="2C2E20BC" w14:textId="77777777" w:rsidR="00715D0F" w:rsidRPr="00333B58" w:rsidRDefault="00715D0F" w:rsidP="00EE67D9">
      <w:pPr>
        <w:pStyle w:val="ListParagraph"/>
        <w:numPr>
          <w:ilvl w:val="0"/>
          <w:numId w:val="14"/>
        </w:numPr>
        <w:spacing w:after="160" w:line="256" w:lineRule="auto"/>
        <w:rPr>
          <w:sz w:val="20"/>
          <w:szCs w:val="20"/>
        </w:rPr>
      </w:pPr>
      <w:r w:rsidRPr="00333B58">
        <w:rPr>
          <w:sz w:val="20"/>
          <w:szCs w:val="20"/>
        </w:rPr>
        <w:t xml:space="preserve">OECD (2021) </w:t>
      </w:r>
      <w:hyperlink r:id="rId64" w:history="1">
        <w:r w:rsidRPr="00333B58">
          <w:rPr>
            <w:color w:val="0563C1"/>
            <w:sz w:val="20"/>
            <w:szCs w:val="20"/>
            <w:u w:val="single"/>
          </w:rPr>
          <w:t>Teaching and learning in VET: Providing effective practical training in school-based settings</w:t>
        </w:r>
      </w:hyperlink>
    </w:p>
    <w:p w14:paraId="00AA9043" w14:textId="77777777" w:rsidR="00715D0F" w:rsidRPr="00333B58" w:rsidRDefault="00715D0F" w:rsidP="00EE67D9">
      <w:pPr>
        <w:pStyle w:val="ListParagraph"/>
        <w:numPr>
          <w:ilvl w:val="0"/>
          <w:numId w:val="14"/>
        </w:numPr>
        <w:spacing w:after="160" w:line="256" w:lineRule="auto"/>
        <w:rPr>
          <w:sz w:val="20"/>
          <w:szCs w:val="20"/>
        </w:rPr>
      </w:pPr>
      <w:r w:rsidRPr="00333B58">
        <w:rPr>
          <w:sz w:val="20"/>
          <w:szCs w:val="20"/>
        </w:rPr>
        <w:t xml:space="preserve">OECD (2021) VET in a time of crisis: Building foundations for resilient vocational education and training systems , available at: </w:t>
      </w:r>
      <w:hyperlink r:id="rId65" w:history="1">
        <w:r w:rsidRPr="00333B58">
          <w:rPr>
            <w:color w:val="0563C1"/>
            <w:sz w:val="20"/>
            <w:szCs w:val="20"/>
            <w:u w:val="single"/>
          </w:rPr>
          <w:t>http://www.oecd.org/coronavirus/policy-responses/vet-in-a-time-of-crisis-building-foundations-for-resilient-vocational-education-and-training-systems-efff194c/</w:t>
        </w:r>
      </w:hyperlink>
    </w:p>
    <w:p w14:paraId="2A6D0427" w14:textId="77777777" w:rsidR="00715D0F" w:rsidRPr="00333B58" w:rsidRDefault="00715D0F" w:rsidP="00EE67D9">
      <w:pPr>
        <w:pStyle w:val="ListParagraph"/>
        <w:numPr>
          <w:ilvl w:val="0"/>
          <w:numId w:val="14"/>
        </w:numPr>
        <w:spacing w:after="160" w:line="256" w:lineRule="auto"/>
        <w:rPr>
          <w:rFonts w:cstheme="minorHAnsi"/>
          <w:sz w:val="20"/>
          <w:szCs w:val="20"/>
        </w:rPr>
      </w:pPr>
      <w:r w:rsidRPr="00333B58">
        <w:rPr>
          <w:rFonts w:cstheme="minorHAnsi"/>
          <w:sz w:val="20"/>
          <w:szCs w:val="20"/>
        </w:rPr>
        <w:t xml:space="preserve">Özer, M. (2019), “Background of problems in Vocational Education and Training and its road map to solution in </w:t>
      </w:r>
      <w:r>
        <w:rPr>
          <w:rFonts w:cstheme="minorHAnsi"/>
          <w:sz w:val="20"/>
          <w:szCs w:val="20"/>
        </w:rPr>
        <w:t>Türkiye</w:t>
      </w:r>
      <w:r w:rsidRPr="00333B58">
        <w:rPr>
          <w:rFonts w:cstheme="minorHAnsi"/>
          <w:sz w:val="20"/>
          <w:szCs w:val="20"/>
        </w:rPr>
        <w:t>’s Education Vision 2023”, </w:t>
      </w:r>
      <w:r w:rsidRPr="00333B58">
        <w:rPr>
          <w:rFonts w:cstheme="minorHAnsi"/>
          <w:i/>
          <w:iCs/>
          <w:sz w:val="20"/>
          <w:szCs w:val="20"/>
        </w:rPr>
        <w:t>Journal of Higher Education and Science</w:t>
      </w:r>
      <w:r w:rsidRPr="00333B58">
        <w:rPr>
          <w:rFonts w:cstheme="minorHAnsi"/>
          <w:sz w:val="20"/>
          <w:szCs w:val="20"/>
        </w:rPr>
        <w:t>, Vol. 9(1), pp. 1-11.</w:t>
      </w:r>
    </w:p>
    <w:p w14:paraId="33450D48" w14:textId="77777777" w:rsidR="00715D0F" w:rsidRDefault="00715D0F" w:rsidP="00EE67D9">
      <w:pPr>
        <w:pStyle w:val="ListParagraph"/>
        <w:numPr>
          <w:ilvl w:val="0"/>
          <w:numId w:val="14"/>
        </w:numPr>
        <w:spacing w:after="160" w:line="256" w:lineRule="auto"/>
        <w:rPr>
          <w:rFonts w:cstheme="minorHAnsi"/>
          <w:sz w:val="20"/>
          <w:szCs w:val="20"/>
        </w:rPr>
      </w:pPr>
      <w:r w:rsidRPr="00333B58">
        <w:rPr>
          <w:rFonts w:cstheme="minorHAnsi"/>
          <w:sz w:val="20"/>
          <w:szCs w:val="20"/>
        </w:rPr>
        <w:t>Sasmaz, A. (2015), </w:t>
      </w:r>
      <w:r w:rsidRPr="00333B58">
        <w:rPr>
          <w:rFonts w:cstheme="minorHAnsi"/>
          <w:i/>
          <w:iCs/>
          <w:sz w:val="20"/>
          <w:szCs w:val="20"/>
        </w:rPr>
        <w:t xml:space="preserve">Politics of Educational Expansion in </w:t>
      </w:r>
      <w:r>
        <w:rPr>
          <w:rFonts w:cstheme="minorHAnsi"/>
          <w:i/>
          <w:iCs/>
          <w:sz w:val="20"/>
          <w:szCs w:val="20"/>
        </w:rPr>
        <w:t>Türkiye</w:t>
      </w:r>
      <w:r w:rsidRPr="00333B58">
        <w:rPr>
          <w:rFonts w:cstheme="minorHAnsi"/>
          <w:i/>
          <w:iCs/>
          <w:sz w:val="20"/>
          <w:szCs w:val="20"/>
        </w:rPr>
        <w:t>; Background paper prepared for the Education for All Global Monitoring Report 2015</w:t>
      </w:r>
      <w:r w:rsidRPr="00333B58">
        <w:rPr>
          <w:rFonts w:cstheme="minorHAnsi"/>
          <w:sz w:val="20"/>
          <w:szCs w:val="20"/>
        </w:rPr>
        <w:t>, UNESCO, Paris, </w:t>
      </w:r>
      <w:hyperlink r:id="rId66" w:tgtFrame="_blank" w:history="1">
        <w:r w:rsidRPr="00333B58">
          <w:rPr>
            <w:rStyle w:val="Hyperlink"/>
            <w:rFonts w:asciiTheme="minorHAnsi" w:hAnsiTheme="minorHAnsi" w:cstheme="minorHAnsi"/>
            <w:sz w:val="20"/>
            <w:szCs w:val="20"/>
          </w:rPr>
          <w:t>http://unesdoc.unesco.org/images/0023/002324/232427e.pdf</w:t>
        </w:r>
      </w:hyperlink>
      <w:r w:rsidRPr="00333B58">
        <w:rPr>
          <w:rFonts w:cstheme="minorHAnsi"/>
          <w:sz w:val="20"/>
          <w:szCs w:val="20"/>
        </w:rPr>
        <w:t>.</w:t>
      </w:r>
    </w:p>
    <w:p w14:paraId="5E476B1F" w14:textId="61239566" w:rsidR="00FC0AE9" w:rsidRPr="00CD0C1E" w:rsidRDefault="00715D0F" w:rsidP="00CD0C1E">
      <w:pPr>
        <w:pStyle w:val="ListParagraph"/>
        <w:numPr>
          <w:ilvl w:val="0"/>
          <w:numId w:val="14"/>
        </w:numPr>
        <w:spacing w:after="160" w:line="256" w:lineRule="auto"/>
        <w:rPr>
          <w:rFonts w:cstheme="minorHAnsi"/>
          <w:sz w:val="20"/>
          <w:szCs w:val="20"/>
        </w:rPr>
      </w:pPr>
      <w:r w:rsidRPr="006D4888">
        <w:rPr>
          <w:rFonts w:cstheme="minorHAnsi"/>
          <w:sz w:val="20"/>
          <w:szCs w:val="20"/>
        </w:rPr>
        <w:t>Shinde, R., &amp; Kaynak, D. (2016). Analysis of the Turkish Education System: A System Dynamics Approach on Dropouts and Deficiencies in Job Market., </w:t>
      </w:r>
      <w:r w:rsidRPr="006D4888">
        <w:rPr>
          <w:rFonts w:cstheme="minorHAnsi"/>
          <w:i/>
          <w:iCs/>
          <w:sz w:val="20"/>
          <w:szCs w:val="20"/>
        </w:rPr>
        <w:t>17</w:t>
      </w:r>
      <w:r w:rsidRPr="006D4888">
        <w:rPr>
          <w:rFonts w:cstheme="minorHAnsi"/>
          <w:sz w:val="20"/>
          <w:szCs w:val="20"/>
        </w:rPr>
        <w:t>(4), 157-183.</w:t>
      </w:r>
    </w:p>
    <w:p w14:paraId="27832E05" w14:textId="2789C47D" w:rsidR="00FC0AE9" w:rsidRPr="003F5711" w:rsidRDefault="00FC0AE9" w:rsidP="00EE67D9">
      <w:pPr>
        <w:pStyle w:val="Heading2"/>
        <w:numPr>
          <w:ilvl w:val="0"/>
          <w:numId w:val="15"/>
        </w:numPr>
        <w:spacing w:before="40" w:after="0"/>
      </w:pPr>
      <w:bookmarkStart w:id="59" w:name="_Toc118366177"/>
      <w:r w:rsidRPr="003F5711">
        <w:t>Websites:</w:t>
      </w:r>
      <w:bookmarkEnd w:id="59"/>
      <w:r w:rsidRPr="003F5711">
        <w:t xml:space="preserve"> </w:t>
      </w:r>
    </w:p>
    <w:p w14:paraId="26B7A50F" w14:textId="18BC804E" w:rsidR="00715D0F" w:rsidRPr="00FC0AE9" w:rsidRDefault="00715D0F" w:rsidP="00FC0AE9">
      <w:pPr>
        <w:spacing w:after="160" w:line="256" w:lineRule="auto"/>
        <w:rPr>
          <w:b/>
          <w:bCs/>
          <w:sz w:val="20"/>
          <w:szCs w:val="20"/>
        </w:rPr>
      </w:pPr>
    </w:p>
    <w:p w14:paraId="6E43EB7D" w14:textId="45B45851" w:rsidR="00715D0F" w:rsidRPr="00FC0AE9" w:rsidRDefault="00CD0C1E" w:rsidP="00EE67D9">
      <w:pPr>
        <w:pStyle w:val="ListParagraph"/>
        <w:numPr>
          <w:ilvl w:val="0"/>
          <w:numId w:val="28"/>
        </w:numPr>
        <w:rPr>
          <w:rFonts w:cs="Times New Roman"/>
          <w:color w:val="2F5496" w:themeColor="accent1" w:themeShade="BF"/>
          <w:sz w:val="20"/>
          <w:szCs w:val="20"/>
        </w:rPr>
      </w:pPr>
      <w:hyperlink r:id="rId67" w:history="1">
        <w:r w:rsidR="00715D0F" w:rsidRPr="00FC0AE9">
          <w:rPr>
            <w:rFonts w:cs="Times New Roman"/>
            <w:color w:val="2F5496" w:themeColor="accent1" w:themeShade="BF"/>
            <w:sz w:val="20"/>
            <w:szCs w:val="20"/>
            <w:u w:val="single"/>
          </w:rPr>
          <w:t>http://www.meb.gov.tr/</w:t>
        </w:r>
      </w:hyperlink>
    </w:p>
    <w:p w14:paraId="3EAE1FB5" w14:textId="3B42A22C" w:rsidR="00715D0F" w:rsidRPr="00FC0AE9" w:rsidRDefault="00CD0C1E" w:rsidP="00EE67D9">
      <w:pPr>
        <w:pStyle w:val="ListParagraph"/>
        <w:numPr>
          <w:ilvl w:val="0"/>
          <w:numId w:val="28"/>
        </w:numPr>
        <w:rPr>
          <w:rFonts w:cs="Times New Roman"/>
          <w:color w:val="2F5496" w:themeColor="accent1" w:themeShade="BF"/>
          <w:sz w:val="20"/>
          <w:szCs w:val="20"/>
        </w:rPr>
      </w:pPr>
      <w:hyperlink r:id="rId68" w:history="1">
        <w:r w:rsidR="00FC0AE9" w:rsidRPr="00BE3204">
          <w:rPr>
            <w:rStyle w:val="Hyperlink"/>
            <w:rFonts w:cs="Times New Roman"/>
            <w:sz w:val="20"/>
            <w:szCs w:val="20"/>
          </w:rPr>
          <w:t>http://www.mod.gov.tr/</w:t>
        </w:r>
      </w:hyperlink>
    </w:p>
    <w:p w14:paraId="390341FD" w14:textId="71265D09" w:rsidR="00715D0F" w:rsidRPr="00FC0AE9" w:rsidRDefault="00CD0C1E" w:rsidP="00EE67D9">
      <w:pPr>
        <w:pStyle w:val="ListParagraph"/>
        <w:numPr>
          <w:ilvl w:val="0"/>
          <w:numId w:val="28"/>
        </w:numPr>
        <w:rPr>
          <w:rFonts w:cs="Times New Roman"/>
          <w:color w:val="2F5496" w:themeColor="accent1" w:themeShade="BF"/>
          <w:sz w:val="20"/>
          <w:szCs w:val="20"/>
        </w:rPr>
      </w:pPr>
      <w:hyperlink r:id="rId69" w:history="1">
        <w:r w:rsidR="00FC0AE9" w:rsidRPr="00BE3204">
          <w:rPr>
            <w:rStyle w:val="Hyperlink"/>
            <w:rFonts w:cs="Times New Roman"/>
            <w:sz w:val="20"/>
            <w:szCs w:val="20"/>
          </w:rPr>
          <w:t>https://ec.europa.eu/neighbourhood-enlargement/sites/near/files/Türkiye_2019-2021_erp.pdf</w:t>
        </w:r>
      </w:hyperlink>
    </w:p>
    <w:p w14:paraId="2E512059" w14:textId="1C482CED" w:rsidR="00715D0F" w:rsidRPr="003E08C1" w:rsidRDefault="00CD0C1E" w:rsidP="003E08C1">
      <w:pPr>
        <w:pStyle w:val="ListParagraph"/>
        <w:rPr>
          <w:rFonts w:cs="Times New Roman"/>
          <w:color w:val="2F5496" w:themeColor="accent1" w:themeShade="BF"/>
          <w:sz w:val="20"/>
          <w:szCs w:val="20"/>
          <w:u w:val="single"/>
        </w:rPr>
      </w:pPr>
      <w:hyperlink r:id="rId70" w:history="1">
        <w:r w:rsidR="00FC0AE9" w:rsidRPr="00BE3204">
          <w:rPr>
            <w:rStyle w:val="Hyperlink"/>
            <w:rFonts w:cs="Times New Roman"/>
            <w:sz w:val="20"/>
            <w:szCs w:val="20"/>
          </w:rPr>
          <w:t>https://www.iskur.gov.tr/</w:t>
        </w:r>
      </w:hyperlink>
      <w:hyperlink r:id="rId71" w:history="1">
        <w:r w:rsidR="003E08C1" w:rsidRPr="00BE3204">
          <w:rPr>
            <w:rStyle w:val="Hyperlink"/>
            <w:rFonts w:cs="Times New Roman"/>
            <w:sz w:val="20"/>
            <w:szCs w:val="20"/>
          </w:rPr>
          <w:t>https://en.unesco.org/countries/Türkiye</w:t>
        </w:r>
      </w:hyperlink>
    </w:p>
    <w:p w14:paraId="4E0C2C6B" w14:textId="74F3D4B1" w:rsidR="00715D0F" w:rsidRDefault="00715D0F">
      <w:pPr>
        <w:rPr>
          <w:b/>
          <w:sz w:val="22"/>
          <w:szCs w:val="22"/>
        </w:rPr>
      </w:pPr>
    </w:p>
    <w:p w14:paraId="49338FE6" w14:textId="6F33DD35" w:rsidR="00715D0F" w:rsidRPr="00FC0AE9" w:rsidRDefault="00715D0F">
      <w:pPr>
        <w:rPr>
          <w:rFonts w:asciiTheme="majorHAnsi" w:eastAsiaTheme="majorEastAsia" w:hAnsiTheme="majorHAnsi" w:cstheme="majorBidi"/>
          <w:color w:val="2F5496" w:themeColor="accent1" w:themeShade="BF"/>
          <w:sz w:val="26"/>
          <w:szCs w:val="26"/>
        </w:rPr>
      </w:pPr>
      <w:r w:rsidRPr="00FC0AE9">
        <w:rPr>
          <w:rFonts w:asciiTheme="majorHAnsi" w:eastAsiaTheme="majorEastAsia" w:hAnsiTheme="majorHAnsi" w:cstheme="majorBidi"/>
          <w:color w:val="2F5496" w:themeColor="accent1" w:themeShade="BF"/>
          <w:sz w:val="26"/>
          <w:szCs w:val="26"/>
        </w:rPr>
        <w:t>5.1.3 Education</w:t>
      </w:r>
    </w:p>
    <w:p w14:paraId="33BA3EBA" w14:textId="0B0544CF" w:rsidR="00715D0F" w:rsidRPr="00FC0AE9" w:rsidRDefault="00715D0F">
      <w:pPr>
        <w:rPr>
          <w:rFonts w:asciiTheme="majorHAnsi" w:eastAsiaTheme="majorEastAsia" w:hAnsiTheme="majorHAnsi" w:cstheme="majorBidi"/>
          <w:color w:val="2F5496" w:themeColor="accent1" w:themeShade="BF"/>
          <w:sz w:val="26"/>
          <w:szCs w:val="26"/>
        </w:rPr>
      </w:pPr>
    </w:p>
    <w:p w14:paraId="785E9247" w14:textId="12E711A2" w:rsidR="00FC0AE9" w:rsidRDefault="00FC0AE9" w:rsidP="00EE67D9">
      <w:pPr>
        <w:pStyle w:val="ListParagraph"/>
        <w:numPr>
          <w:ilvl w:val="0"/>
          <w:numId w:val="18"/>
        </w:numPr>
        <w:spacing w:after="160" w:line="259" w:lineRule="auto"/>
        <w:rPr>
          <w:rFonts w:asciiTheme="majorHAnsi" w:eastAsiaTheme="majorEastAsia" w:hAnsiTheme="majorHAnsi" w:cstheme="majorBidi"/>
          <w:color w:val="2F5496" w:themeColor="accent1" w:themeShade="BF"/>
          <w:sz w:val="26"/>
          <w:szCs w:val="26"/>
        </w:rPr>
      </w:pPr>
      <w:r w:rsidRPr="00FC0AE9">
        <w:rPr>
          <w:rFonts w:asciiTheme="majorHAnsi" w:eastAsiaTheme="majorEastAsia" w:hAnsiTheme="majorHAnsi" w:cstheme="majorBidi"/>
          <w:color w:val="2F5496" w:themeColor="accent1" w:themeShade="BF"/>
          <w:sz w:val="26"/>
          <w:szCs w:val="26"/>
        </w:rPr>
        <w:t>Resources</w:t>
      </w:r>
    </w:p>
    <w:p w14:paraId="459C27B4" w14:textId="77777777" w:rsidR="00FC0AE9" w:rsidRPr="00FC0AE9" w:rsidRDefault="00FC0AE9" w:rsidP="00FC0AE9">
      <w:pPr>
        <w:pStyle w:val="ListParagraph"/>
        <w:spacing w:after="160" w:line="259" w:lineRule="auto"/>
        <w:rPr>
          <w:rFonts w:asciiTheme="majorHAnsi" w:eastAsiaTheme="majorEastAsia" w:hAnsiTheme="majorHAnsi" w:cstheme="majorBidi"/>
          <w:color w:val="2F5496" w:themeColor="accent1" w:themeShade="BF"/>
          <w:sz w:val="26"/>
          <w:szCs w:val="26"/>
        </w:rPr>
      </w:pPr>
    </w:p>
    <w:p w14:paraId="5F1EAAC6" w14:textId="77777777" w:rsidR="00FC0AE9" w:rsidRPr="00DB6A3C" w:rsidRDefault="00FC0AE9" w:rsidP="00EE67D9">
      <w:pPr>
        <w:pStyle w:val="ListParagraph"/>
        <w:numPr>
          <w:ilvl w:val="0"/>
          <w:numId w:val="17"/>
        </w:numPr>
        <w:spacing w:after="160" w:line="259" w:lineRule="auto"/>
        <w:rPr>
          <w:sz w:val="20"/>
          <w:szCs w:val="20"/>
        </w:rPr>
      </w:pPr>
      <w:r w:rsidRPr="00DB6A3C">
        <w:rPr>
          <w:sz w:val="20"/>
          <w:szCs w:val="20"/>
        </w:rPr>
        <w:t xml:space="preserve">Aksoy, A. Integrated model for renewable energy planning in </w:t>
      </w:r>
      <w:r>
        <w:rPr>
          <w:sz w:val="20"/>
          <w:szCs w:val="20"/>
        </w:rPr>
        <w:t>Türkiye</w:t>
      </w:r>
      <w:r w:rsidRPr="00DB6A3C">
        <w:rPr>
          <w:sz w:val="20"/>
          <w:szCs w:val="20"/>
        </w:rPr>
        <w:t xml:space="preserve">. Int. J. Green Energy 2019, 16, 34–48. </w:t>
      </w:r>
    </w:p>
    <w:p w14:paraId="368A46DF" w14:textId="77777777" w:rsidR="00FC0AE9" w:rsidRPr="00DB6A3C" w:rsidRDefault="00FC0AE9" w:rsidP="00EE67D9">
      <w:pPr>
        <w:pStyle w:val="ListParagraph"/>
        <w:numPr>
          <w:ilvl w:val="0"/>
          <w:numId w:val="17"/>
        </w:numPr>
        <w:spacing w:after="160" w:line="259" w:lineRule="auto"/>
        <w:rPr>
          <w:sz w:val="20"/>
          <w:szCs w:val="20"/>
          <w:u w:val="single"/>
        </w:rPr>
      </w:pPr>
      <w:r w:rsidRPr="00DB6A3C">
        <w:rPr>
          <w:b/>
          <w:bCs/>
          <w:sz w:val="20"/>
          <w:szCs w:val="20"/>
        </w:rPr>
        <w:t>Balcıoğlu Selçuk Ardıyok Keki (BASEAK)</w:t>
      </w:r>
      <w:r w:rsidRPr="00DB6A3C">
        <w:rPr>
          <w:sz w:val="20"/>
          <w:szCs w:val="20"/>
        </w:rPr>
        <w:t xml:space="preserve"> (2020) </w:t>
      </w:r>
      <w:r>
        <w:rPr>
          <w:sz w:val="20"/>
          <w:szCs w:val="20"/>
        </w:rPr>
        <w:t>Türkiye</w:t>
      </w:r>
      <w:r w:rsidRPr="00DB6A3C">
        <w:rPr>
          <w:sz w:val="20"/>
          <w:szCs w:val="20"/>
        </w:rPr>
        <w:t xml:space="preserve"> Renewable Energy, available at:  </w:t>
      </w:r>
      <w:r w:rsidRPr="00DB6A3C">
        <w:rPr>
          <w:sz w:val="20"/>
          <w:szCs w:val="20"/>
          <w:u w:val="single"/>
        </w:rPr>
        <w:t xml:space="preserve"> </w:t>
      </w:r>
      <w:hyperlink r:id="rId72" w:history="1">
        <w:r w:rsidRPr="00DB6A3C">
          <w:rPr>
            <w:color w:val="0563C1"/>
            <w:sz w:val="20"/>
            <w:szCs w:val="20"/>
            <w:u w:val="single"/>
          </w:rPr>
          <w:t>https://www.bcct.org.tr/news/the-turkish-renewable-energy-sector-significant-regulatory-developments-in-2020/70620</w:t>
        </w:r>
      </w:hyperlink>
    </w:p>
    <w:p w14:paraId="71CDA3CA" w14:textId="77777777" w:rsidR="00FC0AE9" w:rsidRPr="00DB6A3C" w:rsidRDefault="00FC0AE9" w:rsidP="00EE67D9">
      <w:pPr>
        <w:pStyle w:val="ListParagraph"/>
        <w:numPr>
          <w:ilvl w:val="0"/>
          <w:numId w:val="17"/>
        </w:numPr>
        <w:spacing w:after="160" w:line="259" w:lineRule="auto"/>
        <w:rPr>
          <w:sz w:val="20"/>
          <w:szCs w:val="20"/>
        </w:rPr>
      </w:pPr>
      <w:r w:rsidRPr="00DB6A3C">
        <w:rPr>
          <w:sz w:val="20"/>
          <w:szCs w:val="20"/>
        </w:rPr>
        <w:t xml:space="preserve">BNEF (Bloomberg New Energy Finance) and BCSE (Business Council for Sustainable Energy) (2020), 2020 Sustainable Energy in America Factbook, BNEF and BCSE, Washington, DC. </w:t>
      </w:r>
    </w:p>
    <w:p w14:paraId="791160DC" w14:textId="77777777" w:rsidR="00FC0AE9" w:rsidRPr="00DB6A3C" w:rsidRDefault="00FC0AE9" w:rsidP="00EE67D9">
      <w:pPr>
        <w:pStyle w:val="ListParagraph"/>
        <w:numPr>
          <w:ilvl w:val="0"/>
          <w:numId w:val="17"/>
        </w:numPr>
        <w:spacing w:after="160" w:line="259" w:lineRule="auto"/>
        <w:rPr>
          <w:sz w:val="20"/>
          <w:szCs w:val="20"/>
        </w:rPr>
      </w:pPr>
      <w:r w:rsidRPr="00DB6A3C">
        <w:rPr>
          <w:sz w:val="20"/>
          <w:szCs w:val="20"/>
        </w:rPr>
        <w:t xml:space="preserve">CEC (Clean Energy Council) (2020), Clean Energy at Work, June, https:// assets.cleanenergycouncil.org.au/ documents/resources/reports/CleanEnergy-at-Work/Clean-Energy-atWork-The-Clean-Energy-Council.pdf. </w:t>
      </w:r>
    </w:p>
    <w:p w14:paraId="2ABDC817" w14:textId="77777777" w:rsidR="00FC0AE9" w:rsidRPr="00DB6A3C" w:rsidRDefault="00FC0AE9" w:rsidP="00EE67D9">
      <w:pPr>
        <w:pStyle w:val="ListParagraph"/>
        <w:numPr>
          <w:ilvl w:val="0"/>
          <w:numId w:val="17"/>
        </w:numPr>
        <w:spacing w:after="160" w:line="259" w:lineRule="auto"/>
        <w:rPr>
          <w:sz w:val="20"/>
          <w:szCs w:val="20"/>
        </w:rPr>
      </w:pPr>
      <w:r w:rsidRPr="00DB6A3C">
        <w:rPr>
          <w:sz w:val="20"/>
          <w:szCs w:val="20"/>
        </w:rPr>
        <w:t xml:space="preserve">Chatterjee, A. (2020), “Solar cells import may get costlier; Govt pushes domestic buying amid India-China clash”, The Financial Express, 23 June, www.financialexpress.com/economy/ govt-to-soon-impose-customs-dutyon-solar-cells/2000149/. </w:t>
      </w:r>
    </w:p>
    <w:p w14:paraId="4DB1F10C" w14:textId="77777777" w:rsidR="00FC0AE9" w:rsidRPr="00DB6A3C" w:rsidRDefault="00FC0AE9" w:rsidP="00EE67D9">
      <w:pPr>
        <w:pStyle w:val="ListParagraph"/>
        <w:numPr>
          <w:ilvl w:val="0"/>
          <w:numId w:val="17"/>
        </w:numPr>
        <w:spacing w:after="160" w:line="259" w:lineRule="auto"/>
        <w:rPr>
          <w:sz w:val="20"/>
          <w:szCs w:val="20"/>
        </w:rPr>
      </w:pPr>
      <w:r w:rsidRPr="00DB6A3C">
        <w:rPr>
          <w:sz w:val="20"/>
          <w:szCs w:val="20"/>
        </w:rPr>
        <w:t xml:space="preserve">Deloitte (2018) Enerji sektöründe kadın Türkiye’de kadınları enerji sektörüne çekmek ve kariyer yolunda desteklemek Mart 2018 </w:t>
      </w:r>
      <w:hyperlink r:id="rId73" w:history="1">
        <w:r w:rsidRPr="00DB6A3C">
          <w:rPr>
            <w:color w:val="0563C1"/>
            <w:sz w:val="20"/>
            <w:szCs w:val="20"/>
            <w:u w:val="single"/>
          </w:rPr>
          <w:t>file:///C:/Users/sandra%20bustamante/Downloads/enerji-sektorunde-kadin-2018.pdf</w:t>
        </w:r>
      </w:hyperlink>
    </w:p>
    <w:p w14:paraId="3E793945" w14:textId="77777777" w:rsidR="00FC0AE9" w:rsidRPr="00DB6A3C" w:rsidRDefault="00FC0AE9" w:rsidP="00EE67D9">
      <w:pPr>
        <w:pStyle w:val="ListParagraph"/>
        <w:numPr>
          <w:ilvl w:val="0"/>
          <w:numId w:val="17"/>
        </w:numPr>
        <w:spacing w:after="160" w:line="259" w:lineRule="auto"/>
        <w:rPr>
          <w:sz w:val="20"/>
          <w:szCs w:val="20"/>
        </w:rPr>
      </w:pPr>
      <w:r w:rsidRPr="00DB6A3C">
        <w:rPr>
          <w:sz w:val="20"/>
          <w:szCs w:val="20"/>
        </w:rPr>
        <w:t>Dunbar, M. (2013), “Engaging the private sector in skills development”, Health and Education Advice and Resource Team, Oxford Policy Management, Oxford, UK.</w:t>
      </w:r>
    </w:p>
    <w:p w14:paraId="4B96D2B9" w14:textId="77777777" w:rsidR="00FC0AE9" w:rsidRPr="00DB6A3C" w:rsidRDefault="00FC0AE9" w:rsidP="00EE67D9">
      <w:pPr>
        <w:pStyle w:val="ListParagraph"/>
        <w:numPr>
          <w:ilvl w:val="0"/>
          <w:numId w:val="17"/>
        </w:numPr>
        <w:spacing w:after="160" w:line="259" w:lineRule="auto"/>
        <w:rPr>
          <w:color w:val="0563C1"/>
          <w:sz w:val="20"/>
          <w:szCs w:val="20"/>
          <w:u w:val="single"/>
        </w:rPr>
      </w:pPr>
      <w:r w:rsidRPr="00DB6A3C">
        <w:rPr>
          <w:sz w:val="20"/>
          <w:szCs w:val="20"/>
        </w:rPr>
        <w:t xml:space="preserve">IRENA, Renewable Energy and Jobs Annual Review 2020 </w:t>
      </w:r>
      <w:hyperlink r:id="rId74" w:history="1">
        <w:r w:rsidRPr="00DB6A3C">
          <w:rPr>
            <w:color w:val="0563C1"/>
            <w:sz w:val="20"/>
            <w:szCs w:val="20"/>
            <w:u w:val="single"/>
          </w:rPr>
          <w:t>file:///C:/Users/sandra%20bustamante/Downloads/IRENA_RE_Jobs_2020.pdf</w:t>
        </w:r>
      </w:hyperlink>
    </w:p>
    <w:p w14:paraId="741EE80F" w14:textId="77777777" w:rsidR="00FC0AE9" w:rsidRPr="00DB6A3C" w:rsidRDefault="00FC0AE9" w:rsidP="00EE67D9">
      <w:pPr>
        <w:pStyle w:val="ListParagraph"/>
        <w:numPr>
          <w:ilvl w:val="0"/>
          <w:numId w:val="17"/>
        </w:numPr>
        <w:spacing w:after="160" w:line="259" w:lineRule="auto"/>
        <w:rPr>
          <w:sz w:val="20"/>
          <w:szCs w:val="20"/>
        </w:rPr>
      </w:pPr>
      <w:r w:rsidRPr="00DB6A3C">
        <w:rPr>
          <w:sz w:val="20"/>
          <w:szCs w:val="20"/>
        </w:rPr>
        <w:t xml:space="preserve">IRENA (2020)   Wind energy: A gender perspective, available at: </w:t>
      </w:r>
      <w:hyperlink r:id="rId75" w:history="1">
        <w:r w:rsidRPr="00DB6A3C">
          <w:rPr>
            <w:color w:val="0563C1"/>
            <w:sz w:val="20"/>
            <w:szCs w:val="20"/>
            <w:u w:val="single"/>
          </w:rPr>
          <w:t>https://www.irena.org/publications/2020/Jan/Wind-energy-A-gender-perspective</w:t>
        </w:r>
      </w:hyperlink>
    </w:p>
    <w:p w14:paraId="60B97405" w14:textId="77777777" w:rsidR="00FC0AE9" w:rsidRPr="00DB6A3C" w:rsidRDefault="00FC0AE9" w:rsidP="00EE67D9">
      <w:pPr>
        <w:pStyle w:val="ListParagraph"/>
        <w:numPr>
          <w:ilvl w:val="0"/>
          <w:numId w:val="17"/>
        </w:numPr>
        <w:spacing w:after="160" w:line="259" w:lineRule="auto"/>
        <w:rPr>
          <w:sz w:val="20"/>
          <w:szCs w:val="20"/>
        </w:rPr>
      </w:pPr>
      <w:r w:rsidRPr="00DB6A3C">
        <w:rPr>
          <w:sz w:val="20"/>
          <w:szCs w:val="20"/>
        </w:rPr>
        <w:t xml:space="preserve">MENR. Strategic Plan. Available online: www.enerji.gov.tr/tr-TR/Stratejik-Plan </w:t>
      </w:r>
    </w:p>
    <w:p w14:paraId="45A4C54C" w14:textId="77777777" w:rsidR="00FC0AE9" w:rsidRPr="00DB6A3C" w:rsidRDefault="00FC0AE9" w:rsidP="00EE67D9">
      <w:pPr>
        <w:pStyle w:val="ListParagraph"/>
        <w:numPr>
          <w:ilvl w:val="0"/>
          <w:numId w:val="17"/>
        </w:numPr>
        <w:spacing w:after="160" w:line="259" w:lineRule="auto"/>
        <w:rPr>
          <w:sz w:val="20"/>
          <w:szCs w:val="20"/>
        </w:rPr>
      </w:pPr>
      <w:r w:rsidRPr="00DB6A3C">
        <w:rPr>
          <w:sz w:val="20"/>
          <w:szCs w:val="20"/>
        </w:rPr>
        <w:t xml:space="preserve">OECD (February 2019). OECD Environmental Performance Reviews: </w:t>
      </w:r>
      <w:r>
        <w:rPr>
          <w:sz w:val="20"/>
          <w:szCs w:val="20"/>
        </w:rPr>
        <w:t>Türkiye</w:t>
      </w:r>
      <w:r w:rsidRPr="00DB6A3C">
        <w:rPr>
          <w:sz w:val="20"/>
          <w:szCs w:val="20"/>
        </w:rPr>
        <w:t xml:space="preserve"> 2019 (Report). OECD Environmental Performance Reviews. OECD Publishing.  </w:t>
      </w:r>
    </w:p>
    <w:p w14:paraId="5D31DA83" w14:textId="77777777" w:rsidR="00FC0AE9" w:rsidRPr="00DB6A3C" w:rsidRDefault="00FC0AE9" w:rsidP="00EE67D9">
      <w:pPr>
        <w:pStyle w:val="ListParagraph"/>
        <w:numPr>
          <w:ilvl w:val="0"/>
          <w:numId w:val="17"/>
        </w:numPr>
        <w:spacing w:after="160" w:line="259" w:lineRule="auto"/>
        <w:rPr>
          <w:sz w:val="20"/>
          <w:szCs w:val="20"/>
        </w:rPr>
      </w:pPr>
      <w:r w:rsidRPr="00DB6A3C">
        <w:rPr>
          <w:sz w:val="20"/>
          <w:szCs w:val="20"/>
        </w:rPr>
        <w:t xml:space="preserve">Petform website, (2020) Oil production in </w:t>
      </w:r>
      <w:r>
        <w:rPr>
          <w:sz w:val="20"/>
          <w:szCs w:val="20"/>
        </w:rPr>
        <w:t>Türkiye</w:t>
      </w:r>
      <w:r w:rsidRPr="00DB6A3C">
        <w:rPr>
          <w:sz w:val="20"/>
          <w:szCs w:val="20"/>
        </w:rPr>
        <w:t>, available at: https://www.petform.org.tr/en/arama-uretim-sektoru/turkiyede-petrol-uretimi/</w:t>
      </w:r>
    </w:p>
    <w:p w14:paraId="5C98AEA0" w14:textId="77777777" w:rsidR="00FC0AE9" w:rsidRPr="00DB6A3C" w:rsidRDefault="00FC0AE9" w:rsidP="00EE67D9">
      <w:pPr>
        <w:pStyle w:val="ListParagraph"/>
        <w:numPr>
          <w:ilvl w:val="0"/>
          <w:numId w:val="17"/>
        </w:numPr>
        <w:spacing w:after="160" w:line="259" w:lineRule="auto"/>
        <w:rPr>
          <w:sz w:val="20"/>
          <w:szCs w:val="20"/>
        </w:rPr>
      </w:pPr>
      <w:r w:rsidRPr="00DB6A3C">
        <w:rPr>
          <w:sz w:val="20"/>
          <w:szCs w:val="20"/>
        </w:rPr>
        <w:t>SCGJ (Skill Council for Green Jobs) (n.d.), “Certified participants”, http://sscgj.in/affiliation/certifiedparticipants/, accessed 30 July</w:t>
      </w:r>
    </w:p>
    <w:p w14:paraId="68702490" w14:textId="77777777" w:rsidR="00FC0AE9" w:rsidRPr="00DB6A3C" w:rsidRDefault="00FC0AE9" w:rsidP="00EE67D9">
      <w:pPr>
        <w:pStyle w:val="ListParagraph"/>
        <w:numPr>
          <w:ilvl w:val="0"/>
          <w:numId w:val="17"/>
        </w:numPr>
        <w:spacing w:after="160" w:line="259" w:lineRule="auto"/>
        <w:rPr>
          <w:sz w:val="20"/>
          <w:szCs w:val="20"/>
        </w:rPr>
      </w:pPr>
      <w:r w:rsidRPr="00DB6A3C">
        <w:rPr>
          <w:sz w:val="20"/>
          <w:szCs w:val="20"/>
        </w:rPr>
        <w:t>Simas, M., and S. Pacca (2014), “Assessing employment in renewable energy technologies: A case study for wind power in Brazil”, Renewable and Sustainable Energy Reviews, Vol. 31/ March, pp. 83 90. Skills Development Scotland (2019), “Transition Training Fund”, https:// transitiontrainingfund.co.uk/.</w:t>
      </w:r>
    </w:p>
    <w:p w14:paraId="31378C7E" w14:textId="77777777" w:rsidR="00FC0AE9" w:rsidRPr="00DB6A3C" w:rsidRDefault="00FC0AE9" w:rsidP="00EE67D9">
      <w:pPr>
        <w:pStyle w:val="ListParagraph"/>
        <w:numPr>
          <w:ilvl w:val="0"/>
          <w:numId w:val="17"/>
        </w:numPr>
        <w:spacing w:after="160" w:line="259" w:lineRule="auto"/>
        <w:rPr>
          <w:sz w:val="20"/>
          <w:szCs w:val="20"/>
        </w:rPr>
      </w:pPr>
      <w:r w:rsidRPr="00DB6A3C">
        <w:rPr>
          <w:sz w:val="20"/>
          <w:szCs w:val="20"/>
        </w:rPr>
        <w:t xml:space="preserve">UNION OF CHAMBERS OF TURKISH ENGINEERS AND ARCHITECTS (UCTAE) CHAMBER OF MECHANICAL ENGINEERS (CME) ENERGY COMMISSION, </w:t>
      </w:r>
      <w:r>
        <w:rPr>
          <w:sz w:val="20"/>
          <w:szCs w:val="20"/>
        </w:rPr>
        <w:t>Türkiye</w:t>
      </w:r>
      <w:r w:rsidRPr="00DB6A3C">
        <w:rPr>
          <w:sz w:val="20"/>
          <w:szCs w:val="20"/>
        </w:rPr>
        <w:t xml:space="preserve"> Energy Outlook 2020, available at: </w:t>
      </w:r>
      <w:hyperlink r:id="rId76" w:history="1">
        <w:r w:rsidRPr="00DB6A3C">
          <w:rPr>
            <w:color w:val="0563C1"/>
            <w:sz w:val="20"/>
            <w:szCs w:val="20"/>
            <w:u w:val="single"/>
          </w:rPr>
          <w:t>https://www.mmo.org.tr/sites/default/files/gonderi_dosya_ekleri/</w:t>
        </w:r>
        <w:r>
          <w:rPr>
            <w:color w:val="0563C1"/>
            <w:sz w:val="20"/>
            <w:szCs w:val="20"/>
            <w:u w:val="single"/>
          </w:rPr>
          <w:t>TÜRKIYE</w:t>
        </w:r>
        <w:r w:rsidRPr="00DB6A3C">
          <w:rPr>
            <w:color w:val="0563C1"/>
            <w:sz w:val="20"/>
            <w:szCs w:val="20"/>
            <w:u w:val="single"/>
          </w:rPr>
          <w:t>%20ENERGY%20OUTLOOK_%202020_%2813.7.2020_A%29.pdf</w:t>
        </w:r>
      </w:hyperlink>
    </w:p>
    <w:p w14:paraId="3B1591FE" w14:textId="14E312E8" w:rsidR="00FC0AE9" w:rsidRDefault="00FC0AE9" w:rsidP="00EE67D9">
      <w:pPr>
        <w:pStyle w:val="ListParagraph"/>
        <w:numPr>
          <w:ilvl w:val="0"/>
          <w:numId w:val="17"/>
        </w:numPr>
        <w:spacing w:after="160" w:line="259" w:lineRule="auto"/>
        <w:rPr>
          <w:sz w:val="20"/>
          <w:szCs w:val="20"/>
        </w:rPr>
      </w:pPr>
      <w:r w:rsidRPr="00DB6A3C">
        <w:rPr>
          <w:sz w:val="20"/>
          <w:szCs w:val="20"/>
        </w:rPr>
        <w:t xml:space="preserve">World Data. </w:t>
      </w:r>
      <w:r>
        <w:rPr>
          <w:sz w:val="20"/>
          <w:szCs w:val="20"/>
        </w:rPr>
        <w:t>Türkiye</w:t>
      </w:r>
      <w:r w:rsidRPr="00DB6A3C">
        <w:rPr>
          <w:sz w:val="20"/>
          <w:szCs w:val="20"/>
        </w:rPr>
        <w:t xml:space="preserve"> Energy Consumption. Available online: https://www.worlddata.info/asia/</w:t>
      </w:r>
      <w:r>
        <w:rPr>
          <w:sz w:val="20"/>
          <w:szCs w:val="20"/>
        </w:rPr>
        <w:t>Türkiye</w:t>
      </w:r>
      <w:r w:rsidRPr="00DB6A3C">
        <w:rPr>
          <w:sz w:val="20"/>
          <w:szCs w:val="20"/>
        </w:rPr>
        <w:t xml:space="preserve">/ energy-consumption.php  </w:t>
      </w:r>
    </w:p>
    <w:p w14:paraId="12A2AAFB" w14:textId="77777777" w:rsidR="00FC0AE9" w:rsidRDefault="00FC0AE9" w:rsidP="00EE67D9">
      <w:pPr>
        <w:pStyle w:val="Heading2"/>
        <w:numPr>
          <w:ilvl w:val="0"/>
          <w:numId w:val="18"/>
        </w:numPr>
        <w:spacing w:before="40" w:after="0"/>
      </w:pPr>
      <w:bookmarkStart w:id="60" w:name="_Toc118366178"/>
      <w:r w:rsidRPr="003F5711">
        <w:t>Websites:</w:t>
      </w:r>
      <w:bookmarkEnd w:id="60"/>
    </w:p>
    <w:p w14:paraId="458E9D68" w14:textId="217EA593" w:rsidR="00FC0AE9" w:rsidRPr="00FC0AE9" w:rsidRDefault="00FC0AE9" w:rsidP="00FC0AE9">
      <w:pPr>
        <w:pStyle w:val="Heading2"/>
        <w:spacing w:before="40" w:after="0"/>
        <w:ind w:left="720"/>
      </w:pPr>
      <w:r w:rsidRPr="003F5711">
        <w:t xml:space="preserve"> </w:t>
      </w:r>
    </w:p>
    <w:p w14:paraId="37175A76" w14:textId="77777777" w:rsidR="00FC0AE9" w:rsidRPr="00DB6A3C" w:rsidRDefault="00CD0C1E" w:rsidP="00EE67D9">
      <w:pPr>
        <w:pStyle w:val="ListParagraph"/>
        <w:numPr>
          <w:ilvl w:val="0"/>
          <w:numId w:val="16"/>
        </w:numPr>
        <w:spacing w:after="160" w:line="259" w:lineRule="auto"/>
        <w:rPr>
          <w:sz w:val="20"/>
          <w:szCs w:val="20"/>
        </w:rPr>
      </w:pPr>
      <w:hyperlink r:id="rId77" w:history="1">
        <w:r w:rsidR="00FC0AE9" w:rsidRPr="00DB6A3C">
          <w:rPr>
            <w:color w:val="0563C1"/>
            <w:sz w:val="20"/>
            <w:szCs w:val="20"/>
            <w:u w:val="single"/>
          </w:rPr>
          <w:t>http://www.enerji.gov.tr/en-US/Mainpage </w:t>
        </w:r>
      </w:hyperlink>
    </w:p>
    <w:p w14:paraId="15F62834" w14:textId="77777777" w:rsidR="00FC0AE9" w:rsidRPr="00DB6A3C" w:rsidRDefault="00CD0C1E" w:rsidP="00EE67D9">
      <w:pPr>
        <w:pStyle w:val="ListParagraph"/>
        <w:numPr>
          <w:ilvl w:val="0"/>
          <w:numId w:val="16"/>
        </w:numPr>
        <w:spacing w:after="160" w:line="259" w:lineRule="auto"/>
        <w:rPr>
          <w:sz w:val="20"/>
          <w:szCs w:val="20"/>
        </w:rPr>
      </w:pPr>
      <w:hyperlink r:id="rId78" w:history="1">
        <w:r w:rsidR="00FC0AE9" w:rsidRPr="00DB6A3C">
          <w:rPr>
            <w:color w:val="0563C1"/>
            <w:sz w:val="20"/>
            <w:szCs w:val="20"/>
            <w:u w:val="single"/>
          </w:rPr>
          <w:t>http://www.enerji.gov.tr/en-US/Pages/Bio-Fuels</w:t>
        </w:r>
      </w:hyperlink>
    </w:p>
    <w:p w14:paraId="1F71035F" w14:textId="77777777" w:rsidR="00FC0AE9" w:rsidRPr="00DB6A3C" w:rsidRDefault="00CD0C1E" w:rsidP="00EE67D9">
      <w:pPr>
        <w:pStyle w:val="ListParagraph"/>
        <w:numPr>
          <w:ilvl w:val="0"/>
          <w:numId w:val="16"/>
        </w:numPr>
        <w:spacing w:after="160" w:line="259" w:lineRule="auto"/>
        <w:rPr>
          <w:sz w:val="20"/>
          <w:szCs w:val="20"/>
        </w:rPr>
      </w:pPr>
      <w:hyperlink r:id="rId79" w:history="1">
        <w:r w:rsidR="00FC0AE9" w:rsidRPr="00DB6A3C">
          <w:rPr>
            <w:color w:val="0563C1"/>
            <w:sz w:val="20"/>
            <w:szCs w:val="20"/>
            <w:u w:val="single"/>
          </w:rPr>
          <w:t>http://www.enerji.gov.tr/en-US/Pages/Coal</w:t>
        </w:r>
      </w:hyperlink>
    </w:p>
    <w:p w14:paraId="4D9B1AFE" w14:textId="77777777" w:rsidR="00FC0AE9" w:rsidRPr="00DB6A3C" w:rsidRDefault="00CD0C1E" w:rsidP="00EE67D9">
      <w:pPr>
        <w:pStyle w:val="ListParagraph"/>
        <w:numPr>
          <w:ilvl w:val="0"/>
          <w:numId w:val="16"/>
        </w:numPr>
        <w:spacing w:after="160" w:line="259" w:lineRule="auto"/>
        <w:rPr>
          <w:sz w:val="20"/>
          <w:szCs w:val="20"/>
        </w:rPr>
      </w:pPr>
      <w:hyperlink r:id="rId80" w:history="1">
        <w:r w:rsidR="00FC0AE9" w:rsidRPr="00DB6A3C">
          <w:rPr>
            <w:color w:val="0563C1"/>
            <w:sz w:val="20"/>
            <w:szCs w:val="20"/>
            <w:u w:val="single"/>
          </w:rPr>
          <w:t>http://www.enerji.gov.tr/en-US/Pages/Electricity</w:t>
        </w:r>
      </w:hyperlink>
    </w:p>
    <w:p w14:paraId="5267670D" w14:textId="77777777" w:rsidR="00FC0AE9" w:rsidRPr="00DB6A3C" w:rsidRDefault="00FC0AE9" w:rsidP="00EE67D9">
      <w:pPr>
        <w:pStyle w:val="ListParagraph"/>
        <w:numPr>
          <w:ilvl w:val="0"/>
          <w:numId w:val="16"/>
        </w:numPr>
        <w:spacing w:after="160" w:line="259" w:lineRule="auto"/>
        <w:rPr>
          <w:sz w:val="20"/>
          <w:szCs w:val="20"/>
        </w:rPr>
      </w:pPr>
      <w:bookmarkStart w:id="61" w:name="_Hlk67382325"/>
      <w:r w:rsidRPr="00DB6A3C">
        <w:rPr>
          <w:color w:val="0563C1"/>
          <w:sz w:val="20"/>
          <w:szCs w:val="20"/>
          <w:u w:val="single"/>
        </w:rPr>
        <w:t>http://www.enerji.gov.tr/en-US/Pages/Geothermal</w:t>
      </w:r>
    </w:p>
    <w:p w14:paraId="63E94353" w14:textId="77777777" w:rsidR="00FC0AE9" w:rsidRPr="00DB6A3C" w:rsidRDefault="00CD0C1E" w:rsidP="00EE67D9">
      <w:pPr>
        <w:pStyle w:val="ListParagraph"/>
        <w:numPr>
          <w:ilvl w:val="0"/>
          <w:numId w:val="16"/>
        </w:numPr>
        <w:spacing w:after="160" w:line="259" w:lineRule="auto"/>
        <w:rPr>
          <w:sz w:val="20"/>
          <w:szCs w:val="20"/>
        </w:rPr>
      </w:pPr>
      <w:hyperlink r:id="rId81" w:history="1">
        <w:r w:rsidR="00FC0AE9" w:rsidRPr="00DB6A3C">
          <w:rPr>
            <w:color w:val="0563C1"/>
            <w:sz w:val="20"/>
            <w:szCs w:val="20"/>
            <w:u w:val="single"/>
          </w:rPr>
          <w:t>http://www.enerji.gov.tr/en-US/Pages/Hydraulics</w:t>
        </w:r>
      </w:hyperlink>
    </w:p>
    <w:p w14:paraId="06C8ACAF" w14:textId="77777777" w:rsidR="00FC0AE9" w:rsidRPr="00DB6A3C" w:rsidRDefault="00CD0C1E" w:rsidP="00EE67D9">
      <w:pPr>
        <w:pStyle w:val="ListParagraph"/>
        <w:numPr>
          <w:ilvl w:val="0"/>
          <w:numId w:val="16"/>
        </w:numPr>
        <w:spacing w:after="160" w:line="259" w:lineRule="auto"/>
        <w:rPr>
          <w:sz w:val="20"/>
          <w:szCs w:val="20"/>
        </w:rPr>
      </w:pPr>
      <w:hyperlink r:id="rId82" w:history="1">
        <w:r w:rsidR="00FC0AE9" w:rsidRPr="00DB6A3C">
          <w:rPr>
            <w:color w:val="0563C1"/>
            <w:sz w:val="20"/>
            <w:szCs w:val="20"/>
            <w:u w:val="single"/>
          </w:rPr>
          <w:t>http://www.enerji.gov.tr/en-US/Pages/Natural-Gas</w:t>
        </w:r>
      </w:hyperlink>
    </w:p>
    <w:p w14:paraId="5B956DC5" w14:textId="77777777" w:rsidR="00FC0AE9" w:rsidRPr="00DB6A3C" w:rsidRDefault="00CD0C1E" w:rsidP="00EE67D9">
      <w:pPr>
        <w:pStyle w:val="ListParagraph"/>
        <w:numPr>
          <w:ilvl w:val="0"/>
          <w:numId w:val="16"/>
        </w:numPr>
        <w:spacing w:after="160" w:line="259" w:lineRule="auto"/>
        <w:rPr>
          <w:sz w:val="20"/>
          <w:szCs w:val="20"/>
        </w:rPr>
      </w:pPr>
      <w:hyperlink r:id="rId83" w:history="1">
        <w:r w:rsidR="00FC0AE9" w:rsidRPr="00DB6A3C">
          <w:rPr>
            <w:color w:val="0563C1"/>
            <w:sz w:val="20"/>
            <w:szCs w:val="20"/>
            <w:u w:val="single"/>
          </w:rPr>
          <w:t>http://www.enerji.gov.tr/en-US/Pages/Nuclear</w:t>
        </w:r>
      </w:hyperlink>
    </w:p>
    <w:p w14:paraId="0EA10140" w14:textId="77777777" w:rsidR="00FC0AE9" w:rsidRPr="00DB6A3C" w:rsidRDefault="00CD0C1E" w:rsidP="00EE67D9">
      <w:pPr>
        <w:pStyle w:val="ListParagraph"/>
        <w:numPr>
          <w:ilvl w:val="0"/>
          <w:numId w:val="16"/>
        </w:numPr>
        <w:spacing w:after="160" w:line="259" w:lineRule="auto"/>
        <w:rPr>
          <w:sz w:val="20"/>
          <w:szCs w:val="20"/>
        </w:rPr>
      </w:pPr>
      <w:hyperlink r:id="rId84" w:history="1">
        <w:r w:rsidR="00FC0AE9" w:rsidRPr="00DB6A3C">
          <w:rPr>
            <w:color w:val="0563C1"/>
            <w:sz w:val="20"/>
            <w:szCs w:val="20"/>
            <w:u w:val="single"/>
          </w:rPr>
          <w:t>http://www.enerji.gov.tr/en-US/Pages/Petrol</w:t>
        </w:r>
      </w:hyperlink>
    </w:p>
    <w:p w14:paraId="51B9B031" w14:textId="77777777" w:rsidR="00FC0AE9" w:rsidRPr="00DB6A3C" w:rsidRDefault="00CD0C1E" w:rsidP="00EE67D9">
      <w:pPr>
        <w:pStyle w:val="ListParagraph"/>
        <w:numPr>
          <w:ilvl w:val="0"/>
          <w:numId w:val="16"/>
        </w:numPr>
        <w:spacing w:after="160" w:line="259" w:lineRule="auto"/>
        <w:rPr>
          <w:sz w:val="20"/>
          <w:szCs w:val="20"/>
        </w:rPr>
      </w:pPr>
      <w:hyperlink r:id="rId85" w:history="1">
        <w:r w:rsidR="00FC0AE9" w:rsidRPr="00DB6A3C">
          <w:rPr>
            <w:color w:val="0563C1"/>
            <w:sz w:val="20"/>
            <w:szCs w:val="20"/>
            <w:u w:val="single"/>
          </w:rPr>
          <w:t>http://www.enerji.gov.tr/en-US/Pages/Solar</w:t>
        </w:r>
      </w:hyperlink>
    </w:p>
    <w:p w14:paraId="5BA92DA1" w14:textId="77777777" w:rsidR="00FC0AE9" w:rsidRPr="00DB6A3C" w:rsidRDefault="00CD0C1E" w:rsidP="00EE67D9">
      <w:pPr>
        <w:pStyle w:val="ListParagraph"/>
        <w:numPr>
          <w:ilvl w:val="0"/>
          <w:numId w:val="16"/>
        </w:numPr>
        <w:spacing w:after="160" w:line="259" w:lineRule="auto"/>
        <w:rPr>
          <w:sz w:val="20"/>
          <w:szCs w:val="20"/>
        </w:rPr>
      </w:pPr>
      <w:hyperlink r:id="rId86" w:history="1">
        <w:r w:rsidR="00FC0AE9" w:rsidRPr="00DB6A3C">
          <w:rPr>
            <w:color w:val="0563C1"/>
            <w:sz w:val="20"/>
            <w:szCs w:val="20"/>
            <w:u w:val="single"/>
          </w:rPr>
          <w:t>http://www.enerji.gov.tr/en-US/Pages/Wind</w:t>
        </w:r>
      </w:hyperlink>
    </w:p>
    <w:p w14:paraId="04484D90" w14:textId="77777777" w:rsidR="00FC0AE9" w:rsidRPr="00DB6A3C" w:rsidRDefault="00CD0C1E" w:rsidP="00EE67D9">
      <w:pPr>
        <w:pStyle w:val="ListParagraph"/>
        <w:numPr>
          <w:ilvl w:val="0"/>
          <w:numId w:val="16"/>
        </w:numPr>
        <w:spacing w:after="160" w:line="259" w:lineRule="auto"/>
        <w:rPr>
          <w:sz w:val="20"/>
          <w:szCs w:val="20"/>
        </w:rPr>
      </w:pPr>
      <w:hyperlink r:id="rId87" w:history="1">
        <w:r w:rsidR="00FC0AE9" w:rsidRPr="00DB6A3C">
          <w:rPr>
            <w:color w:val="0563C1"/>
            <w:sz w:val="20"/>
            <w:szCs w:val="20"/>
            <w:u w:val="single"/>
          </w:rPr>
          <w:t>https://data.tuik.gov.tr/</w:t>
        </w:r>
      </w:hyperlink>
    </w:p>
    <w:p w14:paraId="64D43925" w14:textId="77777777" w:rsidR="00FC0AE9" w:rsidRPr="00DB6A3C" w:rsidRDefault="00CD0C1E" w:rsidP="00EE67D9">
      <w:pPr>
        <w:pStyle w:val="ListParagraph"/>
        <w:numPr>
          <w:ilvl w:val="0"/>
          <w:numId w:val="16"/>
        </w:numPr>
        <w:spacing w:after="160" w:line="259" w:lineRule="auto"/>
        <w:rPr>
          <w:sz w:val="20"/>
          <w:szCs w:val="20"/>
        </w:rPr>
      </w:pPr>
      <w:hyperlink r:id="rId88" w:history="1">
        <w:r w:rsidR="00FC0AE9" w:rsidRPr="00DB6A3C">
          <w:rPr>
            <w:color w:val="0563C1"/>
            <w:sz w:val="20"/>
            <w:szCs w:val="20"/>
            <w:u w:val="single"/>
          </w:rPr>
          <w:t>https://enerji.gov.tr/en-US/Pages/Natural-Gas-Pipelines-and-Projects</w:t>
        </w:r>
      </w:hyperlink>
    </w:p>
    <w:p w14:paraId="3CA1243F" w14:textId="77777777" w:rsidR="00FC0AE9" w:rsidRPr="00DB6A3C" w:rsidRDefault="00CD0C1E" w:rsidP="00EE67D9">
      <w:pPr>
        <w:pStyle w:val="ListParagraph"/>
        <w:numPr>
          <w:ilvl w:val="0"/>
          <w:numId w:val="16"/>
        </w:numPr>
        <w:spacing w:after="160" w:line="259" w:lineRule="auto"/>
        <w:rPr>
          <w:sz w:val="20"/>
          <w:szCs w:val="20"/>
        </w:rPr>
      </w:pPr>
      <w:hyperlink r:id="rId89" w:history="1">
        <w:r w:rsidR="00FC0AE9" w:rsidRPr="00DB6A3C">
          <w:rPr>
            <w:color w:val="0563C1"/>
            <w:sz w:val="20"/>
            <w:szCs w:val="20"/>
            <w:u w:val="single"/>
          </w:rPr>
          <w:t>https://enerji.gov.tr/en-US/Pages/Oil-Pipelines</w:t>
        </w:r>
      </w:hyperlink>
    </w:p>
    <w:p w14:paraId="0CF85CA2" w14:textId="77777777" w:rsidR="00FC0AE9" w:rsidRPr="00DB6A3C" w:rsidRDefault="00CD0C1E" w:rsidP="00EE67D9">
      <w:pPr>
        <w:pStyle w:val="ListParagraph"/>
        <w:numPr>
          <w:ilvl w:val="0"/>
          <w:numId w:val="16"/>
        </w:numPr>
        <w:spacing w:after="160" w:line="259" w:lineRule="auto"/>
        <w:rPr>
          <w:sz w:val="20"/>
          <w:szCs w:val="20"/>
        </w:rPr>
      </w:pPr>
      <w:hyperlink r:id="rId90" w:history="1">
        <w:r w:rsidR="00FC0AE9" w:rsidRPr="00DB6A3C">
          <w:rPr>
            <w:color w:val="0563C1"/>
            <w:sz w:val="20"/>
            <w:szCs w:val="20"/>
            <w:u w:val="single"/>
          </w:rPr>
          <w:t>https://www.climate-transparency.org/media/</w:t>
        </w:r>
        <w:r w:rsidR="00FC0AE9">
          <w:rPr>
            <w:color w:val="0563C1"/>
            <w:sz w:val="20"/>
            <w:szCs w:val="20"/>
            <w:u w:val="single"/>
          </w:rPr>
          <w:t>Türkiye</w:t>
        </w:r>
        <w:r w:rsidR="00FC0AE9" w:rsidRPr="00DB6A3C">
          <w:rPr>
            <w:color w:val="0563C1"/>
            <w:sz w:val="20"/>
            <w:szCs w:val="20"/>
            <w:u w:val="single"/>
          </w:rPr>
          <w:t>-country-profile-2020</w:t>
        </w:r>
      </w:hyperlink>
    </w:p>
    <w:p w14:paraId="2F065ADD" w14:textId="77777777" w:rsidR="00FC0AE9" w:rsidRPr="00DB6A3C" w:rsidRDefault="00CD0C1E" w:rsidP="00EE67D9">
      <w:pPr>
        <w:pStyle w:val="ListParagraph"/>
        <w:numPr>
          <w:ilvl w:val="0"/>
          <w:numId w:val="16"/>
        </w:numPr>
        <w:spacing w:after="160" w:line="259" w:lineRule="auto"/>
        <w:rPr>
          <w:sz w:val="20"/>
          <w:szCs w:val="20"/>
        </w:rPr>
      </w:pPr>
      <w:hyperlink r:id="rId91" w:history="1">
        <w:r w:rsidR="00FC0AE9" w:rsidRPr="00DB6A3C">
          <w:rPr>
            <w:color w:val="0563C1"/>
            <w:sz w:val="20"/>
            <w:szCs w:val="20"/>
            <w:u w:val="single"/>
          </w:rPr>
          <w:t>https://www.enerji.gov.tr/en-US/Mainpage</w:t>
        </w:r>
      </w:hyperlink>
    </w:p>
    <w:p w14:paraId="21D8A9FA" w14:textId="77777777" w:rsidR="00FC0AE9" w:rsidRPr="00DB6A3C" w:rsidRDefault="00CD0C1E" w:rsidP="00EE67D9">
      <w:pPr>
        <w:pStyle w:val="ListParagraph"/>
        <w:numPr>
          <w:ilvl w:val="0"/>
          <w:numId w:val="16"/>
        </w:numPr>
        <w:spacing w:after="160" w:line="259" w:lineRule="auto"/>
        <w:rPr>
          <w:sz w:val="20"/>
          <w:szCs w:val="20"/>
        </w:rPr>
      </w:pPr>
      <w:hyperlink r:id="rId92" w:history="1">
        <w:r w:rsidR="00FC0AE9" w:rsidRPr="00DB6A3C">
          <w:rPr>
            <w:color w:val="0563C1"/>
            <w:sz w:val="20"/>
            <w:szCs w:val="20"/>
            <w:u w:val="single"/>
          </w:rPr>
          <w:t>https://www.epdk.org.tr/Home/En</w:t>
        </w:r>
      </w:hyperlink>
    </w:p>
    <w:p w14:paraId="0FFD9F8F" w14:textId="77777777" w:rsidR="00FC0AE9" w:rsidRPr="00DB6A3C" w:rsidRDefault="00CD0C1E" w:rsidP="00EE67D9">
      <w:pPr>
        <w:pStyle w:val="ListParagraph"/>
        <w:numPr>
          <w:ilvl w:val="0"/>
          <w:numId w:val="16"/>
        </w:numPr>
        <w:spacing w:after="160" w:line="259" w:lineRule="auto"/>
        <w:rPr>
          <w:sz w:val="20"/>
          <w:szCs w:val="20"/>
        </w:rPr>
      </w:pPr>
      <w:hyperlink r:id="rId93" w:history="1">
        <w:r w:rsidR="00FC0AE9" w:rsidRPr="00DB6A3C">
          <w:rPr>
            <w:color w:val="0563C1"/>
            <w:sz w:val="20"/>
            <w:szCs w:val="20"/>
            <w:u w:val="single"/>
          </w:rPr>
          <w:t>https://www.iea.org/countries/</w:t>
        </w:r>
        <w:r w:rsidR="00FC0AE9">
          <w:rPr>
            <w:color w:val="0563C1"/>
            <w:sz w:val="20"/>
            <w:szCs w:val="20"/>
            <w:u w:val="single"/>
          </w:rPr>
          <w:t>Türkiye</w:t>
        </w:r>
      </w:hyperlink>
    </w:p>
    <w:p w14:paraId="0FDEEC39" w14:textId="77777777" w:rsidR="00FC0AE9" w:rsidRPr="00DB6A3C" w:rsidRDefault="00CD0C1E" w:rsidP="00EE67D9">
      <w:pPr>
        <w:pStyle w:val="ListParagraph"/>
        <w:numPr>
          <w:ilvl w:val="0"/>
          <w:numId w:val="16"/>
        </w:numPr>
        <w:spacing w:after="160" w:line="259" w:lineRule="auto"/>
        <w:rPr>
          <w:sz w:val="20"/>
          <w:szCs w:val="20"/>
        </w:rPr>
      </w:pPr>
      <w:hyperlink r:id="rId94" w:history="1">
        <w:r w:rsidR="00FC0AE9" w:rsidRPr="00DB6A3C">
          <w:rPr>
            <w:color w:val="0563C1"/>
            <w:sz w:val="20"/>
            <w:szCs w:val="20"/>
            <w:u w:val="single"/>
          </w:rPr>
          <w:t>https://www.invest.gov.tr/en/library/publications/lists/investpublications/energy-industry.pdf</w:t>
        </w:r>
      </w:hyperlink>
    </w:p>
    <w:p w14:paraId="7618EDD1" w14:textId="77777777" w:rsidR="00FC0AE9" w:rsidRPr="00DB6A3C" w:rsidRDefault="00CD0C1E" w:rsidP="00EE67D9">
      <w:pPr>
        <w:pStyle w:val="ListParagraph"/>
        <w:numPr>
          <w:ilvl w:val="0"/>
          <w:numId w:val="16"/>
        </w:numPr>
        <w:spacing w:after="160" w:line="259" w:lineRule="auto"/>
        <w:rPr>
          <w:sz w:val="20"/>
          <w:szCs w:val="20"/>
        </w:rPr>
      </w:pPr>
      <w:hyperlink r:id="rId95" w:history="1">
        <w:r w:rsidR="00FC0AE9" w:rsidRPr="00DB6A3C">
          <w:rPr>
            <w:color w:val="0563C1"/>
            <w:sz w:val="20"/>
            <w:szCs w:val="20"/>
            <w:u w:val="single"/>
          </w:rPr>
          <w:t>https://www.invest.gov.tr/en/sectors/pages/energy.aspx</w:t>
        </w:r>
      </w:hyperlink>
    </w:p>
    <w:bookmarkEnd w:id="61"/>
    <w:p w14:paraId="35686416" w14:textId="77777777" w:rsidR="00FC0AE9" w:rsidRPr="00DB6A3C" w:rsidRDefault="00FC0AE9" w:rsidP="00EE67D9">
      <w:pPr>
        <w:pStyle w:val="ListParagraph"/>
        <w:numPr>
          <w:ilvl w:val="0"/>
          <w:numId w:val="16"/>
        </w:numPr>
        <w:spacing w:after="160" w:line="259" w:lineRule="auto"/>
        <w:rPr>
          <w:sz w:val="20"/>
          <w:szCs w:val="20"/>
        </w:rPr>
      </w:pPr>
      <w:r w:rsidRPr="00DB6A3C">
        <w:rPr>
          <w:sz w:val="20"/>
          <w:szCs w:val="20"/>
        </w:rPr>
        <w:t xml:space="preserve">Presidency of </w:t>
      </w:r>
      <w:r>
        <w:rPr>
          <w:sz w:val="20"/>
          <w:szCs w:val="20"/>
        </w:rPr>
        <w:t>Türkiye</w:t>
      </w:r>
      <w:r w:rsidRPr="00DB6A3C">
        <w:rPr>
          <w:sz w:val="20"/>
          <w:szCs w:val="20"/>
        </w:rPr>
        <w:t xml:space="preserve">. Ministry of Investment. Yeka Projects, available at </w:t>
      </w:r>
      <w:hyperlink r:id="rId96" w:history="1">
        <w:r w:rsidRPr="00DB6A3C">
          <w:rPr>
            <w:color w:val="0563C1"/>
            <w:sz w:val="20"/>
            <w:szCs w:val="20"/>
            <w:u w:val="single"/>
          </w:rPr>
          <w:t>https://www.invest.gov.tr/en/library/publications/lists/investpublications/yeka-projects.pdf</w:t>
        </w:r>
      </w:hyperlink>
    </w:p>
    <w:p w14:paraId="00D46EE5" w14:textId="77777777" w:rsidR="00FC0AE9" w:rsidRPr="00DB6A3C" w:rsidRDefault="00FC0AE9" w:rsidP="00EE67D9">
      <w:pPr>
        <w:pStyle w:val="ListParagraph"/>
        <w:numPr>
          <w:ilvl w:val="0"/>
          <w:numId w:val="16"/>
        </w:numPr>
        <w:rPr>
          <w:sz w:val="20"/>
          <w:szCs w:val="20"/>
        </w:rPr>
      </w:pPr>
      <w:r w:rsidRPr="00DB6A3C">
        <w:rPr>
          <w:sz w:val="20"/>
          <w:szCs w:val="20"/>
        </w:rPr>
        <w:t xml:space="preserve">Sector Overview Energy January 2019, available at: </w:t>
      </w:r>
      <w:hyperlink r:id="rId97" w:history="1">
        <w:r w:rsidRPr="00DB6A3C">
          <w:rPr>
            <w:color w:val="0563C1"/>
            <w:sz w:val="20"/>
            <w:szCs w:val="20"/>
            <w:u w:val="single"/>
          </w:rPr>
          <w:t>https://www.tskb.com.tr/i/assets/document/pdf/sector-overview-energy-2018-12-low-resolution-final.pdf</w:t>
        </w:r>
      </w:hyperlink>
    </w:p>
    <w:p w14:paraId="70AF04EE" w14:textId="77777777" w:rsidR="00FC0AE9" w:rsidRDefault="00CD0C1E" w:rsidP="00EE67D9">
      <w:pPr>
        <w:pStyle w:val="ListParagraph"/>
        <w:numPr>
          <w:ilvl w:val="0"/>
          <w:numId w:val="16"/>
        </w:numPr>
        <w:ind w:left="714" w:hanging="357"/>
        <w:rPr>
          <w:color w:val="0563C1"/>
          <w:sz w:val="20"/>
          <w:szCs w:val="20"/>
          <w:u w:val="single"/>
        </w:rPr>
      </w:pPr>
      <w:hyperlink r:id="rId98" w:history="1">
        <w:r w:rsidR="00FC0AE9" w:rsidRPr="00DB6A3C">
          <w:rPr>
            <w:color w:val="0563C1"/>
            <w:sz w:val="20"/>
            <w:szCs w:val="20"/>
            <w:u w:val="single"/>
          </w:rPr>
          <w:t>www.iskur.org.tr</w:t>
        </w:r>
      </w:hyperlink>
    </w:p>
    <w:p w14:paraId="055D1215" w14:textId="77777777" w:rsidR="00FC0AE9" w:rsidRPr="00642B27" w:rsidRDefault="00CD0C1E" w:rsidP="00EE67D9">
      <w:pPr>
        <w:pStyle w:val="ListParagraph"/>
        <w:numPr>
          <w:ilvl w:val="0"/>
          <w:numId w:val="16"/>
        </w:numPr>
        <w:ind w:left="714" w:hanging="357"/>
        <w:rPr>
          <w:color w:val="0563C1"/>
          <w:sz w:val="20"/>
          <w:szCs w:val="20"/>
          <w:u w:val="single"/>
        </w:rPr>
      </w:pPr>
      <w:hyperlink r:id="rId99" w:history="1">
        <w:r w:rsidR="00FC0AE9" w:rsidRPr="00642B27">
          <w:rPr>
            <w:color w:val="0563C1"/>
            <w:sz w:val="20"/>
            <w:szCs w:val="20"/>
            <w:u w:val="single"/>
          </w:rPr>
          <w:t>www.tuik.org.tr</w:t>
        </w:r>
      </w:hyperlink>
    </w:p>
    <w:p w14:paraId="642D6781" w14:textId="38E8AE4D" w:rsidR="00715D0F" w:rsidRDefault="00715D0F">
      <w:pPr>
        <w:rPr>
          <w:b/>
          <w:sz w:val="22"/>
          <w:szCs w:val="22"/>
        </w:rPr>
      </w:pPr>
    </w:p>
    <w:p w14:paraId="51738F65" w14:textId="2A570AE4" w:rsidR="00FC0AE9" w:rsidRPr="00FC0AE9" w:rsidRDefault="00FC0AE9">
      <w:pPr>
        <w:rPr>
          <w:rFonts w:asciiTheme="majorHAnsi" w:eastAsiaTheme="majorEastAsia" w:hAnsiTheme="majorHAnsi" w:cstheme="majorBidi"/>
          <w:color w:val="2F5496" w:themeColor="accent1" w:themeShade="BF"/>
          <w:sz w:val="26"/>
          <w:szCs w:val="26"/>
        </w:rPr>
      </w:pPr>
      <w:r w:rsidRPr="00FC0AE9">
        <w:rPr>
          <w:rFonts w:asciiTheme="majorHAnsi" w:eastAsiaTheme="majorEastAsia" w:hAnsiTheme="majorHAnsi" w:cstheme="majorBidi"/>
          <w:color w:val="2F5496" w:themeColor="accent1" w:themeShade="BF"/>
          <w:sz w:val="26"/>
          <w:szCs w:val="26"/>
        </w:rPr>
        <w:t>5.1.4. Health</w:t>
      </w:r>
    </w:p>
    <w:p w14:paraId="6849870C" w14:textId="67CEB65E" w:rsidR="00FC0AE9" w:rsidRPr="00FC0AE9" w:rsidRDefault="00FC0AE9">
      <w:pPr>
        <w:rPr>
          <w:rFonts w:asciiTheme="majorHAnsi" w:eastAsiaTheme="majorEastAsia" w:hAnsiTheme="majorHAnsi" w:cstheme="majorBidi"/>
          <w:color w:val="2F5496" w:themeColor="accent1" w:themeShade="BF"/>
          <w:sz w:val="26"/>
          <w:szCs w:val="26"/>
        </w:rPr>
      </w:pPr>
    </w:p>
    <w:p w14:paraId="351986B4" w14:textId="77777777" w:rsidR="00FC0AE9" w:rsidRPr="00FC0AE9" w:rsidRDefault="00FC0AE9" w:rsidP="00EE67D9">
      <w:pPr>
        <w:pStyle w:val="ListParagraph"/>
        <w:numPr>
          <w:ilvl w:val="0"/>
          <w:numId w:val="21"/>
        </w:numPr>
        <w:spacing w:after="160" w:line="259" w:lineRule="auto"/>
        <w:jc w:val="both"/>
        <w:rPr>
          <w:rFonts w:asciiTheme="majorHAnsi" w:eastAsiaTheme="majorEastAsia" w:hAnsiTheme="majorHAnsi" w:cstheme="majorBidi"/>
          <w:color w:val="2F5496" w:themeColor="accent1" w:themeShade="BF"/>
          <w:sz w:val="26"/>
          <w:szCs w:val="26"/>
        </w:rPr>
      </w:pPr>
      <w:r w:rsidRPr="00FC0AE9">
        <w:rPr>
          <w:rFonts w:asciiTheme="majorHAnsi" w:eastAsiaTheme="majorEastAsia" w:hAnsiTheme="majorHAnsi" w:cstheme="majorBidi"/>
          <w:color w:val="2F5496" w:themeColor="accent1" w:themeShade="BF"/>
          <w:sz w:val="26"/>
          <w:szCs w:val="26"/>
        </w:rPr>
        <w:t>Resources</w:t>
      </w:r>
    </w:p>
    <w:p w14:paraId="2F518700" w14:textId="77777777" w:rsidR="00FC0AE9" w:rsidRPr="00380A5B" w:rsidRDefault="00FC0AE9" w:rsidP="00EE67D9">
      <w:pPr>
        <w:numPr>
          <w:ilvl w:val="0"/>
          <w:numId w:val="19"/>
        </w:numPr>
        <w:spacing w:after="160" w:line="259" w:lineRule="auto"/>
        <w:contextualSpacing/>
        <w:rPr>
          <w:rFonts w:cs="Times New Roman"/>
          <w:sz w:val="20"/>
          <w:szCs w:val="20"/>
        </w:rPr>
      </w:pPr>
      <w:r w:rsidRPr="00380A5B">
        <w:rPr>
          <w:rFonts w:cs="Times New Roman"/>
          <w:sz w:val="20"/>
          <w:szCs w:val="20"/>
        </w:rPr>
        <w:t>Benhamou and L. Janin: Intelligence Artificielle et Travail (Paris, France Stratégie, 2018).</w:t>
      </w:r>
    </w:p>
    <w:p w14:paraId="65B4E7A6" w14:textId="77777777" w:rsidR="00FC0AE9" w:rsidRPr="00380A5B" w:rsidRDefault="00FC0AE9" w:rsidP="00EE67D9">
      <w:pPr>
        <w:numPr>
          <w:ilvl w:val="0"/>
          <w:numId w:val="19"/>
        </w:numPr>
        <w:spacing w:after="160" w:line="259" w:lineRule="auto"/>
        <w:contextualSpacing/>
        <w:rPr>
          <w:rFonts w:cs="Times New Roman"/>
          <w:sz w:val="20"/>
          <w:szCs w:val="20"/>
        </w:rPr>
      </w:pPr>
      <w:r w:rsidRPr="00380A5B">
        <w:rPr>
          <w:rFonts w:cs="Times New Roman"/>
          <w:sz w:val="20"/>
          <w:szCs w:val="20"/>
        </w:rPr>
        <w:t xml:space="preserve">Campbell et al.: A universal truth: No health without a workforce, Report for the Third Global Forum on Human Resources for Health, Recife, Brazil, 2013 (Geneva, Global Health Workforce Alliance and WHO, 2013). </w:t>
      </w:r>
    </w:p>
    <w:p w14:paraId="6827A8ED" w14:textId="77777777" w:rsidR="00FC0AE9" w:rsidRPr="00380A5B" w:rsidRDefault="00FC0AE9" w:rsidP="00EE67D9">
      <w:pPr>
        <w:numPr>
          <w:ilvl w:val="0"/>
          <w:numId w:val="19"/>
        </w:numPr>
        <w:spacing w:after="160" w:line="259" w:lineRule="auto"/>
        <w:contextualSpacing/>
        <w:rPr>
          <w:rFonts w:cs="Times New Roman"/>
          <w:sz w:val="20"/>
          <w:szCs w:val="20"/>
        </w:rPr>
      </w:pPr>
      <w:r w:rsidRPr="00380A5B">
        <w:rPr>
          <w:rFonts w:cs="Times New Roman"/>
          <w:sz w:val="20"/>
          <w:szCs w:val="20"/>
        </w:rPr>
        <w:t xml:space="preserve">Carvajal, G.M. Armayor and L. Deziel: “The gender earnings gap among pharmacists”, in Research in Social and Administrative Pharmacy (2012, Vol. 8, Issue 4), pp. 285-297. </w:t>
      </w:r>
    </w:p>
    <w:p w14:paraId="5488778B" w14:textId="77777777" w:rsidR="00FC0AE9" w:rsidRPr="00380A5B" w:rsidRDefault="00FC0AE9" w:rsidP="00EE67D9">
      <w:pPr>
        <w:numPr>
          <w:ilvl w:val="0"/>
          <w:numId w:val="19"/>
        </w:numPr>
        <w:spacing w:after="160" w:line="259" w:lineRule="auto"/>
        <w:contextualSpacing/>
        <w:rPr>
          <w:rFonts w:cs="Times New Roman"/>
          <w:sz w:val="20"/>
          <w:szCs w:val="20"/>
        </w:rPr>
      </w:pPr>
      <w:r w:rsidRPr="00380A5B">
        <w:rPr>
          <w:rFonts w:cs="Times New Roman"/>
          <w:sz w:val="20"/>
          <w:szCs w:val="20"/>
        </w:rPr>
        <w:t xml:space="preserve">Chandrasekhar and Ghosh: “Information and communication technologies and health in low-income countries: The potential and the constraints”, in Bulletin of the World Health Organization (2001, Vol. 79), pp. 850–855. </w:t>
      </w:r>
    </w:p>
    <w:p w14:paraId="125EFB79" w14:textId="77777777" w:rsidR="00FC0AE9" w:rsidRPr="00380A5B" w:rsidRDefault="00FC0AE9" w:rsidP="00EE67D9">
      <w:pPr>
        <w:numPr>
          <w:ilvl w:val="0"/>
          <w:numId w:val="19"/>
        </w:numPr>
        <w:spacing w:after="160" w:line="259" w:lineRule="auto"/>
        <w:contextualSpacing/>
        <w:rPr>
          <w:rFonts w:cs="Times New Roman"/>
          <w:sz w:val="20"/>
          <w:szCs w:val="20"/>
        </w:rPr>
      </w:pPr>
      <w:r w:rsidRPr="00380A5B">
        <w:rPr>
          <w:rFonts w:cs="Times New Roman"/>
          <w:sz w:val="20"/>
          <w:szCs w:val="20"/>
        </w:rPr>
        <w:t xml:space="preserve">Coplan et al.: “Salary discrepancies between practicing male and female physician assistants”, in Women's Health Issues (2012, Vol. 22, Issue 1), pp. e83-e89.  </w:t>
      </w:r>
    </w:p>
    <w:p w14:paraId="60E1FA9E" w14:textId="77777777" w:rsidR="00FC0AE9" w:rsidRPr="00380A5B" w:rsidRDefault="00FC0AE9" w:rsidP="00EE67D9">
      <w:pPr>
        <w:numPr>
          <w:ilvl w:val="0"/>
          <w:numId w:val="19"/>
        </w:numPr>
        <w:spacing w:after="160" w:line="259" w:lineRule="auto"/>
        <w:contextualSpacing/>
        <w:rPr>
          <w:rFonts w:cs="Times New Roman"/>
          <w:sz w:val="20"/>
          <w:szCs w:val="20"/>
        </w:rPr>
      </w:pPr>
      <w:r w:rsidRPr="00380A5B">
        <w:rPr>
          <w:rFonts w:cs="Times New Roman"/>
          <w:sz w:val="20"/>
          <w:szCs w:val="20"/>
        </w:rPr>
        <w:t>Deloitte: Global health care outlook – The evolution of smart health care, 2018.</w:t>
      </w:r>
    </w:p>
    <w:p w14:paraId="585858F0" w14:textId="77777777" w:rsidR="00FC0AE9" w:rsidRPr="00380A5B" w:rsidRDefault="00FC0AE9" w:rsidP="00EE67D9">
      <w:pPr>
        <w:numPr>
          <w:ilvl w:val="0"/>
          <w:numId w:val="19"/>
        </w:numPr>
        <w:spacing w:after="160" w:line="259" w:lineRule="auto"/>
        <w:contextualSpacing/>
        <w:rPr>
          <w:rFonts w:cs="Times New Roman"/>
          <w:sz w:val="20"/>
          <w:szCs w:val="20"/>
        </w:rPr>
      </w:pPr>
      <w:r w:rsidRPr="00380A5B">
        <w:rPr>
          <w:rFonts w:cs="Times New Roman"/>
          <w:sz w:val="20"/>
          <w:szCs w:val="20"/>
        </w:rPr>
        <w:t>Edmunds: “Another task for NPs: Gender salary disparity”, in The Journal for Nurse Practitioners (2015, Vol. 11, Issue 10), pp. A21-A2</w:t>
      </w:r>
    </w:p>
    <w:p w14:paraId="5058CB59" w14:textId="77777777" w:rsidR="00FC0AE9" w:rsidRPr="00380A5B" w:rsidRDefault="00FC0AE9" w:rsidP="00EE67D9">
      <w:pPr>
        <w:numPr>
          <w:ilvl w:val="0"/>
          <w:numId w:val="19"/>
        </w:numPr>
        <w:spacing w:after="160" w:line="259" w:lineRule="auto"/>
        <w:contextualSpacing/>
        <w:rPr>
          <w:rFonts w:cs="Times New Roman"/>
          <w:sz w:val="20"/>
          <w:szCs w:val="20"/>
        </w:rPr>
      </w:pPr>
      <w:r w:rsidRPr="00380A5B">
        <w:rPr>
          <w:rFonts w:cs="Times New Roman"/>
          <w:sz w:val="20"/>
          <w:szCs w:val="20"/>
        </w:rPr>
        <w:t xml:space="preserve">Evidence Centre for Skills for Health: How do new technologies impact on workforce organisation? Rapid review of international evidence (Bristol, Skills for Health, n.d.). </w:t>
      </w:r>
    </w:p>
    <w:p w14:paraId="797DFF34" w14:textId="77777777" w:rsidR="00FC0AE9" w:rsidRPr="00380A5B" w:rsidRDefault="00FC0AE9" w:rsidP="00EE67D9">
      <w:pPr>
        <w:numPr>
          <w:ilvl w:val="0"/>
          <w:numId w:val="19"/>
        </w:numPr>
        <w:spacing w:after="160" w:line="259" w:lineRule="auto"/>
        <w:contextualSpacing/>
        <w:rPr>
          <w:rFonts w:cs="Times New Roman"/>
          <w:sz w:val="20"/>
          <w:szCs w:val="20"/>
        </w:rPr>
      </w:pPr>
      <w:r w:rsidRPr="00380A5B">
        <w:rPr>
          <w:rFonts w:cs="Times New Roman"/>
          <w:sz w:val="20"/>
          <w:szCs w:val="20"/>
        </w:rPr>
        <w:t>Frey and M.A. Osborne: The future of employment: How susceptible are jobs to computerisation? (Oxford, Oxford Martin School, University of Oxford, 2013)</w:t>
      </w:r>
    </w:p>
    <w:p w14:paraId="71B460FA" w14:textId="77777777" w:rsidR="00FC0AE9" w:rsidRPr="00380A5B" w:rsidRDefault="00FC0AE9" w:rsidP="00EE67D9">
      <w:pPr>
        <w:numPr>
          <w:ilvl w:val="0"/>
          <w:numId w:val="19"/>
        </w:numPr>
        <w:spacing w:after="160" w:line="259" w:lineRule="auto"/>
        <w:contextualSpacing/>
        <w:rPr>
          <w:rFonts w:cs="Times New Roman"/>
          <w:sz w:val="20"/>
          <w:szCs w:val="20"/>
        </w:rPr>
      </w:pPr>
      <w:r w:rsidRPr="00380A5B">
        <w:rPr>
          <w:rFonts w:cs="Times New Roman"/>
          <w:sz w:val="20"/>
          <w:szCs w:val="20"/>
        </w:rPr>
        <w:lastRenderedPageBreak/>
        <w:t>Glinos et al.: How can countries address the efficiency and equity implications of health professional mobility in Europe? Adapting policies in the context of the WHO Code of Practice and EU freedom of movement, Policy Brief 18 (Copenhagen, WHO Regional Office for Europe, 2015).</w:t>
      </w:r>
    </w:p>
    <w:p w14:paraId="2FF95706" w14:textId="77777777" w:rsidR="00FC0AE9" w:rsidRPr="00380A5B" w:rsidRDefault="00FC0AE9" w:rsidP="00EE67D9">
      <w:pPr>
        <w:numPr>
          <w:ilvl w:val="0"/>
          <w:numId w:val="19"/>
        </w:numPr>
        <w:spacing w:after="160" w:line="259" w:lineRule="auto"/>
        <w:contextualSpacing/>
        <w:rPr>
          <w:rFonts w:cs="Times New Roman"/>
          <w:sz w:val="20"/>
          <w:szCs w:val="20"/>
        </w:rPr>
      </w:pPr>
      <w:r w:rsidRPr="00380A5B">
        <w:rPr>
          <w:rFonts w:cs="Times New Roman"/>
          <w:sz w:val="20"/>
          <w:szCs w:val="20"/>
        </w:rPr>
        <w:t xml:space="preserve">Global Commission on the Future of Work: Work for a brighter future (Geneva: ILO, 2019). </w:t>
      </w:r>
    </w:p>
    <w:p w14:paraId="0B8C52EE" w14:textId="77777777" w:rsidR="00FC0AE9" w:rsidRPr="00380A5B" w:rsidRDefault="00FC0AE9" w:rsidP="00EE67D9">
      <w:pPr>
        <w:numPr>
          <w:ilvl w:val="0"/>
          <w:numId w:val="19"/>
        </w:numPr>
        <w:spacing w:after="160" w:line="259" w:lineRule="auto"/>
        <w:contextualSpacing/>
        <w:rPr>
          <w:rFonts w:cs="Times New Roman"/>
          <w:sz w:val="20"/>
          <w:szCs w:val="20"/>
        </w:rPr>
      </w:pPr>
      <w:r w:rsidRPr="00380A5B">
        <w:rPr>
          <w:rFonts w:cs="Times New Roman"/>
          <w:sz w:val="20"/>
          <w:szCs w:val="20"/>
        </w:rPr>
        <w:t xml:space="preserve">HEEG Commission: Working for health and growth: Investing in the health workforce, Report of the High-Level Commission on Health Employment and Economic Growth (Geneva, WHO, 2016). </w:t>
      </w:r>
    </w:p>
    <w:p w14:paraId="21562E75" w14:textId="77777777" w:rsidR="00FC0AE9" w:rsidRPr="00380A5B" w:rsidRDefault="00FC0AE9" w:rsidP="00EE67D9">
      <w:pPr>
        <w:numPr>
          <w:ilvl w:val="0"/>
          <w:numId w:val="19"/>
        </w:numPr>
        <w:spacing w:after="160" w:line="259" w:lineRule="auto"/>
        <w:contextualSpacing/>
        <w:rPr>
          <w:rFonts w:cs="Times New Roman"/>
          <w:sz w:val="20"/>
          <w:szCs w:val="20"/>
        </w:rPr>
      </w:pPr>
      <w:r w:rsidRPr="00380A5B">
        <w:rPr>
          <w:rFonts w:cs="Times New Roman"/>
          <w:sz w:val="20"/>
          <w:szCs w:val="20"/>
        </w:rPr>
        <w:t>High-Level Commission on Health Employment and Economic Growth of the World Health Organisation</w:t>
      </w:r>
      <w:r w:rsidRPr="00380A5B">
        <w:rPr>
          <w:rFonts w:cs="Times New Roman"/>
          <w:b/>
          <w:bCs/>
          <w:sz w:val="20"/>
          <w:szCs w:val="20"/>
        </w:rPr>
        <w:t xml:space="preserve">, </w:t>
      </w:r>
      <w:r w:rsidRPr="00380A5B">
        <w:rPr>
          <w:rFonts w:cs="Times New Roman"/>
          <w:sz w:val="20"/>
          <w:szCs w:val="20"/>
        </w:rPr>
        <w:t xml:space="preserve">more information available at: </w:t>
      </w:r>
      <w:hyperlink r:id="rId100" w:history="1">
        <w:r w:rsidRPr="0085522C">
          <w:rPr>
            <w:rStyle w:val="Hyperlink"/>
            <w:rFonts w:cs="Times New Roman"/>
            <w:sz w:val="20"/>
            <w:szCs w:val="20"/>
          </w:rPr>
          <w:t>https://www.who.int/hrh/com-heeg/en/</w:t>
        </w:r>
      </w:hyperlink>
    </w:p>
    <w:p w14:paraId="0241089D" w14:textId="77777777" w:rsidR="00FC0AE9" w:rsidRPr="00380A5B" w:rsidRDefault="00FC0AE9" w:rsidP="00EE67D9">
      <w:pPr>
        <w:numPr>
          <w:ilvl w:val="0"/>
          <w:numId w:val="19"/>
        </w:numPr>
        <w:spacing w:after="160" w:line="259" w:lineRule="auto"/>
        <w:contextualSpacing/>
        <w:rPr>
          <w:rFonts w:cs="Times New Roman"/>
          <w:sz w:val="20"/>
          <w:szCs w:val="20"/>
        </w:rPr>
      </w:pPr>
      <w:r w:rsidRPr="00380A5B">
        <w:rPr>
          <w:rFonts w:cs="Times New Roman"/>
          <w:sz w:val="20"/>
          <w:szCs w:val="20"/>
        </w:rPr>
        <w:t xml:space="preserve">ILO (2019) The future of work in the health sector, available at: </w:t>
      </w:r>
      <w:hyperlink r:id="rId101" w:history="1">
        <w:r w:rsidRPr="00380A5B">
          <w:rPr>
            <w:rFonts w:cs="Times New Roman"/>
            <w:color w:val="0563C1"/>
            <w:sz w:val="20"/>
            <w:szCs w:val="20"/>
            <w:u w:val="single"/>
          </w:rPr>
          <w:t>https://www.ilo.org/wcmsp5/groups/public/---ed_dialogue/---sector/documents/publication/wcms_669363.pdf</w:t>
        </w:r>
      </w:hyperlink>
    </w:p>
    <w:p w14:paraId="13F414CD" w14:textId="77777777" w:rsidR="00FC0AE9" w:rsidRPr="00380A5B" w:rsidRDefault="00FC0AE9" w:rsidP="00EE67D9">
      <w:pPr>
        <w:numPr>
          <w:ilvl w:val="0"/>
          <w:numId w:val="19"/>
        </w:numPr>
        <w:spacing w:after="160" w:line="259" w:lineRule="auto"/>
        <w:contextualSpacing/>
        <w:rPr>
          <w:rFonts w:cs="Times New Roman"/>
          <w:sz w:val="20"/>
          <w:szCs w:val="20"/>
        </w:rPr>
      </w:pPr>
      <w:r w:rsidRPr="00380A5B">
        <w:rPr>
          <w:rFonts w:cs="Times New Roman"/>
          <w:sz w:val="20"/>
          <w:szCs w:val="20"/>
        </w:rPr>
        <w:t>ILO (2019) The future of work in the health sector; Geneva</w:t>
      </w:r>
    </w:p>
    <w:p w14:paraId="15CEC4EF" w14:textId="77777777" w:rsidR="00FC0AE9" w:rsidRPr="00380A5B" w:rsidRDefault="00FC0AE9" w:rsidP="00EE67D9">
      <w:pPr>
        <w:numPr>
          <w:ilvl w:val="0"/>
          <w:numId w:val="19"/>
        </w:numPr>
        <w:spacing w:after="160" w:line="259" w:lineRule="auto"/>
        <w:contextualSpacing/>
        <w:rPr>
          <w:rFonts w:cs="Times New Roman"/>
          <w:sz w:val="20"/>
          <w:szCs w:val="20"/>
        </w:rPr>
      </w:pPr>
      <w:r w:rsidRPr="00380A5B">
        <w:rPr>
          <w:rFonts w:cs="Times New Roman"/>
          <w:sz w:val="20"/>
          <w:szCs w:val="20"/>
        </w:rPr>
        <w:t>ILO. Conclusions on improving employment and working conditions in health services, 2017.</w:t>
      </w:r>
    </w:p>
    <w:p w14:paraId="3865C1BE" w14:textId="77777777" w:rsidR="00FC0AE9" w:rsidRPr="00380A5B" w:rsidRDefault="00FC0AE9" w:rsidP="00EE67D9">
      <w:pPr>
        <w:numPr>
          <w:ilvl w:val="0"/>
          <w:numId w:val="19"/>
        </w:numPr>
        <w:spacing w:after="160" w:line="259" w:lineRule="auto"/>
        <w:contextualSpacing/>
        <w:rPr>
          <w:rFonts w:cs="Times New Roman"/>
          <w:sz w:val="20"/>
          <w:szCs w:val="20"/>
        </w:rPr>
      </w:pPr>
      <w:r w:rsidRPr="00380A5B">
        <w:rPr>
          <w:rFonts w:cs="Times New Roman"/>
          <w:sz w:val="20"/>
          <w:szCs w:val="20"/>
        </w:rPr>
        <w:t>ILO. Skills policies and systems for a future workforce. Issue Brief, No. 8. 2018.</w:t>
      </w:r>
    </w:p>
    <w:p w14:paraId="32C6635A" w14:textId="77777777" w:rsidR="00FC0AE9" w:rsidRPr="00380A5B" w:rsidRDefault="00FC0AE9" w:rsidP="00EE67D9">
      <w:pPr>
        <w:numPr>
          <w:ilvl w:val="0"/>
          <w:numId w:val="19"/>
        </w:numPr>
        <w:spacing w:after="160" w:line="259" w:lineRule="auto"/>
        <w:contextualSpacing/>
        <w:rPr>
          <w:rFonts w:cs="Times New Roman"/>
          <w:sz w:val="20"/>
          <w:szCs w:val="20"/>
        </w:rPr>
      </w:pPr>
      <w:r w:rsidRPr="00380A5B">
        <w:rPr>
          <w:rFonts w:cs="Times New Roman"/>
          <w:sz w:val="20"/>
          <w:szCs w:val="20"/>
        </w:rPr>
        <w:t>ILO: Care work and care jobs (Geneva: 2018)</w:t>
      </w:r>
    </w:p>
    <w:p w14:paraId="7FDE388D" w14:textId="77777777" w:rsidR="00FC0AE9" w:rsidRPr="00380A5B" w:rsidRDefault="00FC0AE9" w:rsidP="00EE67D9">
      <w:pPr>
        <w:numPr>
          <w:ilvl w:val="0"/>
          <w:numId w:val="19"/>
        </w:numPr>
        <w:spacing w:after="160" w:line="259" w:lineRule="auto"/>
        <w:contextualSpacing/>
        <w:rPr>
          <w:rFonts w:cs="Times New Roman"/>
          <w:sz w:val="20"/>
          <w:szCs w:val="20"/>
        </w:rPr>
      </w:pPr>
      <w:r w:rsidRPr="00380A5B">
        <w:rPr>
          <w:rFonts w:cs="Times New Roman"/>
          <w:sz w:val="20"/>
          <w:szCs w:val="20"/>
        </w:rPr>
        <w:t xml:space="preserve">ILO: Conclusions of the Meeting of Experts on Non-Standard Forms of Employment, GB.323/POL/3 (Geneva, 2015). </w:t>
      </w:r>
    </w:p>
    <w:p w14:paraId="0B2C76A8" w14:textId="77777777" w:rsidR="00FC0AE9" w:rsidRPr="00380A5B" w:rsidRDefault="00FC0AE9" w:rsidP="00EE67D9">
      <w:pPr>
        <w:numPr>
          <w:ilvl w:val="0"/>
          <w:numId w:val="19"/>
        </w:numPr>
        <w:spacing w:after="160" w:line="259" w:lineRule="auto"/>
        <w:contextualSpacing/>
        <w:rPr>
          <w:rFonts w:cs="Times New Roman"/>
          <w:sz w:val="20"/>
          <w:szCs w:val="20"/>
        </w:rPr>
      </w:pPr>
      <w:r w:rsidRPr="00380A5B">
        <w:rPr>
          <w:rFonts w:cs="Times New Roman"/>
          <w:sz w:val="20"/>
          <w:szCs w:val="20"/>
        </w:rPr>
        <w:t>ILO: Conclusions of the Meeting of Experts on Non-Standard Forms of Employment, GB.323/POL/3 (Geneva, 2015) and M. Quinlan: The effects of non-standard forms of employment on worker health and safety (Geneva, ILO, Conditions of Work and Employment Series No. 67, 2015).</w:t>
      </w:r>
    </w:p>
    <w:p w14:paraId="43D0C134" w14:textId="77777777" w:rsidR="00FC0AE9" w:rsidRPr="00380A5B" w:rsidRDefault="00FC0AE9" w:rsidP="00EE67D9">
      <w:pPr>
        <w:numPr>
          <w:ilvl w:val="0"/>
          <w:numId w:val="19"/>
        </w:numPr>
        <w:spacing w:after="160" w:line="259" w:lineRule="auto"/>
        <w:contextualSpacing/>
        <w:rPr>
          <w:rFonts w:cs="Times New Roman"/>
          <w:sz w:val="20"/>
          <w:szCs w:val="20"/>
        </w:rPr>
      </w:pPr>
      <w:r w:rsidRPr="00380A5B">
        <w:rPr>
          <w:rFonts w:cs="Times New Roman"/>
          <w:sz w:val="20"/>
          <w:szCs w:val="20"/>
        </w:rPr>
        <w:t>ILO: Improving employment and working conditions in health services, Report for discussion at the Tripartite Meeting on Improving Employment and Working Conditions in Health Services, ILO Sectoral Policies Department (Geneva, 2017).</w:t>
      </w:r>
    </w:p>
    <w:p w14:paraId="3A90CE3E" w14:textId="77777777" w:rsidR="00FC0AE9" w:rsidRPr="00380A5B" w:rsidRDefault="00FC0AE9" w:rsidP="00EE67D9">
      <w:pPr>
        <w:numPr>
          <w:ilvl w:val="0"/>
          <w:numId w:val="19"/>
        </w:numPr>
        <w:spacing w:after="160" w:line="259" w:lineRule="auto"/>
        <w:contextualSpacing/>
        <w:rPr>
          <w:rFonts w:cs="Times New Roman"/>
          <w:sz w:val="20"/>
          <w:szCs w:val="20"/>
        </w:rPr>
      </w:pPr>
      <w:r w:rsidRPr="00380A5B">
        <w:rPr>
          <w:rFonts w:cs="Times New Roman"/>
          <w:sz w:val="20"/>
          <w:szCs w:val="20"/>
        </w:rPr>
        <w:t>ILO: Social Protection Floors Recommendation, 2012 (No. 202)</w:t>
      </w:r>
    </w:p>
    <w:p w14:paraId="6044FF02" w14:textId="77777777" w:rsidR="00FC0AE9" w:rsidRPr="00380A5B" w:rsidRDefault="00FC0AE9" w:rsidP="00EE67D9">
      <w:pPr>
        <w:numPr>
          <w:ilvl w:val="0"/>
          <w:numId w:val="19"/>
        </w:numPr>
        <w:spacing w:after="160" w:line="259" w:lineRule="auto"/>
        <w:contextualSpacing/>
        <w:rPr>
          <w:rFonts w:cs="Times New Roman"/>
          <w:sz w:val="20"/>
          <w:szCs w:val="20"/>
        </w:rPr>
      </w:pPr>
      <w:r w:rsidRPr="00380A5B">
        <w:rPr>
          <w:rFonts w:cs="Times New Roman"/>
          <w:sz w:val="20"/>
          <w:szCs w:val="20"/>
        </w:rPr>
        <w:t>Langer et al.: “Women and health: The key for sustainable development”, in The Lancet (2015, Vol. 386, Issue 9999), pp. 1165-1210.</w:t>
      </w:r>
    </w:p>
    <w:p w14:paraId="51F7CB70" w14:textId="77777777" w:rsidR="00FC0AE9" w:rsidRPr="00380A5B" w:rsidRDefault="00FC0AE9" w:rsidP="00EE67D9">
      <w:pPr>
        <w:numPr>
          <w:ilvl w:val="0"/>
          <w:numId w:val="19"/>
        </w:numPr>
        <w:spacing w:after="160" w:line="259" w:lineRule="auto"/>
        <w:contextualSpacing/>
        <w:rPr>
          <w:rFonts w:cs="Times New Roman"/>
          <w:sz w:val="20"/>
          <w:szCs w:val="20"/>
        </w:rPr>
      </w:pPr>
      <w:r w:rsidRPr="00380A5B">
        <w:rPr>
          <w:rFonts w:cs="Times New Roman"/>
          <w:sz w:val="20"/>
          <w:szCs w:val="20"/>
        </w:rPr>
        <w:t>OECD: New Health Technologies: Managing Access, Value and Sustainability. (Paris, OECD, 2017).</w:t>
      </w:r>
    </w:p>
    <w:p w14:paraId="2A446E1E" w14:textId="77777777" w:rsidR="00FC0AE9" w:rsidRPr="00380A5B" w:rsidRDefault="00FC0AE9" w:rsidP="00EE67D9">
      <w:pPr>
        <w:numPr>
          <w:ilvl w:val="0"/>
          <w:numId w:val="19"/>
        </w:numPr>
        <w:spacing w:after="160" w:line="259" w:lineRule="auto"/>
        <w:contextualSpacing/>
        <w:rPr>
          <w:rFonts w:cs="Times New Roman"/>
          <w:sz w:val="20"/>
          <w:szCs w:val="20"/>
        </w:rPr>
      </w:pPr>
      <w:r w:rsidRPr="00380A5B">
        <w:rPr>
          <w:rFonts w:cs="Times New Roman"/>
          <w:sz w:val="20"/>
          <w:szCs w:val="20"/>
        </w:rPr>
        <w:t>PricewaterhouseCoopers (PwC): Healthcare: A digital divide? Insights from PwC’s 2015 Global Digital IQ® Survey, 2016.</w:t>
      </w:r>
    </w:p>
    <w:p w14:paraId="1E4133FE" w14:textId="77777777" w:rsidR="00FC0AE9" w:rsidRPr="00380A5B" w:rsidRDefault="00FC0AE9" w:rsidP="00EE67D9">
      <w:pPr>
        <w:numPr>
          <w:ilvl w:val="0"/>
          <w:numId w:val="19"/>
        </w:numPr>
        <w:spacing w:after="160" w:line="259" w:lineRule="auto"/>
        <w:contextualSpacing/>
        <w:rPr>
          <w:rFonts w:cs="Times New Roman"/>
          <w:sz w:val="20"/>
          <w:szCs w:val="20"/>
        </w:rPr>
      </w:pPr>
      <w:r w:rsidRPr="00380A5B">
        <w:rPr>
          <w:rFonts w:cs="Times New Roman"/>
          <w:sz w:val="20"/>
          <w:szCs w:val="20"/>
        </w:rPr>
        <w:t>PricewaterhouseCoopers (PwC): Workforce of the future: The competing forces shaping 2030, 2018.</w:t>
      </w:r>
    </w:p>
    <w:p w14:paraId="46744880" w14:textId="77777777" w:rsidR="00FC0AE9" w:rsidRPr="00380A5B" w:rsidRDefault="00FC0AE9" w:rsidP="00EE67D9">
      <w:pPr>
        <w:numPr>
          <w:ilvl w:val="0"/>
          <w:numId w:val="19"/>
        </w:numPr>
        <w:spacing w:after="160" w:line="259" w:lineRule="auto"/>
        <w:contextualSpacing/>
        <w:rPr>
          <w:rFonts w:cs="Times New Roman"/>
          <w:sz w:val="20"/>
          <w:szCs w:val="20"/>
        </w:rPr>
      </w:pPr>
      <w:r w:rsidRPr="00380A5B">
        <w:rPr>
          <w:rFonts w:cs="Times New Roman"/>
          <w:sz w:val="20"/>
          <w:szCs w:val="20"/>
        </w:rPr>
        <w:t>Quinlan: The effects of non-standard forms of employment on worker health and safety (Geneva, ILO, Conditions of Work and Employment Series No. 67, 2015).</w:t>
      </w:r>
    </w:p>
    <w:p w14:paraId="760E3D4C" w14:textId="77777777" w:rsidR="00FC0AE9" w:rsidRPr="00380A5B" w:rsidRDefault="00FC0AE9" w:rsidP="00EE67D9">
      <w:pPr>
        <w:numPr>
          <w:ilvl w:val="0"/>
          <w:numId w:val="19"/>
        </w:numPr>
        <w:spacing w:after="160" w:line="259" w:lineRule="auto"/>
        <w:contextualSpacing/>
        <w:rPr>
          <w:rFonts w:cs="Times New Roman"/>
          <w:sz w:val="20"/>
          <w:szCs w:val="20"/>
        </w:rPr>
      </w:pPr>
      <w:r w:rsidRPr="00380A5B">
        <w:rPr>
          <w:rFonts w:cs="Times New Roman"/>
          <w:sz w:val="20"/>
          <w:szCs w:val="20"/>
        </w:rPr>
        <w:t>Scheffler et al.: “Forecasting imbalances in the global health labour market and devising policy responses”, in Human Resources for Health (2018, Vol. 16).</w:t>
      </w:r>
    </w:p>
    <w:p w14:paraId="1B5294E8" w14:textId="77777777" w:rsidR="00FC0AE9" w:rsidRPr="00380A5B" w:rsidRDefault="00FC0AE9" w:rsidP="00EE67D9">
      <w:pPr>
        <w:numPr>
          <w:ilvl w:val="0"/>
          <w:numId w:val="19"/>
        </w:numPr>
        <w:spacing w:after="160" w:line="259" w:lineRule="auto"/>
        <w:contextualSpacing/>
        <w:rPr>
          <w:rFonts w:cs="Times New Roman"/>
          <w:sz w:val="20"/>
          <w:szCs w:val="20"/>
        </w:rPr>
      </w:pPr>
      <w:r w:rsidRPr="00380A5B">
        <w:rPr>
          <w:rFonts w:cs="Times New Roman"/>
          <w:sz w:val="20"/>
          <w:szCs w:val="20"/>
        </w:rPr>
        <w:t>Scheil-Adlung: Long-term care protection for older persons: A review of coverage deficits in 46 countries (Geneva, ILO, ESS Working Paper No. 50, 2015)</w:t>
      </w:r>
    </w:p>
    <w:p w14:paraId="4A274B57" w14:textId="77777777" w:rsidR="00FC0AE9" w:rsidRPr="00380A5B" w:rsidRDefault="00FC0AE9" w:rsidP="00EE67D9">
      <w:pPr>
        <w:numPr>
          <w:ilvl w:val="0"/>
          <w:numId w:val="19"/>
        </w:numPr>
        <w:spacing w:after="160" w:line="259" w:lineRule="auto"/>
        <w:contextualSpacing/>
        <w:rPr>
          <w:rFonts w:cs="Times New Roman"/>
          <w:sz w:val="20"/>
          <w:szCs w:val="20"/>
        </w:rPr>
      </w:pPr>
      <w:r w:rsidRPr="00380A5B">
        <w:rPr>
          <w:rFonts w:cs="Times New Roman"/>
          <w:sz w:val="20"/>
          <w:szCs w:val="20"/>
        </w:rPr>
        <w:t>UNISON – The Public Service Union: Zero hours contracts, 2015.</w:t>
      </w:r>
    </w:p>
    <w:p w14:paraId="7EB4BB73" w14:textId="30D707C8" w:rsidR="00FC0AE9" w:rsidRPr="003E08C1" w:rsidRDefault="00FC0AE9" w:rsidP="00EE67D9">
      <w:pPr>
        <w:numPr>
          <w:ilvl w:val="0"/>
          <w:numId w:val="19"/>
        </w:numPr>
        <w:spacing w:after="160" w:line="259" w:lineRule="auto"/>
        <w:contextualSpacing/>
        <w:rPr>
          <w:rFonts w:cs="Times New Roman"/>
          <w:sz w:val="20"/>
          <w:szCs w:val="20"/>
        </w:rPr>
      </w:pPr>
      <w:r w:rsidRPr="00380A5B">
        <w:rPr>
          <w:rFonts w:cs="Times New Roman"/>
          <w:sz w:val="20"/>
          <w:szCs w:val="20"/>
        </w:rPr>
        <w:t xml:space="preserve">WHO: Global strategy on human resources for health: Workforce 2030, 2016. </w:t>
      </w:r>
    </w:p>
    <w:p w14:paraId="6D5BDCDA" w14:textId="7DCE1021" w:rsidR="00FC0AE9" w:rsidRPr="00FC0AE9" w:rsidRDefault="00FC0AE9" w:rsidP="00EE67D9">
      <w:pPr>
        <w:pStyle w:val="Heading2"/>
        <w:numPr>
          <w:ilvl w:val="0"/>
          <w:numId w:val="21"/>
        </w:numPr>
        <w:spacing w:before="40" w:after="0"/>
      </w:pPr>
      <w:bookmarkStart w:id="62" w:name="_Toc118366179"/>
      <w:r w:rsidRPr="003F5711">
        <w:t>Websites:</w:t>
      </w:r>
      <w:bookmarkEnd w:id="62"/>
      <w:r w:rsidRPr="003F5711">
        <w:t xml:space="preserve"> </w:t>
      </w:r>
    </w:p>
    <w:p w14:paraId="5F5622D5" w14:textId="77777777" w:rsidR="00FC0AE9" w:rsidRPr="00E40E7B" w:rsidRDefault="00CD0C1E" w:rsidP="00EE67D9">
      <w:pPr>
        <w:pStyle w:val="ListParagraph"/>
        <w:numPr>
          <w:ilvl w:val="0"/>
          <w:numId w:val="20"/>
        </w:numPr>
        <w:spacing w:after="160" w:line="259" w:lineRule="auto"/>
        <w:rPr>
          <w:sz w:val="20"/>
          <w:szCs w:val="20"/>
        </w:rPr>
      </w:pPr>
      <w:hyperlink r:id="rId102" w:history="1">
        <w:r w:rsidR="00FC0AE9" w:rsidRPr="00E40E7B">
          <w:rPr>
            <w:color w:val="0563C1"/>
            <w:sz w:val="20"/>
            <w:szCs w:val="20"/>
            <w:u w:val="single"/>
          </w:rPr>
          <w:t>https://www.saglik.gov.tr/</w:t>
        </w:r>
      </w:hyperlink>
    </w:p>
    <w:p w14:paraId="06831C3A" w14:textId="77777777" w:rsidR="00FC0AE9" w:rsidRPr="00E40E7B" w:rsidRDefault="00CD0C1E" w:rsidP="00EE67D9">
      <w:pPr>
        <w:pStyle w:val="ListParagraph"/>
        <w:numPr>
          <w:ilvl w:val="0"/>
          <w:numId w:val="20"/>
        </w:numPr>
        <w:spacing w:after="160" w:line="259" w:lineRule="auto"/>
        <w:rPr>
          <w:sz w:val="20"/>
          <w:szCs w:val="20"/>
        </w:rPr>
      </w:pPr>
      <w:hyperlink r:id="rId103" w:history="1">
        <w:r w:rsidR="00FC0AE9" w:rsidRPr="00E40E7B">
          <w:rPr>
            <w:color w:val="0563C1"/>
            <w:sz w:val="20"/>
            <w:szCs w:val="20"/>
            <w:u w:val="single"/>
          </w:rPr>
          <w:t>https://www.sbb.gov.tr/wp-content/uploads/2020/06/Eleventh_Development_Plan-2019-2023.pdf</w:t>
        </w:r>
      </w:hyperlink>
    </w:p>
    <w:p w14:paraId="6EDE7E30" w14:textId="44525780" w:rsidR="00FC0AE9" w:rsidRPr="003E08C1" w:rsidRDefault="00CD0C1E" w:rsidP="00EE67D9">
      <w:pPr>
        <w:pStyle w:val="ListParagraph"/>
        <w:numPr>
          <w:ilvl w:val="0"/>
          <w:numId w:val="20"/>
        </w:numPr>
        <w:spacing w:after="160" w:line="259" w:lineRule="auto"/>
        <w:rPr>
          <w:sz w:val="20"/>
          <w:szCs w:val="20"/>
        </w:rPr>
      </w:pPr>
      <w:hyperlink r:id="rId104" w:history="1">
        <w:r w:rsidR="00FC0AE9" w:rsidRPr="00E40E7B">
          <w:rPr>
            <w:color w:val="0563C1"/>
            <w:sz w:val="20"/>
            <w:szCs w:val="20"/>
            <w:u w:val="single"/>
          </w:rPr>
          <w:t>https://www.womenandhealthcommission.org/</w:t>
        </w:r>
      </w:hyperlink>
    </w:p>
    <w:p w14:paraId="25F3AD28" w14:textId="77777777" w:rsidR="003E08C1" w:rsidRPr="00E40E7B" w:rsidRDefault="003E08C1" w:rsidP="003E08C1">
      <w:pPr>
        <w:pStyle w:val="ListParagraph"/>
        <w:spacing w:after="160" w:line="259" w:lineRule="auto"/>
        <w:rPr>
          <w:sz w:val="20"/>
          <w:szCs w:val="20"/>
        </w:rPr>
      </w:pPr>
    </w:p>
    <w:p w14:paraId="00371A48" w14:textId="1A55A3FC" w:rsidR="00FC0AE9" w:rsidRPr="003E08C1" w:rsidRDefault="00FC0AE9" w:rsidP="00EE67D9">
      <w:pPr>
        <w:pStyle w:val="ListParagraph"/>
        <w:numPr>
          <w:ilvl w:val="2"/>
          <w:numId w:val="26"/>
        </w:numPr>
        <w:rPr>
          <w:rFonts w:asciiTheme="majorHAnsi" w:eastAsiaTheme="majorEastAsia" w:hAnsiTheme="majorHAnsi" w:cstheme="majorBidi"/>
          <w:color w:val="2F5496" w:themeColor="accent1" w:themeShade="BF"/>
          <w:sz w:val="26"/>
          <w:szCs w:val="26"/>
        </w:rPr>
      </w:pPr>
      <w:r w:rsidRPr="003E08C1">
        <w:rPr>
          <w:rFonts w:asciiTheme="majorHAnsi" w:eastAsiaTheme="majorEastAsia" w:hAnsiTheme="majorHAnsi" w:cstheme="majorBidi"/>
          <w:color w:val="2F5496" w:themeColor="accent1" w:themeShade="BF"/>
          <w:sz w:val="26"/>
          <w:szCs w:val="26"/>
        </w:rPr>
        <w:t>ICT</w:t>
      </w:r>
    </w:p>
    <w:p w14:paraId="4A1CECF0" w14:textId="52BA8BE7" w:rsidR="00FC0AE9" w:rsidRDefault="00FC0AE9">
      <w:pPr>
        <w:rPr>
          <w:b/>
          <w:sz w:val="22"/>
          <w:szCs w:val="22"/>
        </w:rPr>
      </w:pPr>
    </w:p>
    <w:p w14:paraId="45A2DF11" w14:textId="6652A48D" w:rsidR="003E08C1" w:rsidRDefault="00FC0AE9" w:rsidP="00EE67D9">
      <w:pPr>
        <w:pStyle w:val="Heading2"/>
        <w:numPr>
          <w:ilvl w:val="0"/>
          <w:numId w:val="27"/>
        </w:numPr>
        <w:spacing w:before="40" w:after="0"/>
      </w:pPr>
      <w:bookmarkStart w:id="63" w:name="_Toc72941505"/>
      <w:bookmarkStart w:id="64" w:name="_Toc77037292"/>
      <w:bookmarkStart w:id="65" w:name="_Toc118366180"/>
      <w:r w:rsidRPr="003F5711">
        <w:t>Resources</w:t>
      </w:r>
      <w:bookmarkEnd w:id="63"/>
      <w:bookmarkEnd w:id="64"/>
      <w:bookmarkEnd w:id="65"/>
    </w:p>
    <w:p w14:paraId="0B7FA0AC" w14:textId="77777777" w:rsidR="003E08C1" w:rsidRPr="003E08C1" w:rsidRDefault="003E08C1" w:rsidP="003E08C1"/>
    <w:p w14:paraId="587F28B5" w14:textId="77777777" w:rsidR="00FC0AE9" w:rsidRPr="009D6DF2" w:rsidRDefault="00FC0AE9" w:rsidP="00EE67D9">
      <w:pPr>
        <w:numPr>
          <w:ilvl w:val="0"/>
          <w:numId w:val="22"/>
        </w:numPr>
        <w:spacing w:after="160" w:line="259" w:lineRule="auto"/>
        <w:contextualSpacing/>
        <w:rPr>
          <w:rFonts w:cs="Times New Roman"/>
          <w:sz w:val="20"/>
          <w:szCs w:val="20"/>
        </w:rPr>
      </w:pPr>
      <w:r w:rsidRPr="009D6DF2">
        <w:rPr>
          <w:rFonts w:cs="Times New Roman"/>
          <w:sz w:val="20"/>
          <w:szCs w:val="20"/>
        </w:rPr>
        <w:t>Appelbaum, E. (2012). Reducing Inequality and Insecurity: Rethinking Labour and Employment Policy for the 21st Century. Work and Occupations, 39(4), 311–320.</w:t>
      </w:r>
    </w:p>
    <w:p w14:paraId="21497B4D" w14:textId="77777777" w:rsidR="00FC0AE9" w:rsidRPr="009D6DF2" w:rsidRDefault="00FC0AE9" w:rsidP="00EE67D9">
      <w:pPr>
        <w:numPr>
          <w:ilvl w:val="0"/>
          <w:numId w:val="22"/>
        </w:numPr>
        <w:spacing w:line="259" w:lineRule="auto"/>
        <w:contextualSpacing/>
        <w:rPr>
          <w:rFonts w:cs="Times New Roman"/>
          <w:sz w:val="20"/>
          <w:szCs w:val="20"/>
        </w:rPr>
      </w:pPr>
      <w:r w:rsidRPr="009D6DF2">
        <w:rPr>
          <w:rFonts w:cs="Times New Roman"/>
          <w:sz w:val="20"/>
          <w:szCs w:val="20"/>
        </w:rPr>
        <w:t xml:space="preserve">Arntz, M., Gregory, T. &amp; Zierahn, U. (2016). The risk of automation for jobs in OECD countries: a comparative analysis. OECD Social, Employment and Migration Working Paper No.189. Paris: OECD. </w:t>
      </w:r>
    </w:p>
    <w:p w14:paraId="1B0C00C2" w14:textId="77777777" w:rsidR="00FC0AE9" w:rsidRPr="00B62D44" w:rsidRDefault="00FC0AE9" w:rsidP="00EE67D9">
      <w:pPr>
        <w:pStyle w:val="ListParagraph"/>
        <w:numPr>
          <w:ilvl w:val="0"/>
          <w:numId w:val="22"/>
        </w:numPr>
        <w:spacing w:after="160" w:line="259" w:lineRule="auto"/>
        <w:rPr>
          <w:sz w:val="20"/>
          <w:szCs w:val="20"/>
        </w:rPr>
      </w:pPr>
      <w:r w:rsidRPr="00B62D44">
        <w:rPr>
          <w:sz w:val="20"/>
          <w:szCs w:val="20"/>
        </w:rPr>
        <w:t xml:space="preserve">Bulut, Ç. K. (2020). The Political Economy of Media in </w:t>
      </w:r>
      <w:r>
        <w:rPr>
          <w:sz w:val="20"/>
          <w:szCs w:val="20"/>
        </w:rPr>
        <w:t>Türkiye</w:t>
      </w:r>
      <w:r w:rsidRPr="00B62D44">
        <w:rPr>
          <w:sz w:val="20"/>
          <w:szCs w:val="20"/>
        </w:rPr>
        <w:t>: An Infrastructural Analysis. In </w:t>
      </w:r>
      <w:r w:rsidRPr="00B62D44">
        <w:rPr>
          <w:i/>
          <w:iCs/>
          <w:sz w:val="20"/>
          <w:szCs w:val="20"/>
        </w:rPr>
        <w:t>Handbook of Research on the Political Economy of Communications and Media</w:t>
      </w:r>
      <w:r w:rsidRPr="00B62D44">
        <w:rPr>
          <w:sz w:val="20"/>
          <w:szCs w:val="20"/>
        </w:rPr>
        <w:t> (pp. 181-205). IGI Global.</w:t>
      </w:r>
    </w:p>
    <w:p w14:paraId="3685C667" w14:textId="77777777" w:rsidR="00FC0AE9" w:rsidRPr="00B62D44" w:rsidRDefault="00FC0AE9" w:rsidP="00EE67D9">
      <w:pPr>
        <w:pStyle w:val="ListParagraph"/>
        <w:numPr>
          <w:ilvl w:val="0"/>
          <w:numId w:val="22"/>
        </w:numPr>
        <w:spacing w:after="160" w:line="259" w:lineRule="auto"/>
        <w:rPr>
          <w:sz w:val="20"/>
          <w:szCs w:val="20"/>
        </w:rPr>
      </w:pPr>
      <w:r w:rsidRPr="00B62D44">
        <w:rPr>
          <w:sz w:val="20"/>
          <w:szCs w:val="20"/>
        </w:rPr>
        <w:t xml:space="preserve">Christensen, C. (2007). Concentration of ownership, the fall of unions and government legislation in </w:t>
      </w:r>
      <w:r>
        <w:rPr>
          <w:sz w:val="20"/>
          <w:szCs w:val="20"/>
        </w:rPr>
        <w:t>Türkiye</w:t>
      </w:r>
      <w:r w:rsidRPr="00B62D44">
        <w:rPr>
          <w:sz w:val="20"/>
          <w:szCs w:val="20"/>
        </w:rPr>
        <w:t>. </w:t>
      </w:r>
      <w:r w:rsidRPr="00B62D44">
        <w:rPr>
          <w:i/>
          <w:iCs/>
          <w:sz w:val="20"/>
          <w:szCs w:val="20"/>
        </w:rPr>
        <w:t>Global Media and Communication</w:t>
      </w:r>
      <w:r w:rsidRPr="00B62D44">
        <w:rPr>
          <w:sz w:val="20"/>
          <w:szCs w:val="20"/>
        </w:rPr>
        <w:t>, </w:t>
      </w:r>
      <w:r w:rsidRPr="00B62D44">
        <w:rPr>
          <w:i/>
          <w:iCs/>
          <w:sz w:val="20"/>
          <w:szCs w:val="20"/>
        </w:rPr>
        <w:t>3</w:t>
      </w:r>
      <w:r w:rsidRPr="00B62D44">
        <w:rPr>
          <w:sz w:val="20"/>
          <w:szCs w:val="20"/>
        </w:rPr>
        <w:t>(2), 179-199.</w:t>
      </w:r>
    </w:p>
    <w:p w14:paraId="45193289" w14:textId="77777777" w:rsidR="00FC0AE9" w:rsidRPr="00B62D44" w:rsidRDefault="00FC0AE9" w:rsidP="00EE67D9">
      <w:pPr>
        <w:pStyle w:val="ListParagraph"/>
        <w:numPr>
          <w:ilvl w:val="0"/>
          <w:numId w:val="22"/>
        </w:numPr>
        <w:spacing w:line="259" w:lineRule="auto"/>
        <w:rPr>
          <w:sz w:val="20"/>
          <w:szCs w:val="20"/>
        </w:rPr>
      </w:pPr>
      <w:r w:rsidRPr="00B62D44">
        <w:rPr>
          <w:sz w:val="20"/>
          <w:szCs w:val="20"/>
        </w:rPr>
        <w:t xml:space="preserve">Christensen, M. (2013). </w:t>
      </w:r>
      <w:r>
        <w:rPr>
          <w:sz w:val="20"/>
          <w:szCs w:val="20"/>
        </w:rPr>
        <w:t>Türkiye</w:t>
      </w:r>
      <w:r w:rsidRPr="00B62D44">
        <w:rPr>
          <w:sz w:val="20"/>
          <w:szCs w:val="20"/>
        </w:rPr>
        <w:t>, the Middle East &amp; the Media| Trans National Media Flows: Some Key Questions and Debates. </w:t>
      </w:r>
      <w:r w:rsidRPr="00B62D44">
        <w:rPr>
          <w:i/>
          <w:iCs/>
          <w:sz w:val="20"/>
          <w:szCs w:val="20"/>
        </w:rPr>
        <w:t>International Journal of Communication</w:t>
      </w:r>
      <w:r w:rsidRPr="00B62D44">
        <w:rPr>
          <w:sz w:val="20"/>
          <w:szCs w:val="20"/>
        </w:rPr>
        <w:t>, </w:t>
      </w:r>
      <w:r w:rsidRPr="00B62D44">
        <w:rPr>
          <w:i/>
          <w:iCs/>
          <w:sz w:val="20"/>
          <w:szCs w:val="20"/>
        </w:rPr>
        <w:t>7</w:t>
      </w:r>
      <w:r w:rsidRPr="00B62D44">
        <w:rPr>
          <w:sz w:val="20"/>
          <w:szCs w:val="20"/>
        </w:rPr>
        <w:t>, 19.</w:t>
      </w:r>
    </w:p>
    <w:p w14:paraId="72B498CB" w14:textId="77777777" w:rsidR="00FC0AE9" w:rsidRPr="009D6DF2" w:rsidRDefault="00FC0AE9" w:rsidP="00EE67D9">
      <w:pPr>
        <w:numPr>
          <w:ilvl w:val="0"/>
          <w:numId w:val="22"/>
        </w:numPr>
        <w:spacing w:line="259" w:lineRule="auto"/>
        <w:contextualSpacing/>
        <w:rPr>
          <w:rFonts w:cs="Times New Roman"/>
          <w:sz w:val="20"/>
          <w:szCs w:val="20"/>
        </w:rPr>
      </w:pPr>
      <w:r w:rsidRPr="009D6DF2">
        <w:rPr>
          <w:rFonts w:cs="Times New Roman"/>
          <w:sz w:val="20"/>
          <w:szCs w:val="20"/>
        </w:rPr>
        <w:t xml:space="preserve">Davies, R. (2015). Industry 4.0 Digitalisation for productivity and growth, Briefing, European Parliamentary Research Service. </w:t>
      </w:r>
      <w:hyperlink r:id="rId105" w:history="1">
        <w:r w:rsidRPr="009D6DF2">
          <w:rPr>
            <w:rFonts w:cs="Times New Roman"/>
            <w:color w:val="0563C1"/>
            <w:sz w:val="20"/>
            <w:szCs w:val="20"/>
            <w:u w:val="single"/>
          </w:rPr>
          <w:t>http://www.europarl.europa.eu/RegData/etudes/BRIE/2015/568337/EPRS_BRI(2015)568337_EN.pdf</w:t>
        </w:r>
      </w:hyperlink>
      <w:r w:rsidRPr="009D6DF2">
        <w:rPr>
          <w:rFonts w:cs="Times New Roman"/>
          <w:sz w:val="20"/>
          <w:szCs w:val="20"/>
        </w:rPr>
        <w:t xml:space="preserve"> </w:t>
      </w:r>
    </w:p>
    <w:p w14:paraId="15569A96" w14:textId="77777777" w:rsidR="00FC0AE9" w:rsidRPr="00B62D44" w:rsidRDefault="00FC0AE9" w:rsidP="00EE67D9">
      <w:pPr>
        <w:pStyle w:val="ListParagraph"/>
        <w:numPr>
          <w:ilvl w:val="0"/>
          <w:numId w:val="22"/>
        </w:numPr>
        <w:spacing w:line="259" w:lineRule="auto"/>
        <w:rPr>
          <w:sz w:val="20"/>
          <w:szCs w:val="20"/>
        </w:rPr>
      </w:pPr>
      <w:r w:rsidRPr="00B62D44">
        <w:rPr>
          <w:sz w:val="20"/>
          <w:szCs w:val="20"/>
        </w:rPr>
        <w:t>Dekker, B., &amp; Okano-Heijmans, M. (2020). Europe’s Digital Decade? </w:t>
      </w:r>
      <w:r w:rsidRPr="00B62D44">
        <w:rPr>
          <w:i/>
          <w:iCs/>
          <w:sz w:val="20"/>
          <w:szCs w:val="20"/>
        </w:rPr>
        <w:t>Navigating the global battle for digital supremacy, Clingendael Institute</w:t>
      </w:r>
      <w:r w:rsidRPr="00B62D44">
        <w:rPr>
          <w:sz w:val="20"/>
          <w:szCs w:val="20"/>
        </w:rPr>
        <w:t>, 13.</w:t>
      </w:r>
    </w:p>
    <w:p w14:paraId="36752344" w14:textId="77777777" w:rsidR="00FC0AE9" w:rsidRPr="009D6DF2" w:rsidRDefault="00FC0AE9" w:rsidP="00EE67D9">
      <w:pPr>
        <w:numPr>
          <w:ilvl w:val="0"/>
          <w:numId w:val="22"/>
        </w:numPr>
        <w:spacing w:after="160" w:line="259" w:lineRule="auto"/>
        <w:contextualSpacing/>
        <w:rPr>
          <w:rFonts w:cs="Times New Roman"/>
          <w:sz w:val="20"/>
          <w:szCs w:val="20"/>
        </w:rPr>
      </w:pPr>
      <w:r w:rsidRPr="009D6DF2">
        <w:rPr>
          <w:rFonts w:cs="Times New Roman"/>
          <w:sz w:val="20"/>
          <w:szCs w:val="20"/>
        </w:rPr>
        <w:t xml:space="preserve">Eurofound (2018a). Automation, digitalisation, and platforms: Implications for work and employment. Luxembourg: Publications Office of the European Union. </w:t>
      </w:r>
    </w:p>
    <w:p w14:paraId="46D6B913" w14:textId="77777777" w:rsidR="00FC0AE9" w:rsidRPr="009D6DF2" w:rsidRDefault="00FC0AE9" w:rsidP="00EE67D9">
      <w:pPr>
        <w:numPr>
          <w:ilvl w:val="0"/>
          <w:numId w:val="22"/>
        </w:numPr>
        <w:spacing w:after="160" w:line="259" w:lineRule="auto"/>
        <w:contextualSpacing/>
        <w:rPr>
          <w:rFonts w:cs="Times New Roman"/>
          <w:sz w:val="20"/>
          <w:szCs w:val="20"/>
        </w:rPr>
      </w:pPr>
      <w:r w:rsidRPr="009D6DF2">
        <w:rPr>
          <w:rFonts w:cs="Times New Roman"/>
          <w:sz w:val="20"/>
          <w:szCs w:val="20"/>
        </w:rPr>
        <w:t xml:space="preserve">Eurofound (2018b). Does employment status matter for job quality? Luxemburg: Publications Office of the European Union. </w:t>
      </w:r>
    </w:p>
    <w:p w14:paraId="3686F1C8" w14:textId="77777777" w:rsidR="00FC0AE9" w:rsidRPr="009D6DF2" w:rsidRDefault="00FC0AE9" w:rsidP="00EE67D9">
      <w:pPr>
        <w:numPr>
          <w:ilvl w:val="0"/>
          <w:numId w:val="22"/>
        </w:numPr>
        <w:spacing w:after="160" w:line="259" w:lineRule="auto"/>
        <w:contextualSpacing/>
        <w:rPr>
          <w:rFonts w:cs="Times New Roman"/>
          <w:sz w:val="20"/>
          <w:szCs w:val="20"/>
        </w:rPr>
      </w:pPr>
      <w:r w:rsidRPr="009D6DF2">
        <w:rPr>
          <w:rFonts w:cs="Times New Roman"/>
          <w:sz w:val="20"/>
          <w:szCs w:val="20"/>
        </w:rPr>
        <w:t>Eurofound (2018c). Non-standard forms of employment: Recent trends and prospects. Luxembourg: Publications Office of the European Union.</w:t>
      </w:r>
    </w:p>
    <w:p w14:paraId="71F6645D" w14:textId="77777777" w:rsidR="00FC0AE9" w:rsidRPr="009D6DF2" w:rsidRDefault="00FC0AE9" w:rsidP="00EE67D9">
      <w:pPr>
        <w:numPr>
          <w:ilvl w:val="0"/>
          <w:numId w:val="22"/>
        </w:numPr>
        <w:spacing w:line="259" w:lineRule="auto"/>
        <w:contextualSpacing/>
        <w:rPr>
          <w:rFonts w:cs="Times New Roman"/>
          <w:sz w:val="20"/>
          <w:szCs w:val="20"/>
        </w:rPr>
      </w:pPr>
      <w:r w:rsidRPr="009D6DF2">
        <w:rPr>
          <w:rFonts w:cs="Times New Roman"/>
          <w:sz w:val="20"/>
          <w:szCs w:val="20"/>
        </w:rPr>
        <w:t xml:space="preserve">European Commission (2019) Future developments in Vocational Education and Training in Europe JRC Working Papers Series on Labour, Education and Technology available at: </w:t>
      </w:r>
      <w:hyperlink r:id="rId106" w:history="1">
        <w:r w:rsidRPr="009D6DF2">
          <w:rPr>
            <w:rFonts w:cs="Times New Roman"/>
            <w:color w:val="0563C1"/>
            <w:sz w:val="20"/>
            <w:szCs w:val="20"/>
            <w:u w:val="single"/>
          </w:rPr>
          <w:t>https://ec.europa.eu/jrc/sites/jrcsh/files/jrc117691.pdf</w:t>
        </w:r>
      </w:hyperlink>
    </w:p>
    <w:p w14:paraId="14753468" w14:textId="77777777" w:rsidR="00FC0AE9" w:rsidRPr="00B62D44" w:rsidRDefault="00FC0AE9" w:rsidP="00EE67D9">
      <w:pPr>
        <w:pStyle w:val="ListParagraph"/>
        <w:numPr>
          <w:ilvl w:val="0"/>
          <w:numId w:val="22"/>
        </w:numPr>
        <w:spacing w:after="160" w:line="259" w:lineRule="auto"/>
        <w:rPr>
          <w:sz w:val="20"/>
          <w:szCs w:val="20"/>
        </w:rPr>
      </w:pPr>
      <w:r w:rsidRPr="00B62D44">
        <w:rPr>
          <w:sz w:val="20"/>
          <w:szCs w:val="20"/>
        </w:rPr>
        <w:t xml:space="preserve">European Commission (2020) Europe’s Media in the Digital Decade: An Action Plan to Support Recovery and Transformation, Communication from the Commission to the European Parliament, the Council, the European Economic and Social Committee and the Committee of the Regions, available at: </w:t>
      </w:r>
      <w:hyperlink r:id="rId107" w:history="1">
        <w:r w:rsidRPr="00B62D44">
          <w:rPr>
            <w:color w:val="0563C1"/>
            <w:sz w:val="20"/>
            <w:szCs w:val="20"/>
            <w:u w:val="single"/>
          </w:rPr>
          <w:t>https://ec.europa.eu/transparency/regdoc/rep/1/2020/EN/COM-2020-784-F1-EN-MAIN-PART-1.PDF</w:t>
        </w:r>
      </w:hyperlink>
    </w:p>
    <w:p w14:paraId="6F682D8E" w14:textId="77777777" w:rsidR="00FC0AE9" w:rsidRPr="00B62D44" w:rsidRDefault="00FC0AE9" w:rsidP="00EE67D9">
      <w:pPr>
        <w:pStyle w:val="ListParagraph"/>
        <w:numPr>
          <w:ilvl w:val="0"/>
          <w:numId w:val="22"/>
        </w:numPr>
        <w:spacing w:line="259" w:lineRule="auto"/>
        <w:rPr>
          <w:sz w:val="20"/>
          <w:szCs w:val="20"/>
        </w:rPr>
      </w:pPr>
      <w:r w:rsidRPr="00B62D44">
        <w:rPr>
          <w:sz w:val="20"/>
          <w:szCs w:val="20"/>
        </w:rPr>
        <w:t xml:space="preserve">European Commission (2020) </w:t>
      </w:r>
      <w:r>
        <w:rPr>
          <w:sz w:val="20"/>
          <w:szCs w:val="20"/>
        </w:rPr>
        <w:t>Türkiye</w:t>
      </w:r>
      <w:r w:rsidRPr="00B62D44">
        <w:rPr>
          <w:sz w:val="20"/>
          <w:szCs w:val="20"/>
        </w:rPr>
        <w:t xml:space="preserve"> Report 2019, available at: </w:t>
      </w:r>
      <w:hyperlink r:id="rId108" w:history="1">
        <w:r w:rsidRPr="00B62D44">
          <w:rPr>
            <w:color w:val="0563C1"/>
            <w:sz w:val="20"/>
            <w:szCs w:val="20"/>
            <w:u w:val="single"/>
          </w:rPr>
          <w:t>https://ec.europa.eu/neighbourhood-enlargement/sites/near/files/20190529-</w:t>
        </w:r>
        <w:r>
          <w:rPr>
            <w:color w:val="0563C1"/>
            <w:sz w:val="20"/>
            <w:szCs w:val="20"/>
            <w:u w:val="single"/>
          </w:rPr>
          <w:t>Türkiye</w:t>
        </w:r>
        <w:r w:rsidRPr="00B62D44">
          <w:rPr>
            <w:color w:val="0563C1"/>
            <w:sz w:val="20"/>
            <w:szCs w:val="20"/>
            <w:u w:val="single"/>
          </w:rPr>
          <w:t>-report.pdf</w:t>
        </w:r>
      </w:hyperlink>
    </w:p>
    <w:p w14:paraId="0AA88E22" w14:textId="77777777" w:rsidR="00FC0AE9" w:rsidRPr="009D6DF2" w:rsidRDefault="00FC0AE9" w:rsidP="00EE67D9">
      <w:pPr>
        <w:numPr>
          <w:ilvl w:val="0"/>
          <w:numId w:val="22"/>
        </w:numPr>
        <w:spacing w:after="160" w:line="259" w:lineRule="auto"/>
        <w:contextualSpacing/>
        <w:rPr>
          <w:rFonts w:cs="Times New Roman"/>
          <w:sz w:val="20"/>
          <w:szCs w:val="20"/>
        </w:rPr>
      </w:pPr>
      <w:r w:rsidRPr="009D6DF2">
        <w:rPr>
          <w:rFonts w:cs="Times New Roman"/>
          <w:sz w:val="20"/>
          <w:szCs w:val="20"/>
        </w:rPr>
        <w:t>European Commission 01/2020 - </w:t>
      </w:r>
      <w:hyperlink r:id="rId109" w:history="1">
        <w:r w:rsidRPr="009D6DF2">
          <w:rPr>
            <w:rFonts w:cs="Times New Roman"/>
            <w:color w:val="0563C1"/>
            <w:sz w:val="20"/>
            <w:szCs w:val="20"/>
            <w:u w:val="single"/>
          </w:rPr>
          <w:t>Do robots really destroy jobs? Evidence from Europe</w:t>
        </w:r>
      </w:hyperlink>
    </w:p>
    <w:p w14:paraId="7F617767" w14:textId="77777777" w:rsidR="00FC0AE9" w:rsidRPr="009D6DF2" w:rsidRDefault="00FC0AE9" w:rsidP="00EE67D9">
      <w:pPr>
        <w:numPr>
          <w:ilvl w:val="0"/>
          <w:numId w:val="22"/>
        </w:numPr>
        <w:spacing w:after="160" w:line="259" w:lineRule="auto"/>
        <w:contextualSpacing/>
        <w:rPr>
          <w:rFonts w:cs="Times New Roman"/>
          <w:sz w:val="20"/>
          <w:szCs w:val="20"/>
        </w:rPr>
      </w:pPr>
      <w:r w:rsidRPr="009D6DF2">
        <w:rPr>
          <w:rFonts w:cs="Times New Roman"/>
          <w:sz w:val="20"/>
          <w:szCs w:val="20"/>
        </w:rPr>
        <w:t>European Commission 02/2019 - </w:t>
      </w:r>
      <w:hyperlink r:id="rId110" w:history="1">
        <w:r w:rsidRPr="009D6DF2">
          <w:rPr>
            <w:rFonts w:cs="Times New Roman"/>
            <w:color w:val="0563C1"/>
            <w:sz w:val="20"/>
            <w:szCs w:val="20"/>
            <w:u w:val="single"/>
          </w:rPr>
          <w:t>How computerisation is transforming jobs: Evidence from Eurofound's European Working Conditions Survey</w:t>
        </w:r>
      </w:hyperlink>
    </w:p>
    <w:p w14:paraId="592EAE71" w14:textId="77777777" w:rsidR="00FC0AE9" w:rsidRPr="009D6DF2" w:rsidRDefault="00FC0AE9" w:rsidP="00EE67D9">
      <w:pPr>
        <w:numPr>
          <w:ilvl w:val="0"/>
          <w:numId w:val="22"/>
        </w:numPr>
        <w:spacing w:after="160" w:line="259" w:lineRule="auto"/>
        <w:contextualSpacing/>
        <w:rPr>
          <w:rFonts w:cs="Times New Roman"/>
          <w:sz w:val="20"/>
          <w:szCs w:val="20"/>
        </w:rPr>
      </w:pPr>
      <w:r w:rsidRPr="009D6DF2">
        <w:rPr>
          <w:rFonts w:cs="Times New Roman"/>
          <w:sz w:val="20"/>
          <w:szCs w:val="20"/>
        </w:rPr>
        <w:t>European Commission 02/2020 - </w:t>
      </w:r>
      <w:hyperlink r:id="rId111" w:history="1">
        <w:r w:rsidRPr="009D6DF2">
          <w:rPr>
            <w:rFonts w:cs="Times New Roman"/>
            <w:color w:val="0563C1"/>
            <w:sz w:val="20"/>
            <w:szCs w:val="20"/>
            <w:u w:val="single"/>
          </w:rPr>
          <w:t>Measuring the occupational impact of AI: tasks, Cognitive abilities and AI benchmarks</w:t>
        </w:r>
      </w:hyperlink>
    </w:p>
    <w:p w14:paraId="6EE700FC" w14:textId="77777777" w:rsidR="00FC0AE9" w:rsidRPr="009D6DF2" w:rsidRDefault="00FC0AE9" w:rsidP="00EE67D9">
      <w:pPr>
        <w:numPr>
          <w:ilvl w:val="0"/>
          <w:numId w:val="22"/>
        </w:numPr>
        <w:spacing w:after="160" w:line="259" w:lineRule="auto"/>
        <w:contextualSpacing/>
        <w:rPr>
          <w:rFonts w:cs="Times New Roman"/>
          <w:sz w:val="20"/>
          <w:szCs w:val="20"/>
        </w:rPr>
      </w:pPr>
      <w:r w:rsidRPr="009D6DF2">
        <w:rPr>
          <w:rFonts w:cs="Times New Roman"/>
          <w:sz w:val="20"/>
          <w:szCs w:val="20"/>
        </w:rPr>
        <w:t>European Commission 03/2019 - </w:t>
      </w:r>
      <w:hyperlink r:id="rId112" w:history="1">
        <w:r w:rsidRPr="009D6DF2">
          <w:rPr>
            <w:rFonts w:cs="Times New Roman"/>
            <w:color w:val="0563C1"/>
            <w:sz w:val="20"/>
            <w:szCs w:val="20"/>
            <w:u w:val="single"/>
          </w:rPr>
          <w:t>The impact of Technological innovation on the Future of Work</w:t>
        </w:r>
      </w:hyperlink>
    </w:p>
    <w:p w14:paraId="2F1DBEE1" w14:textId="77777777" w:rsidR="00FC0AE9" w:rsidRPr="009D6DF2" w:rsidRDefault="00FC0AE9" w:rsidP="00EE67D9">
      <w:pPr>
        <w:numPr>
          <w:ilvl w:val="0"/>
          <w:numId w:val="22"/>
        </w:numPr>
        <w:spacing w:after="160" w:line="259" w:lineRule="auto"/>
        <w:contextualSpacing/>
        <w:rPr>
          <w:rFonts w:cs="Times New Roman"/>
          <w:sz w:val="20"/>
          <w:szCs w:val="20"/>
        </w:rPr>
      </w:pPr>
      <w:r w:rsidRPr="009D6DF2">
        <w:rPr>
          <w:rFonts w:cs="Times New Roman"/>
          <w:sz w:val="20"/>
          <w:szCs w:val="20"/>
        </w:rPr>
        <w:t>European Commission 04/2020 - </w:t>
      </w:r>
      <w:hyperlink r:id="rId113" w:history="1">
        <w:r w:rsidRPr="009D6DF2">
          <w:rPr>
            <w:rFonts w:cs="Times New Roman"/>
            <w:color w:val="0563C1"/>
            <w:sz w:val="20"/>
            <w:szCs w:val="20"/>
            <w:u w:val="single"/>
          </w:rPr>
          <w:t>A Taxonomy of Tasks for Assessing the Impact of New Technologies on Work</w:t>
        </w:r>
      </w:hyperlink>
    </w:p>
    <w:p w14:paraId="233096FB" w14:textId="77777777" w:rsidR="00FC0AE9" w:rsidRPr="009D6DF2" w:rsidRDefault="00FC0AE9" w:rsidP="00EE67D9">
      <w:pPr>
        <w:numPr>
          <w:ilvl w:val="0"/>
          <w:numId w:val="22"/>
        </w:numPr>
        <w:spacing w:after="160" w:line="259" w:lineRule="auto"/>
        <w:contextualSpacing/>
        <w:rPr>
          <w:rFonts w:cs="Times New Roman"/>
          <w:sz w:val="20"/>
          <w:szCs w:val="20"/>
        </w:rPr>
      </w:pPr>
      <w:r w:rsidRPr="009D6DF2">
        <w:rPr>
          <w:rFonts w:cs="Times New Roman"/>
          <w:sz w:val="20"/>
          <w:szCs w:val="20"/>
        </w:rPr>
        <w:t>European Commission 05/2019 - </w:t>
      </w:r>
      <w:hyperlink r:id="rId114" w:history="1">
        <w:r w:rsidRPr="009D6DF2">
          <w:rPr>
            <w:rFonts w:cs="Times New Roman"/>
            <w:color w:val="0563C1"/>
            <w:sz w:val="20"/>
            <w:szCs w:val="20"/>
            <w:u w:val="single"/>
          </w:rPr>
          <w:t>The Digitalisation of Future Work and Employment. Possible impact and policy responses</w:t>
        </w:r>
      </w:hyperlink>
    </w:p>
    <w:p w14:paraId="1A1CDB7A" w14:textId="77777777" w:rsidR="00FC0AE9" w:rsidRPr="009D6DF2" w:rsidRDefault="00FC0AE9" w:rsidP="00EE67D9">
      <w:pPr>
        <w:numPr>
          <w:ilvl w:val="0"/>
          <w:numId w:val="22"/>
        </w:numPr>
        <w:spacing w:after="160" w:line="259" w:lineRule="auto"/>
        <w:contextualSpacing/>
        <w:rPr>
          <w:rFonts w:cs="Times New Roman"/>
          <w:sz w:val="20"/>
          <w:szCs w:val="20"/>
        </w:rPr>
      </w:pPr>
      <w:r w:rsidRPr="009D6DF2">
        <w:rPr>
          <w:rFonts w:cs="Times New Roman"/>
          <w:sz w:val="20"/>
          <w:szCs w:val="20"/>
        </w:rPr>
        <w:t>European Commission 05/2020 - </w:t>
      </w:r>
      <w:r w:rsidRPr="009D6DF2">
        <w:rPr>
          <w:rFonts w:cs="Times New Roman"/>
          <w:color w:val="0563C1"/>
          <w:sz w:val="20"/>
          <w:szCs w:val="20"/>
          <w:u w:val="single"/>
        </w:rPr>
        <w:t>Teleworkability and the COVID-19 crisis: a new digital divide?</w:t>
      </w:r>
    </w:p>
    <w:p w14:paraId="601C84F3" w14:textId="77777777" w:rsidR="00FC0AE9" w:rsidRPr="009D6DF2" w:rsidRDefault="00FC0AE9" w:rsidP="00EE67D9">
      <w:pPr>
        <w:numPr>
          <w:ilvl w:val="0"/>
          <w:numId w:val="22"/>
        </w:numPr>
        <w:spacing w:after="160" w:line="259" w:lineRule="auto"/>
        <w:contextualSpacing/>
        <w:rPr>
          <w:rFonts w:cs="Times New Roman"/>
          <w:sz w:val="20"/>
          <w:szCs w:val="20"/>
        </w:rPr>
      </w:pPr>
      <w:r w:rsidRPr="009D6DF2">
        <w:rPr>
          <w:rFonts w:cs="Times New Roman"/>
          <w:sz w:val="20"/>
          <w:szCs w:val="20"/>
        </w:rPr>
        <w:t>European Commission 06/2020 - </w:t>
      </w:r>
      <w:hyperlink r:id="rId115" w:history="1">
        <w:r w:rsidRPr="009D6DF2">
          <w:rPr>
            <w:rFonts w:cs="Times New Roman"/>
            <w:color w:val="0563C1"/>
            <w:sz w:val="20"/>
            <w:szCs w:val="20"/>
            <w:u w:val="single"/>
          </w:rPr>
          <w:t>The labour market impact of robotisation in Europe</w:t>
        </w:r>
      </w:hyperlink>
    </w:p>
    <w:p w14:paraId="41254FDE" w14:textId="77777777" w:rsidR="00FC0AE9" w:rsidRPr="009D6DF2" w:rsidRDefault="00FC0AE9" w:rsidP="00EE67D9">
      <w:pPr>
        <w:numPr>
          <w:ilvl w:val="0"/>
          <w:numId w:val="22"/>
        </w:numPr>
        <w:spacing w:after="160" w:line="259" w:lineRule="auto"/>
        <w:contextualSpacing/>
        <w:rPr>
          <w:rFonts w:cs="Times New Roman"/>
          <w:sz w:val="20"/>
          <w:szCs w:val="20"/>
        </w:rPr>
      </w:pPr>
      <w:r w:rsidRPr="009D6DF2">
        <w:rPr>
          <w:rFonts w:cs="Times New Roman"/>
          <w:sz w:val="20"/>
          <w:szCs w:val="20"/>
        </w:rPr>
        <w:lastRenderedPageBreak/>
        <w:t>European Commission 08/2019 - </w:t>
      </w:r>
      <w:hyperlink r:id="rId116" w:history="1">
        <w:r w:rsidRPr="009D6DF2">
          <w:rPr>
            <w:rFonts w:cs="Times New Roman"/>
            <w:color w:val="0563C1"/>
            <w:sz w:val="20"/>
            <w:szCs w:val="20"/>
            <w:u w:val="single"/>
          </w:rPr>
          <w:t>The impacts of robots on labour productivity</w:t>
        </w:r>
      </w:hyperlink>
    </w:p>
    <w:p w14:paraId="4F75DF93" w14:textId="77777777" w:rsidR="00FC0AE9" w:rsidRPr="009D6DF2" w:rsidRDefault="00FC0AE9" w:rsidP="00EE67D9">
      <w:pPr>
        <w:numPr>
          <w:ilvl w:val="0"/>
          <w:numId w:val="22"/>
        </w:numPr>
        <w:spacing w:after="160" w:line="259" w:lineRule="auto"/>
        <w:contextualSpacing/>
        <w:rPr>
          <w:rFonts w:cs="Times New Roman"/>
          <w:sz w:val="20"/>
          <w:szCs w:val="20"/>
        </w:rPr>
      </w:pPr>
      <w:r w:rsidRPr="009D6DF2">
        <w:rPr>
          <w:rFonts w:cs="Times New Roman"/>
          <w:sz w:val="20"/>
          <w:szCs w:val="20"/>
        </w:rPr>
        <w:t>European Commission 11/2020 - </w:t>
      </w:r>
      <w:hyperlink r:id="rId117" w:history="1">
        <w:r w:rsidRPr="009D6DF2">
          <w:rPr>
            <w:rFonts w:cs="Times New Roman"/>
            <w:color w:val="0563C1"/>
            <w:sz w:val="20"/>
            <w:szCs w:val="20"/>
            <w:u w:val="single"/>
          </w:rPr>
          <w:t>Telework, work organisation and job quality during the COVID-19 crisis - A qualitative study</w:t>
        </w:r>
      </w:hyperlink>
    </w:p>
    <w:p w14:paraId="780EE1C4" w14:textId="77777777" w:rsidR="00FC0AE9" w:rsidRPr="009D6DF2" w:rsidRDefault="00FC0AE9" w:rsidP="00EE67D9">
      <w:pPr>
        <w:numPr>
          <w:ilvl w:val="0"/>
          <w:numId w:val="22"/>
        </w:numPr>
        <w:spacing w:line="259" w:lineRule="auto"/>
        <w:contextualSpacing/>
        <w:rPr>
          <w:rFonts w:cs="Times New Roman"/>
          <w:sz w:val="20"/>
          <w:szCs w:val="20"/>
        </w:rPr>
      </w:pPr>
      <w:r w:rsidRPr="009D6DF2">
        <w:rPr>
          <w:rFonts w:cs="Times New Roman"/>
          <w:sz w:val="20"/>
          <w:szCs w:val="20"/>
        </w:rPr>
        <w:t>European Commission 12/2020 - </w:t>
      </w:r>
      <w:hyperlink r:id="rId118" w:history="1">
        <w:r w:rsidRPr="009D6DF2">
          <w:rPr>
            <w:rFonts w:cs="Times New Roman"/>
            <w:color w:val="0563C1"/>
            <w:sz w:val="20"/>
            <w:szCs w:val="20"/>
            <w:u w:val="single"/>
          </w:rPr>
          <w:t>Productive integration, economic recession and employment in Europe: an assessment based on vertically integrated sectors</w:t>
        </w:r>
      </w:hyperlink>
    </w:p>
    <w:p w14:paraId="6DF81476" w14:textId="77777777" w:rsidR="00FC0AE9" w:rsidRPr="00B62D44" w:rsidRDefault="00FC0AE9" w:rsidP="00EE67D9">
      <w:pPr>
        <w:pStyle w:val="ListParagraph"/>
        <w:numPr>
          <w:ilvl w:val="0"/>
          <w:numId w:val="22"/>
        </w:numPr>
        <w:spacing w:after="160" w:line="259" w:lineRule="auto"/>
        <w:rPr>
          <w:sz w:val="20"/>
          <w:szCs w:val="20"/>
        </w:rPr>
      </w:pPr>
      <w:r w:rsidRPr="00B62D44">
        <w:rPr>
          <w:sz w:val="20"/>
          <w:szCs w:val="20"/>
        </w:rPr>
        <w:t xml:space="preserve">ILO (2014) Employment relationships in the media and culture industries, available on: </w:t>
      </w:r>
      <w:hyperlink r:id="rId119" w:history="1">
        <w:r w:rsidRPr="00B62D44">
          <w:rPr>
            <w:color w:val="0563C1"/>
            <w:sz w:val="20"/>
            <w:szCs w:val="20"/>
            <w:u w:val="single"/>
          </w:rPr>
          <w:t>https://www.ilo.org/wcmsp5/groups/public/---ed_dialogue/---sector/documents/publication/wcms_240701.pdf</w:t>
        </w:r>
      </w:hyperlink>
    </w:p>
    <w:p w14:paraId="6135E13C" w14:textId="77777777" w:rsidR="00FC0AE9" w:rsidRPr="00B62D44" w:rsidRDefault="00FC0AE9" w:rsidP="00EE67D9">
      <w:pPr>
        <w:pStyle w:val="ListParagraph"/>
        <w:numPr>
          <w:ilvl w:val="0"/>
          <w:numId w:val="22"/>
        </w:numPr>
        <w:spacing w:line="259" w:lineRule="auto"/>
        <w:rPr>
          <w:sz w:val="20"/>
          <w:szCs w:val="20"/>
        </w:rPr>
      </w:pPr>
      <w:r w:rsidRPr="00B62D44">
        <w:rPr>
          <w:sz w:val="20"/>
          <w:szCs w:val="20"/>
        </w:rPr>
        <w:t xml:space="preserve">ILO (2018) Digital labour platforms and the future of work Towards decent work in the online world, available at: </w:t>
      </w:r>
      <w:hyperlink r:id="rId120" w:history="1">
        <w:r w:rsidRPr="00B62D44">
          <w:rPr>
            <w:color w:val="0563C1"/>
            <w:sz w:val="20"/>
            <w:szCs w:val="20"/>
            <w:u w:val="single"/>
          </w:rPr>
          <w:t>http://wtf.tw/text/digital_labour_platforms_and_the_future_of_work.pdf</w:t>
        </w:r>
      </w:hyperlink>
    </w:p>
    <w:p w14:paraId="6B0EAA10" w14:textId="77777777" w:rsidR="00FC0AE9" w:rsidRPr="009D6DF2" w:rsidRDefault="00FC0AE9" w:rsidP="00EE67D9">
      <w:pPr>
        <w:numPr>
          <w:ilvl w:val="0"/>
          <w:numId w:val="22"/>
        </w:numPr>
        <w:spacing w:line="259" w:lineRule="auto"/>
        <w:contextualSpacing/>
        <w:rPr>
          <w:rFonts w:cs="Times New Roman"/>
          <w:sz w:val="20"/>
          <w:szCs w:val="20"/>
        </w:rPr>
      </w:pPr>
      <w:r w:rsidRPr="009D6DF2">
        <w:rPr>
          <w:rFonts w:cs="Times New Roman"/>
          <w:sz w:val="20"/>
          <w:szCs w:val="20"/>
        </w:rPr>
        <w:t>International Labour Organization [ILO] (2017). The Future of Work We Want: A global dialogue. Geneva: ILO.</w:t>
      </w:r>
    </w:p>
    <w:p w14:paraId="2C9F1DE7" w14:textId="77777777" w:rsidR="00FC0AE9" w:rsidRPr="00B62D44" w:rsidRDefault="00FC0AE9" w:rsidP="00EE67D9">
      <w:pPr>
        <w:pStyle w:val="ListParagraph"/>
        <w:numPr>
          <w:ilvl w:val="0"/>
          <w:numId w:val="22"/>
        </w:numPr>
        <w:spacing w:after="160" w:line="259" w:lineRule="auto"/>
        <w:rPr>
          <w:sz w:val="20"/>
          <w:szCs w:val="20"/>
        </w:rPr>
      </w:pPr>
      <w:r w:rsidRPr="00B62D44">
        <w:rPr>
          <w:sz w:val="20"/>
          <w:szCs w:val="20"/>
        </w:rPr>
        <w:t>Iosifidis, P. (2011). Media and Communications Policy in the European Union. In </w:t>
      </w:r>
      <w:r w:rsidRPr="00B62D44">
        <w:rPr>
          <w:i/>
          <w:iCs/>
          <w:sz w:val="20"/>
          <w:szCs w:val="20"/>
        </w:rPr>
        <w:t>Global Media and Communication Policy</w:t>
      </w:r>
      <w:r w:rsidRPr="00B62D44">
        <w:rPr>
          <w:sz w:val="20"/>
          <w:szCs w:val="20"/>
        </w:rPr>
        <w:t> (pp. 143-165). Palgrave Macmillan, London.</w:t>
      </w:r>
    </w:p>
    <w:p w14:paraId="6F4AE495" w14:textId="77777777" w:rsidR="00FC0AE9" w:rsidRPr="00B62D44" w:rsidRDefault="00FC0AE9" w:rsidP="00EE67D9">
      <w:pPr>
        <w:pStyle w:val="ListParagraph"/>
        <w:numPr>
          <w:ilvl w:val="0"/>
          <w:numId w:val="22"/>
        </w:numPr>
        <w:spacing w:after="160" w:line="259" w:lineRule="auto"/>
        <w:rPr>
          <w:sz w:val="20"/>
          <w:szCs w:val="20"/>
        </w:rPr>
      </w:pPr>
      <w:r w:rsidRPr="00B62D44">
        <w:rPr>
          <w:sz w:val="20"/>
          <w:szCs w:val="20"/>
        </w:rPr>
        <w:t xml:space="preserve">Kaya, R., &amp; Çakmur, B. (2010). Politics and the mass media in </w:t>
      </w:r>
      <w:r>
        <w:rPr>
          <w:sz w:val="20"/>
          <w:szCs w:val="20"/>
        </w:rPr>
        <w:t>Türkiye</w:t>
      </w:r>
      <w:r w:rsidRPr="00B62D44">
        <w:rPr>
          <w:sz w:val="20"/>
          <w:szCs w:val="20"/>
        </w:rPr>
        <w:t>. </w:t>
      </w:r>
      <w:r w:rsidRPr="00B62D44">
        <w:rPr>
          <w:i/>
          <w:iCs/>
          <w:sz w:val="20"/>
          <w:szCs w:val="20"/>
        </w:rPr>
        <w:t>Turkish Studies</w:t>
      </w:r>
      <w:r w:rsidRPr="00B62D44">
        <w:rPr>
          <w:sz w:val="20"/>
          <w:szCs w:val="20"/>
        </w:rPr>
        <w:t>, </w:t>
      </w:r>
      <w:r w:rsidRPr="00B62D44">
        <w:rPr>
          <w:i/>
          <w:iCs/>
          <w:sz w:val="20"/>
          <w:szCs w:val="20"/>
        </w:rPr>
        <w:t>11</w:t>
      </w:r>
      <w:r w:rsidRPr="00B62D44">
        <w:rPr>
          <w:sz w:val="20"/>
          <w:szCs w:val="20"/>
        </w:rPr>
        <w:t>(4), 521-537.</w:t>
      </w:r>
    </w:p>
    <w:p w14:paraId="273014C7" w14:textId="77777777" w:rsidR="00FC0AE9" w:rsidRPr="00B62D44" w:rsidRDefault="00FC0AE9" w:rsidP="00EE67D9">
      <w:pPr>
        <w:pStyle w:val="ListParagraph"/>
        <w:numPr>
          <w:ilvl w:val="0"/>
          <w:numId w:val="22"/>
        </w:numPr>
        <w:spacing w:line="259" w:lineRule="auto"/>
        <w:rPr>
          <w:sz w:val="20"/>
          <w:szCs w:val="20"/>
        </w:rPr>
      </w:pPr>
      <w:r w:rsidRPr="00B62D44">
        <w:rPr>
          <w:sz w:val="20"/>
          <w:szCs w:val="20"/>
        </w:rPr>
        <w:t xml:space="preserve">Köselerli, B. B. (2017). The Usage of New Media in Cultural Diplomacy: A Case of </w:t>
      </w:r>
      <w:r>
        <w:rPr>
          <w:sz w:val="20"/>
          <w:szCs w:val="20"/>
        </w:rPr>
        <w:t>Türkiye</w:t>
      </w:r>
      <w:r w:rsidRPr="00B62D44">
        <w:rPr>
          <w:sz w:val="20"/>
          <w:szCs w:val="20"/>
        </w:rPr>
        <w:t>. </w:t>
      </w:r>
      <w:r w:rsidRPr="00B62D44">
        <w:rPr>
          <w:i/>
          <w:iCs/>
          <w:sz w:val="20"/>
          <w:szCs w:val="20"/>
        </w:rPr>
        <w:t>European Journal of Multidisciplinary Studies</w:t>
      </w:r>
      <w:r w:rsidRPr="00B62D44">
        <w:rPr>
          <w:sz w:val="20"/>
          <w:szCs w:val="20"/>
        </w:rPr>
        <w:t>, </w:t>
      </w:r>
      <w:r w:rsidRPr="00B62D44">
        <w:rPr>
          <w:i/>
          <w:iCs/>
          <w:sz w:val="20"/>
          <w:szCs w:val="20"/>
        </w:rPr>
        <w:t>2</w:t>
      </w:r>
      <w:r w:rsidRPr="00B62D44">
        <w:rPr>
          <w:sz w:val="20"/>
          <w:szCs w:val="20"/>
        </w:rPr>
        <w:t>(6), 115-120.</w:t>
      </w:r>
    </w:p>
    <w:p w14:paraId="7A99D874" w14:textId="77777777" w:rsidR="00FC0AE9" w:rsidRPr="009D6DF2" w:rsidRDefault="00FC0AE9" w:rsidP="00EE67D9">
      <w:pPr>
        <w:numPr>
          <w:ilvl w:val="0"/>
          <w:numId w:val="22"/>
        </w:numPr>
        <w:spacing w:after="160" w:line="259" w:lineRule="auto"/>
        <w:contextualSpacing/>
        <w:rPr>
          <w:rFonts w:cs="Times New Roman"/>
          <w:sz w:val="20"/>
          <w:szCs w:val="20"/>
        </w:rPr>
      </w:pPr>
      <w:r w:rsidRPr="009D6DF2">
        <w:rPr>
          <w:rFonts w:cs="Times New Roman"/>
          <w:sz w:val="20"/>
          <w:szCs w:val="20"/>
        </w:rPr>
        <w:t xml:space="preserve">McKinsey and Company, </w:t>
      </w:r>
      <w:r>
        <w:rPr>
          <w:rFonts w:cs="Times New Roman"/>
          <w:sz w:val="20"/>
          <w:szCs w:val="20"/>
        </w:rPr>
        <w:t>Türkiye</w:t>
      </w:r>
      <w:r w:rsidRPr="009D6DF2">
        <w:rPr>
          <w:rFonts w:cs="Times New Roman"/>
          <w:sz w:val="20"/>
          <w:szCs w:val="20"/>
        </w:rPr>
        <w:t xml:space="preserve">’s Talent Transformation in the Digital Era January 2020. Available at: </w:t>
      </w:r>
      <w:hyperlink r:id="rId121" w:history="1">
        <w:r w:rsidRPr="009D6DF2">
          <w:rPr>
            <w:rFonts w:cs="Times New Roman"/>
            <w:color w:val="0563C1"/>
            <w:sz w:val="20"/>
            <w:szCs w:val="20"/>
            <w:u w:val="single"/>
          </w:rPr>
          <w:t>https://www.mckinsey.com/tr/~/media/mckinsey/locations/europe%20and%20middle%20east/</w:t>
        </w:r>
        <w:r>
          <w:rPr>
            <w:rFonts w:cs="Times New Roman"/>
            <w:color w:val="0563C1"/>
            <w:sz w:val="20"/>
            <w:szCs w:val="20"/>
            <w:u w:val="single"/>
          </w:rPr>
          <w:t>Türkiye</w:t>
        </w:r>
        <w:r w:rsidRPr="009D6DF2">
          <w:rPr>
            <w:rFonts w:cs="Times New Roman"/>
            <w:color w:val="0563C1"/>
            <w:sz w:val="20"/>
            <w:szCs w:val="20"/>
            <w:u w:val="single"/>
          </w:rPr>
          <w:t>/our%20insights/future%20of%20work%20</w:t>
        </w:r>
        <w:r>
          <w:rPr>
            <w:rFonts w:cs="Times New Roman"/>
            <w:color w:val="0563C1"/>
            <w:sz w:val="20"/>
            <w:szCs w:val="20"/>
            <w:u w:val="single"/>
          </w:rPr>
          <w:t>Türkiye</w:t>
        </w:r>
        <w:r w:rsidRPr="009D6DF2">
          <w:rPr>
            <w:rFonts w:cs="Times New Roman"/>
            <w:color w:val="0563C1"/>
            <w:sz w:val="20"/>
            <w:szCs w:val="20"/>
            <w:u w:val="single"/>
          </w:rPr>
          <w:t>/future-of-work-mckinsey-</w:t>
        </w:r>
        <w:r>
          <w:rPr>
            <w:rFonts w:cs="Times New Roman"/>
            <w:color w:val="0563C1"/>
            <w:sz w:val="20"/>
            <w:szCs w:val="20"/>
            <w:u w:val="single"/>
          </w:rPr>
          <w:t>Türkiye</w:t>
        </w:r>
        <w:r w:rsidRPr="009D6DF2">
          <w:rPr>
            <w:rFonts w:cs="Times New Roman"/>
            <w:color w:val="0563C1"/>
            <w:sz w:val="20"/>
            <w:szCs w:val="20"/>
            <w:u w:val="single"/>
          </w:rPr>
          <w:t>-full-report.pdf</w:t>
        </w:r>
      </w:hyperlink>
    </w:p>
    <w:p w14:paraId="7B11C2E3" w14:textId="77777777" w:rsidR="00FC0AE9" w:rsidRPr="009D6DF2" w:rsidRDefault="00FC0AE9" w:rsidP="00EE67D9">
      <w:pPr>
        <w:numPr>
          <w:ilvl w:val="0"/>
          <w:numId w:val="22"/>
        </w:numPr>
        <w:spacing w:after="160" w:line="259" w:lineRule="auto"/>
        <w:contextualSpacing/>
        <w:rPr>
          <w:rFonts w:cs="Times New Roman"/>
          <w:sz w:val="20"/>
          <w:szCs w:val="20"/>
        </w:rPr>
      </w:pPr>
      <w:r w:rsidRPr="009D6DF2">
        <w:rPr>
          <w:rFonts w:cs="Times New Roman"/>
          <w:sz w:val="20"/>
          <w:szCs w:val="20"/>
        </w:rPr>
        <w:t xml:space="preserve">McKinsey Global Institute, December 2017. Jobs lost, jobs gained: Workforce transitions in a time of automation </w:t>
      </w:r>
    </w:p>
    <w:p w14:paraId="736E7C44" w14:textId="77777777" w:rsidR="00FC0AE9" w:rsidRPr="009D6DF2" w:rsidRDefault="00FC0AE9" w:rsidP="00EE67D9">
      <w:pPr>
        <w:numPr>
          <w:ilvl w:val="0"/>
          <w:numId w:val="22"/>
        </w:numPr>
        <w:spacing w:after="160" w:line="259" w:lineRule="auto"/>
        <w:contextualSpacing/>
        <w:rPr>
          <w:rFonts w:cs="Times New Roman"/>
          <w:sz w:val="20"/>
          <w:szCs w:val="20"/>
        </w:rPr>
      </w:pPr>
      <w:r w:rsidRPr="009D6DF2">
        <w:rPr>
          <w:rFonts w:cs="Times New Roman"/>
          <w:sz w:val="20"/>
          <w:szCs w:val="20"/>
        </w:rPr>
        <w:t xml:space="preserve">Naughton, J. (2018). Magical thinking about machine learning won’t bring the reality of AI any closer. Observer. 5 August. </w:t>
      </w:r>
      <w:hyperlink r:id="rId122" w:history="1">
        <w:r w:rsidRPr="009D6DF2">
          <w:rPr>
            <w:rFonts w:cs="Times New Roman"/>
            <w:color w:val="0563C1"/>
            <w:sz w:val="20"/>
            <w:szCs w:val="20"/>
            <w:u w:val="single"/>
          </w:rPr>
          <w:t>http://www.theguardian.com/commentisfree/2018/aug/05/magicalthinking-about-machine-learning-will-not-bring-artificial-intelligence-any-closer</w:t>
        </w:r>
      </w:hyperlink>
      <w:r w:rsidRPr="009D6DF2">
        <w:rPr>
          <w:rFonts w:cs="Times New Roman"/>
          <w:sz w:val="20"/>
          <w:szCs w:val="20"/>
        </w:rPr>
        <w:t xml:space="preserve"> </w:t>
      </w:r>
    </w:p>
    <w:p w14:paraId="70A23C01" w14:textId="77777777" w:rsidR="00FC0AE9" w:rsidRPr="009D6DF2" w:rsidRDefault="00FC0AE9" w:rsidP="00EE67D9">
      <w:pPr>
        <w:numPr>
          <w:ilvl w:val="0"/>
          <w:numId w:val="22"/>
        </w:numPr>
        <w:spacing w:after="160" w:line="259" w:lineRule="auto"/>
        <w:contextualSpacing/>
        <w:rPr>
          <w:rFonts w:cs="Times New Roman"/>
          <w:sz w:val="20"/>
          <w:szCs w:val="20"/>
        </w:rPr>
      </w:pPr>
      <w:r w:rsidRPr="009D6DF2">
        <w:rPr>
          <w:rFonts w:cs="Times New Roman"/>
          <w:sz w:val="20"/>
          <w:szCs w:val="20"/>
        </w:rPr>
        <w:t xml:space="preserve">OECD (2017). Future of Work and Skills. Paper presented at the 2nd meeting of the G20 Employment Working Group. </w:t>
      </w:r>
    </w:p>
    <w:p w14:paraId="1AE4E395" w14:textId="77777777" w:rsidR="00FC0AE9" w:rsidRPr="009D6DF2" w:rsidRDefault="00FC0AE9" w:rsidP="00EE67D9">
      <w:pPr>
        <w:numPr>
          <w:ilvl w:val="0"/>
          <w:numId w:val="22"/>
        </w:numPr>
        <w:spacing w:after="160" w:line="259" w:lineRule="auto"/>
        <w:contextualSpacing/>
        <w:rPr>
          <w:rFonts w:cs="Times New Roman"/>
          <w:sz w:val="20"/>
          <w:szCs w:val="20"/>
        </w:rPr>
      </w:pPr>
      <w:r w:rsidRPr="009D6DF2">
        <w:rPr>
          <w:rFonts w:cs="Times New Roman"/>
          <w:sz w:val="20"/>
          <w:szCs w:val="20"/>
        </w:rPr>
        <w:t xml:space="preserve">OECD (2018a). Online work in OECD countries. Policy Brief on the Future of Work. Paris: OECD. </w:t>
      </w:r>
    </w:p>
    <w:p w14:paraId="59FB9049" w14:textId="77777777" w:rsidR="00FC0AE9" w:rsidRPr="009D6DF2" w:rsidRDefault="00FC0AE9" w:rsidP="00EE67D9">
      <w:pPr>
        <w:numPr>
          <w:ilvl w:val="0"/>
          <w:numId w:val="22"/>
        </w:numPr>
        <w:spacing w:after="160" w:line="259" w:lineRule="auto"/>
        <w:contextualSpacing/>
        <w:rPr>
          <w:rFonts w:cs="Times New Roman"/>
          <w:sz w:val="20"/>
          <w:szCs w:val="20"/>
        </w:rPr>
      </w:pPr>
      <w:r w:rsidRPr="009D6DF2">
        <w:rPr>
          <w:rFonts w:cs="Times New Roman"/>
          <w:sz w:val="20"/>
          <w:szCs w:val="20"/>
        </w:rPr>
        <w:t xml:space="preserve">OECD (2018b). Putting faces on the jobs at risk of automation. Policy Brief on the Future of Work. Paris: OECD. </w:t>
      </w:r>
    </w:p>
    <w:p w14:paraId="22DB3376" w14:textId="77777777" w:rsidR="00FC0AE9" w:rsidRPr="009D6DF2" w:rsidRDefault="00FC0AE9" w:rsidP="00EE67D9">
      <w:pPr>
        <w:numPr>
          <w:ilvl w:val="0"/>
          <w:numId w:val="22"/>
        </w:numPr>
        <w:spacing w:after="160" w:line="259" w:lineRule="auto"/>
        <w:contextualSpacing/>
        <w:rPr>
          <w:rFonts w:cs="Times New Roman"/>
          <w:sz w:val="20"/>
          <w:szCs w:val="20"/>
        </w:rPr>
      </w:pPr>
      <w:r w:rsidRPr="009D6DF2">
        <w:rPr>
          <w:rFonts w:cs="Times New Roman"/>
          <w:sz w:val="20"/>
          <w:szCs w:val="20"/>
        </w:rPr>
        <w:t xml:space="preserve">OECD (2018c). Job creation and local economic development 2018: preparing for the future of work. Paris: OECD. </w:t>
      </w:r>
    </w:p>
    <w:p w14:paraId="4E5201C5" w14:textId="77777777" w:rsidR="00FC0AE9" w:rsidRPr="009D6DF2" w:rsidRDefault="00FC0AE9" w:rsidP="00EE67D9">
      <w:pPr>
        <w:numPr>
          <w:ilvl w:val="0"/>
          <w:numId w:val="22"/>
        </w:numPr>
        <w:spacing w:after="160" w:line="259" w:lineRule="auto"/>
        <w:contextualSpacing/>
        <w:rPr>
          <w:rFonts w:cs="Times New Roman"/>
          <w:sz w:val="20"/>
          <w:szCs w:val="20"/>
        </w:rPr>
      </w:pPr>
      <w:r w:rsidRPr="009D6DF2">
        <w:rPr>
          <w:rFonts w:cs="Times New Roman"/>
          <w:sz w:val="20"/>
          <w:szCs w:val="20"/>
        </w:rPr>
        <w:t xml:space="preserve">OECD Employment Outlook 2019: The future of work, OECD, April 2019. </w:t>
      </w:r>
    </w:p>
    <w:p w14:paraId="3B1ABC7B" w14:textId="77777777" w:rsidR="00FC0AE9" w:rsidRPr="009D6DF2" w:rsidRDefault="00FC0AE9" w:rsidP="00EE67D9">
      <w:pPr>
        <w:numPr>
          <w:ilvl w:val="0"/>
          <w:numId w:val="22"/>
        </w:numPr>
        <w:spacing w:line="259" w:lineRule="auto"/>
        <w:contextualSpacing/>
        <w:rPr>
          <w:rFonts w:cs="Times New Roman"/>
          <w:sz w:val="20"/>
          <w:szCs w:val="20"/>
        </w:rPr>
      </w:pPr>
      <w:r w:rsidRPr="009D6DF2">
        <w:rPr>
          <w:rFonts w:cs="Times New Roman"/>
          <w:sz w:val="20"/>
          <w:szCs w:val="20"/>
        </w:rPr>
        <w:t>Ohmae, K. (1990). The Borderless World. London: Harper Collins</w:t>
      </w:r>
    </w:p>
    <w:p w14:paraId="0BBD9354" w14:textId="77777777" w:rsidR="00FC0AE9" w:rsidRPr="00B62D44" w:rsidRDefault="00FC0AE9" w:rsidP="00EE67D9">
      <w:pPr>
        <w:pStyle w:val="ListParagraph"/>
        <w:numPr>
          <w:ilvl w:val="0"/>
          <w:numId w:val="22"/>
        </w:numPr>
        <w:spacing w:line="259" w:lineRule="auto"/>
        <w:rPr>
          <w:sz w:val="20"/>
          <w:szCs w:val="20"/>
        </w:rPr>
      </w:pPr>
      <w:r w:rsidRPr="00B62D44">
        <w:rPr>
          <w:sz w:val="20"/>
          <w:szCs w:val="20"/>
        </w:rPr>
        <w:t>Tasenţe, T. (2019). Social Media Communication in the European Administration. Case study: European Commission. </w:t>
      </w:r>
      <w:r w:rsidRPr="00B62D44">
        <w:rPr>
          <w:i/>
          <w:iCs/>
          <w:sz w:val="20"/>
          <w:szCs w:val="20"/>
        </w:rPr>
        <w:t>Acta Universitatis Danubius. Communicatio</w:t>
      </w:r>
      <w:r w:rsidRPr="00B62D44">
        <w:rPr>
          <w:sz w:val="20"/>
          <w:szCs w:val="20"/>
        </w:rPr>
        <w:t>, </w:t>
      </w:r>
      <w:r w:rsidRPr="00B62D44">
        <w:rPr>
          <w:i/>
          <w:iCs/>
          <w:sz w:val="20"/>
          <w:szCs w:val="20"/>
        </w:rPr>
        <w:t>13</w:t>
      </w:r>
      <w:r w:rsidRPr="00B62D44">
        <w:rPr>
          <w:sz w:val="20"/>
          <w:szCs w:val="20"/>
        </w:rPr>
        <w:t>(2), 118-129.</w:t>
      </w:r>
    </w:p>
    <w:p w14:paraId="02C9AC6D" w14:textId="77777777" w:rsidR="00FC0AE9" w:rsidRPr="009D6DF2" w:rsidRDefault="00FC0AE9" w:rsidP="00EE67D9">
      <w:pPr>
        <w:numPr>
          <w:ilvl w:val="0"/>
          <w:numId w:val="22"/>
        </w:numPr>
        <w:spacing w:after="160" w:line="259" w:lineRule="auto"/>
        <w:contextualSpacing/>
        <w:rPr>
          <w:rFonts w:cs="Times New Roman"/>
          <w:sz w:val="20"/>
          <w:szCs w:val="20"/>
        </w:rPr>
      </w:pPr>
      <w:r w:rsidRPr="009D6DF2">
        <w:rPr>
          <w:rFonts w:cs="Times New Roman"/>
          <w:sz w:val="20"/>
          <w:szCs w:val="20"/>
        </w:rPr>
        <w:t>Turkish Confederation of Employer Associations (TİSK) Future of Work survey of 150 senior executives and labour union representatives, October 2019</w:t>
      </w:r>
    </w:p>
    <w:p w14:paraId="0DE879D6" w14:textId="77777777" w:rsidR="00FC0AE9" w:rsidRPr="009D6DF2" w:rsidRDefault="00FC0AE9" w:rsidP="00EE67D9">
      <w:pPr>
        <w:numPr>
          <w:ilvl w:val="0"/>
          <w:numId w:val="22"/>
        </w:numPr>
        <w:spacing w:line="259" w:lineRule="auto"/>
        <w:contextualSpacing/>
        <w:rPr>
          <w:rFonts w:cs="Times New Roman"/>
          <w:sz w:val="20"/>
          <w:szCs w:val="20"/>
        </w:rPr>
      </w:pPr>
      <w:r w:rsidRPr="009D6DF2">
        <w:rPr>
          <w:rFonts w:cs="Times New Roman"/>
          <w:sz w:val="20"/>
          <w:szCs w:val="20"/>
        </w:rPr>
        <w:t>Turkish Confederation of Employer Associations (TİSK) Future of Work survey of 150 senior executives and labour union representatives, October 2019.</w:t>
      </w:r>
    </w:p>
    <w:p w14:paraId="2A96CEFA" w14:textId="77777777" w:rsidR="00FC0AE9" w:rsidRPr="00B62D44" w:rsidRDefault="00FC0AE9" w:rsidP="00EE67D9">
      <w:pPr>
        <w:pStyle w:val="ListParagraph"/>
        <w:numPr>
          <w:ilvl w:val="0"/>
          <w:numId w:val="22"/>
        </w:numPr>
        <w:spacing w:line="259" w:lineRule="auto"/>
        <w:rPr>
          <w:sz w:val="20"/>
          <w:szCs w:val="20"/>
        </w:rPr>
      </w:pPr>
      <w:r w:rsidRPr="00B62D44">
        <w:rPr>
          <w:sz w:val="20"/>
          <w:szCs w:val="20"/>
        </w:rPr>
        <w:t>White, A. (2012). </w:t>
      </w:r>
      <w:r w:rsidRPr="00B62D44">
        <w:rPr>
          <w:i/>
          <w:iCs/>
          <w:sz w:val="20"/>
          <w:szCs w:val="20"/>
        </w:rPr>
        <w:t>The digital labour challenge: Work in the age of new media</w:t>
      </w:r>
      <w:r w:rsidRPr="00B62D44">
        <w:rPr>
          <w:sz w:val="20"/>
          <w:szCs w:val="20"/>
        </w:rPr>
        <w:t xml:space="preserve">. ILO. Available at: </w:t>
      </w:r>
      <w:hyperlink r:id="rId123" w:history="1">
        <w:r w:rsidRPr="00B62D44">
          <w:rPr>
            <w:color w:val="0563C1"/>
            <w:sz w:val="20"/>
            <w:szCs w:val="20"/>
            <w:u w:val="single"/>
          </w:rPr>
          <w:t>https://www.ilo.org/wcmsp5/groups/public/---ed_dialogue/---sector/documents/publication/wcms_241457.pdf</w:t>
        </w:r>
      </w:hyperlink>
    </w:p>
    <w:p w14:paraId="768F1B31" w14:textId="77777777" w:rsidR="00FC0AE9" w:rsidRPr="009D6DF2" w:rsidRDefault="00FC0AE9" w:rsidP="00EE67D9">
      <w:pPr>
        <w:numPr>
          <w:ilvl w:val="0"/>
          <w:numId w:val="22"/>
        </w:numPr>
        <w:spacing w:after="160" w:line="259" w:lineRule="auto"/>
        <w:contextualSpacing/>
        <w:rPr>
          <w:rFonts w:cs="Times New Roman"/>
          <w:sz w:val="20"/>
          <w:szCs w:val="20"/>
        </w:rPr>
      </w:pPr>
      <w:r w:rsidRPr="009D6DF2">
        <w:rPr>
          <w:rFonts w:cs="Times New Roman"/>
          <w:sz w:val="20"/>
          <w:szCs w:val="20"/>
        </w:rPr>
        <w:t xml:space="preserve">World Bank (2013) </w:t>
      </w:r>
      <w:r>
        <w:rPr>
          <w:rFonts w:cs="Times New Roman"/>
          <w:sz w:val="20"/>
          <w:szCs w:val="20"/>
        </w:rPr>
        <w:t>Türkiye</w:t>
      </w:r>
      <w:r w:rsidRPr="009D6DF2">
        <w:rPr>
          <w:rFonts w:cs="Times New Roman"/>
          <w:sz w:val="20"/>
          <w:szCs w:val="20"/>
        </w:rPr>
        <w:t xml:space="preserve"> Informatics and Economic Modernization, Washington</w:t>
      </w:r>
    </w:p>
    <w:p w14:paraId="6B1326DA" w14:textId="77777777" w:rsidR="00FC0AE9" w:rsidRPr="009D6DF2" w:rsidRDefault="00FC0AE9" w:rsidP="00FC0AE9">
      <w:pPr>
        <w:spacing w:after="160" w:line="259" w:lineRule="auto"/>
        <w:rPr>
          <w:rFonts w:cs="Times New Roman"/>
          <w:b/>
          <w:bCs/>
          <w:sz w:val="20"/>
          <w:szCs w:val="20"/>
        </w:rPr>
      </w:pPr>
    </w:p>
    <w:p w14:paraId="512DE4BE" w14:textId="5A286751" w:rsidR="003E08C1" w:rsidRDefault="00FC0AE9" w:rsidP="00EE67D9">
      <w:pPr>
        <w:pStyle w:val="Heading2"/>
        <w:numPr>
          <w:ilvl w:val="0"/>
          <w:numId w:val="27"/>
        </w:numPr>
        <w:spacing w:before="40" w:after="0"/>
      </w:pPr>
      <w:bookmarkStart w:id="66" w:name="_Toc72941506"/>
      <w:bookmarkStart w:id="67" w:name="_Toc77037293"/>
      <w:bookmarkStart w:id="68" w:name="_Toc118366181"/>
      <w:r w:rsidRPr="003F5711">
        <w:lastRenderedPageBreak/>
        <w:t>Websites:</w:t>
      </w:r>
      <w:bookmarkEnd w:id="66"/>
      <w:bookmarkEnd w:id="67"/>
      <w:bookmarkEnd w:id="68"/>
      <w:r w:rsidRPr="003F5711">
        <w:t xml:space="preserve"> </w:t>
      </w:r>
    </w:p>
    <w:p w14:paraId="43686680" w14:textId="77777777" w:rsidR="003E08C1" w:rsidRPr="003E08C1" w:rsidRDefault="003E08C1" w:rsidP="003E08C1"/>
    <w:p w14:paraId="4DDEF5D3" w14:textId="77777777" w:rsidR="00FC0AE9" w:rsidRPr="00E63B8C" w:rsidRDefault="00CD0C1E" w:rsidP="00EE67D9">
      <w:pPr>
        <w:pStyle w:val="ListParagraph"/>
        <w:numPr>
          <w:ilvl w:val="0"/>
          <w:numId w:val="23"/>
        </w:numPr>
        <w:spacing w:after="160" w:line="259" w:lineRule="auto"/>
        <w:rPr>
          <w:sz w:val="20"/>
          <w:szCs w:val="20"/>
        </w:rPr>
      </w:pPr>
      <w:hyperlink r:id="rId124" w:history="1">
        <w:r w:rsidR="00FC0AE9" w:rsidRPr="00E63B8C">
          <w:rPr>
            <w:color w:val="0563C1"/>
            <w:sz w:val="20"/>
            <w:szCs w:val="20"/>
            <w:u w:val="single"/>
          </w:rPr>
          <w:t>www.tubisad.org.tr</w:t>
        </w:r>
      </w:hyperlink>
    </w:p>
    <w:p w14:paraId="7D896FF9" w14:textId="77777777" w:rsidR="00FC0AE9" w:rsidRPr="00E63B8C" w:rsidRDefault="00CD0C1E" w:rsidP="00EE67D9">
      <w:pPr>
        <w:pStyle w:val="ListParagraph"/>
        <w:numPr>
          <w:ilvl w:val="0"/>
          <w:numId w:val="23"/>
        </w:numPr>
        <w:spacing w:after="160" w:line="259" w:lineRule="auto"/>
        <w:rPr>
          <w:sz w:val="20"/>
          <w:szCs w:val="20"/>
        </w:rPr>
      </w:pPr>
      <w:hyperlink r:id="rId125" w:history="1">
        <w:r w:rsidR="00FC0AE9" w:rsidRPr="00E63B8C">
          <w:rPr>
            <w:color w:val="0563C1"/>
            <w:sz w:val="20"/>
            <w:szCs w:val="20"/>
            <w:u w:val="single"/>
          </w:rPr>
          <w:t>www.tbd.org.tr</w:t>
        </w:r>
      </w:hyperlink>
    </w:p>
    <w:p w14:paraId="1C9998DF" w14:textId="77777777" w:rsidR="00FC0AE9" w:rsidRPr="00E63B8C" w:rsidRDefault="00CD0C1E" w:rsidP="00EE67D9">
      <w:pPr>
        <w:pStyle w:val="ListParagraph"/>
        <w:numPr>
          <w:ilvl w:val="0"/>
          <w:numId w:val="23"/>
        </w:numPr>
        <w:spacing w:after="160" w:line="259" w:lineRule="auto"/>
        <w:rPr>
          <w:sz w:val="20"/>
          <w:szCs w:val="20"/>
        </w:rPr>
      </w:pPr>
      <w:hyperlink r:id="rId126" w:history="1">
        <w:r w:rsidR="00FC0AE9" w:rsidRPr="00E63B8C">
          <w:rPr>
            <w:color w:val="0563C1"/>
            <w:sz w:val="20"/>
            <w:szCs w:val="20"/>
            <w:u w:val="single"/>
          </w:rPr>
          <w:t>www.tuik.org.ar</w:t>
        </w:r>
      </w:hyperlink>
    </w:p>
    <w:p w14:paraId="4B8A6EC4" w14:textId="77777777" w:rsidR="00FC0AE9" w:rsidRPr="00E63B8C" w:rsidRDefault="00CD0C1E" w:rsidP="00EE67D9">
      <w:pPr>
        <w:pStyle w:val="ListParagraph"/>
        <w:numPr>
          <w:ilvl w:val="0"/>
          <w:numId w:val="23"/>
        </w:numPr>
        <w:spacing w:after="160" w:line="259" w:lineRule="auto"/>
        <w:rPr>
          <w:sz w:val="20"/>
          <w:szCs w:val="20"/>
        </w:rPr>
      </w:pPr>
      <w:hyperlink r:id="rId127" w:history="1">
        <w:r w:rsidR="00FC0AE9" w:rsidRPr="00E63B8C">
          <w:rPr>
            <w:color w:val="0563C1"/>
            <w:sz w:val="20"/>
            <w:szCs w:val="20"/>
            <w:u w:val="single"/>
          </w:rPr>
          <w:t>www.sanayi.gov.tr</w:t>
        </w:r>
      </w:hyperlink>
    </w:p>
    <w:p w14:paraId="18C8212F" w14:textId="77777777" w:rsidR="00FC0AE9" w:rsidRPr="00E63B8C" w:rsidRDefault="00CD0C1E" w:rsidP="00EE67D9">
      <w:pPr>
        <w:pStyle w:val="ListParagraph"/>
        <w:numPr>
          <w:ilvl w:val="0"/>
          <w:numId w:val="23"/>
        </w:numPr>
        <w:spacing w:after="160" w:line="259" w:lineRule="auto"/>
        <w:rPr>
          <w:sz w:val="20"/>
          <w:szCs w:val="20"/>
        </w:rPr>
      </w:pPr>
      <w:hyperlink r:id="rId128" w:history="1">
        <w:r w:rsidR="00FC0AE9" w:rsidRPr="00E63B8C">
          <w:rPr>
            <w:color w:val="0563C1"/>
            <w:sz w:val="20"/>
            <w:szCs w:val="20"/>
            <w:u w:val="single"/>
          </w:rPr>
          <w:t>www.iskur.org.tr</w:t>
        </w:r>
      </w:hyperlink>
    </w:p>
    <w:p w14:paraId="50ADC298" w14:textId="77777777" w:rsidR="00FC0AE9" w:rsidRPr="00E63B8C" w:rsidRDefault="00CD0C1E" w:rsidP="00EE67D9">
      <w:pPr>
        <w:pStyle w:val="ListParagraph"/>
        <w:numPr>
          <w:ilvl w:val="0"/>
          <w:numId w:val="23"/>
        </w:numPr>
        <w:spacing w:after="160" w:line="259" w:lineRule="auto"/>
        <w:rPr>
          <w:sz w:val="20"/>
          <w:szCs w:val="20"/>
        </w:rPr>
      </w:pPr>
      <w:hyperlink r:id="rId129" w:history="1">
        <w:r w:rsidR="00FC0AE9" w:rsidRPr="00E63B8C">
          <w:rPr>
            <w:color w:val="0563C1"/>
            <w:sz w:val="20"/>
            <w:szCs w:val="20"/>
            <w:u w:val="single"/>
          </w:rPr>
          <w:t>https://www.iletisim.gov.tr/english</w:t>
        </w:r>
      </w:hyperlink>
    </w:p>
    <w:p w14:paraId="350F15BD" w14:textId="77777777" w:rsidR="00FC0AE9" w:rsidRPr="00E63B8C" w:rsidRDefault="00CD0C1E" w:rsidP="00EE67D9">
      <w:pPr>
        <w:pStyle w:val="ListParagraph"/>
        <w:numPr>
          <w:ilvl w:val="0"/>
          <w:numId w:val="23"/>
        </w:numPr>
        <w:spacing w:after="160" w:line="259" w:lineRule="auto"/>
        <w:rPr>
          <w:sz w:val="20"/>
          <w:szCs w:val="20"/>
        </w:rPr>
      </w:pPr>
      <w:hyperlink r:id="rId130" w:history="1">
        <w:r w:rsidR="00FC0AE9" w:rsidRPr="00E63B8C">
          <w:rPr>
            <w:color w:val="0563C1"/>
            <w:sz w:val="20"/>
            <w:szCs w:val="20"/>
            <w:u w:val="single"/>
          </w:rPr>
          <w:t>https://www.uab.gov.tr/</w:t>
        </w:r>
      </w:hyperlink>
    </w:p>
    <w:p w14:paraId="1EC1C94E" w14:textId="77777777" w:rsidR="00FC0AE9" w:rsidRPr="00E63B8C" w:rsidRDefault="00CD0C1E" w:rsidP="00EE67D9">
      <w:pPr>
        <w:pStyle w:val="ListParagraph"/>
        <w:numPr>
          <w:ilvl w:val="0"/>
          <w:numId w:val="23"/>
        </w:numPr>
        <w:spacing w:after="160" w:line="259" w:lineRule="auto"/>
        <w:rPr>
          <w:sz w:val="20"/>
          <w:szCs w:val="20"/>
        </w:rPr>
      </w:pPr>
      <w:hyperlink r:id="rId131" w:history="1">
        <w:r w:rsidR="00FC0AE9" w:rsidRPr="00E63B8C">
          <w:rPr>
            <w:color w:val="0563C1"/>
            <w:sz w:val="20"/>
            <w:szCs w:val="20"/>
            <w:u w:val="single"/>
          </w:rPr>
          <w:t>https://www.invest.gov.tr/en/pages/home-page.aspx</w:t>
        </w:r>
      </w:hyperlink>
    </w:p>
    <w:p w14:paraId="0B54806B" w14:textId="77777777" w:rsidR="00FC0AE9" w:rsidRPr="00E63B8C" w:rsidRDefault="00CD0C1E" w:rsidP="00EE67D9">
      <w:pPr>
        <w:pStyle w:val="ListParagraph"/>
        <w:numPr>
          <w:ilvl w:val="0"/>
          <w:numId w:val="23"/>
        </w:numPr>
        <w:spacing w:after="160" w:line="259" w:lineRule="auto"/>
        <w:rPr>
          <w:sz w:val="20"/>
          <w:szCs w:val="20"/>
        </w:rPr>
      </w:pPr>
      <w:hyperlink r:id="rId132" w:history="1">
        <w:r w:rsidR="00FC0AE9" w:rsidRPr="00E63B8C">
          <w:rPr>
            <w:color w:val="0563C1"/>
            <w:sz w:val="20"/>
            <w:szCs w:val="20"/>
            <w:u w:val="single"/>
          </w:rPr>
          <w:t>https://www.sbb.gov.tr/wp-content/uploads/2020/06/Eleventh_Development_Plan-2019-2023.pdf</w:t>
        </w:r>
      </w:hyperlink>
    </w:p>
    <w:p w14:paraId="43CF3C7F" w14:textId="77777777" w:rsidR="00FC0AE9" w:rsidRPr="00E63B8C" w:rsidRDefault="00FC0AE9" w:rsidP="00EE67D9">
      <w:pPr>
        <w:pStyle w:val="ListParagraph"/>
        <w:numPr>
          <w:ilvl w:val="0"/>
          <w:numId w:val="23"/>
        </w:numPr>
        <w:spacing w:after="160" w:line="259" w:lineRule="auto"/>
        <w:rPr>
          <w:sz w:val="20"/>
          <w:szCs w:val="20"/>
        </w:rPr>
      </w:pPr>
      <w:r w:rsidRPr="00E63B8C">
        <w:rPr>
          <w:sz w:val="20"/>
          <w:szCs w:val="20"/>
        </w:rPr>
        <w:t xml:space="preserve">For an overview of the audio-visual sector in the context of COVID-19 consult: </w:t>
      </w:r>
      <w:hyperlink r:id="rId133" w:history="1">
        <w:r w:rsidRPr="00E63B8C">
          <w:rPr>
            <w:color w:val="0563C1"/>
            <w:sz w:val="20"/>
            <w:szCs w:val="20"/>
            <w:u w:val="single"/>
          </w:rPr>
          <w:t>https://rm.coe.int/irisplus-2020-2-the-european-audiovisual-industry-in-the-time-of-covi/16809f9a46</w:t>
        </w:r>
      </w:hyperlink>
    </w:p>
    <w:p w14:paraId="5995F927" w14:textId="77777777" w:rsidR="00FC0AE9" w:rsidRDefault="00FC0AE9">
      <w:pPr>
        <w:rPr>
          <w:b/>
          <w:sz w:val="22"/>
          <w:szCs w:val="22"/>
        </w:rPr>
      </w:pPr>
    </w:p>
    <w:p w14:paraId="7F925FCA" w14:textId="77777777" w:rsidR="0015658F" w:rsidRDefault="0015658F">
      <w:pPr>
        <w:rPr>
          <w:b/>
          <w:sz w:val="22"/>
          <w:szCs w:val="22"/>
        </w:rPr>
      </w:pPr>
    </w:p>
    <w:p w14:paraId="481DC0CB" w14:textId="3184EEC9" w:rsidR="001F5353" w:rsidRDefault="009C54EF">
      <w:pPr>
        <w:spacing w:after="160" w:line="259" w:lineRule="auto"/>
        <w:jc w:val="both"/>
        <w:rPr>
          <w:sz w:val="22"/>
          <w:szCs w:val="22"/>
        </w:rPr>
      </w:pPr>
      <w:bookmarkStart w:id="69" w:name="_heading=h.26in1rg" w:colFirst="0" w:colLast="0"/>
      <w:bookmarkEnd w:id="69"/>
      <w:r>
        <w:rPr>
          <w:sz w:val="22"/>
          <w:szCs w:val="22"/>
        </w:rPr>
        <w:t>Attached to this Report:</w:t>
      </w:r>
    </w:p>
    <w:p w14:paraId="6915F679" w14:textId="7E014F9C" w:rsidR="00807B42" w:rsidRDefault="002A11FD" w:rsidP="00FC0AE9">
      <w:pPr>
        <w:spacing w:line="259" w:lineRule="auto"/>
        <w:ind w:left="720"/>
        <w:jc w:val="both"/>
        <w:rPr>
          <w:sz w:val="22"/>
          <w:szCs w:val="22"/>
        </w:rPr>
      </w:pPr>
      <w:r>
        <w:rPr>
          <w:sz w:val="22"/>
          <w:szCs w:val="22"/>
        </w:rPr>
        <w:t>Annex 1: Desk Research Report;</w:t>
      </w:r>
    </w:p>
    <w:p w14:paraId="13580D6F" w14:textId="70C021E3" w:rsidR="002A11FD" w:rsidRDefault="002A11FD" w:rsidP="00FC0AE9">
      <w:pPr>
        <w:spacing w:line="259" w:lineRule="auto"/>
        <w:ind w:left="720"/>
        <w:jc w:val="both"/>
        <w:rPr>
          <w:sz w:val="22"/>
          <w:szCs w:val="22"/>
        </w:rPr>
      </w:pPr>
      <w:r>
        <w:rPr>
          <w:sz w:val="22"/>
          <w:szCs w:val="22"/>
        </w:rPr>
        <w:t xml:space="preserve">Annex 2: </w:t>
      </w:r>
      <w:r w:rsidR="00715D0F">
        <w:rPr>
          <w:sz w:val="22"/>
          <w:szCs w:val="22"/>
        </w:rPr>
        <w:t>Evaluation Report on SWOT Analysis Workshops</w:t>
      </w:r>
      <w:r>
        <w:rPr>
          <w:sz w:val="22"/>
          <w:szCs w:val="22"/>
        </w:rPr>
        <w:t>;</w:t>
      </w:r>
    </w:p>
    <w:p w14:paraId="1B950057" w14:textId="4614F42A" w:rsidR="002A11FD" w:rsidRDefault="002A11FD" w:rsidP="00FC0AE9">
      <w:pPr>
        <w:spacing w:line="259" w:lineRule="auto"/>
        <w:ind w:left="720"/>
        <w:jc w:val="both"/>
        <w:rPr>
          <w:sz w:val="22"/>
          <w:szCs w:val="22"/>
        </w:rPr>
      </w:pPr>
      <w:r>
        <w:rPr>
          <w:sz w:val="22"/>
          <w:szCs w:val="22"/>
        </w:rPr>
        <w:t>Annex 3: Evaluation Report on Pre-Study Workshop;</w:t>
      </w:r>
    </w:p>
    <w:p w14:paraId="0FDF0B50" w14:textId="3E9E5D6E" w:rsidR="002A11FD" w:rsidRDefault="002A11FD" w:rsidP="00FC0AE9">
      <w:pPr>
        <w:spacing w:line="259" w:lineRule="auto"/>
        <w:ind w:left="720"/>
        <w:jc w:val="both"/>
        <w:rPr>
          <w:sz w:val="22"/>
          <w:szCs w:val="22"/>
        </w:rPr>
      </w:pPr>
      <w:r>
        <w:rPr>
          <w:sz w:val="22"/>
          <w:szCs w:val="22"/>
        </w:rPr>
        <w:t>Annex 4: Field Study Report;</w:t>
      </w:r>
    </w:p>
    <w:p w14:paraId="5C732564" w14:textId="14741794" w:rsidR="002A11FD" w:rsidRDefault="002A11FD" w:rsidP="009C54EF">
      <w:pPr>
        <w:spacing w:after="160" w:line="259" w:lineRule="auto"/>
        <w:ind w:left="720"/>
        <w:jc w:val="both"/>
        <w:rPr>
          <w:sz w:val="22"/>
          <w:szCs w:val="22"/>
        </w:rPr>
      </w:pPr>
      <w:r>
        <w:rPr>
          <w:sz w:val="22"/>
          <w:szCs w:val="22"/>
        </w:rPr>
        <w:t>Annex 5: Evaluation Report on Post-Study Workshop.</w:t>
      </w:r>
    </w:p>
    <w:p w14:paraId="52652EF4" w14:textId="77777777" w:rsidR="00807B42" w:rsidRDefault="00807B42">
      <w:pPr>
        <w:spacing w:after="160" w:line="259" w:lineRule="auto"/>
        <w:jc w:val="both"/>
        <w:rPr>
          <w:sz w:val="22"/>
          <w:szCs w:val="22"/>
        </w:rPr>
      </w:pPr>
    </w:p>
    <w:p w14:paraId="5D8425AE" w14:textId="202E4E1C" w:rsidR="0015658F" w:rsidRDefault="006B2F74">
      <w:pPr>
        <w:jc w:val="both"/>
        <w:rPr>
          <w:b/>
          <w:sz w:val="22"/>
          <w:szCs w:val="22"/>
        </w:rPr>
      </w:pPr>
      <w:bookmarkStart w:id="70" w:name="_heading=h.44sinio" w:colFirst="0" w:colLast="0"/>
      <w:bookmarkEnd w:id="70"/>
      <w:r>
        <w:rPr>
          <w:b/>
          <w:sz w:val="22"/>
          <w:szCs w:val="22"/>
        </w:rPr>
        <w:t>Fo</w:t>
      </w:r>
      <w:r w:rsidR="006A3AF5">
        <w:rPr>
          <w:b/>
          <w:sz w:val="22"/>
          <w:szCs w:val="22"/>
        </w:rPr>
        <w:t>W TAT</w:t>
      </w:r>
    </w:p>
    <w:p w14:paraId="31A6732E" w14:textId="7A241364" w:rsidR="0015658F" w:rsidRDefault="009C54EF">
      <w:pPr>
        <w:jc w:val="both"/>
        <w:rPr>
          <w:b/>
          <w:sz w:val="22"/>
          <w:szCs w:val="22"/>
        </w:rPr>
      </w:pPr>
      <w:r>
        <w:rPr>
          <w:b/>
          <w:sz w:val="22"/>
          <w:szCs w:val="22"/>
        </w:rPr>
        <w:t>October</w:t>
      </w:r>
      <w:r w:rsidR="006B2F74">
        <w:rPr>
          <w:b/>
          <w:sz w:val="22"/>
          <w:szCs w:val="22"/>
        </w:rPr>
        <w:t xml:space="preserve"> </w:t>
      </w:r>
      <w:r w:rsidR="006A3AF5">
        <w:rPr>
          <w:b/>
          <w:sz w:val="22"/>
          <w:szCs w:val="22"/>
        </w:rPr>
        <w:t>2022</w:t>
      </w:r>
      <w:r w:rsidR="00FD06DE">
        <w:rPr>
          <w:b/>
          <w:sz w:val="22"/>
          <w:szCs w:val="22"/>
        </w:rPr>
        <w:t xml:space="preserve"> (Updated November 2023)</w:t>
      </w:r>
      <w:bookmarkStart w:id="71" w:name="_GoBack"/>
      <w:bookmarkEnd w:id="71"/>
    </w:p>
    <w:p w14:paraId="700B9BFB" w14:textId="086BDF6D" w:rsidR="0095333C" w:rsidRDefault="0095333C">
      <w:pPr>
        <w:jc w:val="both"/>
        <w:rPr>
          <w:b/>
          <w:sz w:val="22"/>
          <w:szCs w:val="22"/>
        </w:rPr>
      </w:pPr>
    </w:p>
    <w:p w14:paraId="2D671A29" w14:textId="77777777" w:rsidR="0095333C" w:rsidRDefault="0095333C">
      <w:pPr>
        <w:jc w:val="both"/>
        <w:rPr>
          <w:b/>
          <w:sz w:val="22"/>
          <w:szCs w:val="22"/>
        </w:rPr>
      </w:pPr>
    </w:p>
    <w:p w14:paraId="599D85EC" w14:textId="0726AF3F" w:rsidR="0023103C" w:rsidRDefault="0023103C">
      <w:pPr>
        <w:rPr>
          <w:sz w:val="22"/>
          <w:szCs w:val="22"/>
        </w:rPr>
      </w:pPr>
      <w:r>
        <w:rPr>
          <w:sz w:val="22"/>
          <w:szCs w:val="22"/>
        </w:rPr>
        <w:br w:type="page"/>
      </w:r>
    </w:p>
    <w:p w14:paraId="0E6063DE" w14:textId="0308E205" w:rsidR="0015658F" w:rsidRDefault="00EB3532">
      <w:pPr>
        <w:rPr>
          <w:sz w:val="22"/>
          <w:szCs w:val="22"/>
        </w:rPr>
      </w:pPr>
      <w:r>
        <w:rPr>
          <w:noProof/>
          <w:lang w:eastAsia="en-GB"/>
        </w:rPr>
        <w:lastRenderedPageBreak/>
        <mc:AlternateContent>
          <mc:Choice Requires="wps">
            <w:drawing>
              <wp:anchor distT="0" distB="0" distL="114300" distR="114300" simplePos="0" relativeHeight="251664384" behindDoc="0" locked="0" layoutInCell="1" hidden="0" allowOverlap="1" wp14:anchorId="7A32BC69" wp14:editId="772BDD51">
                <wp:simplePos x="0" y="0"/>
                <wp:positionH relativeFrom="page">
                  <wp:align>center</wp:align>
                </wp:positionH>
                <wp:positionV relativeFrom="paragraph">
                  <wp:posOffset>7622135</wp:posOffset>
                </wp:positionV>
                <wp:extent cx="7179945" cy="611505"/>
                <wp:effectExtent l="0" t="0" r="1905" b="17145"/>
                <wp:wrapNone/>
                <wp:docPr id="31" name="Rectangle 31"/>
                <wp:cNvGraphicFramePr/>
                <a:graphic xmlns:a="http://schemas.openxmlformats.org/drawingml/2006/main">
                  <a:graphicData uri="http://schemas.microsoft.com/office/word/2010/wordprocessingShape">
                    <wps:wsp>
                      <wps:cNvSpPr/>
                      <wps:spPr>
                        <a:xfrm>
                          <a:off x="0" y="0"/>
                          <a:ext cx="7179945" cy="611505"/>
                        </a:xfrm>
                        <a:prstGeom prst="rect">
                          <a:avLst/>
                        </a:prstGeom>
                        <a:noFill/>
                        <a:ln>
                          <a:noFill/>
                        </a:ln>
                      </wps:spPr>
                      <wps:txbx>
                        <w:txbxContent>
                          <w:p w14:paraId="4C395050" w14:textId="4DA1F136" w:rsidR="00CD0C1E" w:rsidRDefault="00CD0C1E">
                            <w:pPr>
                              <w:spacing w:line="288" w:lineRule="auto"/>
                              <w:jc w:val="both"/>
                              <w:textDirection w:val="btLr"/>
                            </w:pPr>
                            <w:r>
                              <w:rPr>
                                <w:color w:val="002060"/>
                                <w:sz w:val="20"/>
                              </w:rPr>
                              <w:t>This publication was produced with the financial support of the European Union and the Republic of Türkiye. Its contents are the sole responsibility of the consortium led by WEglobal A.Ş. in consortium with WEglobal Italy, Archidata Srl, and Federation of Trentina Cooperatives (FTC) and do not necessarily reflect the views of the European Union and the Republic of Türkiye.</w:t>
                            </w:r>
                          </w:p>
                        </w:txbxContent>
                      </wps:txbx>
                      <wps:bodyPr spcFirstLastPara="1" wrap="square" lIns="0" tIns="0" rIns="0" bIns="0" anchor="t" anchorCtr="0">
                        <a:noAutofit/>
                      </wps:bodyPr>
                    </wps:wsp>
                  </a:graphicData>
                </a:graphic>
              </wp:anchor>
            </w:drawing>
          </mc:Choice>
          <mc:Fallback>
            <w:pict>
              <v:rect w14:anchorId="7A32BC69" id="Rectangle 31" o:spid="_x0000_s1027" style="position:absolute;margin-left:0;margin-top:600.15pt;width:565.35pt;height:48.15pt;z-index:25166438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" filled="f" stroked="f">
                <v:textbox inset="0,0,0,0">
                  <w:txbxContent>
                    <w:p w14:paraId="4C395050" w14:textId="4DA1F136" w:rsidR="00CD0C1E" w:rsidRDefault="00CD0C1E">
                      <w:pPr>
                        <w:spacing w:line="288" w:lineRule="auto"/>
                        <w:jc w:val="both"/>
                        <w:textDirection w:val="btLr"/>
                      </w:pPr>
                      <w:r>
                        <w:rPr>
                          <w:color w:val="002060"/>
                          <w:sz w:val="20"/>
                        </w:rPr>
                        <w:t>This publication was produced with the financial support of the European Union and the Republic of Türkiye. Its contents are the sole responsibility of the consortium led by WEglobal A.Ş. in consortium with WEglobal Italy, Archidata Srl, and Federation of Trentina Cooperatives (FTC) and do not necessarily reflect the views of the European Union and the Republic of Türkiye.</w:t>
                      </w:r>
                    </w:p>
                  </w:txbxContent>
                </v:textbox>
                <w10:wrap anchorx="page"/>
              </v:rect>
            </w:pict>
          </mc:Fallback>
        </mc:AlternateContent>
      </w:r>
      <w:r>
        <w:rPr>
          <w:noProof/>
          <w:sz w:val="22"/>
          <w:szCs w:val="22"/>
          <w:lang w:eastAsia="en-GB"/>
        </w:rPr>
        <w:drawing>
          <wp:anchor distT="0" distB="0" distL="0" distR="0" simplePos="0" relativeHeight="251663360" behindDoc="1" locked="0" layoutInCell="1" hidden="0" allowOverlap="1" wp14:anchorId="73CD6CB0" wp14:editId="7372B4AC">
            <wp:simplePos x="0" y="0"/>
            <wp:positionH relativeFrom="page">
              <wp:align>center</wp:align>
            </wp:positionH>
            <wp:positionV relativeFrom="page">
              <wp:align>top</wp:align>
            </wp:positionV>
            <wp:extent cx="7560000" cy="10699200"/>
            <wp:effectExtent l="0" t="0" r="3175" b="6985"/>
            <wp:wrapNone/>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4"/>
                    <a:srcRect/>
                    <a:stretch>
                      <a:fillRect/>
                    </a:stretch>
                  </pic:blipFill>
                  <pic:spPr>
                    <a:xfrm>
                      <a:off x="0" y="0"/>
                      <a:ext cx="7560000" cy="10699200"/>
                    </a:xfrm>
                    <a:prstGeom prst="rect">
                      <a:avLst/>
                    </a:prstGeom>
                    <a:ln/>
                  </pic:spPr>
                </pic:pic>
              </a:graphicData>
            </a:graphic>
            <wp14:sizeRelH relativeFrom="margin">
              <wp14:pctWidth>0</wp14:pctWidth>
            </wp14:sizeRelH>
          </wp:anchor>
        </w:drawing>
      </w:r>
    </w:p>
    <w:sectPr w:rsidR="0015658F">
      <w:headerReference w:type="default" r:id="rId135"/>
      <w:footerReference w:type="default" r:id="rId136"/>
      <w:pgSz w:w="12240" w:h="15840"/>
      <w:pgMar w:top="1985" w:right="985" w:bottom="1843" w:left="1418" w:header="709" w:footer="987"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A53B3" w16cex:dateUtc="2022-07-26T08:51:00Z"/>
  <w16cex:commentExtensible w16cex:durableId="268A5409" w16cex:dateUtc="2022-07-26T08:52:00Z"/>
  <w16cex:commentExtensible w16cex:durableId="268A56E7" w16cex:dateUtc="2022-07-26T09:04:00Z"/>
  <w16cex:commentExtensible w16cex:durableId="268A5492" w16cex:dateUtc="2022-07-26T08:54:00Z"/>
  <w16cex:commentExtensible w16cex:durableId="268A556C" w16cex:dateUtc="2022-07-26T08:58:00Z"/>
  <w16cex:commentExtensible w16cex:durableId="268A5588" w16cex:dateUtc="2022-07-26T08:59:00Z"/>
  <w16cex:commentExtensible w16cex:durableId="268A5759" w16cex:dateUtc="2022-07-26T09:0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396C2F" w14:textId="77777777" w:rsidR="00B201DC" w:rsidRDefault="00B201DC">
      <w:r>
        <w:separator/>
      </w:r>
    </w:p>
  </w:endnote>
  <w:endnote w:type="continuationSeparator" w:id="0">
    <w:p w14:paraId="29C6BFB9" w14:textId="77777777" w:rsidR="00B201DC" w:rsidRDefault="00B20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26DB1" w14:textId="2B2A8EFB" w:rsidR="00CD0C1E" w:rsidRDefault="00CD0C1E">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5</w:t>
    </w:r>
    <w:r>
      <w:rPr>
        <w:color w:val="000000"/>
      </w:rPr>
      <w:fldChar w:fldCharType="end"/>
    </w:r>
    <w:r>
      <w:rPr>
        <w:noProof/>
        <w:lang w:eastAsia="en-GB"/>
      </w:rPr>
      <w:drawing>
        <wp:anchor distT="0" distB="0" distL="0" distR="0" simplePos="0" relativeHeight="251661312" behindDoc="1" locked="0" layoutInCell="1" hidden="0" allowOverlap="1" wp14:anchorId="3EEA71FB" wp14:editId="432378A2">
          <wp:simplePos x="0" y="0"/>
          <wp:positionH relativeFrom="column">
            <wp:posOffset>-900429</wp:posOffset>
          </wp:positionH>
          <wp:positionV relativeFrom="paragraph">
            <wp:posOffset>0</wp:posOffset>
          </wp:positionV>
          <wp:extent cx="7556400" cy="896400"/>
          <wp:effectExtent l="0" t="0" r="0" b="0"/>
          <wp:wrapNone/>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56400" cy="896400"/>
                  </a:xfrm>
                  <a:prstGeom prst="rect">
                    <a:avLst/>
                  </a:prstGeom>
                  <a:ln/>
                </pic:spPr>
              </pic:pic>
            </a:graphicData>
          </a:graphic>
        </wp:anchor>
      </w:drawing>
    </w:r>
  </w:p>
  <w:p w14:paraId="02A6EBBB" w14:textId="77777777" w:rsidR="00CD0C1E" w:rsidRDefault="00CD0C1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6C9BD7" w14:textId="77777777" w:rsidR="00B201DC" w:rsidRDefault="00B201DC">
      <w:r>
        <w:separator/>
      </w:r>
    </w:p>
  </w:footnote>
  <w:footnote w:type="continuationSeparator" w:id="0">
    <w:p w14:paraId="4F4A34EE" w14:textId="77777777" w:rsidR="00B201DC" w:rsidRDefault="00B201DC">
      <w:r>
        <w:continuationSeparator/>
      </w:r>
    </w:p>
  </w:footnote>
  <w:footnote w:id="1">
    <w:p w14:paraId="341EC107" w14:textId="77777777" w:rsidR="00CD0C1E" w:rsidRPr="00446C0C" w:rsidRDefault="00CD0C1E" w:rsidP="00085C9F">
      <w:pPr>
        <w:pStyle w:val="FootnoteText"/>
        <w:rPr>
          <w:lang w:val="tr-TR"/>
        </w:rPr>
      </w:pPr>
    </w:p>
  </w:footnote>
  <w:footnote w:id="2">
    <w:p w14:paraId="4FB60C2B" w14:textId="77777777" w:rsidR="00CD0C1E" w:rsidRPr="001E1930" w:rsidRDefault="00CD0C1E" w:rsidP="00CD0C1E">
      <w:pPr>
        <w:pStyle w:val="FootnoteText"/>
        <w:rPr>
          <w:lang w:val="tr-TR"/>
        </w:rPr>
      </w:pPr>
      <w:r>
        <w:rPr>
          <w:rStyle w:val="FootnoteReference"/>
        </w:rPr>
        <w:footnoteRef/>
      </w:r>
      <w:r w:rsidRPr="001210ED">
        <w:rPr>
          <w:lang w:val="tr-TR"/>
        </w:rPr>
        <w:t xml:space="preserve"> https://www.ilo.org/global/topics/decent-work/lang--en/index.htm</w:t>
      </w:r>
    </w:p>
  </w:footnote>
  <w:footnote w:id="3">
    <w:p w14:paraId="15FDB82C" w14:textId="77777777" w:rsidR="00CD0C1E" w:rsidRPr="003B234F" w:rsidRDefault="00CD0C1E" w:rsidP="00CD0C1E">
      <w:pPr>
        <w:pStyle w:val="FootnoteText"/>
        <w:rPr>
          <w:lang w:val="tr-TR"/>
        </w:rPr>
      </w:pPr>
      <w:r>
        <w:rPr>
          <w:rStyle w:val="FootnoteReference"/>
        </w:rPr>
        <w:footnoteRef/>
      </w:r>
      <w:r w:rsidRPr="001210ED">
        <w:rPr>
          <w:lang w:val="tr-TR"/>
        </w:rPr>
        <w:t xml:space="preserve"> https://www.ilo.org/wcmsp5/groups/public/---dgreports/---inst/documents/publication/wcms_625866.pdf</w:t>
      </w:r>
    </w:p>
  </w:footnote>
  <w:footnote w:id="4">
    <w:p w14:paraId="418F2EB3" w14:textId="77777777" w:rsidR="00CD0C1E" w:rsidRPr="00267E6C" w:rsidRDefault="00CD0C1E" w:rsidP="00CD0C1E">
      <w:pPr>
        <w:pStyle w:val="FootnoteText"/>
        <w:rPr>
          <w:rFonts w:cstheme="minorHAnsi"/>
          <w:lang w:val="tr-TR"/>
        </w:rPr>
      </w:pPr>
      <w:r w:rsidRPr="00267E6C">
        <w:rPr>
          <w:rStyle w:val="FootnoteReference"/>
          <w:rFonts w:asciiTheme="minorHAnsi" w:hAnsiTheme="minorHAnsi" w:cstheme="minorHAnsi"/>
        </w:rPr>
        <w:footnoteRef/>
      </w:r>
      <w:r w:rsidRPr="001210ED">
        <w:rPr>
          <w:rFonts w:cstheme="minorHAnsi"/>
          <w:lang w:val="tr-TR"/>
        </w:rPr>
        <w:t xml:space="preserve"> https://www.pwc.com/us/en/library/pulse-survey/executive-views-2022.html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4ABB3" w14:textId="77777777" w:rsidR="00CD0C1E" w:rsidRDefault="00CD0C1E">
    <w:pPr>
      <w:pBdr>
        <w:top w:val="nil"/>
        <w:left w:val="nil"/>
        <w:bottom w:val="nil"/>
        <w:right w:val="nil"/>
        <w:between w:val="nil"/>
      </w:pBdr>
      <w:tabs>
        <w:tab w:val="center" w:pos="4680"/>
        <w:tab w:val="right" w:pos="9360"/>
      </w:tabs>
      <w:rPr>
        <w:color w:val="000000"/>
      </w:rPr>
    </w:pPr>
    <w:r>
      <w:rPr>
        <w:noProof/>
        <w:color w:val="000000"/>
        <w:lang w:eastAsia="en-GB"/>
      </w:rPr>
      <w:drawing>
        <wp:anchor distT="0" distB="0" distL="0" distR="0" simplePos="0" relativeHeight="251660288" behindDoc="1" locked="0" layoutInCell="1" hidden="0" allowOverlap="1" wp14:anchorId="6576D625" wp14:editId="1B023651">
          <wp:simplePos x="0" y="0"/>
          <wp:positionH relativeFrom="page">
            <wp:align>center</wp:align>
          </wp:positionH>
          <wp:positionV relativeFrom="page">
            <wp:align>top</wp:align>
          </wp:positionV>
          <wp:extent cx="6480000" cy="1256400"/>
          <wp:effectExtent l="0" t="0" r="0" b="0"/>
          <wp:wrapNone/>
          <wp:docPr id="33" name="image7.png" descr="A picture containing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application&#10;&#10;Description automatically generated"/>
                  <pic:cNvPicPr preferRelativeResize="0"/>
                </pic:nvPicPr>
                <pic:blipFill>
                  <a:blip r:embed="rId1"/>
                  <a:srcRect/>
                  <a:stretch>
                    <a:fillRect/>
                  </a:stretch>
                </pic:blipFill>
                <pic:spPr>
                  <a:xfrm>
                    <a:off x="0" y="0"/>
                    <a:ext cx="6480000" cy="1256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E536F"/>
    <w:multiLevelType w:val="multilevel"/>
    <w:tmpl w:val="2AE4B768"/>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3810AA0"/>
    <w:multiLevelType w:val="hybridMultilevel"/>
    <w:tmpl w:val="BDC4AF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B42E1A"/>
    <w:multiLevelType w:val="hybridMultilevel"/>
    <w:tmpl w:val="CBFE747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71E4D57"/>
    <w:multiLevelType w:val="multilevel"/>
    <w:tmpl w:val="8542B0B8"/>
    <w:lvl w:ilvl="0">
      <w:start w:val="3"/>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9A240E5"/>
    <w:multiLevelType w:val="hybridMultilevel"/>
    <w:tmpl w:val="C79AD9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754D48"/>
    <w:multiLevelType w:val="hybridMultilevel"/>
    <w:tmpl w:val="A4FCE8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8F6DD3"/>
    <w:multiLevelType w:val="hybridMultilevel"/>
    <w:tmpl w:val="039610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1A28E8"/>
    <w:multiLevelType w:val="hybridMultilevel"/>
    <w:tmpl w:val="15BAFA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766BCE"/>
    <w:multiLevelType w:val="multilevel"/>
    <w:tmpl w:val="34B2F57C"/>
    <w:lvl w:ilvl="0">
      <w:start w:val="4"/>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B281572"/>
    <w:multiLevelType w:val="hybridMultilevel"/>
    <w:tmpl w:val="E11ED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445E03"/>
    <w:multiLevelType w:val="hybridMultilevel"/>
    <w:tmpl w:val="CD2A75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29B3F7A"/>
    <w:multiLevelType w:val="hybridMultilevel"/>
    <w:tmpl w:val="F6ACE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51676AB"/>
    <w:multiLevelType w:val="hybridMultilevel"/>
    <w:tmpl w:val="91CCD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3F6B65"/>
    <w:multiLevelType w:val="hybridMultilevel"/>
    <w:tmpl w:val="E432D0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69F5D15"/>
    <w:multiLevelType w:val="hybridMultilevel"/>
    <w:tmpl w:val="6E726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0B7827"/>
    <w:multiLevelType w:val="multilevel"/>
    <w:tmpl w:val="1E6427A8"/>
    <w:lvl w:ilvl="0">
      <w:start w:val="1"/>
      <w:numFmt w:val="decimal"/>
      <w:lvlText w:val="%1."/>
      <w:lvlJc w:val="left"/>
      <w:pPr>
        <w:ind w:left="902" w:hanging="360"/>
      </w:pPr>
      <w:rPr>
        <w:rFonts w:ascii="Calibri" w:eastAsia="Calibri" w:hAnsi="Calibri" w:cs="Calibri"/>
        <w:b w:val="0"/>
        <w:bCs w:val="0"/>
      </w:rPr>
    </w:lvl>
    <w:lvl w:ilvl="1">
      <w:start w:val="1"/>
      <w:numFmt w:val="decimal"/>
      <w:lvlText w:val="%2."/>
      <w:lvlJc w:val="left"/>
      <w:pPr>
        <w:ind w:left="1622" w:hanging="360"/>
      </w:pPr>
    </w:lvl>
    <w:lvl w:ilvl="2">
      <w:start w:val="1"/>
      <w:numFmt w:val="decimal"/>
      <w:lvlText w:val="%3."/>
      <w:lvlJc w:val="left"/>
      <w:pPr>
        <w:ind w:left="2342" w:hanging="360"/>
      </w:pPr>
    </w:lvl>
    <w:lvl w:ilvl="3">
      <w:start w:val="1"/>
      <w:numFmt w:val="decimal"/>
      <w:lvlText w:val="%4."/>
      <w:lvlJc w:val="left"/>
      <w:pPr>
        <w:ind w:left="3062" w:hanging="360"/>
      </w:pPr>
    </w:lvl>
    <w:lvl w:ilvl="4">
      <w:start w:val="1"/>
      <w:numFmt w:val="decimal"/>
      <w:lvlText w:val="%5."/>
      <w:lvlJc w:val="left"/>
      <w:pPr>
        <w:ind w:left="3782" w:hanging="360"/>
      </w:pPr>
    </w:lvl>
    <w:lvl w:ilvl="5">
      <w:start w:val="1"/>
      <w:numFmt w:val="decimal"/>
      <w:lvlText w:val="%6."/>
      <w:lvlJc w:val="left"/>
      <w:pPr>
        <w:ind w:left="4502" w:hanging="360"/>
      </w:pPr>
    </w:lvl>
    <w:lvl w:ilvl="6">
      <w:start w:val="1"/>
      <w:numFmt w:val="decimal"/>
      <w:lvlText w:val="%7."/>
      <w:lvlJc w:val="left"/>
      <w:pPr>
        <w:ind w:left="5222" w:hanging="360"/>
      </w:pPr>
    </w:lvl>
    <w:lvl w:ilvl="7">
      <w:start w:val="1"/>
      <w:numFmt w:val="decimal"/>
      <w:lvlText w:val="%8."/>
      <w:lvlJc w:val="left"/>
      <w:pPr>
        <w:ind w:left="5942" w:hanging="360"/>
      </w:pPr>
    </w:lvl>
    <w:lvl w:ilvl="8">
      <w:start w:val="1"/>
      <w:numFmt w:val="decimal"/>
      <w:lvlText w:val="%9."/>
      <w:lvlJc w:val="left"/>
      <w:pPr>
        <w:ind w:left="6662" w:hanging="360"/>
      </w:pPr>
    </w:lvl>
  </w:abstractNum>
  <w:abstractNum w:abstractNumId="16" w15:restartNumberingAfterBreak="0">
    <w:nsid w:val="2DAF510D"/>
    <w:multiLevelType w:val="multilevel"/>
    <w:tmpl w:val="51FA52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F7A128E"/>
    <w:multiLevelType w:val="hybridMultilevel"/>
    <w:tmpl w:val="EFC883E2"/>
    <w:lvl w:ilvl="0" w:tplc="2C0A0015">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300E525F"/>
    <w:multiLevelType w:val="hybridMultilevel"/>
    <w:tmpl w:val="8534B3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31653A02"/>
    <w:multiLevelType w:val="multilevel"/>
    <w:tmpl w:val="DA1E5886"/>
    <w:lvl w:ilvl="0">
      <w:start w:val="1"/>
      <w:numFmt w:val="bullet"/>
      <w:pStyle w:val="TOC1"/>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6EF1DE7"/>
    <w:multiLevelType w:val="multilevel"/>
    <w:tmpl w:val="C226C482"/>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21" w15:restartNumberingAfterBreak="0">
    <w:nsid w:val="38606915"/>
    <w:multiLevelType w:val="hybridMultilevel"/>
    <w:tmpl w:val="3BB28F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E6A1C06"/>
    <w:multiLevelType w:val="hybridMultilevel"/>
    <w:tmpl w:val="BB4270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D64E71"/>
    <w:multiLevelType w:val="hybridMultilevel"/>
    <w:tmpl w:val="0C78D4D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4B401F06"/>
    <w:multiLevelType w:val="hybridMultilevel"/>
    <w:tmpl w:val="BF42EE9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4B4F601A"/>
    <w:multiLevelType w:val="hybridMultilevel"/>
    <w:tmpl w:val="38B60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FC7756"/>
    <w:multiLevelType w:val="hybridMultilevel"/>
    <w:tmpl w:val="FCDAFFA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52EF7082"/>
    <w:multiLevelType w:val="hybridMultilevel"/>
    <w:tmpl w:val="4F389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47562BC"/>
    <w:multiLevelType w:val="hybridMultilevel"/>
    <w:tmpl w:val="3074381A"/>
    <w:lvl w:ilvl="0" w:tplc="BF908B6C">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8C4E30"/>
    <w:multiLevelType w:val="hybridMultilevel"/>
    <w:tmpl w:val="8E38A0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9816AB5"/>
    <w:multiLevelType w:val="hybridMultilevel"/>
    <w:tmpl w:val="FDA69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27F7E74"/>
    <w:multiLevelType w:val="multilevel"/>
    <w:tmpl w:val="0458EB4A"/>
    <w:lvl w:ilvl="0">
      <w:start w:val="5"/>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50C5B17"/>
    <w:multiLevelType w:val="hybridMultilevel"/>
    <w:tmpl w:val="8202114E"/>
    <w:lvl w:ilvl="0" w:tplc="9890701E">
      <w:numFmt w:val="bullet"/>
      <w:lvlText w:val=""/>
      <w:lvlJc w:val="left"/>
      <w:pPr>
        <w:ind w:left="72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654C7072"/>
    <w:multiLevelType w:val="hybridMultilevel"/>
    <w:tmpl w:val="34B69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2679A4"/>
    <w:multiLevelType w:val="hybridMultilevel"/>
    <w:tmpl w:val="BCC093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8DA52E4"/>
    <w:multiLevelType w:val="hybridMultilevel"/>
    <w:tmpl w:val="55BEF65C"/>
    <w:lvl w:ilvl="0" w:tplc="35C64722">
      <w:start w:val="3"/>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15:restartNumberingAfterBreak="0">
    <w:nsid w:val="68E61BAD"/>
    <w:multiLevelType w:val="hybridMultilevel"/>
    <w:tmpl w:val="D8945F3A"/>
    <w:lvl w:ilvl="0" w:tplc="C17C4918">
      <w:start w:val="1"/>
      <w:numFmt w:val="decimal"/>
      <w:lvlText w:val="%1."/>
      <w:lvlJc w:val="left"/>
      <w:pPr>
        <w:tabs>
          <w:tab w:val="num" w:pos="1080"/>
        </w:tabs>
        <w:ind w:left="1080" w:hanging="360"/>
      </w:pPr>
      <w:rPr>
        <w:rFonts w:ascii="Calibri" w:eastAsia="Calibri" w:hAnsi="Calibri" w:cs="Calibri"/>
      </w:rPr>
    </w:lvl>
    <w:lvl w:ilvl="1" w:tplc="AD46EBAE" w:tentative="1">
      <w:start w:val="1"/>
      <w:numFmt w:val="bullet"/>
      <w:lvlText w:val="•"/>
      <w:lvlJc w:val="left"/>
      <w:pPr>
        <w:tabs>
          <w:tab w:val="num" w:pos="1800"/>
        </w:tabs>
        <w:ind w:left="1800" w:hanging="360"/>
      </w:pPr>
      <w:rPr>
        <w:rFonts w:ascii="Arial" w:hAnsi="Arial" w:hint="default"/>
      </w:rPr>
    </w:lvl>
    <w:lvl w:ilvl="2" w:tplc="13ECAE3E" w:tentative="1">
      <w:start w:val="1"/>
      <w:numFmt w:val="bullet"/>
      <w:lvlText w:val="•"/>
      <w:lvlJc w:val="left"/>
      <w:pPr>
        <w:tabs>
          <w:tab w:val="num" w:pos="2520"/>
        </w:tabs>
        <w:ind w:left="2520" w:hanging="360"/>
      </w:pPr>
      <w:rPr>
        <w:rFonts w:ascii="Arial" w:hAnsi="Arial" w:hint="default"/>
      </w:rPr>
    </w:lvl>
    <w:lvl w:ilvl="3" w:tplc="0ACC9D9E" w:tentative="1">
      <w:start w:val="1"/>
      <w:numFmt w:val="bullet"/>
      <w:lvlText w:val="•"/>
      <w:lvlJc w:val="left"/>
      <w:pPr>
        <w:tabs>
          <w:tab w:val="num" w:pos="3240"/>
        </w:tabs>
        <w:ind w:left="3240" w:hanging="360"/>
      </w:pPr>
      <w:rPr>
        <w:rFonts w:ascii="Arial" w:hAnsi="Arial" w:hint="default"/>
      </w:rPr>
    </w:lvl>
    <w:lvl w:ilvl="4" w:tplc="492817F0" w:tentative="1">
      <w:start w:val="1"/>
      <w:numFmt w:val="bullet"/>
      <w:lvlText w:val="•"/>
      <w:lvlJc w:val="left"/>
      <w:pPr>
        <w:tabs>
          <w:tab w:val="num" w:pos="3960"/>
        </w:tabs>
        <w:ind w:left="3960" w:hanging="360"/>
      </w:pPr>
      <w:rPr>
        <w:rFonts w:ascii="Arial" w:hAnsi="Arial" w:hint="default"/>
      </w:rPr>
    </w:lvl>
    <w:lvl w:ilvl="5" w:tplc="B364B84A" w:tentative="1">
      <w:start w:val="1"/>
      <w:numFmt w:val="bullet"/>
      <w:lvlText w:val="•"/>
      <w:lvlJc w:val="left"/>
      <w:pPr>
        <w:tabs>
          <w:tab w:val="num" w:pos="4680"/>
        </w:tabs>
        <w:ind w:left="4680" w:hanging="360"/>
      </w:pPr>
      <w:rPr>
        <w:rFonts w:ascii="Arial" w:hAnsi="Arial" w:hint="default"/>
      </w:rPr>
    </w:lvl>
    <w:lvl w:ilvl="6" w:tplc="9D4291F2" w:tentative="1">
      <w:start w:val="1"/>
      <w:numFmt w:val="bullet"/>
      <w:lvlText w:val="•"/>
      <w:lvlJc w:val="left"/>
      <w:pPr>
        <w:tabs>
          <w:tab w:val="num" w:pos="5400"/>
        </w:tabs>
        <w:ind w:left="5400" w:hanging="360"/>
      </w:pPr>
      <w:rPr>
        <w:rFonts w:ascii="Arial" w:hAnsi="Arial" w:hint="default"/>
      </w:rPr>
    </w:lvl>
    <w:lvl w:ilvl="7" w:tplc="8A6E0FAA" w:tentative="1">
      <w:start w:val="1"/>
      <w:numFmt w:val="bullet"/>
      <w:lvlText w:val="•"/>
      <w:lvlJc w:val="left"/>
      <w:pPr>
        <w:tabs>
          <w:tab w:val="num" w:pos="6120"/>
        </w:tabs>
        <w:ind w:left="6120" w:hanging="360"/>
      </w:pPr>
      <w:rPr>
        <w:rFonts w:ascii="Arial" w:hAnsi="Arial" w:hint="default"/>
      </w:rPr>
    </w:lvl>
    <w:lvl w:ilvl="8" w:tplc="516621AC" w:tentative="1">
      <w:start w:val="1"/>
      <w:numFmt w:val="bullet"/>
      <w:lvlText w:val="•"/>
      <w:lvlJc w:val="left"/>
      <w:pPr>
        <w:tabs>
          <w:tab w:val="num" w:pos="6840"/>
        </w:tabs>
        <w:ind w:left="6840" w:hanging="360"/>
      </w:pPr>
      <w:rPr>
        <w:rFonts w:ascii="Arial" w:hAnsi="Arial" w:hint="default"/>
      </w:rPr>
    </w:lvl>
  </w:abstractNum>
  <w:abstractNum w:abstractNumId="37" w15:restartNumberingAfterBreak="0">
    <w:nsid w:val="69193B17"/>
    <w:multiLevelType w:val="hybridMultilevel"/>
    <w:tmpl w:val="5360F1B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15:restartNumberingAfterBreak="0">
    <w:nsid w:val="6C802F0A"/>
    <w:multiLevelType w:val="hybridMultilevel"/>
    <w:tmpl w:val="F230ADD6"/>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6B7D61"/>
    <w:multiLevelType w:val="hybridMultilevel"/>
    <w:tmpl w:val="72165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2A318A8"/>
    <w:multiLevelType w:val="hybridMultilevel"/>
    <w:tmpl w:val="E8FEF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4203BC8"/>
    <w:multiLevelType w:val="multilevel"/>
    <w:tmpl w:val="4306AC0C"/>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ED32CE7"/>
    <w:multiLevelType w:val="multilevel"/>
    <w:tmpl w:val="C8E6BDF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5"/>
  </w:num>
  <w:num w:numId="2">
    <w:abstractNumId w:val="20"/>
  </w:num>
  <w:num w:numId="3">
    <w:abstractNumId w:val="19"/>
  </w:num>
  <w:num w:numId="4">
    <w:abstractNumId w:val="20"/>
  </w:num>
  <w:num w:numId="5">
    <w:abstractNumId w:val="36"/>
  </w:num>
  <w:num w:numId="6">
    <w:abstractNumId w:val="14"/>
  </w:num>
  <w:num w:numId="7">
    <w:abstractNumId w:val="42"/>
  </w:num>
  <w:num w:numId="8">
    <w:abstractNumId w:val="16"/>
  </w:num>
  <w:num w:numId="9">
    <w:abstractNumId w:val="3"/>
  </w:num>
  <w:num w:numId="10">
    <w:abstractNumId w:val="41"/>
  </w:num>
  <w:num w:numId="11">
    <w:abstractNumId w:val="9"/>
  </w:num>
  <w:num w:numId="12">
    <w:abstractNumId w:val="6"/>
  </w:num>
  <w:num w:numId="13">
    <w:abstractNumId w:val="35"/>
  </w:num>
  <w:num w:numId="14">
    <w:abstractNumId w:val="26"/>
  </w:num>
  <w:num w:numId="15">
    <w:abstractNumId w:val="4"/>
  </w:num>
  <w:num w:numId="16">
    <w:abstractNumId w:val="2"/>
  </w:num>
  <w:num w:numId="17">
    <w:abstractNumId w:val="24"/>
  </w:num>
  <w:num w:numId="18">
    <w:abstractNumId w:val="17"/>
  </w:num>
  <w:num w:numId="19">
    <w:abstractNumId w:val="32"/>
  </w:num>
  <w:num w:numId="20">
    <w:abstractNumId w:val="23"/>
  </w:num>
  <w:num w:numId="21">
    <w:abstractNumId w:val="28"/>
  </w:num>
  <w:num w:numId="22">
    <w:abstractNumId w:val="18"/>
  </w:num>
  <w:num w:numId="23">
    <w:abstractNumId w:val="37"/>
  </w:num>
  <w:num w:numId="24">
    <w:abstractNumId w:val="38"/>
  </w:num>
  <w:num w:numId="25">
    <w:abstractNumId w:val="22"/>
  </w:num>
  <w:num w:numId="26">
    <w:abstractNumId w:val="31"/>
  </w:num>
  <w:num w:numId="27">
    <w:abstractNumId w:val="1"/>
  </w:num>
  <w:num w:numId="28">
    <w:abstractNumId w:val="33"/>
  </w:num>
  <w:num w:numId="29">
    <w:abstractNumId w:val="10"/>
  </w:num>
  <w:num w:numId="30">
    <w:abstractNumId w:val="40"/>
  </w:num>
  <w:num w:numId="31">
    <w:abstractNumId w:val="5"/>
  </w:num>
  <w:num w:numId="32">
    <w:abstractNumId w:val="13"/>
  </w:num>
  <w:num w:numId="33">
    <w:abstractNumId w:val="27"/>
  </w:num>
  <w:num w:numId="34">
    <w:abstractNumId w:val="30"/>
  </w:num>
  <w:num w:numId="35">
    <w:abstractNumId w:val="12"/>
  </w:num>
  <w:num w:numId="36">
    <w:abstractNumId w:val="21"/>
  </w:num>
  <w:num w:numId="37">
    <w:abstractNumId w:val="34"/>
  </w:num>
  <w:num w:numId="38">
    <w:abstractNumId w:val="39"/>
  </w:num>
  <w:num w:numId="39">
    <w:abstractNumId w:val="25"/>
  </w:num>
  <w:num w:numId="40">
    <w:abstractNumId w:val="11"/>
  </w:num>
  <w:num w:numId="41">
    <w:abstractNumId w:val="7"/>
  </w:num>
  <w:num w:numId="42">
    <w:abstractNumId w:val="29"/>
  </w:num>
  <w:num w:numId="43">
    <w:abstractNumId w:val="8"/>
  </w:num>
  <w:num w:numId="44">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AR" w:vendorID="64" w:dllVersion="4096" w:nlCheck="1" w:checkStyle="0"/>
  <w:activeWritingStyle w:appName="MSWord" w:lang="es-AR" w:vendorID="64" w:dllVersion="6"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58F"/>
    <w:rsid w:val="0000707B"/>
    <w:rsid w:val="00012AEC"/>
    <w:rsid w:val="00014A54"/>
    <w:rsid w:val="00015C7A"/>
    <w:rsid w:val="00023E9E"/>
    <w:rsid w:val="000249EA"/>
    <w:rsid w:val="000367CB"/>
    <w:rsid w:val="0005213C"/>
    <w:rsid w:val="00064266"/>
    <w:rsid w:val="000675DB"/>
    <w:rsid w:val="00067ECE"/>
    <w:rsid w:val="00081D52"/>
    <w:rsid w:val="00085C9F"/>
    <w:rsid w:val="00094BF3"/>
    <w:rsid w:val="000A045D"/>
    <w:rsid w:val="000B129E"/>
    <w:rsid w:val="000B2EF2"/>
    <w:rsid w:val="000D7797"/>
    <w:rsid w:val="000E731B"/>
    <w:rsid w:val="000F0042"/>
    <w:rsid w:val="00101CEC"/>
    <w:rsid w:val="00103D98"/>
    <w:rsid w:val="00106800"/>
    <w:rsid w:val="001102D7"/>
    <w:rsid w:val="00116461"/>
    <w:rsid w:val="00122B5B"/>
    <w:rsid w:val="001257B2"/>
    <w:rsid w:val="00134A1D"/>
    <w:rsid w:val="0015658F"/>
    <w:rsid w:val="00156E1B"/>
    <w:rsid w:val="00162059"/>
    <w:rsid w:val="00165F90"/>
    <w:rsid w:val="00166256"/>
    <w:rsid w:val="0018502D"/>
    <w:rsid w:val="001D1FB4"/>
    <w:rsid w:val="001D4DD9"/>
    <w:rsid w:val="001E5ACA"/>
    <w:rsid w:val="001F34EB"/>
    <w:rsid w:val="001F3B55"/>
    <w:rsid w:val="001F5353"/>
    <w:rsid w:val="001F5B4F"/>
    <w:rsid w:val="00210268"/>
    <w:rsid w:val="00210E60"/>
    <w:rsid w:val="00212A3B"/>
    <w:rsid w:val="00215907"/>
    <w:rsid w:val="0022335D"/>
    <w:rsid w:val="00225142"/>
    <w:rsid w:val="0023103C"/>
    <w:rsid w:val="00232633"/>
    <w:rsid w:val="00234B36"/>
    <w:rsid w:val="00251AD6"/>
    <w:rsid w:val="00257DD6"/>
    <w:rsid w:val="00262FEB"/>
    <w:rsid w:val="0026418C"/>
    <w:rsid w:val="0026422F"/>
    <w:rsid w:val="002710B6"/>
    <w:rsid w:val="00284A67"/>
    <w:rsid w:val="00295606"/>
    <w:rsid w:val="002A112B"/>
    <w:rsid w:val="002A11FD"/>
    <w:rsid w:val="002A242B"/>
    <w:rsid w:val="002A2767"/>
    <w:rsid w:val="002A2FE4"/>
    <w:rsid w:val="002B4FB2"/>
    <w:rsid w:val="002C7B26"/>
    <w:rsid w:val="002D5970"/>
    <w:rsid w:val="002E01C1"/>
    <w:rsid w:val="002E6409"/>
    <w:rsid w:val="002E6728"/>
    <w:rsid w:val="0030050D"/>
    <w:rsid w:val="003021FF"/>
    <w:rsid w:val="00305331"/>
    <w:rsid w:val="00333642"/>
    <w:rsid w:val="00346BC9"/>
    <w:rsid w:val="00353E78"/>
    <w:rsid w:val="00360B91"/>
    <w:rsid w:val="0036203D"/>
    <w:rsid w:val="003731AC"/>
    <w:rsid w:val="0037442C"/>
    <w:rsid w:val="00377AF0"/>
    <w:rsid w:val="0038263B"/>
    <w:rsid w:val="0039017D"/>
    <w:rsid w:val="003A73E3"/>
    <w:rsid w:val="003A7785"/>
    <w:rsid w:val="003A797E"/>
    <w:rsid w:val="003B14DB"/>
    <w:rsid w:val="003B73E0"/>
    <w:rsid w:val="003C5FB1"/>
    <w:rsid w:val="003E08C1"/>
    <w:rsid w:val="003E6881"/>
    <w:rsid w:val="003F2490"/>
    <w:rsid w:val="003F2E37"/>
    <w:rsid w:val="0040732E"/>
    <w:rsid w:val="004110F4"/>
    <w:rsid w:val="00411A3B"/>
    <w:rsid w:val="00416064"/>
    <w:rsid w:val="0041740B"/>
    <w:rsid w:val="0042322A"/>
    <w:rsid w:val="004249A1"/>
    <w:rsid w:val="00427701"/>
    <w:rsid w:val="004337DC"/>
    <w:rsid w:val="00447473"/>
    <w:rsid w:val="00454C77"/>
    <w:rsid w:val="00463DEA"/>
    <w:rsid w:val="00467BF6"/>
    <w:rsid w:val="004749AA"/>
    <w:rsid w:val="00477B5F"/>
    <w:rsid w:val="004846FD"/>
    <w:rsid w:val="004906BD"/>
    <w:rsid w:val="004A2ED4"/>
    <w:rsid w:val="004A7890"/>
    <w:rsid w:val="004B594B"/>
    <w:rsid w:val="004B5EEC"/>
    <w:rsid w:val="004C244C"/>
    <w:rsid w:val="004C32A5"/>
    <w:rsid w:val="004E4825"/>
    <w:rsid w:val="00517636"/>
    <w:rsid w:val="0052117F"/>
    <w:rsid w:val="00522E8B"/>
    <w:rsid w:val="00523BE3"/>
    <w:rsid w:val="005468E2"/>
    <w:rsid w:val="00547073"/>
    <w:rsid w:val="0056099E"/>
    <w:rsid w:val="00573AA0"/>
    <w:rsid w:val="005804E8"/>
    <w:rsid w:val="005C49A4"/>
    <w:rsid w:val="005C54FC"/>
    <w:rsid w:val="005C6F02"/>
    <w:rsid w:val="005C7079"/>
    <w:rsid w:val="005D5A8E"/>
    <w:rsid w:val="0060746D"/>
    <w:rsid w:val="00611D0E"/>
    <w:rsid w:val="00614803"/>
    <w:rsid w:val="00635C58"/>
    <w:rsid w:val="006431CC"/>
    <w:rsid w:val="00657456"/>
    <w:rsid w:val="00667929"/>
    <w:rsid w:val="006778C9"/>
    <w:rsid w:val="00681F18"/>
    <w:rsid w:val="006935BA"/>
    <w:rsid w:val="006A07B1"/>
    <w:rsid w:val="006A3AF5"/>
    <w:rsid w:val="006A3D80"/>
    <w:rsid w:val="006B1AFC"/>
    <w:rsid w:val="006B2F74"/>
    <w:rsid w:val="006B7990"/>
    <w:rsid w:val="006B7B7A"/>
    <w:rsid w:val="006C7389"/>
    <w:rsid w:val="006D15E3"/>
    <w:rsid w:val="006E3D3C"/>
    <w:rsid w:val="006E5AB4"/>
    <w:rsid w:val="006F577D"/>
    <w:rsid w:val="00705020"/>
    <w:rsid w:val="00714C98"/>
    <w:rsid w:val="00715D0F"/>
    <w:rsid w:val="00716AD6"/>
    <w:rsid w:val="00720320"/>
    <w:rsid w:val="007364ED"/>
    <w:rsid w:val="00736EB0"/>
    <w:rsid w:val="0074741E"/>
    <w:rsid w:val="00751ADB"/>
    <w:rsid w:val="007532E9"/>
    <w:rsid w:val="00760235"/>
    <w:rsid w:val="00761C7B"/>
    <w:rsid w:val="00767B38"/>
    <w:rsid w:val="00773438"/>
    <w:rsid w:val="00775ED9"/>
    <w:rsid w:val="00792DA7"/>
    <w:rsid w:val="00795D6B"/>
    <w:rsid w:val="007A5887"/>
    <w:rsid w:val="007B4233"/>
    <w:rsid w:val="007B5A4C"/>
    <w:rsid w:val="007C18A5"/>
    <w:rsid w:val="007D4635"/>
    <w:rsid w:val="007D6993"/>
    <w:rsid w:val="007E5146"/>
    <w:rsid w:val="007E6C41"/>
    <w:rsid w:val="007F5AE2"/>
    <w:rsid w:val="0080278C"/>
    <w:rsid w:val="00807B42"/>
    <w:rsid w:val="008178F7"/>
    <w:rsid w:val="00821B86"/>
    <w:rsid w:val="00823120"/>
    <w:rsid w:val="008262AD"/>
    <w:rsid w:val="0083651D"/>
    <w:rsid w:val="00836715"/>
    <w:rsid w:val="00840602"/>
    <w:rsid w:val="008604A0"/>
    <w:rsid w:val="00863D29"/>
    <w:rsid w:val="008654D3"/>
    <w:rsid w:val="008838A1"/>
    <w:rsid w:val="00891E70"/>
    <w:rsid w:val="008923E4"/>
    <w:rsid w:val="008B7FA9"/>
    <w:rsid w:val="008C1722"/>
    <w:rsid w:val="008E1AED"/>
    <w:rsid w:val="00901DF5"/>
    <w:rsid w:val="009063EF"/>
    <w:rsid w:val="00926815"/>
    <w:rsid w:val="009309DC"/>
    <w:rsid w:val="00930F83"/>
    <w:rsid w:val="00931782"/>
    <w:rsid w:val="009426A6"/>
    <w:rsid w:val="0094686B"/>
    <w:rsid w:val="00950724"/>
    <w:rsid w:val="009527C3"/>
    <w:rsid w:val="0095333C"/>
    <w:rsid w:val="009649DA"/>
    <w:rsid w:val="00966FCB"/>
    <w:rsid w:val="00976C61"/>
    <w:rsid w:val="009827D6"/>
    <w:rsid w:val="009872E0"/>
    <w:rsid w:val="00987F9A"/>
    <w:rsid w:val="00997D3E"/>
    <w:rsid w:val="009A121E"/>
    <w:rsid w:val="009A22E4"/>
    <w:rsid w:val="009B0ADC"/>
    <w:rsid w:val="009B3DAC"/>
    <w:rsid w:val="009C0986"/>
    <w:rsid w:val="009C1F0E"/>
    <w:rsid w:val="009C2BE4"/>
    <w:rsid w:val="009C54EF"/>
    <w:rsid w:val="009D08C5"/>
    <w:rsid w:val="009D753B"/>
    <w:rsid w:val="009D7CE4"/>
    <w:rsid w:val="009E02A9"/>
    <w:rsid w:val="009E2CDB"/>
    <w:rsid w:val="009E5B12"/>
    <w:rsid w:val="009E76CB"/>
    <w:rsid w:val="009F44D3"/>
    <w:rsid w:val="00A02B4F"/>
    <w:rsid w:val="00A02D07"/>
    <w:rsid w:val="00A03972"/>
    <w:rsid w:val="00A11E4B"/>
    <w:rsid w:val="00A1307E"/>
    <w:rsid w:val="00A168F7"/>
    <w:rsid w:val="00A276A8"/>
    <w:rsid w:val="00A456AB"/>
    <w:rsid w:val="00A558DE"/>
    <w:rsid w:val="00A64B20"/>
    <w:rsid w:val="00A729B8"/>
    <w:rsid w:val="00A73588"/>
    <w:rsid w:val="00A80B9D"/>
    <w:rsid w:val="00A8501B"/>
    <w:rsid w:val="00A8525C"/>
    <w:rsid w:val="00AA71D2"/>
    <w:rsid w:val="00AD7D12"/>
    <w:rsid w:val="00AE06AA"/>
    <w:rsid w:val="00AE072F"/>
    <w:rsid w:val="00AE45A3"/>
    <w:rsid w:val="00AF7119"/>
    <w:rsid w:val="00B11E96"/>
    <w:rsid w:val="00B201DC"/>
    <w:rsid w:val="00B30379"/>
    <w:rsid w:val="00B34FAE"/>
    <w:rsid w:val="00B35E43"/>
    <w:rsid w:val="00B46DE8"/>
    <w:rsid w:val="00B52DDD"/>
    <w:rsid w:val="00B53955"/>
    <w:rsid w:val="00B567BB"/>
    <w:rsid w:val="00B714AE"/>
    <w:rsid w:val="00B81B66"/>
    <w:rsid w:val="00B83A53"/>
    <w:rsid w:val="00B85D11"/>
    <w:rsid w:val="00B95CB0"/>
    <w:rsid w:val="00BB106E"/>
    <w:rsid w:val="00BB4317"/>
    <w:rsid w:val="00BC250A"/>
    <w:rsid w:val="00BC2AB0"/>
    <w:rsid w:val="00BC6E84"/>
    <w:rsid w:val="00BC7202"/>
    <w:rsid w:val="00BD0068"/>
    <w:rsid w:val="00BD6CC8"/>
    <w:rsid w:val="00BF2E4E"/>
    <w:rsid w:val="00C06DD1"/>
    <w:rsid w:val="00C11339"/>
    <w:rsid w:val="00C17363"/>
    <w:rsid w:val="00C2101B"/>
    <w:rsid w:val="00C247D3"/>
    <w:rsid w:val="00C24D1F"/>
    <w:rsid w:val="00C31C50"/>
    <w:rsid w:val="00C5454B"/>
    <w:rsid w:val="00C5633A"/>
    <w:rsid w:val="00C56DBD"/>
    <w:rsid w:val="00C65A88"/>
    <w:rsid w:val="00C9458A"/>
    <w:rsid w:val="00C96923"/>
    <w:rsid w:val="00CA580E"/>
    <w:rsid w:val="00CA5874"/>
    <w:rsid w:val="00CB3E04"/>
    <w:rsid w:val="00CD0C1E"/>
    <w:rsid w:val="00CE328D"/>
    <w:rsid w:val="00CE66DF"/>
    <w:rsid w:val="00CF1BC5"/>
    <w:rsid w:val="00CF2C7E"/>
    <w:rsid w:val="00CF6DEA"/>
    <w:rsid w:val="00CF7CAD"/>
    <w:rsid w:val="00CF7FAE"/>
    <w:rsid w:val="00D105E4"/>
    <w:rsid w:val="00D157CD"/>
    <w:rsid w:val="00D40021"/>
    <w:rsid w:val="00D45D49"/>
    <w:rsid w:val="00D47FE9"/>
    <w:rsid w:val="00D50078"/>
    <w:rsid w:val="00D5023C"/>
    <w:rsid w:val="00D6680B"/>
    <w:rsid w:val="00D66E63"/>
    <w:rsid w:val="00D876E7"/>
    <w:rsid w:val="00DA4FA2"/>
    <w:rsid w:val="00DB08BA"/>
    <w:rsid w:val="00DB76EC"/>
    <w:rsid w:val="00DC1158"/>
    <w:rsid w:val="00DD72BE"/>
    <w:rsid w:val="00DF2475"/>
    <w:rsid w:val="00DF4F8F"/>
    <w:rsid w:val="00E06198"/>
    <w:rsid w:val="00E169CC"/>
    <w:rsid w:val="00E239D5"/>
    <w:rsid w:val="00E36DB6"/>
    <w:rsid w:val="00E46322"/>
    <w:rsid w:val="00E57177"/>
    <w:rsid w:val="00E57D09"/>
    <w:rsid w:val="00E645B6"/>
    <w:rsid w:val="00E77105"/>
    <w:rsid w:val="00E77B40"/>
    <w:rsid w:val="00E8794B"/>
    <w:rsid w:val="00E96632"/>
    <w:rsid w:val="00EA665D"/>
    <w:rsid w:val="00EB3532"/>
    <w:rsid w:val="00ED2561"/>
    <w:rsid w:val="00EE19B1"/>
    <w:rsid w:val="00EE3A74"/>
    <w:rsid w:val="00EE3FF0"/>
    <w:rsid w:val="00EE67D9"/>
    <w:rsid w:val="00EF065C"/>
    <w:rsid w:val="00EF12CF"/>
    <w:rsid w:val="00F12C3E"/>
    <w:rsid w:val="00F13044"/>
    <w:rsid w:val="00F17749"/>
    <w:rsid w:val="00F21EC1"/>
    <w:rsid w:val="00F22636"/>
    <w:rsid w:val="00F3093C"/>
    <w:rsid w:val="00F34812"/>
    <w:rsid w:val="00F3678E"/>
    <w:rsid w:val="00F45B11"/>
    <w:rsid w:val="00F56809"/>
    <w:rsid w:val="00F66BCB"/>
    <w:rsid w:val="00F67DF3"/>
    <w:rsid w:val="00F71376"/>
    <w:rsid w:val="00F85B39"/>
    <w:rsid w:val="00F878AB"/>
    <w:rsid w:val="00F92FA5"/>
    <w:rsid w:val="00F936D0"/>
    <w:rsid w:val="00FA0FF1"/>
    <w:rsid w:val="00FB49A9"/>
    <w:rsid w:val="00FC0AE9"/>
    <w:rsid w:val="00FC545C"/>
    <w:rsid w:val="00FD06DE"/>
    <w:rsid w:val="00FE0F0F"/>
    <w:rsid w:val="00FE6676"/>
    <w:rsid w:val="00FE755C"/>
    <w:rsid w:val="00FF22E1"/>
    <w:rsid w:val="00FF4A61"/>
    <w:rsid w:val="00FF5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A9005"/>
  <w15:docId w15:val="{5D8EB2A8-EC12-4526-9851-BED9D10AF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57DD6"/>
  </w:style>
  <w:style w:type="paragraph" w:styleId="Heading1">
    <w:name w:val="heading 1"/>
    <w:basedOn w:val="Normal"/>
    <w:next w:val="Normal"/>
    <w:link w:val="Heading1Char"/>
    <w:uiPriority w:val="9"/>
    <w:qFormat/>
    <w:rsid w:val="00492ACD"/>
    <w:pPr>
      <w:keepNext/>
      <w:keepLines/>
      <w:spacing w:before="240" w:after="12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35E1"/>
    <w:pPr>
      <w:keepNext/>
      <w:keepLines/>
      <w:spacing w:before="120" w:after="1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A35E1"/>
    <w:pPr>
      <w:keepNext/>
      <w:keepLines/>
      <w:spacing w:before="240" w:after="12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A26F1"/>
    <w:pPr>
      <w:tabs>
        <w:tab w:val="center" w:pos="4680"/>
        <w:tab w:val="right" w:pos="9360"/>
      </w:tabs>
    </w:pPr>
  </w:style>
  <w:style w:type="character" w:customStyle="1" w:styleId="HeaderChar">
    <w:name w:val="Header Char"/>
    <w:basedOn w:val="DefaultParagraphFont"/>
    <w:link w:val="Header"/>
    <w:uiPriority w:val="99"/>
    <w:rsid w:val="001A26F1"/>
  </w:style>
  <w:style w:type="paragraph" w:styleId="Footer">
    <w:name w:val="footer"/>
    <w:basedOn w:val="Normal"/>
    <w:link w:val="FooterChar"/>
    <w:uiPriority w:val="99"/>
    <w:unhideWhenUsed/>
    <w:rsid w:val="001A26F1"/>
    <w:pPr>
      <w:tabs>
        <w:tab w:val="center" w:pos="4680"/>
        <w:tab w:val="right" w:pos="9360"/>
      </w:tabs>
    </w:pPr>
  </w:style>
  <w:style w:type="character" w:customStyle="1" w:styleId="FooterChar">
    <w:name w:val="Footer Char"/>
    <w:basedOn w:val="DefaultParagraphFont"/>
    <w:link w:val="Footer"/>
    <w:uiPriority w:val="99"/>
    <w:rsid w:val="001A26F1"/>
  </w:style>
  <w:style w:type="paragraph" w:styleId="FootnoteText">
    <w:name w:val="footnote text"/>
    <w:aliases w:val="Fußnote,Fußnotentextf,Podrozdział,Footnote Text Char Char,single space,FOOTNOTES,fn,stile 1,Footnote,Footnote1,Footnote2,Footnote3,Footnote4,Footnote5,Footnote6,Footnote7,Footnote8,Footnote9,Footnote10"/>
    <w:basedOn w:val="Normal"/>
    <w:link w:val="FootnoteTextChar"/>
    <w:uiPriority w:val="99"/>
    <w:unhideWhenUsed/>
    <w:rsid w:val="009548B8"/>
    <w:rPr>
      <w:sz w:val="20"/>
      <w:szCs w:val="20"/>
    </w:rPr>
  </w:style>
  <w:style w:type="character" w:customStyle="1" w:styleId="FootnoteTextChar">
    <w:name w:val="Footnote Text Char"/>
    <w:aliases w:val="Fußnote Char,Fußnotentextf Char,Podrozdział Char,Footnote Text Char Char Char,single space Char,FOOTNOTES Char,fn Char,stile 1 Char,Footnote Char,Footnote1 Char,Footnote2 Char,Footnote3 Char,Footnote4 Char,Footnote5 Char"/>
    <w:basedOn w:val="DefaultParagraphFont"/>
    <w:link w:val="FootnoteText"/>
    <w:uiPriority w:val="99"/>
    <w:rsid w:val="009548B8"/>
    <w:rPr>
      <w:sz w:val="20"/>
      <w:szCs w:val="20"/>
    </w:rPr>
  </w:style>
  <w:style w:type="character" w:styleId="FootnoteReference">
    <w:name w:val="footnote reference"/>
    <w:aliases w:val="Überschrift 4 Zchn1,Título 4 Car Zchn,Heading 4 Char1 Car Zchn,no vale 2 Zchn,no vale 2 Car Zchn,Footnote Reference Superscript"/>
    <w:uiPriority w:val="99"/>
    <w:rsid w:val="009548B8"/>
    <w:rPr>
      <w:rFonts w:ascii="TimesNewRomanPS" w:hAnsi="TimesNewRomanPS"/>
      <w:position w:val="6"/>
      <w:sz w:val="16"/>
    </w:rPr>
  </w:style>
  <w:style w:type="paragraph" w:styleId="EndnoteText">
    <w:name w:val="endnote text"/>
    <w:basedOn w:val="Normal"/>
    <w:link w:val="EndnoteTextChar"/>
    <w:uiPriority w:val="99"/>
    <w:semiHidden/>
    <w:unhideWhenUsed/>
    <w:rsid w:val="009548B8"/>
    <w:rPr>
      <w:sz w:val="20"/>
      <w:szCs w:val="20"/>
    </w:rPr>
  </w:style>
  <w:style w:type="character" w:customStyle="1" w:styleId="EndnoteTextChar">
    <w:name w:val="Endnote Text Char"/>
    <w:basedOn w:val="DefaultParagraphFont"/>
    <w:link w:val="EndnoteText"/>
    <w:uiPriority w:val="99"/>
    <w:semiHidden/>
    <w:rsid w:val="009548B8"/>
    <w:rPr>
      <w:sz w:val="20"/>
      <w:szCs w:val="20"/>
      <w:lang w:val="en-GB"/>
    </w:rPr>
  </w:style>
  <w:style w:type="character" w:styleId="EndnoteReference">
    <w:name w:val="endnote reference"/>
    <w:basedOn w:val="DefaultParagraphFont"/>
    <w:uiPriority w:val="99"/>
    <w:semiHidden/>
    <w:unhideWhenUsed/>
    <w:rsid w:val="009548B8"/>
    <w:rPr>
      <w:vertAlign w:val="superscript"/>
    </w:rPr>
  </w:style>
  <w:style w:type="character" w:styleId="CommentReference">
    <w:name w:val="annotation reference"/>
    <w:basedOn w:val="DefaultParagraphFont"/>
    <w:uiPriority w:val="99"/>
    <w:semiHidden/>
    <w:unhideWhenUsed/>
    <w:rsid w:val="00FF1F29"/>
    <w:rPr>
      <w:sz w:val="16"/>
      <w:szCs w:val="16"/>
    </w:rPr>
  </w:style>
  <w:style w:type="paragraph" w:styleId="CommentText">
    <w:name w:val="annotation text"/>
    <w:basedOn w:val="Normal"/>
    <w:link w:val="CommentTextChar"/>
    <w:uiPriority w:val="99"/>
    <w:unhideWhenUsed/>
    <w:rsid w:val="00FF1F29"/>
    <w:rPr>
      <w:sz w:val="20"/>
      <w:szCs w:val="20"/>
    </w:rPr>
  </w:style>
  <w:style w:type="character" w:customStyle="1" w:styleId="CommentTextChar">
    <w:name w:val="Comment Text Char"/>
    <w:basedOn w:val="DefaultParagraphFont"/>
    <w:link w:val="CommentText"/>
    <w:uiPriority w:val="99"/>
    <w:rsid w:val="00FF1F29"/>
    <w:rPr>
      <w:sz w:val="20"/>
      <w:szCs w:val="20"/>
    </w:rPr>
  </w:style>
  <w:style w:type="paragraph" w:styleId="CommentSubject">
    <w:name w:val="annotation subject"/>
    <w:basedOn w:val="CommentText"/>
    <w:next w:val="CommentText"/>
    <w:link w:val="CommentSubjectChar"/>
    <w:uiPriority w:val="99"/>
    <w:semiHidden/>
    <w:unhideWhenUsed/>
    <w:rsid w:val="00FF1F29"/>
    <w:rPr>
      <w:b/>
      <w:bCs/>
    </w:rPr>
  </w:style>
  <w:style w:type="character" w:customStyle="1" w:styleId="CommentSubjectChar">
    <w:name w:val="Comment Subject Char"/>
    <w:basedOn w:val="CommentTextChar"/>
    <w:link w:val="CommentSubject"/>
    <w:uiPriority w:val="99"/>
    <w:semiHidden/>
    <w:rsid w:val="00FF1F29"/>
    <w:rPr>
      <w:b/>
      <w:bCs/>
      <w:sz w:val="20"/>
      <w:szCs w:val="20"/>
    </w:rPr>
  </w:style>
  <w:style w:type="paragraph" w:styleId="BalloonText">
    <w:name w:val="Balloon Text"/>
    <w:basedOn w:val="Normal"/>
    <w:link w:val="BalloonTextChar"/>
    <w:uiPriority w:val="99"/>
    <w:semiHidden/>
    <w:unhideWhenUsed/>
    <w:rsid w:val="00FF1F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F29"/>
    <w:rPr>
      <w:rFonts w:ascii="Segoe UI" w:hAnsi="Segoe UI" w:cs="Segoe UI"/>
      <w:sz w:val="18"/>
      <w:szCs w:val="18"/>
    </w:rPr>
  </w:style>
  <w:style w:type="character" w:customStyle="1" w:styleId="Heading1Char">
    <w:name w:val="Heading 1 Char"/>
    <w:basedOn w:val="DefaultParagraphFont"/>
    <w:link w:val="Heading1"/>
    <w:uiPriority w:val="9"/>
    <w:rsid w:val="00492ACD"/>
    <w:rPr>
      <w:rFonts w:asciiTheme="majorHAnsi" w:eastAsiaTheme="majorEastAsia" w:hAnsiTheme="majorHAnsi" w:cstheme="majorBidi"/>
      <w:color w:val="2F5496" w:themeColor="accent1" w:themeShade="BF"/>
      <w:sz w:val="32"/>
      <w:szCs w:val="32"/>
    </w:rPr>
  </w:style>
  <w:style w:type="paragraph" w:styleId="ListParagraph">
    <w:name w:val="List Paragraph"/>
    <w:aliases w:val="Bullet Points,Listenabsatz1,Llista Nivell1,Lista de nivel 1,Paragraphe de liste PBLH,Normal bullet 2,Graph &amp; Table tite,Table of contents numbered,Bullet list,Liststycke SKL,List Paragraph2,Foot note,UEDAŞ Bullet"/>
    <w:basedOn w:val="Normal"/>
    <w:link w:val="ListParagraphChar"/>
    <w:uiPriority w:val="34"/>
    <w:qFormat/>
    <w:rsid w:val="002F2BFB"/>
    <w:pPr>
      <w:ind w:left="720"/>
      <w:contextualSpacing/>
    </w:pPr>
  </w:style>
  <w:style w:type="table" w:customStyle="1" w:styleId="Tablaconcuadrcula1">
    <w:name w:val="Tabla con cuadrícula1"/>
    <w:basedOn w:val="TableNormal"/>
    <w:next w:val="TableGrid"/>
    <w:uiPriority w:val="39"/>
    <w:rsid w:val="00CF5370"/>
    <w:rPr>
      <w:sz w:val="22"/>
      <w:szCs w:val="22"/>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F5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3530"/>
    <w:rPr>
      <w:color w:val="0563C1" w:themeColor="hyperlink"/>
      <w:u w:val="single"/>
    </w:rPr>
  </w:style>
  <w:style w:type="table" w:customStyle="1" w:styleId="TableNormal2">
    <w:name w:val="Table Normal2"/>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AA35E1"/>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C55470"/>
    <w:pPr>
      <w:spacing w:line="259" w:lineRule="auto"/>
      <w:outlineLvl w:val="9"/>
    </w:pPr>
    <w:rPr>
      <w:lang w:val="en-US"/>
    </w:rPr>
  </w:style>
  <w:style w:type="paragraph" w:styleId="TOC1">
    <w:name w:val="toc 1"/>
    <w:basedOn w:val="Normal"/>
    <w:next w:val="Normal"/>
    <w:autoRedefine/>
    <w:uiPriority w:val="39"/>
    <w:unhideWhenUsed/>
    <w:rsid w:val="009E5B12"/>
    <w:pPr>
      <w:numPr>
        <w:numId w:val="3"/>
      </w:numPr>
      <w:tabs>
        <w:tab w:val="left" w:pos="480"/>
        <w:tab w:val="right" w:leader="dot" w:pos="9487"/>
      </w:tabs>
      <w:spacing w:before="360"/>
    </w:pPr>
    <w:rPr>
      <w:rFonts w:cstheme="minorHAnsi"/>
      <w:b/>
      <w:bCs/>
      <w:caps/>
      <w:noProof/>
      <w:sz w:val="22"/>
      <w:szCs w:val="22"/>
    </w:rPr>
  </w:style>
  <w:style w:type="paragraph" w:styleId="TOC2">
    <w:name w:val="toc 2"/>
    <w:basedOn w:val="Normal"/>
    <w:next w:val="Normal"/>
    <w:autoRedefine/>
    <w:uiPriority w:val="39"/>
    <w:unhideWhenUsed/>
    <w:rsid w:val="002A2FE4"/>
    <w:pPr>
      <w:tabs>
        <w:tab w:val="right" w:leader="dot" w:pos="9350"/>
      </w:tabs>
      <w:spacing w:before="240"/>
    </w:pPr>
    <w:rPr>
      <w:rFonts w:cstheme="minorHAnsi"/>
      <w:b/>
      <w:bCs/>
      <w:sz w:val="20"/>
      <w:szCs w:val="20"/>
    </w:rPr>
  </w:style>
  <w:style w:type="character" w:customStyle="1" w:styleId="Heading3Char">
    <w:name w:val="Heading 3 Char"/>
    <w:basedOn w:val="DefaultParagraphFont"/>
    <w:link w:val="Heading3"/>
    <w:uiPriority w:val="9"/>
    <w:rsid w:val="00AA35E1"/>
    <w:rPr>
      <w:rFonts w:asciiTheme="majorHAnsi" w:eastAsiaTheme="majorEastAsia" w:hAnsiTheme="majorHAnsi" w:cstheme="majorBidi"/>
      <w:color w:val="1F3763" w:themeColor="accent1" w:themeShade="7F"/>
    </w:rPr>
  </w:style>
  <w:style w:type="paragraph" w:styleId="TOC3">
    <w:name w:val="toc 3"/>
    <w:basedOn w:val="Normal"/>
    <w:next w:val="Normal"/>
    <w:autoRedefine/>
    <w:uiPriority w:val="39"/>
    <w:unhideWhenUsed/>
    <w:rsid w:val="00492ACD"/>
    <w:pPr>
      <w:ind w:left="240"/>
    </w:pPr>
    <w:rPr>
      <w:rFonts w:cstheme="minorHAnsi"/>
      <w:sz w:val="20"/>
      <w:szCs w:val="20"/>
    </w:rPr>
  </w:style>
  <w:style w:type="paragraph" w:styleId="TOC4">
    <w:name w:val="toc 4"/>
    <w:basedOn w:val="Normal"/>
    <w:next w:val="Normal"/>
    <w:autoRedefine/>
    <w:uiPriority w:val="39"/>
    <w:unhideWhenUsed/>
    <w:rsid w:val="00492ACD"/>
    <w:pPr>
      <w:ind w:left="480"/>
    </w:pPr>
    <w:rPr>
      <w:rFonts w:cstheme="minorHAnsi"/>
      <w:sz w:val="20"/>
      <w:szCs w:val="20"/>
    </w:rPr>
  </w:style>
  <w:style w:type="paragraph" w:styleId="TOC5">
    <w:name w:val="toc 5"/>
    <w:basedOn w:val="Normal"/>
    <w:next w:val="Normal"/>
    <w:autoRedefine/>
    <w:uiPriority w:val="39"/>
    <w:unhideWhenUsed/>
    <w:rsid w:val="00492ACD"/>
    <w:pPr>
      <w:ind w:left="720"/>
    </w:pPr>
    <w:rPr>
      <w:rFonts w:cstheme="minorHAnsi"/>
      <w:sz w:val="20"/>
      <w:szCs w:val="20"/>
    </w:rPr>
  </w:style>
  <w:style w:type="paragraph" w:styleId="TOC6">
    <w:name w:val="toc 6"/>
    <w:basedOn w:val="Normal"/>
    <w:next w:val="Normal"/>
    <w:autoRedefine/>
    <w:uiPriority w:val="39"/>
    <w:unhideWhenUsed/>
    <w:rsid w:val="00492ACD"/>
    <w:pPr>
      <w:ind w:left="960"/>
    </w:pPr>
    <w:rPr>
      <w:rFonts w:cstheme="minorHAnsi"/>
      <w:sz w:val="20"/>
      <w:szCs w:val="20"/>
    </w:rPr>
  </w:style>
  <w:style w:type="paragraph" w:styleId="TOC7">
    <w:name w:val="toc 7"/>
    <w:basedOn w:val="Normal"/>
    <w:next w:val="Normal"/>
    <w:autoRedefine/>
    <w:uiPriority w:val="39"/>
    <w:unhideWhenUsed/>
    <w:rsid w:val="00492ACD"/>
    <w:pPr>
      <w:ind w:left="1200"/>
    </w:pPr>
    <w:rPr>
      <w:rFonts w:cstheme="minorHAnsi"/>
      <w:sz w:val="20"/>
      <w:szCs w:val="20"/>
    </w:rPr>
  </w:style>
  <w:style w:type="paragraph" w:styleId="TOC8">
    <w:name w:val="toc 8"/>
    <w:basedOn w:val="Normal"/>
    <w:next w:val="Normal"/>
    <w:autoRedefine/>
    <w:uiPriority w:val="39"/>
    <w:unhideWhenUsed/>
    <w:rsid w:val="00492ACD"/>
    <w:pPr>
      <w:ind w:left="1440"/>
    </w:pPr>
    <w:rPr>
      <w:rFonts w:cstheme="minorHAnsi"/>
      <w:sz w:val="20"/>
      <w:szCs w:val="20"/>
    </w:rPr>
  </w:style>
  <w:style w:type="paragraph" w:styleId="TOC9">
    <w:name w:val="toc 9"/>
    <w:basedOn w:val="Normal"/>
    <w:next w:val="Normal"/>
    <w:autoRedefine/>
    <w:uiPriority w:val="39"/>
    <w:unhideWhenUsed/>
    <w:rsid w:val="00492ACD"/>
    <w:pPr>
      <w:ind w:left="1680"/>
    </w:pPr>
    <w:rPr>
      <w:rFonts w:cstheme="minorHAnsi"/>
      <w:sz w:val="20"/>
      <w:szCs w:val="20"/>
    </w:rPr>
  </w:style>
  <w:style w:type="character" w:styleId="PageNumber">
    <w:name w:val="page number"/>
    <w:basedOn w:val="DefaultParagraphFont"/>
    <w:uiPriority w:val="99"/>
    <w:semiHidden/>
    <w:unhideWhenUsed/>
    <w:rsid w:val="00DF55E9"/>
  </w:style>
  <w:style w:type="character" w:customStyle="1" w:styleId="UnresolvedMention1">
    <w:name w:val="Unresolved Mention1"/>
    <w:basedOn w:val="DefaultParagraphFont"/>
    <w:uiPriority w:val="99"/>
    <w:semiHidden/>
    <w:unhideWhenUsed/>
    <w:rsid w:val="004B20FB"/>
    <w:rPr>
      <w:color w:val="605E5C"/>
      <w:shd w:val="clear" w:color="auto" w:fill="E1DFDD"/>
    </w:rPr>
  </w:style>
  <w:style w:type="paragraph" w:styleId="NormalWeb">
    <w:name w:val="Normal (Web)"/>
    <w:basedOn w:val="Normal"/>
    <w:uiPriority w:val="99"/>
    <w:unhideWhenUsed/>
    <w:rsid w:val="003E50F9"/>
    <w:rPr>
      <w:rFonts w:ascii="Times New Roman" w:hAnsi="Times New Roman" w:cs="Times New Roman"/>
    </w:rPr>
  </w:style>
  <w:style w:type="table" w:customStyle="1" w:styleId="TableGrid1">
    <w:name w:val="Table Grid1"/>
    <w:basedOn w:val="TableNormal"/>
    <w:next w:val="TableGrid"/>
    <w:uiPriority w:val="39"/>
    <w:rsid w:val="00860EBD"/>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B37BE"/>
  </w:style>
  <w:style w:type="character" w:customStyle="1" w:styleId="UnresolvedMention2">
    <w:name w:val="Unresolved Mention2"/>
    <w:basedOn w:val="DefaultParagraphFont"/>
    <w:uiPriority w:val="99"/>
    <w:semiHidden/>
    <w:unhideWhenUsed/>
    <w:rsid w:val="007135B7"/>
    <w:rPr>
      <w:color w:val="605E5C"/>
      <w:shd w:val="clear" w:color="auto" w:fill="E1DFDD"/>
    </w:rPr>
  </w:style>
  <w:style w:type="paragraph" w:customStyle="1" w:styleId="Default">
    <w:name w:val="Default"/>
    <w:rsid w:val="006C68A7"/>
    <w:pPr>
      <w:autoSpaceDE w:val="0"/>
      <w:autoSpaceDN w:val="0"/>
      <w:adjustRightInd w:val="0"/>
    </w:pPr>
    <w:rPr>
      <w:rFonts w:ascii="Segoe UI" w:hAnsi="Segoe UI" w:cs="Segoe UI"/>
      <w:color w:val="000000"/>
      <w:lang w:val="en-US"/>
    </w:rPr>
  </w:style>
  <w:style w:type="paragraph" w:customStyle="1" w:styleId="Pa3">
    <w:name w:val="Pa3"/>
    <w:basedOn w:val="Default"/>
    <w:next w:val="Default"/>
    <w:uiPriority w:val="99"/>
    <w:rsid w:val="006C68A7"/>
    <w:pPr>
      <w:spacing w:line="201" w:lineRule="atLeast"/>
    </w:pPr>
    <w:rPr>
      <w:color w:val="auto"/>
    </w:rPr>
  </w:style>
  <w:style w:type="character" w:customStyle="1" w:styleId="UnresolvedMention3">
    <w:name w:val="Unresolved Mention3"/>
    <w:basedOn w:val="DefaultParagraphFont"/>
    <w:uiPriority w:val="99"/>
    <w:semiHidden/>
    <w:unhideWhenUsed/>
    <w:rsid w:val="00B8285A"/>
    <w:rPr>
      <w:color w:val="605E5C"/>
      <w:shd w:val="clear" w:color="auto" w:fill="E1DFDD"/>
    </w:rPr>
  </w:style>
  <w:style w:type="paragraph" w:styleId="HTMLPreformatted">
    <w:name w:val="HTML Preformatted"/>
    <w:basedOn w:val="Normal"/>
    <w:link w:val="HTMLPreformattedChar"/>
    <w:uiPriority w:val="99"/>
    <w:semiHidden/>
    <w:unhideWhenUsed/>
    <w:rsid w:val="00142C6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42C66"/>
    <w:rPr>
      <w:rFonts w:ascii="Consolas" w:hAnsi="Consolas"/>
      <w:sz w:val="20"/>
      <w:szCs w:val="20"/>
      <w:lang w:val="en-GB"/>
    </w:rPr>
  </w:style>
  <w:style w:type="character" w:styleId="FollowedHyperlink">
    <w:name w:val="FollowedHyperlink"/>
    <w:basedOn w:val="DefaultParagraphFont"/>
    <w:uiPriority w:val="99"/>
    <w:semiHidden/>
    <w:unhideWhenUsed/>
    <w:rsid w:val="00142C66"/>
    <w:rPr>
      <w:color w:val="954F72" w:themeColor="followedHyperlink"/>
      <w:u w:val="single"/>
    </w:rPr>
  </w:style>
  <w:style w:type="character" w:customStyle="1" w:styleId="UnresolvedMention4">
    <w:name w:val="Unresolved Mention4"/>
    <w:basedOn w:val="DefaultParagraphFont"/>
    <w:uiPriority w:val="99"/>
    <w:semiHidden/>
    <w:unhideWhenUsed/>
    <w:rsid w:val="0092728A"/>
    <w:rPr>
      <w:color w:val="605E5C"/>
      <w:shd w:val="clear" w:color="auto" w:fill="E1DFDD"/>
    </w:rPr>
  </w:style>
  <w:style w:type="table" w:customStyle="1" w:styleId="TableNormal11">
    <w:name w:val="Table Normal11"/>
    <w:uiPriority w:val="2"/>
    <w:semiHidden/>
    <w:unhideWhenUsed/>
    <w:qFormat/>
    <w:rsid w:val="0048330A"/>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Grid2">
    <w:name w:val="Table Grid2"/>
    <w:basedOn w:val="TableNormal"/>
    <w:next w:val="TableGrid"/>
    <w:uiPriority w:val="39"/>
    <w:rsid w:val="00AC1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6E76C3"/>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Grid3">
    <w:name w:val="Table Grid3"/>
    <w:basedOn w:val="TableNormal"/>
    <w:next w:val="TableGrid"/>
    <w:uiPriority w:val="39"/>
    <w:rsid w:val="00C84B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8C49B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widowControl w:val="0"/>
    </w:pPr>
    <w:rPr>
      <w:sz w:val="22"/>
      <w:szCs w:val="22"/>
    </w:rPr>
    <w:tblPr>
      <w:tblStyleRowBandSize w:val="1"/>
      <w:tblStyleColBandSize w:val="1"/>
      <w:tblCellMar>
        <w:left w:w="0" w:type="dxa"/>
        <w:right w:w="0" w:type="dxa"/>
      </w:tblCellMar>
    </w:tblPr>
  </w:style>
  <w:style w:type="table" w:customStyle="1" w:styleId="a1">
    <w:basedOn w:val="TableNormal"/>
    <w:rPr>
      <w:sz w:val="22"/>
      <w:szCs w:val="22"/>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character" w:customStyle="1" w:styleId="UnresolvedMention6">
    <w:name w:val="Unresolved Mention6"/>
    <w:basedOn w:val="DefaultParagraphFont"/>
    <w:uiPriority w:val="99"/>
    <w:semiHidden/>
    <w:unhideWhenUsed/>
    <w:rsid w:val="007D6993"/>
    <w:rPr>
      <w:color w:val="605E5C"/>
      <w:shd w:val="clear" w:color="auto" w:fill="E1DFDD"/>
    </w:rPr>
  </w:style>
  <w:style w:type="character" w:customStyle="1" w:styleId="UnresolvedMention7">
    <w:name w:val="Unresolved Mention7"/>
    <w:basedOn w:val="DefaultParagraphFont"/>
    <w:uiPriority w:val="99"/>
    <w:semiHidden/>
    <w:unhideWhenUsed/>
    <w:rsid w:val="00FE6676"/>
    <w:rPr>
      <w:color w:val="605E5C"/>
      <w:shd w:val="clear" w:color="auto" w:fill="E1DFDD"/>
    </w:rPr>
  </w:style>
  <w:style w:type="character" w:customStyle="1" w:styleId="ListParagraphChar">
    <w:name w:val="List Paragraph Char"/>
    <w:aliases w:val="Bullet Points Char,Listenabsatz1 Char,Llista Nivell1 Char,Lista de nivel 1 Char,Paragraphe de liste PBLH Char,Normal bullet 2 Char,Graph &amp; Table tite Char,Table of contents numbered Char,Bullet list Char,Liststycke SKL Char"/>
    <w:link w:val="ListParagraph"/>
    <w:uiPriority w:val="34"/>
    <w:qFormat/>
    <w:locked/>
    <w:rsid w:val="00A80B9D"/>
  </w:style>
  <w:style w:type="character" w:customStyle="1" w:styleId="UnresolvedMention8">
    <w:name w:val="Unresolved Mention8"/>
    <w:basedOn w:val="DefaultParagraphFont"/>
    <w:uiPriority w:val="99"/>
    <w:semiHidden/>
    <w:unhideWhenUsed/>
    <w:rsid w:val="0052117F"/>
    <w:rPr>
      <w:color w:val="605E5C"/>
      <w:shd w:val="clear" w:color="auto" w:fill="E1DFDD"/>
    </w:rPr>
  </w:style>
  <w:style w:type="character" w:styleId="UnresolvedMention">
    <w:name w:val="Unresolved Mention"/>
    <w:basedOn w:val="DefaultParagraphFont"/>
    <w:uiPriority w:val="99"/>
    <w:semiHidden/>
    <w:unhideWhenUsed/>
    <w:rsid w:val="00FC0A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037618">
      <w:bodyDiv w:val="1"/>
      <w:marLeft w:val="0"/>
      <w:marRight w:val="0"/>
      <w:marTop w:val="0"/>
      <w:marBottom w:val="0"/>
      <w:divBdr>
        <w:top w:val="none" w:sz="0" w:space="0" w:color="auto"/>
        <w:left w:val="none" w:sz="0" w:space="0" w:color="auto"/>
        <w:bottom w:val="none" w:sz="0" w:space="0" w:color="auto"/>
        <w:right w:val="none" w:sz="0" w:space="0" w:color="auto"/>
      </w:divBdr>
    </w:div>
    <w:div w:id="86539226">
      <w:bodyDiv w:val="1"/>
      <w:marLeft w:val="0"/>
      <w:marRight w:val="0"/>
      <w:marTop w:val="0"/>
      <w:marBottom w:val="0"/>
      <w:divBdr>
        <w:top w:val="none" w:sz="0" w:space="0" w:color="auto"/>
        <w:left w:val="none" w:sz="0" w:space="0" w:color="auto"/>
        <w:bottom w:val="none" w:sz="0" w:space="0" w:color="auto"/>
        <w:right w:val="none" w:sz="0" w:space="0" w:color="auto"/>
      </w:divBdr>
    </w:div>
    <w:div w:id="183370444">
      <w:bodyDiv w:val="1"/>
      <w:marLeft w:val="0"/>
      <w:marRight w:val="0"/>
      <w:marTop w:val="0"/>
      <w:marBottom w:val="0"/>
      <w:divBdr>
        <w:top w:val="none" w:sz="0" w:space="0" w:color="auto"/>
        <w:left w:val="none" w:sz="0" w:space="0" w:color="auto"/>
        <w:bottom w:val="none" w:sz="0" w:space="0" w:color="auto"/>
        <w:right w:val="none" w:sz="0" w:space="0" w:color="auto"/>
      </w:divBdr>
    </w:div>
    <w:div w:id="224032030">
      <w:bodyDiv w:val="1"/>
      <w:marLeft w:val="0"/>
      <w:marRight w:val="0"/>
      <w:marTop w:val="0"/>
      <w:marBottom w:val="0"/>
      <w:divBdr>
        <w:top w:val="none" w:sz="0" w:space="0" w:color="auto"/>
        <w:left w:val="none" w:sz="0" w:space="0" w:color="auto"/>
        <w:bottom w:val="none" w:sz="0" w:space="0" w:color="auto"/>
        <w:right w:val="none" w:sz="0" w:space="0" w:color="auto"/>
      </w:divBdr>
    </w:div>
    <w:div w:id="234901858">
      <w:bodyDiv w:val="1"/>
      <w:marLeft w:val="0"/>
      <w:marRight w:val="0"/>
      <w:marTop w:val="0"/>
      <w:marBottom w:val="0"/>
      <w:divBdr>
        <w:top w:val="none" w:sz="0" w:space="0" w:color="auto"/>
        <w:left w:val="none" w:sz="0" w:space="0" w:color="auto"/>
        <w:bottom w:val="none" w:sz="0" w:space="0" w:color="auto"/>
        <w:right w:val="none" w:sz="0" w:space="0" w:color="auto"/>
      </w:divBdr>
    </w:div>
    <w:div w:id="310211383">
      <w:bodyDiv w:val="1"/>
      <w:marLeft w:val="0"/>
      <w:marRight w:val="0"/>
      <w:marTop w:val="0"/>
      <w:marBottom w:val="0"/>
      <w:divBdr>
        <w:top w:val="none" w:sz="0" w:space="0" w:color="auto"/>
        <w:left w:val="none" w:sz="0" w:space="0" w:color="auto"/>
        <w:bottom w:val="none" w:sz="0" w:space="0" w:color="auto"/>
        <w:right w:val="none" w:sz="0" w:space="0" w:color="auto"/>
      </w:divBdr>
    </w:div>
    <w:div w:id="322205171">
      <w:bodyDiv w:val="1"/>
      <w:marLeft w:val="0"/>
      <w:marRight w:val="0"/>
      <w:marTop w:val="0"/>
      <w:marBottom w:val="0"/>
      <w:divBdr>
        <w:top w:val="none" w:sz="0" w:space="0" w:color="auto"/>
        <w:left w:val="none" w:sz="0" w:space="0" w:color="auto"/>
        <w:bottom w:val="none" w:sz="0" w:space="0" w:color="auto"/>
        <w:right w:val="none" w:sz="0" w:space="0" w:color="auto"/>
      </w:divBdr>
    </w:div>
    <w:div w:id="362249767">
      <w:bodyDiv w:val="1"/>
      <w:marLeft w:val="0"/>
      <w:marRight w:val="0"/>
      <w:marTop w:val="0"/>
      <w:marBottom w:val="0"/>
      <w:divBdr>
        <w:top w:val="none" w:sz="0" w:space="0" w:color="auto"/>
        <w:left w:val="none" w:sz="0" w:space="0" w:color="auto"/>
        <w:bottom w:val="none" w:sz="0" w:space="0" w:color="auto"/>
        <w:right w:val="none" w:sz="0" w:space="0" w:color="auto"/>
      </w:divBdr>
    </w:div>
    <w:div w:id="521675948">
      <w:bodyDiv w:val="1"/>
      <w:marLeft w:val="0"/>
      <w:marRight w:val="0"/>
      <w:marTop w:val="0"/>
      <w:marBottom w:val="0"/>
      <w:divBdr>
        <w:top w:val="none" w:sz="0" w:space="0" w:color="auto"/>
        <w:left w:val="none" w:sz="0" w:space="0" w:color="auto"/>
        <w:bottom w:val="none" w:sz="0" w:space="0" w:color="auto"/>
        <w:right w:val="none" w:sz="0" w:space="0" w:color="auto"/>
      </w:divBdr>
    </w:div>
    <w:div w:id="597173823">
      <w:bodyDiv w:val="1"/>
      <w:marLeft w:val="0"/>
      <w:marRight w:val="0"/>
      <w:marTop w:val="0"/>
      <w:marBottom w:val="0"/>
      <w:divBdr>
        <w:top w:val="none" w:sz="0" w:space="0" w:color="auto"/>
        <w:left w:val="none" w:sz="0" w:space="0" w:color="auto"/>
        <w:bottom w:val="none" w:sz="0" w:space="0" w:color="auto"/>
        <w:right w:val="none" w:sz="0" w:space="0" w:color="auto"/>
      </w:divBdr>
    </w:div>
    <w:div w:id="691035769">
      <w:bodyDiv w:val="1"/>
      <w:marLeft w:val="0"/>
      <w:marRight w:val="0"/>
      <w:marTop w:val="0"/>
      <w:marBottom w:val="0"/>
      <w:divBdr>
        <w:top w:val="none" w:sz="0" w:space="0" w:color="auto"/>
        <w:left w:val="none" w:sz="0" w:space="0" w:color="auto"/>
        <w:bottom w:val="none" w:sz="0" w:space="0" w:color="auto"/>
        <w:right w:val="none" w:sz="0" w:space="0" w:color="auto"/>
      </w:divBdr>
    </w:div>
    <w:div w:id="842664435">
      <w:bodyDiv w:val="1"/>
      <w:marLeft w:val="0"/>
      <w:marRight w:val="0"/>
      <w:marTop w:val="0"/>
      <w:marBottom w:val="0"/>
      <w:divBdr>
        <w:top w:val="none" w:sz="0" w:space="0" w:color="auto"/>
        <w:left w:val="none" w:sz="0" w:space="0" w:color="auto"/>
        <w:bottom w:val="none" w:sz="0" w:space="0" w:color="auto"/>
        <w:right w:val="none" w:sz="0" w:space="0" w:color="auto"/>
      </w:divBdr>
    </w:div>
    <w:div w:id="890772246">
      <w:bodyDiv w:val="1"/>
      <w:marLeft w:val="0"/>
      <w:marRight w:val="0"/>
      <w:marTop w:val="0"/>
      <w:marBottom w:val="0"/>
      <w:divBdr>
        <w:top w:val="none" w:sz="0" w:space="0" w:color="auto"/>
        <w:left w:val="none" w:sz="0" w:space="0" w:color="auto"/>
        <w:bottom w:val="none" w:sz="0" w:space="0" w:color="auto"/>
        <w:right w:val="none" w:sz="0" w:space="0" w:color="auto"/>
      </w:divBdr>
    </w:div>
    <w:div w:id="961575006">
      <w:bodyDiv w:val="1"/>
      <w:marLeft w:val="0"/>
      <w:marRight w:val="0"/>
      <w:marTop w:val="0"/>
      <w:marBottom w:val="0"/>
      <w:divBdr>
        <w:top w:val="none" w:sz="0" w:space="0" w:color="auto"/>
        <w:left w:val="none" w:sz="0" w:space="0" w:color="auto"/>
        <w:bottom w:val="none" w:sz="0" w:space="0" w:color="auto"/>
        <w:right w:val="none" w:sz="0" w:space="0" w:color="auto"/>
      </w:divBdr>
    </w:div>
    <w:div w:id="1009139748">
      <w:bodyDiv w:val="1"/>
      <w:marLeft w:val="0"/>
      <w:marRight w:val="0"/>
      <w:marTop w:val="0"/>
      <w:marBottom w:val="0"/>
      <w:divBdr>
        <w:top w:val="none" w:sz="0" w:space="0" w:color="auto"/>
        <w:left w:val="none" w:sz="0" w:space="0" w:color="auto"/>
        <w:bottom w:val="none" w:sz="0" w:space="0" w:color="auto"/>
        <w:right w:val="none" w:sz="0" w:space="0" w:color="auto"/>
      </w:divBdr>
    </w:div>
    <w:div w:id="1110127640">
      <w:bodyDiv w:val="1"/>
      <w:marLeft w:val="0"/>
      <w:marRight w:val="0"/>
      <w:marTop w:val="0"/>
      <w:marBottom w:val="0"/>
      <w:divBdr>
        <w:top w:val="none" w:sz="0" w:space="0" w:color="auto"/>
        <w:left w:val="none" w:sz="0" w:space="0" w:color="auto"/>
        <w:bottom w:val="none" w:sz="0" w:space="0" w:color="auto"/>
        <w:right w:val="none" w:sz="0" w:space="0" w:color="auto"/>
      </w:divBdr>
      <w:divsChild>
        <w:div w:id="1588419909">
          <w:marLeft w:val="1080"/>
          <w:marRight w:val="0"/>
          <w:marTop w:val="100"/>
          <w:marBottom w:val="0"/>
          <w:divBdr>
            <w:top w:val="none" w:sz="0" w:space="0" w:color="auto"/>
            <w:left w:val="none" w:sz="0" w:space="0" w:color="auto"/>
            <w:bottom w:val="none" w:sz="0" w:space="0" w:color="auto"/>
            <w:right w:val="none" w:sz="0" w:space="0" w:color="auto"/>
          </w:divBdr>
        </w:div>
        <w:div w:id="1084451305">
          <w:marLeft w:val="1080"/>
          <w:marRight w:val="0"/>
          <w:marTop w:val="100"/>
          <w:marBottom w:val="0"/>
          <w:divBdr>
            <w:top w:val="none" w:sz="0" w:space="0" w:color="auto"/>
            <w:left w:val="none" w:sz="0" w:space="0" w:color="auto"/>
            <w:bottom w:val="none" w:sz="0" w:space="0" w:color="auto"/>
            <w:right w:val="none" w:sz="0" w:space="0" w:color="auto"/>
          </w:divBdr>
        </w:div>
      </w:divsChild>
    </w:div>
    <w:div w:id="1128090155">
      <w:bodyDiv w:val="1"/>
      <w:marLeft w:val="0"/>
      <w:marRight w:val="0"/>
      <w:marTop w:val="0"/>
      <w:marBottom w:val="0"/>
      <w:divBdr>
        <w:top w:val="none" w:sz="0" w:space="0" w:color="auto"/>
        <w:left w:val="none" w:sz="0" w:space="0" w:color="auto"/>
        <w:bottom w:val="none" w:sz="0" w:space="0" w:color="auto"/>
        <w:right w:val="none" w:sz="0" w:space="0" w:color="auto"/>
      </w:divBdr>
    </w:div>
    <w:div w:id="1215116678">
      <w:bodyDiv w:val="1"/>
      <w:marLeft w:val="0"/>
      <w:marRight w:val="0"/>
      <w:marTop w:val="0"/>
      <w:marBottom w:val="0"/>
      <w:divBdr>
        <w:top w:val="none" w:sz="0" w:space="0" w:color="auto"/>
        <w:left w:val="none" w:sz="0" w:space="0" w:color="auto"/>
        <w:bottom w:val="none" w:sz="0" w:space="0" w:color="auto"/>
        <w:right w:val="none" w:sz="0" w:space="0" w:color="auto"/>
      </w:divBdr>
    </w:div>
    <w:div w:id="1259482863">
      <w:bodyDiv w:val="1"/>
      <w:marLeft w:val="0"/>
      <w:marRight w:val="0"/>
      <w:marTop w:val="0"/>
      <w:marBottom w:val="0"/>
      <w:divBdr>
        <w:top w:val="none" w:sz="0" w:space="0" w:color="auto"/>
        <w:left w:val="none" w:sz="0" w:space="0" w:color="auto"/>
        <w:bottom w:val="none" w:sz="0" w:space="0" w:color="auto"/>
        <w:right w:val="none" w:sz="0" w:space="0" w:color="auto"/>
      </w:divBdr>
    </w:div>
    <w:div w:id="1476096213">
      <w:bodyDiv w:val="1"/>
      <w:marLeft w:val="0"/>
      <w:marRight w:val="0"/>
      <w:marTop w:val="0"/>
      <w:marBottom w:val="0"/>
      <w:divBdr>
        <w:top w:val="none" w:sz="0" w:space="0" w:color="auto"/>
        <w:left w:val="none" w:sz="0" w:space="0" w:color="auto"/>
        <w:bottom w:val="none" w:sz="0" w:space="0" w:color="auto"/>
        <w:right w:val="none" w:sz="0" w:space="0" w:color="auto"/>
      </w:divBdr>
    </w:div>
    <w:div w:id="1492215317">
      <w:bodyDiv w:val="1"/>
      <w:marLeft w:val="0"/>
      <w:marRight w:val="0"/>
      <w:marTop w:val="0"/>
      <w:marBottom w:val="0"/>
      <w:divBdr>
        <w:top w:val="none" w:sz="0" w:space="0" w:color="auto"/>
        <w:left w:val="none" w:sz="0" w:space="0" w:color="auto"/>
        <w:bottom w:val="none" w:sz="0" w:space="0" w:color="auto"/>
        <w:right w:val="none" w:sz="0" w:space="0" w:color="auto"/>
      </w:divBdr>
    </w:div>
    <w:div w:id="1516269217">
      <w:bodyDiv w:val="1"/>
      <w:marLeft w:val="0"/>
      <w:marRight w:val="0"/>
      <w:marTop w:val="0"/>
      <w:marBottom w:val="0"/>
      <w:divBdr>
        <w:top w:val="none" w:sz="0" w:space="0" w:color="auto"/>
        <w:left w:val="none" w:sz="0" w:space="0" w:color="auto"/>
        <w:bottom w:val="none" w:sz="0" w:space="0" w:color="auto"/>
        <w:right w:val="none" w:sz="0" w:space="0" w:color="auto"/>
      </w:divBdr>
    </w:div>
    <w:div w:id="1517116208">
      <w:bodyDiv w:val="1"/>
      <w:marLeft w:val="0"/>
      <w:marRight w:val="0"/>
      <w:marTop w:val="0"/>
      <w:marBottom w:val="0"/>
      <w:divBdr>
        <w:top w:val="none" w:sz="0" w:space="0" w:color="auto"/>
        <w:left w:val="none" w:sz="0" w:space="0" w:color="auto"/>
        <w:bottom w:val="none" w:sz="0" w:space="0" w:color="auto"/>
        <w:right w:val="none" w:sz="0" w:space="0" w:color="auto"/>
      </w:divBdr>
    </w:div>
    <w:div w:id="1650203874">
      <w:bodyDiv w:val="1"/>
      <w:marLeft w:val="0"/>
      <w:marRight w:val="0"/>
      <w:marTop w:val="0"/>
      <w:marBottom w:val="0"/>
      <w:divBdr>
        <w:top w:val="none" w:sz="0" w:space="0" w:color="auto"/>
        <w:left w:val="none" w:sz="0" w:space="0" w:color="auto"/>
        <w:bottom w:val="none" w:sz="0" w:space="0" w:color="auto"/>
        <w:right w:val="none" w:sz="0" w:space="0" w:color="auto"/>
      </w:divBdr>
    </w:div>
    <w:div w:id="1673756102">
      <w:bodyDiv w:val="1"/>
      <w:marLeft w:val="0"/>
      <w:marRight w:val="0"/>
      <w:marTop w:val="0"/>
      <w:marBottom w:val="0"/>
      <w:divBdr>
        <w:top w:val="none" w:sz="0" w:space="0" w:color="auto"/>
        <w:left w:val="none" w:sz="0" w:space="0" w:color="auto"/>
        <w:bottom w:val="none" w:sz="0" w:space="0" w:color="auto"/>
        <w:right w:val="none" w:sz="0" w:space="0" w:color="auto"/>
      </w:divBdr>
    </w:div>
    <w:div w:id="1689718116">
      <w:bodyDiv w:val="1"/>
      <w:marLeft w:val="0"/>
      <w:marRight w:val="0"/>
      <w:marTop w:val="0"/>
      <w:marBottom w:val="0"/>
      <w:divBdr>
        <w:top w:val="none" w:sz="0" w:space="0" w:color="auto"/>
        <w:left w:val="none" w:sz="0" w:space="0" w:color="auto"/>
        <w:bottom w:val="none" w:sz="0" w:space="0" w:color="auto"/>
        <w:right w:val="none" w:sz="0" w:space="0" w:color="auto"/>
      </w:divBdr>
      <w:divsChild>
        <w:div w:id="2097045135">
          <w:marLeft w:val="0"/>
          <w:marRight w:val="0"/>
          <w:marTop w:val="0"/>
          <w:marBottom w:val="0"/>
          <w:divBdr>
            <w:top w:val="none" w:sz="0" w:space="0" w:color="auto"/>
            <w:left w:val="none" w:sz="0" w:space="0" w:color="auto"/>
            <w:bottom w:val="none" w:sz="0" w:space="0" w:color="auto"/>
            <w:right w:val="none" w:sz="0" w:space="0" w:color="auto"/>
          </w:divBdr>
          <w:divsChild>
            <w:div w:id="1788812406">
              <w:marLeft w:val="0"/>
              <w:marRight w:val="0"/>
              <w:marTop w:val="0"/>
              <w:marBottom w:val="0"/>
              <w:divBdr>
                <w:top w:val="none" w:sz="0" w:space="0" w:color="auto"/>
                <w:left w:val="none" w:sz="0" w:space="0" w:color="auto"/>
                <w:bottom w:val="none" w:sz="0" w:space="0" w:color="auto"/>
                <w:right w:val="none" w:sz="0" w:space="0" w:color="auto"/>
              </w:divBdr>
              <w:divsChild>
                <w:div w:id="2114324121">
                  <w:marLeft w:val="0"/>
                  <w:marRight w:val="0"/>
                  <w:marTop w:val="100"/>
                  <w:marBottom w:val="300"/>
                  <w:divBdr>
                    <w:top w:val="none" w:sz="0" w:space="0" w:color="auto"/>
                    <w:left w:val="none" w:sz="0" w:space="0" w:color="auto"/>
                    <w:bottom w:val="none" w:sz="0" w:space="0" w:color="auto"/>
                    <w:right w:val="none" w:sz="0" w:space="0" w:color="auto"/>
                  </w:divBdr>
                  <w:divsChild>
                    <w:div w:id="2095976065">
                      <w:marLeft w:val="0"/>
                      <w:marRight w:val="0"/>
                      <w:marTop w:val="0"/>
                      <w:marBottom w:val="0"/>
                      <w:divBdr>
                        <w:top w:val="none" w:sz="0" w:space="0" w:color="auto"/>
                        <w:left w:val="none" w:sz="0" w:space="0" w:color="auto"/>
                        <w:bottom w:val="none" w:sz="0" w:space="0" w:color="auto"/>
                        <w:right w:val="none" w:sz="0" w:space="0" w:color="auto"/>
                      </w:divBdr>
                      <w:divsChild>
                        <w:div w:id="38673717">
                          <w:marLeft w:val="0"/>
                          <w:marRight w:val="0"/>
                          <w:marTop w:val="0"/>
                          <w:marBottom w:val="0"/>
                          <w:divBdr>
                            <w:top w:val="none" w:sz="0" w:space="0" w:color="auto"/>
                            <w:left w:val="none" w:sz="0" w:space="0" w:color="auto"/>
                            <w:bottom w:val="none" w:sz="0" w:space="0" w:color="auto"/>
                            <w:right w:val="none" w:sz="0" w:space="0" w:color="auto"/>
                          </w:divBdr>
                          <w:divsChild>
                            <w:div w:id="781415802">
                              <w:marLeft w:val="0"/>
                              <w:marRight w:val="0"/>
                              <w:marTop w:val="0"/>
                              <w:marBottom w:val="0"/>
                              <w:divBdr>
                                <w:top w:val="none" w:sz="0" w:space="0" w:color="auto"/>
                                <w:left w:val="none" w:sz="0" w:space="0" w:color="auto"/>
                                <w:bottom w:val="none" w:sz="0" w:space="0" w:color="auto"/>
                                <w:right w:val="none" w:sz="0" w:space="0" w:color="auto"/>
                              </w:divBdr>
                              <w:divsChild>
                                <w:div w:id="853762790">
                                  <w:marLeft w:val="0"/>
                                  <w:marRight w:val="0"/>
                                  <w:marTop w:val="0"/>
                                  <w:marBottom w:val="0"/>
                                  <w:divBdr>
                                    <w:top w:val="none" w:sz="0" w:space="0" w:color="auto"/>
                                    <w:left w:val="none" w:sz="0" w:space="0" w:color="auto"/>
                                    <w:bottom w:val="none" w:sz="0" w:space="0" w:color="auto"/>
                                    <w:right w:val="none" w:sz="0" w:space="0" w:color="auto"/>
                                  </w:divBdr>
                                  <w:divsChild>
                                    <w:div w:id="827786739">
                                      <w:marLeft w:val="0"/>
                                      <w:marRight w:val="0"/>
                                      <w:marTop w:val="0"/>
                                      <w:marBottom w:val="0"/>
                                      <w:divBdr>
                                        <w:top w:val="none" w:sz="0" w:space="0" w:color="auto"/>
                                        <w:left w:val="none" w:sz="0" w:space="0" w:color="auto"/>
                                        <w:bottom w:val="none" w:sz="0" w:space="0" w:color="auto"/>
                                        <w:right w:val="none" w:sz="0" w:space="0" w:color="auto"/>
                                      </w:divBdr>
                                      <w:divsChild>
                                        <w:div w:id="1457214508">
                                          <w:marLeft w:val="0"/>
                                          <w:marRight w:val="0"/>
                                          <w:marTop w:val="0"/>
                                          <w:marBottom w:val="0"/>
                                          <w:divBdr>
                                            <w:top w:val="none" w:sz="0" w:space="0" w:color="auto"/>
                                            <w:left w:val="none" w:sz="0" w:space="0" w:color="auto"/>
                                            <w:bottom w:val="none" w:sz="0" w:space="0" w:color="auto"/>
                                            <w:right w:val="none" w:sz="0" w:space="0" w:color="auto"/>
                                          </w:divBdr>
                                          <w:divsChild>
                                            <w:div w:id="1125153401">
                                              <w:marLeft w:val="0"/>
                                              <w:marRight w:val="0"/>
                                              <w:marTop w:val="0"/>
                                              <w:marBottom w:val="0"/>
                                              <w:divBdr>
                                                <w:top w:val="none" w:sz="0" w:space="0" w:color="auto"/>
                                                <w:left w:val="none" w:sz="0" w:space="0" w:color="auto"/>
                                                <w:bottom w:val="none" w:sz="0" w:space="0" w:color="auto"/>
                                                <w:right w:val="none" w:sz="0" w:space="0" w:color="auto"/>
                                              </w:divBdr>
                                              <w:divsChild>
                                                <w:div w:id="1400252657">
                                                  <w:marLeft w:val="0"/>
                                                  <w:marRight w:val="0"/>
                                                  <w:marTop w:val="0"/>
                                                  <w:marBottom w:val="0"/>
                                                  <w:divBdr>
                                                    <w:top w:val="none" w:sz="0" w:space="0" w:color="auto"/>
                                                    <w:left w:val="none" w:sz="0" w:space="0" w:color="auto"/>
                                                    <w:bottom w:val="none" w:sz="0" w:space="0" w:color="auto"/>
                                                    <w:right w:val="none" w:sz="0" w:space="0" w:color="auto"/>
                                                  </w:divBdr>
                                                </w:div>
                                              </w:divsChild>
                                            </w:div>
                                            <w:div w:id="1134908950">
                                              <w:marLeft w:val="0"/>
                                              <w:marRight w:val="0"/>
                                              <w:marTop w:val="0"/>
                                              <w:marBottom w:val="0"/>
                                              <w:divBdr>
                                                <w:top w:val="none" w:sz="0" w:space="0" w:color="auto"/>
                                                <w:left w:val="none" w:sz="0" w:space="0" w:color="auto"/>
                                                <w:bottom w:val="none" w:sz="0" w:space="0" w:color="auto"/>
                                                <w:right w:val="none" w:sz="0" w:space="0" w:color="auto"/>
                                              </w:divBdr>
                                              <w:divsChild>
                                                <w:div w:id="1082801108">
                                                  <w:marLeft w:val="0"/>
                                                  <w:marRight w:val="0"/>
                                                  <w:marTop w:val="0"/>
                                                  <w:marBottom w:val="0"/>
                                                  <w:divBdr>
                                                    <w:top w:val="none" w:sz="0" w:space="0" w:color="auto"/>
                                                    <w:left w:val="none" w:sz="0" w:space="0" w:color="auto"/>
                                                    <w:bottom w:val="none" w:sz="0" w:space="0" w:color="auto"/>
                                                    <w:right w:val="none" w:sz="0" w:space="0" w:color="auto"/>
                                                  </w:divBdr>
                                                </w:div>
                                              </w:divsChild>
                                            </w:div>
                                            <w:div w:id="1697464041">
                                              <w:marLeft w:val="0"/>
                                              <w:marRight w:val="0"/>
                                              <w:marTop w:val="0"/>
                                              <w:marBottom w:val="0"/>
                                              <w:divBdr>
                                                <w:top w:val="none" w:sz="0" w:space="0" w:color="auto"/>
                                                <w:left w:val="none" w:sz="0" w:space="0" w:color="auto"/>
                                                <w:bottom w:val="none" w:sz="0" w:space="0" w:color="auto"/>
                                                <w:right w:val="none" w:sz="0" w:space="0" w:color="auto"/>
                                              </w:divBdr>
                                              <w:divsChild>
                                                <w:div w:id="1042486730">
                                                  <w:marLeft w:val="0"/>
                                                  <w:marRight w:val="0"/>
                                                  <w:marTop w:val="0"/>
                                                  <w:marBottom w:val="0"/>
                                                  <w:divBdr>
                                                    <w:top w:val="none" w:sz="0" w:space="0" w:color="auto"/>
                                                    <w:left w:val="none" w:sz="0" w:space="0" w:color="auto"/>
                                                    <w:bottom w:val="none" w:sz="0" w:space="0" w:color="auto"/>
                                                    <w:right w:val="none" w:sz="0" w:space="0" w:color="auto"/>
                                                  </w:divBdr>
                                                </w:div>
                                              </w:divsChild>
                                            </w:div>
                                            <w:div w:id="1954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203279">
                  <w:marLeft w:val="0"/>
                  <w:marRight w:val="0"/>
                  <w:marTop w:val="100"/>
                  <w:marBottom w:val="300"/>
                  <w:divBdr>
                    <w:top w:val="none" w:sz="0" w:space="0" w:color="auto"/>
                    <w:left w:val="none" w:sz="0" w:space="0" w:color="auto"/>
                    <w:bottom w:val="none" w:sz="0" w:space="0" w:color="auto"/>
                    <w:right w:val="none" w:sz="0" w:space="0" w:color="auto"/>
                  </w:divBdr>
                  <w:divsChild>
                    <w:div w:id="253780902">
                      <w:marLeft w:val="0"/>
                      <w:marRight w:val="0"/>
                      <w:marTop w:val="0"/>
                      <w:marBottom w:val="0"/>
                      <w:divBdr>
                        <w:top w:val="none" w:sz="0" w:space="0" w:color="auto"/>
                        <w:left w:val="none" w:sz="0" w:space="0" w:color="auto"/>
                        <w:bottom w:val="none" w:sz="0" w:space="0" w:color="auto"/>
                        <w:right w:val="none" w:sz="0" w:space="0" w:color="auto"/>
                      </w:divBdr>
                      <w:divsChild>
                        <w:div w:id="744381427">
                          <w:marLeft w:val="0"/>
                          <w:marRight w:val="0"/>
                          <w:marTop w:val="0"/>
                          <w:marBottom w:val="0"/>
                          <w:divBdr>
                            <w:top w:val="none" w:sz="0" w:space="0" w:color="auto"/>
                            <w:left w:val="none" w:sz="0" w:space="0" w:color="auto"/>
                            <w:bottom w:val="none" w:sz="0" w:space="0" w:color="auto"/>
                            <w:right w:val="none" w:sz="0" w:space="0" w:color="auto"/>
                          </w:divBdr>
                          <w:divsChild>
                            <w:div w:id="1130391907">
                              <w:marLeft w:val="0"/>
                              <w:marRight w:val="0"/>
                              <w:marTop w:val="0"/>
                              <w:marBottom w:val="0"/>
                              <w:divBdr>
                                <w:top w:val="none" w:sz="0" w:space="0" w:color="auto"/>
                                <w:left w:val="none" w:sz="0" w:space="0" w:color="auto"/>
                                <w:bottom w:val="none" w:sz="0" w:space="0" w:color="auto"/>
                                <w:right w:val="none" w:sz="0" w:space="0" w:color="auto"/>
                              </w:divBdr>
                              <w:divsChild>
                                <w:div w:id="1580090198">
                                  <w:marLeft w:val="0"/>
                                  <w:marRight w:val="0"/>
                                  <w:marTop w:val="0"/>
                                  <w:marBottom w:val="0"/>
                                  <w:divBdr>
                                    <w:top w:val="none" w:sz="0" w:space="0" w:color="auto"/>
                                    <w:left w:val="none" w:sz="0" w:space="0" w:color="auto"/>
                                    <w:bottom w:val="none" w:sz="0" w:space="0" w:color="auto"/>
                                    <w:right w:val="none" w:sz="0" w:space="0" w:color="auto"/>
                                  </w:divBdr>
                                  <w:divsChild>
                                    <w:div w:id="1757169624">
                                      <w:marLeft w:val="0"/>
                                      <w:marRight w:val="0"/>
                                      <w:marTop w:val="0"/>
                                      <w:marBottom w:val="0"/>
                                      <w:divBdr>
                                        <w:top w:val="single" w:sz="6" w:space="0" w:color="DFDFDF"/>
                                        <w:left w:val="single" w:sz="6" w:space="0" w:color="DFDFDF"/>
                                        <w:bottom w:val="single" w:sz="6" w:space="0" w:color="DFDFDF"/>
                                        <w:right w:val="single" w:sz="6" w:space="0" w:color="DFDFDF"/>
                                      </w:divBdr>
                                      <w:divsChild>
                                        <w:div w:id="526872673">
                                          <w:marLeft w:val="0"/>
                                          <w:marRight w:val="0"/>
                                          <w:marTop w:val="0"/>
                                          <w:marBottom w:val="0"/>
                                          <w:divBdr>
                                            <w:top w:val="none" w:sz="0" w:space="0" w:color="auto"/>
                                            <w:left w:val="none" w:sz="0" w:space="0" w:color="auto"/>
                                            <w:bottom w:val="none" w:sz="0" w:space="0" w:color="auto"/>
                                            <w:right w:val="none" w:sz="0" w:space="0" w:color="auto"/>
                                          </w:divBdr>
                                          <w:divsChild>
                                            <w:div w:id="325859650">
                                              <w:marLeft w:val="0"/>
                                              <w:marRight w:val="0"/>
                                              <w:marTop w:val="0"/>
                                              <w:marBottom w:val="0"/>
                                              <w:divBdr>
                                                <w:top w:val="none" w:sz="0" w:space="0" w:color="auto"/>
                                                <w:left w:val="none" w:sz="0" w:space="0" w:color="auto"/>
                                                <w:bottom w:val="none" w:sz="0" w:space="0" w:color="auto"/>
                                                <w:right w:val="none" w:sz="0" w:space="0" w:color="auto"/>
                                              </w:divBdr>
                                            </w:div>
                                            <w:div w:id="800224542">
                                              <w:marLeft w:val="0"/>
                                              <w:marRight w:val="0"/>
                                              <w:marTop w:val="0"/>
                                              <w:marBottom w:val="0"/>
                                              <w:divBdr>
                                                <w:top w:val="none" w:sz="0" w:space="0" w:color="auto"/>
                                                <w:left w:val="none" w:sz="0" w:space="0" w:color="auto"/>
                                                <w:bottom w:val="none" w:sz="0" w:space="0" w:color="auto"/>
                                                <w:right w:val="none" w:sz="0" w:space="0" w:color="auto"/>
                                              </w:divBdr>
                                              <w:divsChild>
                                                <w:div w:id="1065030091">
                                                  <w:marLeft w:val="0"/>
                                                  <w:marRight w:val="0"/>
                                                  <w:marTop w:val="0"/>
                                                  <w:marBottom w:val="0"/>
                                                  <w:divBdr>
                                                    <w:top w:val="none" w:sz="0" w:space="0" w:color="auto"/>
                                                    <w:left w:val="none" w:sz="0" w:space="0" w:color="auto"/>
                                                    <w:bottom w:val="none" w:sz="0" w:space="0" w:color="auto"/>
                                                    <w:right w:val="none" w:sz="0" w:space="0" w:color="auto"/>
                                                  </w:divBdr>
                                                </w:div>
                                                <w:div w:id="534074418">
                                                  <w:marLeft w:val="0"/>
                                                  <w:marRight w:val="0"/>
                                                  <w:marTop w:val="0"/>
                                                  <w:marBottom w:val="0"/>
                                                  <w:divBdr>
                                                    <w:top w:val="none" w:sz="0" w:space="0" w:color="auto"/>
                                                    <w:left w:val="none" w:sz="0" w:space="0" w:color="auto"/>
                                                    <w:bottom w:val="none" w:sz="0" w:space="0" w:color="auto"/>
                                                    <w:right w:val="none" w:sz="0" w:space="0" w:color="auto"/>
                                                  </w:divBdr>
                                                  <w:divsChild>
                                                    <w:div w:id="9187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270114">
                                      <w:marLeft w:val="0"/>
                                      <w:marRight w:val="0"/>
                                      <w:marTop w:val="0"/>
                                      <w:marBottom w:val="0"/>
                                      <w:divBdr>
                                        <w:top w:val="single" w:sz="6" w:space="0" w:color="DFDFDF"/>
                                        <w:left w:val="single" w:sz="6" w:space="0" w:color="DFDFDF"/>
                                        <w:bottom w:val="single" w:sz="6" w:space="0" w:color="DFDFDF"/>
                                        <w:right w:val="single" w:sz="6" w:space="0" w:color="DFDFDF"/>
                                      </w:divBdr>
                                      <w:divsChild>
                                        <w:div w:id="723679472">
                                          <w:marLeft w:val="0"/>
                                          <w:marRight w:val="0"/>
                                          <w:marTop w:val="0"/>
                                          <w:marBottom w:val="0"/>
                                          <w:divBdr>
                                            <w:top w:val="none" w:sz="0" w:space="0" w:color="auto"/>
                                            <w:left w:val="none" w:sz="0" w:space="0" w:color="auto"/>
                                            <w:bottom w:val="none" w:sz="0" w:space="0" w:color="auto"/>
                                            <w:right w:val="none" w:sz="0" w:space="0" w:color="auto"/>
                                          </w:divBdr>
                                          <w:divsChild>
                                            <w:div w:id="1044720357">
                                              <w:marLeft w:val="0"/>
                                              <w:marRight w:val="0"/>
                                              <w:marTop w:val="0"/>
                                              <w:marBottom w:val="0"/>
                                              <w:divBdr>
                                                <w:top w:val="none" w:sz="0" w:space="0" w:color="auto"/>
                                                <w:left w:val="none" w:sz="0" w:space="0" w:color="auto"/>
                                                <w:bottom w:val="none" w:sz="0" w:space="0" w:color="auto"/>
                                                <w:right w:val="none" w:sz="0" w:space="0" w:color="auto"/>
                                              </w:divBdr>
                                            </w:div>
                                            <w:div w:id="1252425267">
                                              <w:marLeft w:val="0"/>
                                              <w:marRight w:val="0"/>
                                              <w:marTop w:val="0"/>
                                              <w:marBottom w:val="0"/>
                                              <w:divBdr>
                                                <w:top w:val="none" w:sz="0" w:space="0" w:color="auto"/>
                                                <w:left w:val="none" w:sz="0" w:space="0" w:color="auto"/>
                                                <w:bottom w:val="none" w:sz="0" w:space="0" w:color="auto"/>
                                                <w:right w:val="none" w:sz="0" w:space="0" w:color="auto"/>
                                              </w:divBdr>
                                              <w:divsChild>
                                                <w:div w:id="805314801">
                                                  <w:marLeft w:val="0"/>
                                                  <w:marRight w:val="0"/>
                                                  <w:marTop w:val="0"/>
                                                  <w:marBottom w:val="0"/>
                                                  <w:divBdr>
                                                    <w:top w:val="none" w:sz="0" w:space="0" w:color="auto"/>
                                                    <w:left w:val="none" w:sz="0" w:space="0" w:color="auto"/>
                                                    <w:bottom w:val="none" w:sz="0" w:space="0" w:color="auto"/>
                                                    <w:right w:val="none" w:sz="0" w:space="0" w:color="auto"/>
                                                  </w:divBdr>
                                                </w:div>
                                                <w:div w:id="68692306">
                                                  <w:marLeft w:val="0"/>
                                                  <w:marRight w:val="0"/>
                                                  <w:marTop w:val="0"/>
                                                  <w:marBottom w:val="0"/>
                                                  <w:divBdr>
                                                    <w:top w:val="none" w:sz="0" w:space="0" w:color="auto"/>
                                                    <w:left w:val="none" w:sz="0" w:space="0" w:color="auto"/>
                                                    <w:bottom w:val="none" w:sz="0" w:space="0" w:color="auto"/>
                                                    <w:right w:val="none" w:sz="0" w:space="0" w:color="auto"/>
                                                  </w:divBdr>
                                                  <w:divsChild>
                                                    <w:div w:id="136101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8489">
                                      <w:marLeft w:val="0"/>
                                      <w:marRight w:val="0"/>
                                      <w:marTop w:val="0"/>
                                      <w:marBottom w:val="0"/>
                                      <w:divBdr>
                                        <w:top w:val="single" w:sz="6" w:space="0" w:color="DFDFDF"/>
                                        <w:left w:val="single" w:sz="6" w:space="0" w:color="DFDFDF"/>
                                        <w:bottom w:val="single" w:sz="6" w:space="0" w:color="DFDFDF"/>
                                        <w:right w:val="single" w:sz="6" w:space="0" w:color="DFDFDF"/>
                                      </w:divBdr>
                                      <w:divsChild>
                                        <w:div w:id="1488668472">
                                          <w:marLeft w:val="0"/>
                                          <w:marRight w:val="0"/>
                                          <w:marTop w:val="0"/>
                                          <w:marBottom w:val="0"/>
                                          <w:divBdr>
                                            <w:top w:val="none" w:sz="0" w:space="0" w:color="auto"/>
                                            <w:left w:val="none" w:sz="0" w:space="0" w:color="auto"/>
                                            <w:bottom w:val="none" w:sz="0" w:space="0" w:color="auto"/>
                                            <w:right w:val="none" w:sz="0" w:space="0" w:color="auto"/>
                                          </w:divBdr>
                                          <w:divsChild>
                                            <w:div w:id="761875940">
                                              <w:marLeft w:val="0"/>
                                              <w:marRight w:val="0"/>
                                              <w:marTop w:val="0"/>
                                              <w:marBottom w:val="0"/>
                                              <w:divBdr>
                                                <w:top w:val="none" w:sz="0" w:space="0" w:color="auto"/>
                                                <w:left w:val="none" w:sz="0" w:space="0" w:color="auto"/>
                                                <w:bottom w:val="none" w:sz="0" w:space="0" w:color="auto"/>
                                                <w:right w:val="none" w:sz="0" w:space="0" w:color="auto"/>
                                              </w:divBdr>
                                            </w:div>
                                            <w:div w:id="111748034">
                                              <w:marLeft w:val="0"/>
                                              <w:marRight w:val="0"/>
                                              <w:marTop w:val="0"/>
                                              <w:marBottom w:val="0"/>
                                              <w:divBdr>
                                                <w:top w:val="none" w:sz="0" w:space="0" w:color="auto"/>
                                                <w:left w:val="none" w:sz="0" w:space="0" w:color="auto"/>
                                                <w:bottom w:val="none" w:sz="0" w:space="0" w:color="auto"/>
                                                <w:right w:val="none" w:sz="0" w:space="0" w:color="auto"/>
                                              </w:divBdr>
                                              <w:divsChild>
                                                <w:div w:id="983433798">
                                                  <w:marLeft w:val="0"/>
                                                  <w:marRight w:val="0"/>
                                                  <w:marTop w:val="0"/>
                                                  <w:marBottom w:val="0"/>
                                                  <w:divBdr>
                                                    <w:top w:val="none" w:sz="0" w:space="0" w:color="auto"/>
                                                    <w:left w:val="none" w:sz="0" w:space="0" w:color="auto"/>
                                                    <w:bottom w:val="none" w:sz="0" w:space="0" w:color="auto"/>
                                                    <w:right w:val="none" w:sz="0" w:space="0" w:color="auto"/>
                                                  </w:divBdr>
                                                </w:div>
                                                <w:div w:id="2118328489">
                                                  <w:marLeft w:val="0"/>
                                                  <w:marRight w:val="0"/>
                                                  <w:marTop w:val="0"/>
                                                  <w:marBottom w:val="0"/>
                                                  <w:divBdr>
                                                    <w:top w:val="none" w:sz="0" w:space="0" w:color="auto"/>
                                                    <w:left w:val="none" w:sz="0" w:space="0" w:color="auto"/>
                                                    <w:bottom w:val="none" w:sz="0" w:space="0" w:color="auto"/>
                                                    <w:right w:val="none" w:sz="0" w:space="0" w:color="auto"/>
                                                  </w:divBdr>
                                                  <w:divsChild>
                                                    <w:div w:id="122738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731918">
                                      <w:marLeft w:val="0"/>
                                      <w:marRight w:val="0"/>
                                      <w:marTop w:val="0"/>
                                      <w:marBottom w:val="0"/>
                                      <w:divBdr>
                                        <w:top w:val="single" w:sz="6" w:space="0" w:color="DFDFDF"/>
                                        <w:left w:val="single" w:sz="6" w:space="0" w:color="DFDFDF"/>
                                        <w:bottom w:val="single" w:sz="6" w:space="0" w:color="DFDFDF"/>
                                        <w:right w:val="single" w:sz="6" w:space="0" w:color="DFDFDF"/>
                                      </w:divBdr>
                                      <w:divsChild>
                                        <w:div w:id="1543596549">
                                          <w:marLeft w:val="0"/>
                                          <w:marRight w:val="0"/>
                                          <w:marTop w:val="0"/>
                                          <w:marBottom w:val="0"/>
                                          <w:divBdr>
                                            <w:top w:val="none" w:sz="0" w:space="0" w:color="auto"/>
                                            <w:left w:val="none" w:sz="0" w:space="0" w:color="auto"/>
                                            <w:bottom w:val="none" w:sz="0" w:space="0" w:color="auto"/>
                                            <w:right w:val="none" w:sz="0" w:space="0" w:color="auto"/>
                                          </w:divBdr>
                                          <w:divsChild>
                                            <w:div w:id="473564311">
                                              <w:marLeft w:val="0"/>
                                              <w:marRight w:val="0"/>
                                              <w:marTop w:val="0"/>
                                              <w:marBottom w:val="0"/>
                                              <w:divBdr>
                                                <w:top w:val="none" w:sz="0" w:space="0" w:color="auto"/>
                                                <w:left w:val="none" w:sz="0" w:space="0" w:color="auto"/>
                                                <w:bottom w:val="none" w:sz="0" w:space="0" w:color="auto"/>
                                                <w:right w:val="none" w:sz="0" w:space="0" w:color="auto"/>
                                              </w:divBdr>
                                            </w:div>
                                            <w:div w:id="792332334">
                                              <w:marLeft w:val="0"/>
                                              <w:marRight w:val="0"/>
                                              <w:marTop w:val="0"/>
                                              <w:marBottom w:val="0"/>
                                              <w:divBdr>
                                                <w:top w:val="none" w:sz="0" w:space="0" w:color="auto"/>
                                                <w:left w:val="none" w:sz="0" w:space="0" w:color="auto"/>
                                                <w:bottom w:val="none" w:sz="0" w:space="0" w:color="auto"/>
                                                <w:right w:val="none" w:sz="0" w:space="0" w:color="auto"/>
                                              </w:divBdr>
                                              <w:divsChild>
                                                <w:div w:id="710883979">
                                                  <w:marLeft w:val="0"/>
                                                  <w:marRight w:val="0"/>
                                                  <w:marTop w:val="0"/>
                                                  <w:marBottom w:val="0"/>
                                                  <w:divBdr>
                                                    <w:top w:val="none" w:sz="0" w:space="0" w:color="auto"/>
                                                    <w:left w:val="none" w:sz="0" w:space="0" w:color="auto"/>
                                                    <w:bottom w:val="none" w:sz="0" w:space="0" w:color="auto"/>
                                                    <w:right w:val="none" w:sz="0" w:space="0" w:color="auto"/>
                                                  </w:divBdr>
                                                </w:div>
                                                <w:div w:id="1217400794">
                                                  <w:marLeft w:val="0"/>
                                                  <w:marRight w:val="0"/>
                                                  <w:marTop w:val="0"/>
                                                  <w:marBottom w:val="0"/>
                                                  <w:divBdr>
                                                    <w:top w:val="none" w:sz="0" w:space="0" w:color="auto"/>
                                                    <w:left w:val="none" w:sz="0" w:space="0" w:color="auto"/>
                                                    <w:bottom w:val="none" w:sz="0" w:space="0" w:color="auto"/>
                                                    <w:right w:val="none" w:sz="0" w:space="0" w:color="auto"/>
                                                  </w:divBdr>
                                                  <w:divsChild>
                                                    <w:div w:id="26045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545374">
                                      <w:marLeft w:val="0"/>
                                      <w:marRight w:val="0"/>
                                      <w:marTop w:val="0"/>
                                      <w:marBottom w:val="0"/>
                                      <w:divBdr>
                                        <w:top w:val="single" w:sz="6" w:space="0" w:color="DFDFDF"/>
                                        <w:left w:val="single" w:sz="6" w:space="0" w:color="DFDFDF"/>
                                        <w:bottom w:val="single" w:sz="6" w:space="0" w:color="DFDFDF"/>
                                        <w:right w:val="single" w:sz="6" w:space="0" w:color="DFDFDF"/>
                                      </w:divBdr>
                                      <w:divsChild>
                                        <w:div w:id="1845513705">
                                          <w:marLeft w:val="0"/>
                                          <w:marRight w:val="0"/>
                                          <w:marTop w:val="0"/>
                                          <w:marBottom w:val="0"/>
                                          <w:divBdr>
                                            <w:top w:val="none" w:sz="0" w:space="0" w:color="auto"/>
                                            <w:left w:val="none" w:sz="0" w:space="0" w:color="auto"/>
                                            <w:bottom w:val="none" w:sz="0" w:space="0" w:color="auto"/>
                                            <w:right w:val="none" w:sz="0" w:space="0" w:color="auto"/>
                                          </w:divBdr>
                                          <w:divsChild>
                                            <w:div w:id="645010007">
                                              <w:marLeft w:val="0"/>
                                              <w:marRight w:val="0"/>
                                              <w:marTop w:val="0"/>
                                              <w:marBottom w:val="0"/>
                                              <w:divBdr>
                                                <w:top w:val="none" w:sz="0" w:space="0" w:color="auto"/>
                                                <w:left w:val="none" w:sz="0" w:space="0" w:color="auto"/>
                                                <w:bottom w:val="none" w:sz="0" w:space="0" w:color="auto"/>
                                                <w:right w:val="none" w:sz="0" w:space="0" w:color="auto"/>
                                              </w:divBdr>
                                            </w:div>
                                            <w:div w:id="839196190">
                                              <w:marLeft w:val="0"/>
                                              <w:marRight w:val="0"/>
                                              <w:marTop w:val="0"/>
                                              <w:marBottom w:val="0"/>
                                              <w:divBdr>
                                                <w:top w:val="none" w:sz="0" w:space="0" w:color="auto"/>
                                                <w:left w:val="none" w:sz="0" w:space="0" w:color="auto"/>
                                                <w:bottom w:val="none" w:sz="0" w:space="0" w:color="auto"/>
                                                <w:right w:val="none" w:sz="0" w:space="0" w:color="auto"/>
                                              </w:divBdr>
                                              <w:divsChild>
                                                <w:div w:id="644119854">
                                                  <w:marLeft w:val="0"/>
                                                  <w:marRight w:val="0"/>
                                                  <w:marTop w:val="0"/>
                                                  <w:marBottom w:val="0"/>
                                                  <w:divBdr>
                                                    <w:top w:val="none" w:sz="0" w:space="0" w:color="auto"/>
                                                    <w:left w:val="none" w:sz="0" w:space="0" w:color="auto"/>
                                                    <w:bottom w:val="none" w:sz="0" w:space="0" w:color="auto"/>
                                                    <w:right w:val="none" w:sz="0" w:space="0" w:color="auto"/>
                                                  </w:divBdr>
                                                </w:div>
                                                <w:div w:id="406418705">
                                                  <w:marLeft w:val="0"/>
                                                  <w:marRight w:val="0"/>
                                                  <w:marTop w:val="0"/>
                                                  <w:marBottom w:val="0"/>
                                                  <w:divBdr>
                                                    <w:top w:val="none" w:sz="0" w:space="0" w:color="auto"/>
                                                    <w:left w:val="none" w:sz="0" w:space="0" w:color="auto"/>
                                                    <w:bottom w:val="none" w:sz="0" w:space="0" w:color="auto"/>
                                                    <w:right w:val="none" w:sz="0" w:space="0" w:color="auto"/>
                                                  </w:divBdr>
                                                  <w:divsChild>
                                                    <w:div w:id="1719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5766468">
          <w:marLeft w:val="0"/>
          <w:marRight w:val="0"/>
          <w:marTop w:val="0"/>
          <w:marBottom w:val="0"/>
          <w:divBdr>
            <w:top w:val="none" w:sz="0" w:space="0" w:color="auto"/>
            <w:left w:val="none" w:sz="0" w:space="0" w:color="auto"/>
            <w:bottom w:val="none" w:sz="0" w:space="0" w:color="auto"/>
            <w:right w:val="none" w:sz="0" w:space="0" w:color="auto"/>
          </w:divBdr>
          <w:divsChild>
            <w:div w:id="1588228982">
              <w:marLeft w:val="0"/>
              <w:marRight w:val="0"/>
              <w:marTop w:val="100"/>
              <w:marBottom w:val="300"/>
              <w:divBdr>
                <w:top w:val="none" w:sz="0" w:space="0" w:color="auto"/>
                <w:left w:val="none" w:sz="0" w:space="0" w:color="auto"/>
                <w:bottom w:val="none" w:sz="0" w:space="0" w:color="auto"/>
                <w:right w:val="none" w:sz="0" w:space="0" w:color="auto"/>
              </w:divBdr>
              <w:divsChild>
                <w:div w:id="1088774370">
                  <w:marLeft w:val="0"/>
                  <w:marRight w:val="0"/>
                  <w:marTop w:val="0"/>
                  <w:marBottom w:val="0"/>
                  <w:divBdr>
                    <w:top w:val="none" w:sz="0" w:space="0" w:color="auto"/>
                    <w:left w:val="none" w:sz="0" w:space="0" w:color="auto"/>
                    <w:bottom w:val="none" w:sz="0" w:space="0" w:color="auto"/>
                    <w:right w:val="none" w:sz="0" w:space="0" w:color="auto"/>
                  </w:divBdr>
                  <w:divsChild>
                    <w:div w:id="1089694155">
                      <w:marLeft w:val="0"/>
                      <w:marRight w:val="0"/>
                      <w:marTop w:val="0"/>
                      <w:marBottom w:val="0"/>
                      <w:divBdr>
                        <w:top w:val="none" w:sz="0" w:space="0" w:color="auto"/>
                        <w:left w:val="none" w:sz="0" w:space="0" w:color="auto"/>
                        <w:bottom w:val="none" w:sz="0" w:space="0" w:color="auto"/>
                        <w:right w:val="none" w:sz="0" w:space="0" w:color="auto"/>
                      </w:divBdr>
                      <w:divsChild>
                        <w:div w:id="1480655784">
                          <w:marLeft w:val="0"/>
                          <w:marRight w:val="0"/>
                          <w:marTop w:val="0"/>
                          <w:marBottom w:val="0"/>
                          <w:divBdr>
                            <w:top w:val="none" w:sz="0" w:space="0" w:color="auto"/>
                            <w:left w:val="none" w:sz="0" w:space="0" w:color="auto"/>
                            <w:bottom w:val="none" w:sz="0" w:space="0" w:color="auto"/>
                            <w:right w:val="none" w:sz="0" w:space="0" w:color="auto"/>
                          </w:divBdr>
                          <w:divsChild>
                            <w:div w:id="1966347778">
                              <w:marLeft w:val="0"/>
                              <w:marRight w:val="0"/>
                              <w:marTop w:val="0"/>
                              <w:marBottom w:val="0"/>
                              <w:divBdr>
                                <w:top w:val="none" w:sz="0" w:space="0" w:color="auto"/>
                                <w:left w:val="none" w:sz="0" w:space="0" w:color="auto"/>
                                <w:bottom w:val="none" w:sz="0" w:space="0" w:color="auto"/>
                                <w:right w:val="none" w:sz="0" w:space="0" w:color="auto"/>
                              </w:divBdr>
                              <w:divsChild>
                                <w:div w:id="1235821577">
                                  <w:marLeft w:val="0"/>
                                  <w:marRight w:val="0"/>
                                  <w:marTop w:val="0"/>
                                  <w:marBottom w:val="0"/>
                                  <w:divBdr>
                                    <w:top w:val="none" w:sz="0" w:space="0" w:color="auto"/>
                                    <w:left w:val="none" w:sz="0" w:space="0" w:color="auto"/>
                                    <w:bottom w:val="none" w:sz="0" w:space="0" w:color="auto"/>
                                    <w:right w:val="none" w:sz="0" w:space="0" w:color="auto"/>
                                  </w:divBdr>
                                </w:div>
                                <w:div w:id="473328293">
                                  <w:marLeft w:val="0"/>
                                  <w:marRight w:val="0"/>
                                  <w:marTop w:val="0"/>
                                  <w:marBottom w:val="0"/>
                                  <w:divBdr>
                                    <w:top w:val="none" w:sz="0" w:space="0" w:color="auto"/>
                                    <w:left w:val="none" w:sz="0" w:space="0" w:color="auto"/>
                                    <w:bottom w:val="none" w:sz="0" w:space="0" w:color="auto"/>
                                    <w:right w:val="none" w:sz="0" w:space="0" w:color="auto"/>
                                  </w:divBdr>
                                  <w:divsChild>
                                    <w:div w:id="2069571500">
                                      <w:marLeft w:val="0"/>
                                      <w:marRight w:val="0"/>
                                      <w:marTop w:val="0"/>
                                      <w:marBottom w:val="0"/>
                                      <w:divBdr>
                                        <w:top w:val="none" w:sz="0" w:space="0" w:color="auto"/>
                                        <w:left w:val="none" w:sz="0" w:space="0" w:color="auto"/>
                                        <w:bottom w:val="none" w:sz="0" w:space="0" w:color="auto"/>
                                        <w:right w:val="none" w:sz="0" w:space="0" w:color="auto"/>
                                      </w:divBdr>
                                      <w:divsChild>
                                        <w:div w:id="2131776450">
                                          <w:marLeft w:val="0"/>
                                          <w:marRight w:val="0"/>
                                          <w:marTop w:val="0"/>
                                          <w:marBottom w:val="0"/>
                                          <w:divBdr>
                                            <w:top w:val="none" w:sz="0" w:space="0" w:color="auto"/>
                                            <w:left w:val="none" w:sz="0" w:space="0" w:color="auto"/>
                                            <w:bottom w:val="none" w:sz="0" w:space="0" w:color="auto"/>
                                            <w:right w:val="none" w:sz="0" w:space="0" w:color="auto"/>
                                          </w:divBdr>
                                        </w:div>
                                        <w:div w:id="1461217640">
                                          <w:marLeft w:val="0"/>
                                          <w:marRight w:val="0"/>
                                          <w:marTop w:val="0"/>
                                          <w:marBottom w:val="0"/>
                                          <w:divBdr>
                                            <w:top w:val="none" w:sz="0" w:space="0" w:color="auto"/>
                                            <w:left w:val="none" w:sz="0" w:space="0" w:color="auto"/>
                                            <w:bottom w:val="none" w:sz="0" w:space="0" w:color="auto"/>
                                            <w:right w:val="none" w:sz="0" w:space="0" w:color="auto"/>
                                          </w:divBdr>
                                        </w:div>
                                        <w:div w:id="1398478460">
                                          <w:marLeft w:val="0"/>
                                          <w:marRight w:val="0"/>
                                          <w:marTop w:val="0"/>
                                          <w:marBottom w:val="0"/>
                                          <w:divBdr>
                                            <w:top w:val="none" w:sz="0" w:space="0" w:color="auto"/>
                                            <w:left w:val="none" w:sz="0" w:space="0" w:color="auto"/>
                                            <w:bottom w:val="none" w:sz="0" w:space="0" w:color="auto"/>
                                            <w:right w:val="none" w:sz="0" w:space="0" w:color="auto"/>
                                          </w:divBdr>
                                        </w:div>
                                        <w:div w:id="723453758">
                                          <w:marLeft w:val="0"/>
                                          <w:marRight w:val="0"/>
                                          <w:marTop w:val="0"/>
                                          <w:marBottom w:val="0"/>
                                          <w:divBdr>
                                            <w:top w:val="none" w:sz="0" w:space="0" w:color="auto"/>
                                            <w:left w:val="none" w:sz="0" w:space="0" w:color="auto"/>
                                            <w:bottom w:val="none" w:sz="0" w:space="0" w:color="auto"/>
                                            <w:right w:val="none" w:sz="0" w:space="0" w:color="auto"/>
                                          </w:divBdr>
                                        </w:div>
                                        <w:div w:id="1904633296">
                                          <w:marLeft w:val="0"/>
                                          <w:marRight w:val="0"/>
                                          <w:marTop w:val="0"/>
                                          <w:marBottom w:val="0"/>
                                          <w:divBdr>
                                            <w:top w:val="none" w:sz="0" w:space="0" w:color="auto"/>
                                            <w:left w:val="none" w:sz="0" w:space="0" w:color="auto"/>
                                            <w:bottom w:val="none" w:sz="0" w:space="0" w:color="auto"/>
                                            <w:right w:val="none" w:sz="0" w:space="0" w:color="auto"/>
                                          </w:divBdr>
                                        </w:div>
                                      </w:divsChild>
                                    </w:div>
                                    <w:div w:id="1764909737">
                                      <w:marLeft w:val="0"/>
                                      <w:marRight w:val="0"/>
                                      <w:marTop w:val="0"/>
                                      <w:marBottom w:val="0"/>
                                      <w:divBdr>
                                        <w:top w:val="none" w:sz="0" w:space="0" w:color="auto"/>
                                        <w:left w:val="none" w:sz="0" w:space="0" w:color="auto"/>
                                        <w:bottom w:val="none" w:sz="0" w:space="0" w:color="auto"/>
                                        <w:right w:val="none" w:sz="0" w:space="0" w:color="auto"/>
                                      </w:divBdr>
                                      <w:divsChild>
                                        <w:div w:id="193929559">
                                          <w:marLeft w:val="0"/>
                                          <w:marRight w:val="0"/>
                                          <w:marTop w:val="0"/>
                                          <w:marBottom w:val="0"/>
                                          <w:divBdr>
                                            <w:top w:val="none" w:sz="0" w:space="0" w:color="auto"/>
                                            <w:left w:val="none" w:sz="0" w:space="0" w:color="auto"/>
                                            <w:bottom w:val="none" w:sz="0" w:space="0" w:color="auto"/>
                                            <w:right w:val="none" w:sz="0" w:space="0" w:color="auto"/>
                                          </w:divBdr>
                                        </w:div>
                                        <w:div w:id="5463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2567797">
              <w:marLeft w:val="0"/>
              <w:marRight w:val="0"/>
              <w:marTop w:val="100"/>
              <w:marBottom w:val="300"/>
              <w:divBdr>
                <w:top w:val="none" w:sz="0" w:space="0" w:color="auto"/>
                <w:left w:val="none" w:sz="0" w:space="0" w:color="auto"/>
                <w:bottom w:val="none" w:sz="0" w:space="0" w:color="auto"/>
                <w:right w:val="none" w:sz="0" w:space="0" w:color="auto"/>
              </w:divBdr>
              <w:divsChild>
                <w:div w:id="1580408059">
                  <w:marLeft w:val="0"/>
                  <w:marRight w:val="0"/>
                  <w:marTop w:val="0"/>
                  <w:marBottom w:val="0"/>
                  <w:divBdr>
                    <w:top w:val="none" w:sz="0" w:space="0" w:color="auto"/>
                    <w:left w:val="none" w:sz="0" w:space="0" w:color="auto"/>
                    <w:bottom w:val="none" w:sz="0" w:space="0" w:color="auto"/>
                    <w:right w:val="none" w:sz="0" w:space="0" w:color="auto"/>
                  </w:divBdr>
                  <w:divsChild>
                    <w:div w:id="212430314">
                      <w:marLeft w:val="0"/>
                      <w:marRight w:val="0"/>
                      <w:marTop w:val="0"/>
                      <w:marBottom w:val="0"/>
                      <w:divBdr>
                        <w:top w:val="none" w:sz="0" w:space="0" w:color="auto"/>
                        <w:left w:val="none" w:sz="0" w:space="0" w:color="auto"/>
                        <w:bottom w:val="none" w:sz="0" w:space="0" w:color="auto"/>
                        <w:right w:val="none" w:sz="0" w:space="0" w:color="auto"/>
                      </w:divBdr>
                      <w:divsChild>
                        <w:div w:id="304706375">
                          <w:marLeft w:val="0"/>
                          <w:marRight w:val="0"/>
                          <w:marTop w:val="0"/>
                          <w:marBottom w:val="0"/>
                          <w:divBdr>
                            <w:top w:val="none" w:sz="0" w:space="0" w:color="auto"/>
                            <w:left w:val="none" w:sz="0" w:space="0" w:color="auto"/>
                            <w:bottom w:val="none" w:sz="0" w:space="0" w:color="auto"/>
                            <w:right w:val="none" w:sz="0" w:space="0" w:color="auto"/>
                          </w:divBdr>
                          <w:divsChild>
                            <w:div w:id="795295512">
                              <w:marLeft w:val="0"/>
                              <w:marRight w:val="0"/>
                              <w:marTop w:val="0"/>
                              <w:marBottom w:val="0"/>
                              <w:divBdr>
                                <w:top w:val="none" w:sz="0" w:space="0" w:color="auto"/>
                                <w:left w:val="none" w:sz="0" w:space="0" w:color="auto"/>
                                <w:bottom w:val="none" w:sz="0" w:space="0" w:color="auto"/>
                                <w:right w:val="none" w:sz="0" w:space="0" w:color="auto"/>
                              </w:divBdr>
                              <w:divsChild>
                                <w:div w:id="1871339758">
                                  <w:marLeft w:val="0"/>
                                  <w:marRight w:val="0"/>
                                  <w:marTop w:val="0"/>
                                  <w:marBottom w:val="0"/>
                                  <w:divBdr>
                                    <w:top w:val="none" w:sz="0" w:space="0" w:color="auto"/>
                                    <w:left w:val="none" w:sz="0" w:space="0" w:color="auto"/>
                                    <w:bottom w:val="none" w:sz="0" w:space="0" w:color="auto"/>
                                    <w:right w:val="none" w:sz="0" w:space="0" w:color="auto"/>
                                  </w:divBdr>
                                  <w:divsChild>
                                    <w:div w:id="807163136">
                                      <w:marLeft w:val="0"/>
                                      <w:marRight w:val="0"/>
                                      <w:marTop w:val="0"/>
                                      <w:marBottom w:val="0"/>
                                      <w:divBdr>
                                        <w:top w:val="none" w:sz="0" w:space="0" w:color="auto"/>
                                        <w:left w:val="none" w:sz="0" w:space="0" w:color="auto"/>
                                        <w:bottom w:val="none" w:sz="0" w:space="0" w:color="auto"/>
                                        <w:right w:val="none" w:sz="0" w:space="0" w:color="auto"/>
                                      </w:divBdr>
                                      <w:divsChild>
                                        <w:div w:id="56349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793239">
              <w:marLeft w:val="0"/>
              <w:marRight w:val="0"/>
              <w:marTop w:val="100"/>
              <w:marBottom w:val="300"/>
              <w:divBdr>
                <w:top w:val="none" w:sz="0" w:space="0" w:color="auto"/>
                <w:left w:val="none" w:sz="0" w:space="0" w:color="auto"/>
                <w:bottom w:val="none" w:sz="0" w:space="0" w:color="auto"/>
                <w:right w:val="none" w:sz="0" w:space="0" w:color="auto"/>
              </w:divBdr>
              <w:divsChild>
                <w:div w:id="38163482">
                  <w:marLeft w:val="0"/>
                  <w:marRight w:val="0"/>
                  <w:marTop w:val="0"/>
                  <w:marBottom w:val="0"/>
                  <w:divBdr>
                    <w:top w:val="none" w:sz="0" w:space="0" w:color="auto"/>
                    <w:left w:val="none" w:sz="0" w:space="0" w:color="auto"/>
                    <w:bottom w:val="none" w:sz="0" w:space="0" w:color="auto"/>
                    <w:right w:val="none" w:sz="0" w:space="0" w:color="auto"/>
                  </w:divBdr>
                  <w:divsChild>
                    <w:div w:id="781073422">
                      <w:marLeft w:val="0"/>
                      <w:marRight w:val="0"/>
                      <w:marTop w:val="0"/>
                      <w:marBottom w:val="0"/>
                      <w:divBdr>
                        <w:top w:val="none" w:sz="0" w:space="0" w:color="auto"/>
                        <w:left w:val="none" w:sz="0" w:space="0" w:color="auto"/>
                        <w:bottom w:val="none" w:sz="0" w:space="0" w:color="auto"/>
                        <w:right w:val="none" w:sz="0" w:space="0" w:color="auto"/>
                      </w:divBdr>
                      <w:divsChild>
                        <w:div w:id="513497119">
                          <w:marLeft w:val="0"/>
                          <w:marRight w:val="0"/>
                          <w:marTop w:val="0"/>
                          <w:marBottom w:val="0"/>
                          <w:divBdr>
                            <w:top w:val="none" w:sz="0" w:space="0" w:color="auto"/>
                            <w:left w:val="none" w:sz="0" w:space="0" w:color="auto"/>
                            <w:bottom w:val="none" w:sz="0" w:space="0" w:color="auto"/>
                            <w:right w:val="none" w:sz="0" w:space="0" w:color="auto"/>
                          </w:divBdr>
                          <w:divsChild>
                            <w:div w:id="890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347709">
              <w:marLeft w:val="0"/>
              <w:marRight w:val="0"/>
              <w:marTop w:val="100"/>
              <w:marBottom w:val="300"/>
              <w:divBdr>
                <w:top w:val="none" w:sz="0" w:space="0" w:color="auto"/>
                <w:left w:val="none" w:sz="0" w:space="0" w:color="auto"/>
                <w:bottom w:val="none" w:sz="0" w:space="0" w:color="auto"/>
                <w:right w:val="none" w:sz="0" w:space="0" w:color="auto"/>
              </w:divBdr>
              <w:divsChild>
                <w:div w:id="200435558">
                  <w:marLeft w:val="0"/>
                  <w:marRight w:val="0"/>
                  <w:marTop w:val="0"/>
                  <w:marBottom w:val="0"/>
                  <w:divBdr>
                    <w:top w:val="none" w:sz="0" w:space="0" w:color="auto"/>
                    <w:left w:val="none" w:sz="0" w:space="0" w:color="auto"/>
                    <w:bottom w:val="none" w:sz="0" w:space="0" w:color="auto"/>
                    <w:right w:val="none" w:sz="0" w:space="0" w:color="auto"/>
                  </w:divBdr>
                  <w:divsChild>
                    <w:div w:id="2049448038">
                      <w:marLeft w:val="0"/>
                      <w:marRight w:val="0"/>
                      <w:marTop w:val="0"/>
                      <w:marBottom w:val="0"/>
                      <w:divBdr>
                        <w:top w:val="none" w:sz="0" w:space="0" w:color="auto"/>
                        <w:left w:val="none" w:sz="0" w:space="0" w:color="auto"/>
                        <w:bottom w:val="none" w:sz="0" w:space="0" w:color="auto"/>
                        <w:right w:val="none" w:sz="0" w:space="0" w:color="auto"/>
                      </w:divBdr>
                      <w:divsChild>
                        <w:div w:id="544097875">
                          <w:marLeft w:val="0"/>
                          <w:marRight w:val="0"/>
                          <w:marTop w:val="0"/>
                          <w:marBottom w:val="0"/>
                          <w:divBdr>
                            <w:top w:val="none" w:sz="0" w:space="0" w:color="auto"/>
                            <w:left w:val="none" w:sz="0" w:space="0" w:color="auto"/>
                            <w:bottom w:val="none" w:sz="0" w:space="0" w:color="auto"/>
                            <w:right w:val="none" w:sz="0" w:space="0" w:color="auto"/>
                          </w:divBdr>
                          <w:divsChild>
                            <w:div w:id="460614991">
                              <w:marLeft w:val="0"/>
                              <w:marRight w:val="0"/>
                              <w:marTop w:val="0"/>
                              <w:marBottom w:val="0"/>
                              <w:divBdr>
                                <w:top w:val="none" w:sz="0" w:space="0" w:color="auto"/>
                                <w:left w:val="none" w:sz="0" w:space="0" w:color="auto"/>
                                <w:bottom w:val="none" w:sz="0" w:space="0" w:color="auto"/>
                                <w:right w:val="none" w:sz="0" w:space="0" w:color="auto"/>
                              </w:divBdr>
                              <w:divsChild>
                                <w:div w:id="60824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97156">
      <w:bodyDiv w:val="1"/>
      <w:marLeft w:val="0"/>
      <w:marRight w:val="0"/>
      <w:marTop w:val="0"/>
      <w:marBottom w:val="0"/>
      <w:divBdr>
        <w:top w:val="none" w:sz="0" w:space="0" w:color="auto"/>
        <w:left w:val="none" w:sz="0" w:space="0" w:color="auto"/>
        <w:bottom w:val="none" w:sz="0" w:space="0" w:color="auto"/>
        <w:right w:val="none" w:sz="0" w:space="0" w:color="auto"/>
      </w:divBdr>
    </w:div>
    <w:div w:id="1800491449">
      <w:bodyDiv w:val="1"/>
      <w:marLeft w:val="0"/>
      <w:marRight w:val="0"/>
      <w:marTop w:val="0"/>
      <w:marBottom w:val="0"/>
      <w:divBdr>
        <w:top w:val="none" w:sz="0" w:space="0" w:color="auto"/>
        <w:left w:val="none" w:sz="0" w:space="0" w:color="auto"/>
        <w:bottom w:val="none" w:sz="0" w:space="0" w:color="auto"/>
        <w:right w:val="none" w:sz="0" w:space="0" w:color="auto"/>
      </w:divBdr>
    </w:div>
    <w:div w:id="1807233954">
      <w:bodyDiv w:val="1"/>
      <w:marLeft w:val="0"/>
      <w:marRight w:val="0"/>
      <w:marTop w:val="0"/>
      <w:marBottom w:val="0"/>
      <w:divBdr>
        <w:top w:val="none" w:sz="0" w:space="0" w:color="auto"/>
        <w:left w:val="none" w:sz="0" w:space="0" w:color="auto"/>
        <w:bottom w:val="none" w:sz="0" w:space="0" w:color="auto"/>
        <w:right w:val="none" w:sz="0" w:space="0" w:color="auto"/>
      </w:divBdr>
      <w:divsChild>
        <w:div w:id="1829858356">
          <w:marLeft w:val="360"/>
          <w:marRight w:val="0"/>
          <w:marTop w:val="200"/>
          <w:marBottom w:val="0"/>
          <w:divBdr>
            <w:top w:val="none" w:sz="0" w:space="0" w:color="auto"/>
            <w:left w:val="none" w:sz="0" w:space="0" w:color="auto"/>
            <w:bottom w:val="none" w:sz="0" w:space="0" w:color="auto"/>
            <w:right w:val="none" w:sz="0" w:space="0" w:color="auto"/>
          </w:divBdr>
        </w:div>
        <w:div w:id="1942755403">
          <w:marLeft w:val="1080"/>
          <w:marRight w:val="0"/>
          <w:marTop w:val="100"/>
          <w:marBottom w:val="0"/>
          <w:divBdr>
            <w:top w:val="none" w:sz="0" w:space="0" w:color="auto"/>
            <w:left w:val="none" w:sz="0" w:space="0" w:color="auto"/>
            <w:bottom w:val="none" w:sz="0" w:space="0" w:color="auto"/>
            <w:right w:val="none" w:sz="0" w:space="0" w:color="auto"/>
          </w:divBdr>
        </w:div>
        <w:div w:id="721246474">
          <w:marLeft w:val="360"/>
          <w:marRight w:val="0"/>
          <w:marTop w:val="200"/>
          <w:marBottom w:val="0"/>
          <w:divBdr>
            <w:top w:val="none" w:sz="0" w:space="0" w:color="auto"/>
            <w:left w:val="none" w:sz="0" w:space="0" w:color="auto"/>
            <w:bottom w:val="none" w:sz="0" w:space="0" w:color="auto"/>
            <w:right w:val="none" w:sz="0" w:space="0" w:color="auto"/>
          </w:divBdr>
        </w:div>
      </w:divsChild>
    </w:div>
    <w:div w:id="1910072317">
      <w:bodyDiv w:val="1"/>
      <w:marLeft w:val="0"/>
      <w:marRight w:val="0"/>
      <w:marTop w:val="0"/>
      <w:marBottom w:val="0"/>
      <w:divBdr>
        <w:top w:val="none" w:sz="0" w:space="0" w:color="auto"/>
        <w:left w:val="none" w:sz="0" w:space="0" w:color="auto"/>
        <w:bottom w:val="none" w:sz="0" w:space="0" w:color="auto"/>
        <w:right w:val="none" w:sz="0" w:space="0" w:color="auto"/>
      </w:divBdr>
    </w:div>
    <w:div w:id="1954365042">
      <w:bodyDiv w:val="1"/>
      <w:marLeft w:val="0"/>
      <w:marRight w:val="0"/>
      <w:marTop w:val="0"/>
      <w:marBottom w:val="0"/>
      <w:divBdr>
        <w:top w:val="none" w:sz="0" w:space="0" w:color="auto"/>
        <w:left w:val="none" w:sz="0" w:space="0" w:color="auto"/>
        <w:bottom w:val="none" w:sz="0" w:space="0" w:color="auto"/>
        <w:right w:val="none" w:sz="0" w:space="0" w:color="auto"/>
      </w:divBdr>
      <w:divsChild>
        <w:div w:id="663361915">
          <w:marLeft w:val="360"/>
          <w:marRight w:val="0"/>
          <w:marTop w:val="200"/>
          <w:marBottom w:val="0"/>
          <w:divBdr>
            <w:top w:val="none" w:sz="0" w:space="0" w:color="auto"/>
            <w:left w:val="none" w:sz="0" w:space="0" w:color="auto"/>
            <w:bottom w:val="none" w:sz="0" w:space="0" w:color="auto"/>
            <w:right w:val="none" w:sz="0" w:space="0" w:color="auto"/>
          </w:divBdr>
        </w:div>
        <w:div w:id="166872945">
          <w:marLeft w:val="360"/>
          <w:marRight w:val="0"/>
          <w:marTop w:val="200"/>
          <w:marBottom w:val="0"/>
          <w:divBdr>
            <w:top w:val="none" w:sz="0" w:space="0" w:color="auto"/>
            <w:left w:val="none" w:sz="0" w:space="0" w:color="auto"/>
            <w:bottom w:val="none" w:sz="0" w:space="0" w:color="auto"/>
            <w:right w:val="none" w:sz="0" w:space="0" w:color="auto"/>
          </w:divBdr>
        </w:div>
        <w:div w:id="664363531">
          <w:marLeft w:val="360"/>
          <w:marRight w:val="0"/>
          <w:marTop w:val="200"/>
          <w:marBottom w:val="0"/>
          <w:divBdr>
            <w:top w:val="none" w:sz="0" w:space="0" w:color="auto"/>
            <w:left w:val="none" w:sz="0" w:space="0" w:color="auto"/>
            <w:bottom w:val="none" w:sz="0" w:space="0" w:color="auto"/>
            <w:right w:val="none" w:sz="0" w:space="0" w:color="auto"/>
          </w:divBdr>
        </w:div>
        <w:div w:id="1169521136">
          <w:marLeft w:val="360"/>
          <w:marRight w:val="0"/>
          <w:marTop w:val="200"/>
          <w:marBottom w:val="0"/>
          <w:divBdr>
            <w:top w:val="none" w:sz="0" w:space="0" w:color="auto"/>
            <w:left w:val="none" w:sz="0" w:space="0" w:color="auto"/>
            <w:bottom w:val="none" w:sz="0" w:space="0" w:color="auto"/>
            <w:right w:val="none" w:sz="0" w:space="0" w:color="auto"/>
          </w:divBdr>
        </w:div>
        <w:div w:id="1835728956">
          <w:marLeft w:val="360"/>
          <w:marRight w:val="0"/>
          <w:marTop w:val="200"/>
          <w:marBottom w:val="0"/>
          <w:divBdr>
            <w:top w:val="none" w:sz="0" w:space="0" w:color="auto"/>
            <w:left w:val="none" w:sz="0" w:space="0" w:color="auto"/>
            <w:bottom w:val="none" w:sz="0" w:space="0" w:color="auto"/>
            <w:right w:val="none" w:sz="0" w:space="0" w:color="auto"/>
          </w:divBdr>
        </w:div>
      </w:divsChild>
    </w:div>
    <w:div w:id="1971402074">
      <w:bodyDiv w:val="1"/>
      <w:marLeft w:val="0"/>
      <w:marRight w:val="0"/>
      <w:marTop w:val="0"/>
      <w:marBottom w:val="0"/>
      <w:divBdr>
        <w:top w:val="none" w:sz="0" w:space="0" w:color="auto"/>
        <w:left w:val="none" w:sz="0" w:space="0" w:color="auto"/>
        <w:bottom w:val="none" w:sz="0" w:space="0" w:color="auto"/>
        <w:right w:val="none" w:sz="0" w:space="0" w:color="auto"/>
      </w:divBdr>
    </w:div>
    <w:div w:id="2040737049">
      <w:bodyDiv w:val="1"/>
      <w:marLeft w:val="0"/>
      <w:marRight w:val="0"/>
      <w:marTop w:val="0"/>
      <w:marBottom w:val="0"/>
      <w:divBdr>
        <w:top w:val="none" w:sz="0" w:space="0" w:color="auto"/>
        <w:left w:val="none" w:sz="0" w:space="0" w:color="auto"/>
        <w:bottom w:val="none" w:sz="0" w:space="0" w:color="auto"/>
        <w:right w:val="none" w:sz="0" w:space="0" w:color="auto"/>
      </w:divBdr>
    </w:div>
    <w:div w:id="2113240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ckinsey.com/featured-insights/employment-andgrowth/technology-jobs-and-the-future-of-work" TargetMode="External"/><Relationship Id="rId117" Type="http://schemas.openxmlformats.org/officeDocument/2006/relationships/hyperlink" Target="about:blank" TargetMode="External"/><Relationship Id="rId21"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http://www.cmb.gov.tr" TargetMode="External"/><Relationship Id="rId63" Type="http://schemas.openxmlformats.org/officeDocument/2006/relationships/hyperlink" Target="https://mtegm.meb.gov.tr/meb_iys_dosyalar/2018_11/12134429_No1_Turkiyede_Mesleki_ve_Teknik_Egitimin_Gorunumu.pdf" TargetMode="External"/><Relationship Id="rId68" Type="http://schemas.openxmlformats.org/officeDocument/2006/relationships/hyperlink" Target="http://www.mod.gov.tr/" TargetMode="External"/><Relationship Id="rId84" Type="http://schemas.openxmlformats.org/officeDocument/2006/relationships/hyperlink" Target="about:blank" TargetMode="External"/><Relationship Id="rId89" Type="http://schemas.openxmlformats.org/officeDocument/2006/relationships/hyperlink" Target="about:blank" TargetMode="External"/><Relationship Id="rId112" Type="http://schemas.openxmlformats.org/officeDocument/2006/relationships/hyperlink" Target="about:blank" TargetMode="External"/><Relationship Id="rId133" Type="http://schemas.openxmlformats.org/officeDocument/2006/relationships/hyperlink" Target="about:blank" TargetMode="External"/><Relationship Id="rId138" Type="http://schemas.openxmlformats.org/officeDocument/2006/relationships/theme" Target="theme/theme1.xml"/><Relationship Id="rId16" Type="http://schemas.openxmlformats.org/officeDocument/2006/relationships/hyperlink" Target="https://www.afiglobal.org/sites/default/files/publications/2016-08/Guideline%20Note-19%20DFS-Terminology.pdf" TargetMode="External"/><Relationship Id="rId107" Type="http://schemas.openxmlformats.org/officeDocument/2006/relationships/hyperlink" Target="about:blank" TargetMode="External"/><Relationship Id="rId11" Type="http://schemas.openxmlformats.org/officeDocument/2006/relationships/image" Target="media/image3.png"/><Relationship Id="rId32" Type="http://schemas.openxmlformats.org/officeDocument/2006/relationships/hyperlink" Target="https://ms.hmb.gov.tr/uploads/2019/10/New-Economy-Program-2019-2021.pdf" TargetMode="External"/><Relationship Id="rId37" Type="http://schemas.openxmlformats.org/officeDocument/2006/relationships/hyperlink" Target="https://www.sbb.gov.tr/wp-content/uploads/2021/01/isgucu-piyasasi-2020-Yili-4-Ceyrek-Raporu.pdf" TargetMode="External"/><Relationship Id="rId53" Type="http://schemas.openxmlformats.org/officeDocument/2006/relationships/hyperlink" Target="http://www.tkbb.org.tr" TargetMode="External"/><Relationship Id="rId58" Type="http://schemas.openxmlformats.org/officeDocument/2006/relationships/hyperlink" Target="http://www.oded.com.tr" TargetMode="External"/><Relationship Id="rId74" Type="http://schemas.openxmlformats.org/officeDocument/2006/relationships/hyperlink" Target="about:blank" TargetMode="External"/><Relationship Id="rId79" Type="http://schemas.openxmlformats.org/officeDocument/2006/relationships/hyperlink" Target="about:blank" TargetMode="External"/><Relationship Id="rId102" Type="http://schemas.openxmlformats.org/officeDocument/2006/relationships/hyperlink" Target="about:blank" TargetMode="External"/><Relationship Id="rId123" Type="http://schemas.openxmlformats.org/officeDocument/2006/relationships/hyperlink" Target="about:blank" TargetMode="External"/><Relationship Id="rId128" Type="http://schemas.openxmlformats.org/officeDocument/2006/relationships/hyperlink" Target="about:blank" TargetMode="External"/><Relationship Id="rId5" Type="http://schemas.openxmlformats.org/officeDocument/2006/relationships/settings" Target="settings.xml"/><Relationship Id="rId90" Type="http://schemas.openxmlformats.org/officeDocument/2006/relationships/hyperlink" Target="about:blank" TargetMode="External"/><Relationship Id="rId95"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43" Type="http://schemas.openxmlformats.org/officeDocument/2006/relationships/hyperlink" Target="http://www.fkb.org.tr" TargetMode="External"/><Relationship Id="rId48" Type="http://schemas.openxmlformats.org/officeDocument/2006/relationships/hyperlink" Target="http://www.mkk.com.tr" TargetMode="External"/><Relationship Id="rId64" Type="http://schemas.openxmlformats.org/officeDocument/2006/relationships/hyperlink" Target="about:blank" TargetMode="External"/><Relationship Id="rId69" Type="http://schemas.openxmlformats.org/officeDocument/2006/relationships/hyperlink" Target="https://ec.europa.eu/neighbourhood-enlargement/sites/near/files/T&#252;rkiye_2019-2021_erp.pdf" TargetMode="External"/><Relationship Id="rId113" Type="http://schemas.openxmlformats.org/officeDocument/2006/relationships/hyperlink" Target="about:blank" TargetMode="External"/><Relationship Id="rId118" Type="http://schemas.openxmlformats.org/officeDocument/2006/relationships/hyperlink" Target="about:blank" TargetMode="External"/><Relationship Id="rId134" Type="http://schemas.openxmlformats.org/officeDocument/2006/relationships/image" Target="media/image5.png"/><Relationship Id="rId139" Type="http://schemas.microsoft.com/office/2018/08/relationships/commentsExtensible" Target="commentsExtensible.xml"/><Relationship Id="rId8" Type="http://schemas.openxmlformats.org/officeDocument/2006/relationships/endnotes" Target="endnotes.xml"/><Relationship Id="rId51" Type="http://schemas.openxmlformats.org/officeDocument/2006/relationships/hyperlink" Target="about:blank" TargetMode="External"/><Relationship Id="rId72" Type="http://schemas.openxmlformats.org/officeDocument/2006/relationships/hyperlink" Target="about:blank" TargetMode="External"/><Relationship Id="rId80" Type="http://schemas.openxmlformats.org/officeDocument/2006/relationships/hyperlink" Target="about:blank" TargetMode="External"/><Relationship Id="rId85" Type="http://schemas.openxmlformats.org/officeDocument/2006/relationships/hyperlink" Target="about:blank" TargetMode="External"/><Relationship Id="rId93" Type="http://schemas.openxmlformats.org/officeDocument/2006/relationships/hyperlink" Target="about:blank" TargetMode="External"/><Relationship Id="rId98" Type="http://schemas.openxmlformats.org/officeDocument/2006/relationships/hyperlink" Target="about:blank" TargetMode="External"/><Relationship Id="rId121" Type="http://schemas.openxmlformats.org/officeDocument/2006/relationships/hyperlink" Target="about:blank"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about:blank" TargetMode="External"/><Relationship Id="rId25" Type="http://schemas.openxmlformats.org/officeDocument/2006/relationships/hyperlink" Target="http://investturkey.or.jp/wp-content/uploads/2018/04/FINANCIAL.SERVICES.INDUSTRY.pdf" TargetMode="External"/><Relationship Id="rId33" Type="http://schemas.openxmlformats.org/officeDocument/2006/relationships/hyperlink" Target="about:blank" TargetMode="External"/><Relationship Id="rId38" Type="http://schemas.openxmlformats.org/officeDocument/2006/relationships/hyperlink" Target="https://www.tr.undp.org/content/turkey/en/home/library/corporatereports/Annual-report-2020.html" TargetMode="External"/><Relationship Id="rId46" Type="http://schemas.openxmlformats.org/officeDocument/2006/relationships/hyperlink" Target="http://www.borsaistanbul.com" TargetMode="External"/><Relationship Id="rId59" Type="http://schemas.openxmlformats.org/officeDocument/2006/relationships/hyperlink" Target="about:blank" TargetMode="External"/><Relationship Id="rId67" Type="http://schemas.openxmlformats.org/officeDocument/2006/relationships/hyperlink" Target="about:blank" TargetMode="External"/><Relationship Id="rId103" Type="http://schemas.openxmlformats.org/officeDocument/2006/relationships/hyperlink" Target="about:blank" TargetMode="External"/><Relationship Id="rId108" Type="http://schemas.openxmlformats.org/officeDocument/2006/relationships/hyperlink" Target="about:blank" TargetMode="External"/><Relationship Id="rId116" Type="http://schemas.openxmlformats.org/officeDocument/2006/relationships/hyperlink" Target="about:blank" TargetMode="External"/><Relationship Id="rId124" Type="http://schemas.openxmlformats.org/officeDocument/2006/relationships/hyperlink" Target="about:blank" TargetMode="External"/><Relationship Id="rId129" Type="http://schemas.openxmlformats.org/officeDocument/2006/relationships/hyperlink" Target="about:blank" TargetMode="External"/><Relationship Id="rId137" Type="http://schemas.openxmlformats.org/officeDocument/2006/relationships/fontTable" Target="fontTable.xml"/><Relationship Id="rId20" Type="http://schemas.openxmlformats.org/officeDocument/2006/relationships/hyperlink" Target="about:blank" TargetMode="External"/><Relationship Id="rId41" Type="http://schemas.openxmlformats.org/officeDocument/2006/relationships/hyperlink" Target="about:blank" TargetMode="External"/><Relationship Id="rId54" Type="http://schemas.openxmlformats.org/officeDocument/2006/relationships/hyperlink" Target="http://www.kap.org.tr" TargetMode="External"/><Relationship Id="rId62" Type="http://schemas.openxmlformats.org/officeDocument/2006/relationships/hyperlink" Target="https://wenr.wes.org/2017/04/education-in-turkey" TargetMode="External"/><Relationship Id="rId70" Type="http://schemas.openxmlformats.org/officeDocument/2006/relationships/hyperlink" Target="https://www.iskur.gov.tr/" TargetMode="External"/><Relationship Id="rId75" Type="http://schemas.openxmlformats.org/officeDocument/2006/relationships/hyperlink" Target="about:blank" TargetMode="External"/><Relationship Id="rId83" Type="http://schemas.openxmlformats.org/officeDocument/2006/relationships/hyperlink" Target="about:blank" TargetMode="External"/><Relationship Id="rId88" Type="http://schemas.openxmlformats.org/officeDocument/2006/relationships/hyperlink" Target="about:blank" TargetMode="External"/><Relationship Id="rId91" Type="http://schemas.openxmlformats.org/officeDocument/2006/relationships/hyperlink" Target="about:blank" TargetMode="External"/><Relationship Id="rId96" Type="http://schemas.openxmlformats.org/officeDocument/2006/relationships/hyperlink" Target="about:blank" TargetMode="External"/><Relationship Id="rId111" Type="http://schemas.openxmlformats.org/officeDocument/2006/relationships/hyperlink" Target="about:blank" TargetMode="External"/><Relationship Id="rId132"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https://www.ilo.org/global/topics/future-of-work/publications/research-papers/WCMS_647306/lang--en/index.htm" TargetMode="External"/><Relationship Id="rId28" Type="http://schemas.openxmlformats.org/officeDocument/2006/relationships/hyperlink" Target="https://www.invest.gov.tr/en/library/publications/lists/investpublications/financial-services-industry.pdf" TargetMode="External"/><Relationship Id="rId36" Type="http://schemas.openxmlformats.org/officeDocument/2006/relationships/hyperlink" Target="about:blank" TargetMode="External"/><Relationship Id="rId49" Type="http://schemas.openxmlformats.org/officeDocument/2006/relationships/hyperlink" Target="https://www.ebf.eu/turkey/" TargetMode="External"/><Relationship Id="rId57" Type="http://schemas.openxmlformats.org/officeDocument/2006/relationships/hyperlink" Target="http://www.tuyid.org" TargetMode="External"/><Relationship Id="rId106" Type="http://schemas.openxmlformats.org/officeDocument/2006/relationships/hyperlink" Target="about:blank" TargetMode="External"/><Relationship Id="rId114" Type="http://schemas.openxmlformats.org/officeDocument/2006/relationships/hyperlink" Target="about:blank" TargetMode="External"/><Relationship Id="rId119" Type="http://schemas.openxmlformats.org/officeDocument/2006/relationships/hyperlink" Target="about:blank" TargetMode="External"/><Relationship Id="rId127" Type="http://schemas.openxmlformats.org/officeDocument/2006/relationships/hyperlink" Target="about:blank" TargetMode="External"/><Relationship Id="rId10" Type="http://schemas.openxmlformats.org/officeDocument/2006/relationships/image" Target="media/image2.png"/><Relationship Id="rId31" Type="http://schemas.openxmlformats.org/officeDocument/2006/relationships/hyperlink" Target="https://www.sbb.gov.tr/wp-content/uploads/2020/09/YeniEkonomiProgram%C4%B1_OVP_2021-2023.pdf" TargetMode="External"/><Relationship Id="rId44" Type="http://schemas.openxmlformats.org/officeDocument/2006/relationships/hyperlink" Target="http://www.gyoder.org.tr" TargetMode="External"/><Relationship Id="rId52" Type="http://schemas.openxmlformats.org/officeDocument/2006/relationships/hyperlink" Target="http://www.treasury.gov.tr" TargetMode="External"/><Relationship Id="rId60" Type="http://schemas.openxmlformats.org/officeDocument/2006/relationships/hyperlink" Target="about:blank" TargetMode="External"/><Relationship Id="rId65" Type="http://schemas.openxmlformats.org/officeDocument/2006/relationships/hyperlink" Target="about:blank" TargetMode="External"/><Relationship Id="rId73" Type="http://schemas.openxmlformats.org/officeDocument/2006/relationships/hyperlink" Target="about:blank" TargetMode="External"/><Relationship Id="rId78" Type="http://schemas.openxmlformats.org/officeDocument/2006/relationships/hyperlink" Target="about:blank" TargetMode="External"/><Relationship Id="rId81" Type="http://schemas.openxmlformats.org/officeDocument/2006/relationships/hyperlink" Target="about:blank" TargetMode="External"/><Relationship Id="rId86" Type="http://schemas.openxmlformats.org/officeDocument/2006/relationships/hyperlink" Target="about:blank" TargetMode="External"/><Relationship Id="rId94" Type="http://schemas.openxmlformats.org/officeDocument/2006/relationships/hyperlink" Target="about:blank" TargetMode="External"/><Relationship Id="rId99" Type="http://schemas.openxmlformats.org/officeDocument/2006/relationships/hyperlink" Target="about:blank" TargetMode="External"/><Relationship Id="rId101" Type="http://schemas.openxmlformats.org/officeDocument/2006/relationships/hyperlink" Target="about:blank" TargetMode="External"/><Relationship Id="rId122" Type="http://schemas.openxmlformats.org/officeDocument/2006/relationships/hyperlink" Target="about:blank" TargetMode="External"/><Relationship Id="rId130" Type="http://schemas.openxmlformats.org/officeDocument/2006/relationships/hyperlink" Target="about:blank" TargetMode="External"/><Relationship Id="rId13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bilgeis.net" TargetMode="External"/><Relationship Id="rId18" Type="http://schemas.openxmlformats.org/officeDocument/2006/relationships/hyperlink" Target="http://broadbandcommission.org/Documents/publications/WorkingGroupDigitalGenderDividereport2017.pdf" TargetMode="External"/><Relationship Id="rId39" Type="http://schemas.openxmlformats.org/officeDocument/2006/relationships/hyperlink" Target="http://documents.worldbank.org/curated/en/290301468340843514/Connecting-to-work-howinformation-and-communication-technologies-could-help-expand-employment-opportunities" TargetMode="External"/><Relationship Id="rId109" Type="http://schemas.openxmlformats.org/officeDocument/2006/relationships/hyperlink" Target="about:blank" TargetMode="External"/><Relationship Id="rId34" Type="http://schemas.openxmlformats.org/officeDocument/2006/relationships/hyperlink" Target="about:blank" TargetMode="External"/><Relationship Id="rId50" Type="http://schemas.openxmlformats.org/officeDocument/2006/relationships/hyperlink" Target="http://www.tsb.org.tr" TargetMode="External"/><Relationship Id="rId55" Type="http://schemas.openxmlformats.org/officeDocument/2006/relationships/hyperlink" Target="http://www.takasbank.com.tr" TargetMode="External"/><Relationship Id="rId76" Type="http://schemas.openxmlformats.org/officeDocument/2006/relationships/hyperlink" Target="about:blank" TargetMode="External"/><Relationship Id="rId97" Type="http://schemas.openxmlformats.org/officeDocument/2006/relationships/hyperlink" Target="about:blank" TargetMode="External"/><Relationship Id="rId104" Type="http://schemas.openxmlformats.org/officeDocument/2006/relationships/hyperlink" Target="about:blank" TargetMode="External"/><Relationship Id="rId120" Type="http://schemas.openxmlformats.org/officeDocument/2006/relationships/hyperlink" Target="about:blank" TargetMode="External"/><Relationship Id="rId125" Type="http://schemas.openxmlformats.org/officeDocument/2006/relationships/hyperlink" Target="about:blank" TargetMode="External"/><Relationship Id="rId7" Type="http://schemas.openxmlformats.org/officeDocument/2006/relationships/footnotes" Target="footnotes.xml"/><Relationship Id="rId71" Type="http://schemas.openxmlformats.org/officeDocument/2006/relationships/hyperlink" Target="https://en.unesco.org/countries/T&#252;rkiye" TargetMode="External"/><Relationship Id="rId92" Type="http://schemas.openxmlformats.org/officeDocument/2006/relationships/hyperlink" Target="about:blank" TargetMode="External"/><Relationship Id="rId2" Type="http://schemas.openxmlformats.org/officeDocument/2006/relationships/customXml" Target="../customXml/item2.xml"/><Relationship Id="rId29" Type="http://schemas.openxmlformats.org/officeDocument/2006/relationships/hyperlink" Target="https://www.sbb.gov.tr/wp-content/uploads/2020/06/Eleventh_Development_Plan-2019-2023.pdf" TargetMode="External"/><Relationship Id="rId24" Type="http://schemas.openxmlformats.org/officeDocument/2006/relationships/hyperlink" Target="https://www.tsb.org.tr/images/Documents/ARA%C5%9ETIRMA/20200604_TSB%20STRATEJI%20ENG%2019-s%C4%B1k%C4%B1%C5%9Ft%C4%B1r%C4%B1ld%C4%B1.pdf" TargetMode="External"/><Relationship Id="rId40" Type="http://schemas.openxmlformats.org/officeDocument/2006/relationships/hyperlink" Target="about:blank" TargetMode="External"/><Relationship Id="rId45" Type="http://schemas.openxmlformats.org/officeDocument/2006/relationships/hyperlink" Target="http://www.tbb.org.tr" TargetMode="External"/><Relationship Id="rId66" Type="http://schemas.openxmlformats.org/officeDocument/2006/relationships/hyperlink" Target="http://unesdoc.unesco.org/images/0023/002324/232427e.pdf" TargetMode="External"/><Relationship Id="rId87" Type="http://schemas.openxmlformats.org/officeDocument/2006/relationships/hyperlink" Target="about:blank" TargetMode="External"/><Relationship Id="rId110" Type="http://schemas.openxmlformats.org/officeDocument/2006/relationships/hyperlink" Target="about:blank" TargetMode="External"/><Relationship Id="rId115" Type="http://schemas.openxmlformats.org/officeDocument/2006/relationships/hyperlink" Target="about:blank" TargetMode="External"/><Relationship Id="rId131" Type="http://schemas.openxmlformats.org/officeDocument/2006/relationships/hyperlink" Target="about:blank" TargetMode="External"/><Relationship Id="rId136" Type="http://schemas.openxmlformats.org/officeDocument/2006/relationships/footer" Target="footer1.xml"/><Relationship Id="rId61" Type="http://schemas.openxmlformats.org/officeDocument/2006/relationships/hyperlink" Target="about:blank" TargetMode="External"/><Relationship Id="rId82" Type="http://schemas.openxmlformats.org/officeDocument/2006/relationships/hyperlink" Target="about:blank" TargetMode="External"/><Relationship Id="rId19" Type="http://schemas.openxmlformats.org/officeDocument/2006/relationships/hyperlink" Target="about:blank" TargetMode="External"/><Relationship Id="rId14" Type="http://schemas.openxmlformats.org/officeDocument/2006/relationships/hyperlink" Target="https://www.accenture.com/t20161018T094638__w__/usen/_acnmedia/Accenture/next-gen-3/girls-who-code/Accenture-Cracking-The-Gender-CodeReport.pdf" TargetMode="External"/><Relationship Id="rId30" Type="http://schemas.openxmlformats.org/officeDocument/2006/relationships/hyperlink" Target="https://www.sbb.gov.tr/wp-content/uploads/2018/11/YeniEkonomiProgram%C4%B1_OVP_2019-2021.pdf" TargetMode="External"/><Relationship Id="rId35" Type="http://schemas.openxmlformats.org/officeDocument/2006/relationships/hyperlink" Target="about:blank" TargetMode="External"/><Relationship Id="rId56" Type="http://schemas.openxmlformats.org/officeDocument/2006/relationships/hyperlink" Target="http://www.tspb.org.tr" TargetMode="External"/><Relationship Id="rId77" Type="http://schemas.openxmlformats.org/officeDocument/2006/relationships/hyperlink" Target="about:blank" TargetMode="External"/><Relationship Id="rId100" Type="http://schemas.openxmlformats.org/officeDocument/2006/relationships/hyperlink" Target="about:blank" TargetMode="External"/><Relationship Id="rId105" Type="http://schemas.openxmlformats.org/officeDocument/2006/relationships/hyperlink" Target="about:blank" TargetMode="External"/><Relationship Id="rId126" Type="http://schemas.openxmlformats.org/officeDocument/2006/relationships/hyperlink" Target="about:blan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BHRORmlhRvq2PpPjUrdJvjkoBQ==">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61C4063-B669-44AF-9AB9-E5BED06E0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40</Pages>
  <Words>15273</Words>
  <Characters>87060</Characters>
  <Application>Microsoft Office Word</Application>
  <DocSecurity>0</DocSecurity>
  <Lines>725</Lines>
  <Paragraphs>204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102129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İpek Çetin</dc:creator>
  <cp:lastModifiedBy>Michael Chambers</cp:lastModifiedBy>
  <cp:revision>9</cp:revision>
  <dcterms:created xsi:type="dcterms:W3CDTF">2022-10-29T08:21:00Z</dcterms:created>
  <dcterms:modified xsi:type="dcterms:W3CDTF">2023-11-29T04:47:00Z</dcterms:modified>
</cp:coreProperties>
</file>