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93B942" w14:textId="77777777" w:rsidR="00BB44E1" w:rsidRDefault="00230B49">
      <w:pPr>
        <w:rPr>
          <w:sz w:val="22"/>
          <w:szCs w:val="22"/>
        </w:rPr>
      </w:pPr>
      <w:r>
        <w:rPr>
          <w:noProof/>
          <w:sz w:val="22"/>
          <w:szCs w:val="22"/>
          <w:lang w:eastAsia="en-GB"/>
        </w:rPr>
        <w:drawing>
          <wp:anchor distT="0" distB="0" distL="0" distR="0" simplePos="0" relativeHeight="251658240" behindDoc="1" locked="0" layoutInCell="1" hidden="0" allowOverlap="1" wp14:anchorId="4788EF4A" wp14:editId="6B50B6E8">
            <wp:simplePos x="0" y="0"/>
            <wp:positionH relativeFrom="margin">
              <wp:align>center</wp:align>
            </wp:positionH>
            <wp:positionV relativeFrom="page">
              <wp:posOffset>411480</wp:posOffset>
            </wp:positionV>
            <wp:extent cx="1990725" cy="1071880"/>
            <wp:effectExtent l="0" t="0" r="0" b="0"/>
            <wp:wrapNone/>
            <wp:docPr id="5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1990725" cy="1071880"/>
                    </a:xfrm>
                    <a:prstGeom prst="rect">
                      <a:avLst/>
                    </a:prstGeom>
                    <a:ln/>
                  </pic:spPr>
                </pic:pic>
              </a:graphicData>
            </a:graphic>
          </wp:anchor>
        </w:drawing>
      </w:r>
      <w:r>
        <w:rPr>
          <w:noProof/>
          <w:sz w:val="22"/>
          <w:szCs w:val="22"/>
          <w:lang w:eastAsia="en-GB"/>
        </w:rPr>
        <w:drawing>
          <wp:anchor distT="0" distB="0" distL="0" distR="0" simplePos="0" relativeHeight="251659264" behindDoc="1" locked="0" layoutInCell="1" hidden="0" allowOverlap="1" wp14:anchorId="1285D7FF" wp14:editId="33BC12E6">
            <wp:simplePos x="0" y="0"/>
            <wp:positionH relativeFrom="page">
              <wp:align>left</wp:align>
            </wp:positionH>
            <wp:positionV relativeFrom="margin">
              <wp:posOffset>-1322704</wp:posOffset>
            </wp:positionV>
            <wp:extent cx="7560000" cy="10698601"/>
            <wp:effectExtent l="0" t="0" r="0" b="0"/>
            <wp:wrapNone/>
            <wp:docPr id="4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0"/>
                    <a:srcRect/>
                    <a:stretch>
                      <a:fillRect/>
                    </a:stretch>
                  </pic:blipFill>
                  <pic:spPr>
                    <a:xfrm>
                      <a:off x="0" y="0"/>
                      <a:ext cx="7560000" cy="10698601"/>
                    </a:xfrm>
                    <a:prstGeom prst="rect">
                      <a:avLst/>
                    </a:prstGeom>
                    <a:ln/>
                  </pic:spPr>
                </pic:pic>
              </a:graphicData>
            </a:graphic>
          </wp:anchor>
        </w:drawing>
      </w:r>
      <w:r>
        <w:rPr>
          <w:sz w:val="22"/>
          <w:szCs w:val="22"/>
        </w:rPr>
        <w:t xml:space="preserve">                                          </w:t>
      </w:r>
    </w:p>
    <w:p w14:paraId="1B36C590" w14:textId="77777777" w:rsidR="00BB44E1" w:rsidRDefault="00BB44E1">
      <w:pPr>
        <w:rPr>
          <w:sz w:val="22"/>
          <w:szCs w:val="22"/>
        </w:rPr>
      </w:pPr>
    </w:p>
    <w:p w14:paraId="1F45DBB7" w14:textId="77777777" w:rsidR="00BB44E1" w:rsidRDefault="00230B49">
      <w:pPr>
        <w:rPr>
          <w:b/>
          <w:sz w:val="22"/>
          <w:szCs w:val="22"/>
        </w:rPr>
      </w:pPr>
      <w:r>
        <w:rPr>
          <w:noProof/>
          <w:sz w:val="22"/>
          <w:szCs w:val="22"/>
          <w:lang w:eastAsia="en-GB"/>
        </w:rPr>
        <w:drawing>
          <wp:anchor distT="0" distB="0" distL="0" distR="0" simplePos="0" relativeHeight="251660288" behindDoc="1" locked="0" layoutInCell="1" hidden="0" allowOverlap="1" wp14:anchorId="512DE369" wp14:editId="687A1586">
            <wp:simplePos x="0" y="0"/>
            <wp:positionH relativeFrom="margin">
              <wp:posOffset>-290829</wp:posOffset>
            </wp:positionH>
            <wp:positionV relativeFrom="bottomMargin">
              <wp:align>top</wp:align>
            </wp:positionV>
            <wp:extent cx="6479540" cy="644525"/>
            <wp:effectExtent l="0" t="0" r="0" b="0"/>
            <wp:wrapNone/>
            <wp:docPr id="5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6479540" cy="644525"/>
                    </a:xfrm>
                    <a:prstGeom prst="rect">
                      <a:avLst/>
                    </a:prstGeom>
                    <a:ln/>
                  </pic:spPr>
                </pic:pic>
              </a:graphicData>
            </a:graphic>
          </wp:anchor>
        </w:drawing>
      </w:r>
      <w:r>
        <w:br w:type="page"/>
      </w:r>
      <w:r>
        <w:rPr>
          <w:noProof/>
          <w:lang w:eastAsia="en-GB"/>
        </w:rPr>
        <mc:AlternateContent>
          <mc:Choice Requires="wps">
            <w:drawing>
              <wp:anchor distT="45720" distB="45720" distL="114300" distR="114300" simplePos="0" relativeHeight="251661312" behindDoc="0" locked="0" layoutInCell="1" hidden="0" allowOverlap="1" wp14:anchorId="2E98A27A" wp14:editId="309DF245">
                <wp:simplePos x="0" y="0"/>
                <wp:positionH relativeFrom="column">
                  <wp:posOffset>-558799</wp:posOffset>
                </wp:positionH>
                <wp:positionV relativeFrom="paragraph">
                  <wp:posOffset>3042920</wp:posOffset>
                </wp:positionV>
                <wp:extent cx="6928485" cy="4605655"/>
                <wp:effectExtent l="0" t="0" r="0" b="0"/>
                <wp:wrapSquare wrapText="bothSides" distT="45720" distB="45720" distL="114300" distR="114300"/>
                <wp:docPr id="42" name="Rectangle 42"/>
                <wp:cNvGraphicFramePr/>
                <a:graphic xmlns:a="http://schemas.openxmlformats.org/drawingml/2006/main">
                  <a:graphicData uri="http://schemas.microsoft.com/office/word/2010/wordprocessingShape">
                    <wps:wsp>
                      <wps:cNvSpPr/>
                      <wps:spPr>
                        <a:xfrm>
                          <a:off x="1886520" y="1481935"/>
                          <a:ext cx="6918960" cy="4596130"/>
                        </a:xfrm>
                        <a:prstGeom prst="rect">
                          <a:avLst/>
                        </a:prstGeom>
                        <a:noFill/>
                        <a:ln>
                          <a:noFill/>
                        </a:ln>
                      </wps:spPr>
                      <wps:txbx>
                        <w:txbxContent>
                          <w:p w14:paraId="1D5E81D9" w14:textId="77777777" w:rsidR="00F23644" w:rsidRDefault="00F23644">
                            <w:pPr>
                              <w:spacing w:after="160" w:line="258" w:lineRule="auto"/>
                              <w:textDirection w:val="btLr"/>
                            </w:pPr>
                            <w:r>
                              <w:rPr>
                                <w:rFonts w:ascii="Tahoma" w:eastAsia="Tahoma" w:hAnsi="Tahoma" w:cs="Tahoma"/>
                                <w:b/>
                                <w:color w:val="234B7D"/>
                                <w:sz w:val="40"/>
                              </w:rPr>
                              <w:t>TECHNICAL ASSISTANCE FOR PROMOTING</w:t>
                            </w:r>
                            <w:r>
                              <w:rPr>
                                <w:rFonts w:ascii="Tahoma" w:eastAsia="Tahoma" w:hAnsi="Tahoma" w:cs="Tahoma"/>
                                <w:b/>
                                <w:color w:val="234B7D"/>
                                <w:sz w:val="40"/>
                              </w:rPr>
                              <w:br/>
                              <w:t>DECENT FUTURE OF WORK APPROACH WITH</w:t>
                            </w:r>
                            <w:r>
                              <w:rPr>
                                <w:rFonts w:ascii="Tahoma" w:eastAsia="Tahoma" w:hAnsi="Tahoma" w:cs="Tahoma"/>
                                <w:b/>
                                <w:color w:val="234B7D"/>
                                <w:sz w:val="40"/>
                              </w:rPr>
                              <w:br/>
                              <w:t>A FOCUS ON GENDER EQUALITY</w:t>
                            </w:r>
                            <w:r>
                              <w:rPr>
                                <w:rFonts w:ascii="Tahoma" w:eastAsia="Tahoma" w:hAnsi="Tahoma" w:cs="Tahoma"/>
                                <w:b/>
                                <w:color w:val="234B7D"/>
                                <w:sz w:val="20"/>
                              </w:rPr>
                              <w:br/>
                            </w:r>
                            <w:r>
                              <w:rPr>
                                <w:rFonts w:ascii="Tahoma" w:eastAsia="Tahoma" w:hAnsi="Tahoma" w:cs="Tahoma"/>
                                <w:b/>
                                <w:color w:val="234B7D"/>
                                <w:sz w:val="20"/>
                              </w:rPr>
                              <w:br/>
                            </w:r>
                            <w:r>
                              <w:rPr>
                                <w:rFonts w:ascii="Tahoma" w:eastAsia="Tahoma" w:hAnsi="Tahoma" w:cs="Tahoma"/>
                                <w:b/>
                                <w:color w:val="234B7D"/>
                                <w:sz w:val="32"/>
                              </w:rPr>
                              <w:t>(TREESP1.3. FoW/P-01)</w:t>
                            </w:r>
                          </w:p>
                          <w:p w14:paraId="4DA82F15" w14:textId="6904BA20" w:rsidR="00F23644" w:rsidRDefault="00F23644">
                            <w:pPr>
                              <w:spacing w:after="160" w:line="258" w:lineRule="auto"/>
                              <w:textDirection w:val="btLr"/>
                            </w:pPr>
                            <w:r>
                              <w:rPr>
                                <w:rFonts w:ascii="Tahoma" w:eastAsia="Tahoma" w:hAnsi="Tahoma" w:cs="Tahoma"/>
                                <w:b/>
                                <w:color w:val="234B7D"/>
                                <w:sz w:val="32"/>
                              </w:rPr>
                              <w:t>TÜRKIYE</w:t>
                            </w:r>
                          </w:p>
                          <w:p w14:paraId="48231CE2" w14:textId="77777777" w:rsidR="00F23644" w:rsidRDefault="00F23644">
                            <w:pPr>
                              <w:spacing w:after="160" w:line="258" w:lineRule="auto"/>
                              <w:textDirection w:val="btLr"/>
                            </w:pPr>
                            <w:r>
                              <w:rPr>
                                <w:rFonts w:ascii="Tahoma" w:eastAsia="Tahoma" w:hAnsi="Tahoma" w:cs="Tahoma"/>
                                <w:b/>
                                <w:color w:val="234B7D"/>
                              </w:rPr>
                              <w:t>CATEGORY 3: SCIENTIFIC AND TECHNICAL STUDIES</w:t>
                            </w:r>
                          </w:p>
                          <w:p w14:paraId="0617E54B" w14:textId="77777777" w:rsidR="00F23644" w:rsidRDefault="00F23644">
                            <w:pPr>
                              <w:spacing w:line="258" w:lineRule="auto"/>
                              <w:textDirection w:val="btLr"/>
                            </w:pPr>
                            <w:r>
                              <w:rPr>
                                <w:rFonts w:ascii="Tahoma" w:eastAsia="Tahoma" w:hAnsi="Tahoma" w:cs="Tahoma"/>
                                <w:b/>
                                <w:color w:val="234B7D"/>
                              </w:rPr>
                              <w:t>Intervention 11: RECOMMENDATION REPORT ON IMPACT ASSESMENT</w:t>
                            </w:r>
                          </w:p>
                        </w:txbxContent>
                      </wps:txbx>
                      <wps:bodyPr spcFirstLastPara="1" wrap="square" lIns="91425" tIns="45700" rIns="91425" bIns="45700" anchor="t" anchorCtr="0">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E98A27A" id="Rectangle 42" o:spid="_x0000_s1026" style="position:absolute;margin-left:-44pt;margin-top:239.6pt;width:545.55pt;height:362.65pt;z-index:25166131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" filled="f" stroked="f">
                <v:textbox inset="2.53958mm,1.2694mm,2.53958mm,1.2694mm">
                  <w:txbxContent>
                    <w:p w14:paraId="1D5E81D9" w14:textId="77777777" w:rsidR="00F23644" w:rsidRDefault="00F23644">
                      <w:pPr>
                        <w:spacing w:after="160" w:line="258" w:lineRule="auto"/>
                        <w:textDirection w:val="btLr"/>
                      </w:pPr>
                      <w:r>
                        <w:rPr>
                          <w:rFonts w:ascii="Tahoma" w:eastAsia="Tahoma" w:hAnsi="Tahoma" w:cs="Tahoma"/>
                          <w:b/>
                          <w:color w:val="234B7D"/>
                          <w:sz w:val="40"/>
                        </w:rPr>
                        <w:t>TECHNICAL ASSISTANCE FOR PROMOTING</w:t>
                      </w:r>
                      <w:r>
                        <w:rPr>
                          <w:rFonts w:ascii="Tahoma" w:eastAsia="Tahoma" w:hAnsi="Tahoma" w:cs="Tahoma"/>
                          <w:b/>
                          <w:color w:val="234B7D"/>
                          <w:sz w:val="40"/>
                        </w:rPr>
                        <w:br/>
                        <w:t>DECENT FUTURE OF WORK APPROACH WITH</w:t>
                      </w:r>
                      <w:r>
                        <w:rPr>
                          <w:rFonts w:ascii="Tahoma" w:eastAsia="Tahoma" w:hAnsi="Tahoma" w:cs="Tahoma"/>
                          <w:b/>
                          <w:color w:val="234B7D"/>
                          <w:sz w:val="40"/>
                        </w:rPr>
                        <w:br/>
                        <w:t>A FOCUS ON GENDER EQUALITY</w:t>
                      </w:r>
                      <w:r>
                        <w:rPr>
                          <w:rFonts w:ascii="Tahoma" w:eastAsia="Tahoma" w:hAnsi="Tahoma" w:cs="Tahoma"/>
                          <w:b/>
                          <w:color w:val="234B7D"/>
                          <w:sz w:val="20"/>
                        </w:rPr>
                        <w:br/>
                      </w:r>
                      <w:r>
                        <w:rPr>
                          <w:rFonts w:ascii="Tahoma" w:eastAsia="Tahoma" w:hAnsi="Tahoma" w:cs="Tahoma"/>
                          <w:b/>
                          <w:color w:val="234B7D"/>
                          <w:sz w:val="20"/>
                        </w:rPr>
                        <w:br/>
                      </w:r>
                      <w:r>
                        <w:rPr>
                          <w:rFonts w:ascii="Tahoma" w:eastAsia="Tahoma" w:hAnsi="Tahoma" w:cs="Tahoma"/>
                          <w:b/>
                          <w:color w:val="234B7D"/>
                          <w:sz w:val="32"/>
                        </w:rPr>
                        <w:t>(TREESP1.3. FoW/P-01)</w:t>
                      </w:r>
                    </w:p>
                    <w:p w14:paraId="4DA82F15" w14:textId="6904BA20" w:rsidR="00F23644" w:rsidRDefault="00F23644">
                      <w:pPr>
                        <w:spacing w:after="160" w:line="258" w:lineRule="auto"/>
                        <w:textDirection w:val="btLr"/>
                      </w:pPr>
                      <w:r>
                        <w:rPr>
                          <w:rFonts w:ascii="Tahoma" w:eastAsia="Tahoma" w:hAnsi="Tahoma" w:cs="Tahoma"/>
                          <w:b/>
                          <w:color w:val="234B7D"/>
                          <w:sz w:val="32"/>
                        </w:rPr>
                        <w:t>TÜRKIYE</w:t>
                      </w:r>
                    </w:p>
                    <w:p w14:paraId="48231CE2" w14:textId="77777777" w:rsidR="00F23644" w:rsidRDefault="00F23644">
                      <w:pPr>
                        <w:spacing w:after="160" w:line="258" w:lineRule="auto"/>
                        <w:textDirection w:val="btLr"/>
                      </w:pPr>
                      <w:r>
                        <w:rPr>
                          <w:rFonts w:ascii="Tahoma" w:eastAsia="Tahoma" w:hAnsi="Tahoma" w:cs="Tahoma"/>
                          <w:b/>
                          <w:color w:val="234B7D"/>
                        </w:rPr>
                        <w:t>CATEGORY 3: SCIENTIFIC AND TECHNICAL STUDIES</w:t>
                      </w:r>
                    </w:p>
                    <w:p w14:paraId="0617E54B" w14:textId="77777777" w:rsidR="00F23644" w:rsidRDefault="00F23644">
                      <w:pPr>
                        <w:spacing w:line="258" w:lineRule="auto"/>
                        <w:textDirection w:val="btLr"/>
                      </w:pPr>
                      <w:r>
                        <w:rPr>
                          <w:rFonts w:ascii="Tahoma" w:eastAsia="Tahoma" w:hAnsi="Tahoma" w:cs="Tahoma"/>
                          <w:b/>
                          <w:color w:val="234B7D"/>
                        </w:rPr>
                        <w:t>Intervention 11: RECOMMENDATION REPORT ON IMPACT ASSESMENT</w:t>
                      </w:r>
                    </w:p>
                  </w:txbxContent>
                </v:textbox>
                <w10:wrap type="square"/>
              </v:rect>
            </w:pict>
          </mc:Fallback>
        </mc:AlternateContent>
      </w:r>
    </w:p>
    <w:p w14:paraId="560AB583" w14:textId="77777777" w:rsidR="00BB44E1" w:rsidRDefault="00230B49">
      <w:pPr>
        <w:rPr>
          <w:b/>
          <w:sz w:val="22"/>
          <w:szCs w:val="22"/>
        </w:rPr>
      </w:pPr>
      <w:r>
        <w:rPr>
          <w:b/>
          <w:noProof/>
          <w:sz w:val="22"/>
          <w:szCs w:val="22"/>
          <w:lang w:eastAsia="en-GB"/>
        </w:rPr>
        <w:lastRenderedPageBreak/>
        <w:drawing>
          <wp:anchor distT="0" distB="0" distL="0" distR="0" simplePos="0" relativeHeight="251662336" behindDoc="1" locked="0" layoutInCell="1" hidden="0" allowOverlap="1" wp14:anchorId="366413A3" wp14:editId="38523480">
            <wp:simplePos x="0" y="0"/>
            <wp:positionH relativeFrom="page">
              <wp:posOffset>8890</wp:posOffset>
            </wp:positionH>
            <wp:positionV relativeFrom="page">
              <wp:align>bottom</wp:align>
            </wp:positionV>
            <wp:extent cx="7560000" cy="10699362"/>
            <wp:effectExtent l="0" t="0" r="0" b="0"/>
            <wp:wrapNone/>
            <wp:docPr id="4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7560000" cy="10699362"/>
                    </a:xfrm>
                    <a:prstGeom prst="rect">
                      <a:avLst/>
                    </a:prstGeom>
                    <a:ln/>
                  </pic:spPr>
                </pic:pic>
              </a:graphicData>
            </a:graphic>
          </wp:anchor>
        </w:drawing>
      </w:r>
      <w:r>
        <w:br w:type="page"/>
      </w:r>
    </w:p>
    <w:p w14:paraId="73E2435B" w14:textId="77777777" w:rsidR="00BB44E1" w:rsidRDefault="00230B49">
      <w:pPr>
        <w:keepNext/>
        <w:keepLines/>
        <w:pBdr>
          <w:top w:val="nil"/>
          <w:left w:val="nil"/>
          <w:bottom w:val="nil"/>
          <w:right w:val="nil"/>
          <w:between w:val="nil"/>
        </w:pBdr>
        <w:spacing w:before="240" w:after="120" w:line="259" w:lineRule="auto"/>
        <w:rPr>
          <w:color w:val="2F5496"/>
          <w:sz w:val="32"/>
          <w:szCs w:val="32"/>
        </w:rPr>
      </w:pPr>
      <w:r>
        <w:rPr>
          <w:color w:val="2F5496"/>
          <w:sz w:val="32"/>
          <w:szCs w:val="32"/>
        </w:rPr>
        <w:lastRenderedPageBreak/>
        <w:t>Table of Contents</w:t>
      </w:r>
    </w:p>
    <w:p w14:paraId="4A3EFDA2" w14:textId="77777777" w:rsidR="00BB44E1" w:rsidRDefault="00BB44E1"/>
    <w:p w14:paraId="19371A8C" w14:textId="77777777" w:rsidR="00B93B70" w:rsidRPr="00DB0C40" w:rsidRDefault="00B93B70" w:rsidP="00B93B70">
      <w:pPr>
        <w:spacing w:after="160" w:line="259" w:lineRule="auto"/>
        <w:rPr>
          <w:rFonts w:asciiTheme="minorHAnsi" w:eastAsiaTheme="minorHAnsi" w:hAnsiTheme="minorHAnsi" w:cstheme="minorHAnsi"/>
          <w:sz w:val="22"/>
          <w:szCs w:val="22"/>
        </w:rPr>
      </w:pPr>
      <w:r w:rsidRPr="00DB0C40">
        <w:rPr>
          <w:rFonts w:asciiTheme="minorHAnsi" w:eastAsiaTheme="minorHAnsi" w:hAnsiTheme="minorHAnsi" w:cstheme="minorHAnsi"/>
          <w:sz w:val="22"/>
          <w:szCs w:val="22"/>
        </w:rPr>
        <w:t>List of Abbreviations</w:t>
      </w:r>
    </w:p>
    <w:p w14:paraId="720223C7" w14:textId="77777777" w:rsidR="00B93B70" w:rsidRPr="00DB0C40" w:rsidRDefault="00B93B70" w:rsidP="00B93B70">
      <w:pPr>
        <w:spacing w:after="160" w:line="259" w:lineRule="auto"/>
        <w:rPr>
          <w:rFonts w:asciiTheme="minorHAnsi" w:eastAsiaTheme="minorHAnsi" w:hAnsiTheme="minorHAnsi" w:cstheme="minorHAnsi"/>
          <w:sz w:val="22"/>
          <w:szCs w:val="22"/>
        </w:rPr>
      </w:pPr>
      <w:r w:rsidRPr="00DB0C40">
        <w:rPr>
          <w:rFonts w:asciiTheme="minorHAnsi" w:eastAsiaTheme="minorHAnsi" w:hAnsiTheme="minorHAnsi" w:cstheme="minorHAnsi"/>
          <w:sz w:val="22"/>
          <w:szCs w:val="22"/>
        </w:rPr>
        <w:t>Executive Summary</w:t>
      </w:r>
    </w:p>
    <w:p w14:paraId="57238EF7" w14:textId="77777777" w:rsidR="00B93B70" w:rsidRPr="00DB0C40" w:rsidRDefault="00B93B70" w:rsidP="00B93B70">
      <w:pPr>
        <w:numPr>
          <w:ilvl w:val="0"/>
          <w:numId w:val="9"/>
        </w:numPr>
        <w:spacing w:after="160" w:line="259" w:lineRule="auto"/>
        <w:rPr>
          <w:rFonts w:asciiTheme="minorHAnsi" w:eastAsiaTheme="minorHAnsi" w:hAnsiTheme="minorHAnsi" w:cstheme="minorHAnsi"/>
          <w:sz w:val="22"/>
          <w:szCs w:val="22"/>
        </w:rPr>
      </w:pPr>
      <w:r w:rsidRPr="00DB0C40">
        <w:rPr>
          <w:rFonts w:asciiTheme="minorHAnsi" w:eastAsiaTheme="minorHAnsi" w:hAnsiTheme="minorHAnsi" w:cstheme="minorHAnsi"/>
          <w:sz w:val="22"/>
          <w:szCs w:val="22"/>
        </w:rPr>
        <w:t xml:space="preserve">Introduction and Background on the study </w:t>
      </w:r>
    </w:p>
    <w:p w14:paraId="0A30755F" w14:textId="77777777" w:rsidR="00B93B70" w:rsidRPr="00DB0C40" w:rsidRDefault="00B93B70" w:rsidP="00B93B70">
      <w:pPr>
        <w:numPr>
          <w:ilvl w:val="0"/>
          <w:numId w:val="9"/>
        </w:numPr>
        <w:spacing w:after="160" w:line="259" w:lineRule="auto"/>
        <w:rPr>
          <w:rFonts w:asciiTheme="minorHAnsi" w:eastAsiaTheme="minorHAnsi" w:hAnsiTheme="minorHAnsi" w:cstheme="minorHAnsi"/>
          <w:sz w:val="22"/>
          <w:szCs w:val="22"/>
        </w:rPr>
      </w:pPr>
      <w:r w:rsidRPr="00DB0C40">
        <w:rPr>
          <w:rFonts w:asciiTheme="minorHAnsi" w:eastAsiaTheme="minorHAnsi" w:hAnsiTheme="minorHAnsi" w:cstheme="minorHAnsi"/>
          <w:sz w:val="22"/>
          <w:szCs w:val="22"/>
        </w:rPr>
        <w:t>Context</w:t>
      </w:r>
    </w:p>
    <w:p w14:paraId="0013769C" w14:textId="77777777" w:rsidR="00B93B70" w:rsidRPr="00DB0C40" w:rsidRDefault="00B93B70" w:rsidP="00B93B70">
      <w:pPr>
        <w:numPr>
          <w:ilvl w:val="0"/>
          <w:numId w:val="9"/>
        </w:numPr>
        <w:spacing w:after="160" w:line="259" w:lineRule="auto"/>
        <w:rPr>
          <w:rFonts w:asciiTheme="minorHAnsi" w:eastAsiaTheme="minorHAnsi" w:hAnsiTheme="minorHAnsi" w:cstheme="minorHAnsi"/>
          <w:sz w:val="22"/>
          <w:szCs w:val="22"/>
        </w:rPr>
      </w:pPr>
      <w:r w:rsidRPr="00DB0C40">
        <w:rPr>
          <w:rFonts w:asciiTheme="minorHAnsi" w:eastAsiaTheme="minorHAnsi" w:hAnsiTheme="minorHAnsi" w:cstheme="minorHAnsi"/>
          <w:sz w:val="22"/>
          <w:szCs w:val="22"/>
        </w:rPr>
        <w:t>Impact of legislations on women’s participation in labour force and women’s employment</w:t>
      </w:r>
    </w:p>
    <w:p w14:paraId="05BA01E3" w14:textId="77777777" w:rsidR="00B93B70" w:rsidRPr="00DB0C40" w:rsidRDefault="00B93B70" w:rsidP="00B93B70">
      <w:pPr>
        <w:numPr>
          <w:ilvl w:val="1"/>
          <w:numId w:val="9"/>
        </w:numPr>
        <w:spacing w:after="160" w:line="259" w:lineRule="auto"/>
        <w:rPr>
          <w:rFonts w:asciiTheme="minorHAnsi" w:eastAsiaTheme="minorHAnsi" w:hAnsiTheme="minorHAnsi" w:cstheme="minorHAnsi"/>
          <w:sz w:val="22"/>
          <w:szCs w:val="22"/>
        </w:rPr>
      </w:pPr>
      <w:r w:rsidRPr="00DB0C40">
        <w:rPr>
          <w:rFonts w:asciiTheme="minorHAnsi" w:eastAsiaTheme="minorHAnsi" w:hAnsiTheme="minorHAnsi" w:cstheme="minorHAnsi"/>
          <w:sz w:val="22"/>
          <w:szCs w:val="22"/>
        </w:rPr>
        <w:t>International Legal Frameworks to Promote Gender Equality at Work</w:t>
      </w:r>
    </w:p>
    <w:p w14:paraId="4BE71252" w14:textId="77777777" w:rsidR="00B93B70" w:rsidRPr="00DB0C40" w:rsidRDefault="00B93B70" w:rsidP="00B93B70">
      <w:pPr>
        <w:numPr>
          <w:ilvl w:val="2"/>
          <w:numId w:val="9"/>
        </w:numPr>
        <w:spacing w:after="160" w:line="259" w:lineRule="auto"/>
        <w:contextualSpacing/>
        <w:rPr>
          <w:rFonts w:asciiTheme="minorHAnsi" w:eastAsiaTheme="minorHAnsi" w:hAnsiTheme="minorHAnsi" w:cstheme="minorHAnsi"/>
          <w:sz w:val="22"/>
          <w:szCs w:val="22"/>
        </w:rPr>
      </w:pPr>
      <w:r w:rsidRPr="00DB0C40">
        <w:rPr>
          <w:rFonts w:asciiTheme="minorHAnsi" w:eastAsiaTheme="minorHAnsi" w:hAnsiTheme="minorHAnsi" w:cstheme="minorHAnsi"/>
          <w:sz w:val="22"/>
          <w:szCs w:val="22"/>
        </w:rPr>
        <w:t>Normative International instruments - ILO conventions and recommendations on gender equality at work</w:t>
      </w:r>
    </w:p>
    <w:p w14:paraId="7AB6A567" w14:textId="77777777" w:rsidR="00B93B70" w:rsidRPr="00DB0C40" w:rsidRDefault="00B93B70" w:rsidP="00B93B70">
      <w:pPr>
        <w:keepNext/>
        <w:keepLines/>
        <w:numPr>
          <w:ilvl w:val="3"/>
          <w:numId w:val="9"/>
        </w:numPr>
        <w:spacing w:before="40" w:after="160" w:line="259" w:lineRule="auto"/>
        <w:contextualSpacing/>
        <w:outlineLvl w:val="2"/>
        <w:rPr>
          <w:rFonts w:asciiTheme="minorHAnsi" w:eastAsiaTheme="majorEastAsia" w:hAnsiTheme="minorHAnsi" w:cstheme="minorHAnsi"/>
          <w:sz w:val="22"/>
          <w:szCs w:val="22"/>
        </w:rPr>
      </w:pPr>
      <w:r w:rsidRPr="00DB0C40">
        <w:rPr>
          <w:rFonts w:asciiTheme="minorHAnsi" w:eastAsiaTheme="majorEastAsia" w:hAnsiTheme="minorHAnsi" w:cstheme="minorHAnsi"/>
          <w:sz w:val="22"/>
          <w:szCs w:val="22"/>
        </w:rPr>
        <w:t>Convention on the Elimination of all Forms of Discrimination against Women (CEDAW)</w:t>
      </w:r>
    </w:p>
    <w:p w14:paraId="4BF45156" w14:textId="77777777" w:rsidR="00B93B70" w:rsidRPr="00DB0C40" w:rsidRDefault="00B93B70" w:rsidP="00B93B70">
      <w:pPr>
        <w:keepNext/>
        <w:keepLines/>
        <w:numPr>
          <w:ilvl w:val="3"/>
          <w:numId w:val="9"/>
        </w:numPr>
        <w:spacing w:before="40" w:after="160" w:line="259" w:lineRule="auto"/>
        <w:contextualSpacing/>
        <w:outlineLvl w:val="2"/>
        <w:rPr>
          <w:rFonts w:asciiTheme="minorHAnsi" w:eastAsiaTheme="majorEastAsia" w:hAnsiTheme="minorHAnsi" w:cstheme="minorHAnsi"/>
          <w:sz w:val="22"/>
          <w:szCs w:val="22"/>
        </w:rPr>
      </w:pPr>
      <w:r w:rsidRPr="00DB0C40">
        <w:rPr>
          <w:rFonts w:asciiTheme="minorHAnsi" w:eastAsiaTheme="majorEastAsia" w:hAnsiTheme="minorHAnsi" w:cstheme="minorHAnsi"/>
          <w:sz w:val="22"/>
          <w:szCs w:val="22"/>
        </w:rPr>
        <w:t>ILO Declaration for the Future of Work</w:t>
      </w:r>
    </w:p>
    <w:p w14:paraId="76E11FE3" w14:textId="77777777" w:rsidR="00B93B70" w:rsidRPr="00DB0C40" w:rsidRDefault="00B93B70" w:rsidP="00B93B70">
      <w:pPr>
        <w:keepNext/>
        <w:keepLines/>
        <w:numPr>
          <w:ilvl w:val="3"/>
          <w:numId w:val="9"/>
        </w:numPr>
        <w:spacing w:before="40" w:after="160" w:line="259" w:lineRule="auto"/>
        <w:contextualSpacing/>
        <w:outlineLvl w:val="2"/>
        <w:rPr>
          <w:rFonts w:asciiTheme="minorHAnsi" w:eastAsiaTheme="majorEastAsia" w:hAnsiTheme="minorHAnsi" w:cstheme="minorHAnsi"/>
          <w:sz w:val="22"/>
          <w:szCs w:val="22"/>
        </w:rPr>
      </w:pPr>
      <w:r w:rsidRPr="00DB0C40">
        <w:rPr>
          <w:rFonts w:asciiTheme="minorHAnsi" w:eastAsiaTheme="majorEastAsia" w:hAnsiTheme="minorHAnsi" w:cstheme="minorHAnsi"/>
          <w:sz w:val="22"/>
          <w:szCs w:val="22"/>
        </w:rPr>
        <w:t>ILO Declaration on Fundamental Principles and Rights at Work</w:t>
      </w:r>
    </w:p>
    <w:p w14:paraId="35914AE4" w14:textId="77777777" w:rsidR="00B93B70" w:rsidRPr="00DB0C40" w:rsidRDefault="00B93B70" w:rsidP="00B93B70">
      <w:pPr>
        <w:keepNext/>
        <w:keepLines/>
        <w:numPr>
          <w:ilvl w:val="3"/>
          <w:numId w:val="9"/>
        </w:numPr>
        <w:spacing w:before="40" w:after="160" w:line="259" w:lineRule="auto"/>
        <w:contextualSpacing/>
        <w:outlineLvl w:val="2"/>
        <w:rPr>
          <w:rFonts w:asciiTheme="minorHAnsi" w:eastAsiaTheme="majorEastAsia" w:hAnsiTheme="minorHAnsi" w:cstheme="minorHAnsi"/>
          <w:sz w:val="22"/>
          <w:szCs w:val="22"/>
        </w:rPr>
      </w:pPr>
      <w:r w:rsidRPr="00DB0C40">
        <w:rPr>
          <w:rFonts w:asciiTheme="minorHAnsi" w:eastAsiaTheme="majorEastAsia" w:hAnsiTheme="minorHAnsi" w:cstheme="minorHAnsi"/>
          <w:sz w:val="22"/>
          <w:szCs w:val="22"/>
        </w:rPr>
        <w:t>ILO Tripartite Declaration of Principles concerning Multinational Enterprises and Social Policy (MNE Declaration)</w:t>
      </w:r>
    </w:p>
    <w:p w14:paraId="21F2D762" w14:textId="77777777" w:rsidR="00B93B70" w:rsidRPr="00DB0C40" w:rsidRDefault="00B93B70" w:rsidP="00B93B70">
      <w:pPr>
        <w:numPr>
          <w:ilvl w:val="1"/>
          <w:numId w:val="9"/>
        </w:numPr>
        <w:spacing w:after="160" w:line="259" w:lineRule="auto"/>
        <w:rPr>
          <w:rFonts w:asciiTheme="minorHAnsi" w:eastAsiaTheme="minorHAnsi" w:hAnsiTheme="minorHAnsi" w:cstheme="minorHAnsi"/>
          <w:sz w:val="22"/>
          <w:szCs w:val="22"/>
        </w:rPr>
      </w:pPr>
      <w:r w:rsidRPr="00DB0C40">
        <w:rPr>
          <w:rFonts w:asciiTheme="minorHAnsi" w:eastAsiaTheme="minorHAnsi" w:hAnsiTheme="minorHAnsi" w:cstheme="minorHAnsi"/>
          <w:sz w:val="22"/>
          <w:szCs w:val="22"/>
        </w:rPr>
        <w:t xml:space="preserve">Oher International initiatives </w:t>
      </w:r>
    </w:p>
    <w:p w14:paraId="7C3D9A2C" w14:textId="77777777" w:rsidR="00B93B70" w:rsidRPr="00DB0C40" w:rsidRDefault="00B93B70" w:rsidP="00B93B70">
      <w:pPr>
        <w:numPr>
          <w:ilvl w:val="2"/>
          <w:numId w:val="9"/>
        </w:numPr>
        <w:spacing w:after="160" w:line="259" w:lineRule="auto"/>
        <w:contextualSpacing/>
        <w:rPr>
          <w:rFonts w:asciiTheme="minorHAnsi" w:eastAsiaTheme="minorHAnsi" w:hAnsiTheme="minorHAnsi" w:cstheme="minorHAnsi"/>
          <w:sz w:val="22"/>
          <w:szCs w:val="22"/>
        </w:rPr>
      </w:pPr>
      <w:r w:rsidRPr="00DB0C40">
        <w:rPr>
          <w:rFonts w:asciiTheme="minorHAnsi" w:eastAsiaTheme="minorHAnsi" w:hAnsiTheme="minorHAnsi" w:cstheme="minorHAnsi"/>
          <w:sz w:val="22"/>
          <w:szCs w:val="22"/>
        </w:rPr>
        <w:t>The 2030 Agenda for Sustainable Development (SDGs)</w:t>
      </w:r>
    </w:p>
    <w:p w14:paraId="62508670" w14:textId="77777777" w:rsidR="00B93B70" w:rsidRPr="00DB0C40" w:rsidRDefault="00B93B70" w:rsidP="00B93B70">
      <w:pPr>
        <w:numPr>
          <w:ilvl w:val="2"/>
          <w:numId w:val="9"/>
        </w:numPr>
        <w:spacing w:after="160" w:line="259" w:lineRule="auto"/>
        <w:contextualSpacing/>
        <w:rPr>
          <w:rFonts w:asciiTheme="minorHAnsi" w:eastAsiaTheme="minorHAnsi" w:hAnsiTheme="minorHAnsi" w:cstheme="minorHAnsi"/>
          <w:sz w:val="22"/>
          <w:szCs w:val="22"/>
        </w:rPr>
      </w:pPr>
      <w:r w:rsidRPr="00DB0C40">
        <w:rPr>
          <w:rFonts w:asciiTheme="minorHAnsi" w:eastAsiaTheme="minorHAnsi" w:hAnsiTheme="minorHAnsi" w:cstheme="minorHAnsi"/>
          <w:sz w:val="22"/>
          <w:szCs w:val="22"/>
        </w:rPr>
        <w:t>The Beijing Declaration and Platform for Action for Equality, Development and Peace (BDPfA)</w:t>
      </w:r>
    </w:p>
    <w:p w14:paraId="46426BA7" w14:textId="77777777" w:rsidR="00B93B70" w:rsidRPr="00DB0C40" w:rsidRDefault="00B93B70" w:rsidP="00B93B70">
      <w:pPr>
        <w:numPr>
          <w:ilvl w:val="2"/>
          <w:numId w:val="9"/>
        </w:numPr>
        <w:spacing w:after="160" w:line="259" w:lineRule="auto"/>
        <w:contextualSpacing/>
        <w:rPr>
          <w:rFonts w:asciiTheme="minorHAnsi" w:eastAsiaTheme="minorHAnsi" w:hAnsiTheme="minorHAnsi" w:cstheme="minorHAnsi"/>
          <w:sz w:val="22"/>
          <w:szCs w:val="22"/>
        </w:rPr>
      </w:pPr>
      <w:r w:rsidRPr="00DB0C40">
        <w:rPr>
          <w:rFonts w:asciiTheme="minorHAnsi" w:eastAsiaTheme="minorHAnsi" w:hAnsiTheme="minorHAnsi" w:cstheme="minorHAnsi"/>
          <w:sz w:val="22"/>
          <w:szCs w:val="22"/>
        </w:rPr>
        <w:t>61st Commission on the Status of Women</w:t>
      </w:r>
    </w:p>
    <w:p w14:paraId="7D28ADE5" w14:textId="77777777" w:rsidR="00B93B70" w:rsidRPr="00DB0C40" w:rsidRDefault="00B93B70" w:rsidP="00B93B70">
      <w:pPr>
        <w:numPr>
          <w:ilvl w:val="2"/>
          <w:numId w:val="9"/>
        </w:numPr>
        <w:spacing w:after="160" w:line="259" w:lineRule="auto"/>
        <w:contextualSpacing/>
        <w:rPr>
          <w:rFonts w:asciiTheme="minorHAnsi" w:eastAsiaTheme="minorHAnsi" w:hAnsiTheme="minorHAnsi" w:cstheme="minorHAnsi"/>
          <w:sz w:val="22"/>
          <w:szCs w:val="22"/>
        </w:rPr>
      </w:pPr>
      <w:r w:rsidRPr="00DB0C40">
        <w:rPr>
          <w:rFonts w:asciiTheme="minorHAnsi" w:eastAsiaTheme="minorHAnsi" w:hAnsiTheme="minorHAnsi" w:cstheme="minorHAnsi"/>
          <w:sz w:val="22"/>
          <w:szCs w:val="22"/>
        </w:rPr>
        <w:t>UN Secretary-General’s High-Level Panel on Women’s Economic Empowerment</w:t>
      </w:r>
    </w:p>
    <w:p w14:paraId="1CA42E4B" w14:textId="77777777" w:rsidR="00B93B70" w:rsidRPr="00DB0C40" w:rsidRDefault="00B93B70" w:rsidP="00B93B70">
      <w:pPr>
        <w:numPr>
          <w:ilvl w:val="2"/>
          <w:numId w:val="9"/>
        </w:numPr>
        <w:spacing w:after="160" w:line="259" w:lineRule="auto"/>
        <w:contextualSpacing/>
        <w:rPr>
          <w:rFonts w:asciiTheme="minorHAnsi" w:eastAsiaTheme="minorHAnsi" w:hAnsiTheme="minorHAnsi" w:cstheme="minorHAnsi"/>
          <w:sz w:val="22"/>
          <w:szCs w:val="22"/>
        </w:rPr>
      </w:pPr>
      <w:r w:rsidRPr="00DB0C40">
        <w:rPr>
          <w:rFonts w:asciiTheme="minorHAnsi" w:eastAsiaTheme="minorHAnsi" w:hAnsiTheme="minorHAnsi" w:cstheme="minorHAnsi"/>
          <w:sz w:val="22"/>
          <w:szCs w:val="22"/>
        </w:rPr>
        <w:t>UN Women’s Empowerment Principles (WEPs)</w:t>
      </w:r>
    </w:p>
    <w:p w14:paraId="6190AFB6" w14:textId="77777777" w:rsidR="00B93B70" w:rsidRPr="00DB0C40" w:rsidRDefault="00B93B70" w:rsidP="00B93B70">
      <w:pPr>
        <w:numPr>
          <w:ilvl w:val="2"/>
          <w:numId w:val="9"/>
        </w:numPr>
        <w:spacing w:after="160" w:line="259" w:lineRule="auto"/>
        <w:contextualSpacing/>
        <w:rPr>
          <w:rFonts w:asciiTheme="minorHAnsi" w:eastAsiaTheme="minorHAnsi" w:hAnsiTheme="minorHAnsi" w:cstheme="minorHAnsi"/>
          <w:sz w:val="22"/>
          <w:szCs w:val="22"/>
        </w:rPr>
      </w:pPr>
      <w:r w:rsidRPr="00DB0C40">
        <w:rPr>
          <w:rFonts w:asciiTheme="minorHAnsi" w:eastAsiaTheme="minorHAnsi" w:hAnsiTheme="minorHAnsi" w:cstheme="minorHAnsi"/>
          <w:sz w:val="22"/>
          <w:szCs w:val="22"/>
        </w:rPr>
        <w:t>The Equal Pay International Coalition (EPIC)</w:t>
      </w:r>
    </w:p>
    <w:p w14:paraId="06B1C95D" w14:textId="77777777" w:rsidR="00B93B70" w:rsidRPr="00DB0C40" w:rsidRDefault="00B93B70" w:rsidP="00B93B70">
      <w:pPr>
        <w:numPr>
          <w:ilvl w:val="1"/>
          <w:numId w:val="9"/>
        </w:numPr>
        <w:spacing w:after="160" w:line="259" w:lineRule="auto"/>
        <w:rPr>
          <w:rFonts w:asciiTheme="minorHAnsi" w:eastAsiaTheme="minorHAnsi" w:hAnsiTheme="minorHAnsi" w:cstheme="minorHAnsi"/>
          <w:sz w:val="22"/>
          <w:szCs w:val="22"/>
        </w:rPr>
      </w:pPr>
      <w:r w:rsidRPr="00DB0C40">
        <w:rPr>
          <w:rFonts w:asciiTheme="minorHAnsi" w:eastAsiaTheme="minorHAnsi" w:hAnsiTheme="minorHAnsi" w:cstheme="minorHAnsi"/>
          <w:sz w:val="22"/>
          <w:szCs w:val="22"/>
        </w:rPr>
        <w:t>G7 and EU policy frameworks</w:t>
      </w:r>
    </w:p>
    <w:p w14:paraId="6D86AC01" w14:textId="77777777" w:rsidR="00B93B70" w:rsidRPr="00DB0C40" w:rsidRDefault="00B93B70" w:rsidP="00B93B70">
      <w:pPr>
        <w:numPr>
          <w:ilvl w:val="2"/>
          <w:numId w:val="9"/>
        </w:numPr>
        <w:spacing w:after="160" w:line="259" w:lineRule="auto"/>
        <w:contextualSpacing/>
        <w:rPr>
          <w:rFonts w:asciiTheme="minorHAnsi" w:eastAsiaTheme="minorHAnsi" w:hAnsiTheme="minorHAnsi" w:cstheme="minorHAnsi"/>
          <w:sz w:val="22"/>
          <w:szCs w:val="22"/>
        </w:rPr>
      </w:pPr>
      <w:r w:rsidRPr="00DB0C40">
        <w:rPr>
          <w:rFonts w:asciiTheme="minorHAnsi" w:eastAsiaTheme="minorHAnsi" w:hAnsiTheme="minorHAnsi" w:cstheme="minorHAnsi"/>
          <w:sz w:val="22"/>
          <w:szCs w:val="22"/>
        </w:rPr>
        <w:t>G7 recommendations on gender equality at work</w:t>
      </w:r>
    </w:p>
    <w:p w14:paraId="62819D8B" w14:textId="77777777" w:rsidR="00B93B70" w:rsidRPr="00DB0C40" w:rsidRDefault="00B93B70" w:rsidP="00B93B70">
      <w:pPr>
        <w:numPr>
          <w:ilvl w:val="2"/>
          <w:numId w:val="9"/>
        </w:numPr>
        <w:spacing w:after="160" w:line="259" w:lineRule="auto"/>
        <w:contextualSpacing/>
        <w:rPr>
          <w:rFonts w:asciiTheme="minorHAnsi" w:eastAsiaTheme="minorHAnsi" w:hAnsiTheme="minorHAnsi" w:cstheme="minorHAnsi"/>
          <w:sz w:val="22"/>
          <w:szCs w:val="22"/>
        </w:rPr>
      </w:pPr>
      <w:r w:rsidRPr="00DB0C40">
        <w:rPr>
          <w:rFonts w:asciiTheme="minorHAnsi" w:eastAsiaTheme="minorHAnsi" w:hAnsiTheme="minorHAnsi" w:cstheme="minorHAnsi"/>
          <w:sz w:val="22"/>
          <w:szCs w:val="22"/>
        </w:rPr>
        <w:t>European Union frameworks</w:t>
      </w:r>
    </w:p>
    <w:p w14:paraId="2185CF04" w14:textId="77777777" w:rsidR="00B93B70" w:rsidRPr="00DB0C40" w:rsidRDefault="00B93B70" w:rsidP="00B93B70">
      <w:pPr>
        <w:numPr>
          <w:ilvl w:val="3"/>
          <w:numId w:val="9"/>
        </w:numPr>
        <w:spacing w:after="160" w:line="259" w:lineRule="auto"/>
        <w:contextualSpacing/>
        <w:rPr>
          <w:rFonts w:asciiTheme="minorHAnsi" w:eastAsiaTheme="minorHAnsi" w:hAnsiTheme="minorHAnsi" w:cstheme="minorHAnsi"/>
          <w:sz w:val="22"/>
          <w:szCs w:val="22"/>
        </w:rPr>
      </w:pPr>
      <w:r w:rsidRPr="00DB0C40">
        <w:rPr>
          <w:rFonts w:asciiTheme="minorHAnsi" w:eastAsiaTheme="minorHAnsi" w:hAnsiTheme="minorHAnsi" w:cstheme="minorHAnsi"/>
          <w:sz w:val="22"/>
          <w:szCs w:val="22"/>
        </w:rPr>
        <w:t>Main European legislation</w:t>
      </w:r>
    </w:p>
    <w:p w14:paraId="2563870D" w14:textId="77777777" w:rsidR="00B93B70" w:rsidRPr="00DB0C40" w:rsidRDefault="00B93B70" w:rsidP="00B93B70">
      <w:pPr>
        <w:numPr>
          <w:ilvl w:val="3"/>
          <w:numId w:val="9"/>
        </w:numPr>
        <w:spacing w:after="160" w:line="259" w:lineRule="auto"/>
        <w:contextualSpacing/>
        <w:rPr>
          <w:rFonts w:asciiTheme="minorHAnsi" w:eastAsiaTheme="minorHAnsi" w:hAnsiTheme="minorHAnsi" w:cstheme="minorHAnsi"/>
          <w:sz w:val="22"/>
          <w:szCs w:val="22"/>
        </w:rPr>
      </w:pPr>
      <w:r w:rsidRPr="00DB0C40">
        <w:rPr>
          <w:rFonts w:asciiTheme="minorHAnsi" w:eastAsiaTheme="minorHAnsi" w:hAnsiTheme="minorHAnsi" w:cstheme="minorHAnsi"/>
          <w:sz w:val="22"/>
          <w:szCs w:val="22"/>
        </w:rPr>
        <w:t>Progress in case-law of the European Court of Justice (ECJ)</w:t>
      </w:r>
    </w:p>
    <w:p w14:paraId="7640B2D8" w14:textId="77777777" w:rsidR="00B93B70" w:rsidRPr="00DB0C40" w:rsidRDefault="00B93B70" w:rsidP="00B93B70">
      <w:pPr>
        <w:numPr>
          <w:ilvl w:val="3"/>
          <w:numId w:val="9"/>
        </w:numPr>
        <w:spacing w:after="160" w:line="259" w:lineRule="auto"/>
        <w:contextualSpacing/>
        <w:rPr>
          <w:rFonts w:asciiTheme="minorHAnsi" w:eastAsiaTheme="minorHAnsi" w:hAnsiTheme="minorHAnsi" w:cstheme="minorHAnsi"/>
          <w:sz w:val="22"/>
          <w:szCs w:val="22"/>
        </w:rPr>
      </w:pPr>
      <w:r w:rsidRPr="00DB0C40">
        <w:rPr>
          <w:rFonts w:asciiTheme="minorHAnsi" w:eastAsiaTheme="minorHAnsi" w:hAnsiTheme="minorHAnsi" w:cstheme="minorHAnsi"/>
          <w:sz w:val="22"/>
          <w:szCs w:val="22"/>
        </w:rPr>
        <w:t>Latest developments</w:t>
      </w:r>
    </w:p>
    <w:p w14:paraId="2B1A005B" w14:textId="77777777" w:rsidR="00B93B70" w:rsidRPr="00DB0C40" w:rsidRDefault="00B93B70" w:rsidP="00B93B70">
      <w:pPr>
        <w:numPr>
          <w:ilvl w:val="1"/>
          <w:numId w:val="9"/>
        </w:numPr>
        <w:spacing w:after="160" w:line="259" w:lineRule="auto"/>
        <w:rPr>
          <w:rFonts w:asciiTheme="minorHAnsi" w:eastAsiaTheme="minorHAnsi" w:hAnsiTheme="minorHAnsi" w:cstheme="minorHAnsi"/>
          <w:sz w:val="22"/>
          <w:szCs w:val="22"/>
        </w:rPr>
      </w:pPr>
      <w:r w:rsidRPr="00DB0C40">
        <w:rPr>
          <w:rFonts w:asciiTheme="minorHAnsi" w:eastAsiaTheme="minorHAnsi" w:hAnsiTheme="minorHAnsi" w:cstheme="minorHAnsi"/>
          <w:sz w:val="22"/>
          <w:szCs w:val="22"/>
        </w:rPr>
        <w:t>Main Actions For Gender Equality In The World Of Work</w:t>
      </w:r>
    </w:p>
    <w:p w14:paraId="1F8C6E84" w14:textId="77777777" w:rsidR="00B93B70" w:rsidRPr="00DB0C40" w:rsidRDefault="00B93B70" w:rsidP="00B93B70">
      <w:pPr>
        <w:numPr>
          <w:ilvl w:val="2"/>
          <w:numId w:val="9"/>
        </w:numPr>
        <w:spacing w:after="160" w:line="259" w:lineRule="auto"/>
        <w:contextualSpacing/>
        <w:rPr>
          <w:rFonts w:asciiTheme="minorHAnsi" w:eastAsiaTheme="minorHAnsi" w:hAnsiTheme="minorHAnsi" w:cstheme="minorHAnsi"/>
          <w:sz w:val="22"/>
          <w:szCs w:val="22"/>
        </w:rPr>
      </w:pPr>
      <w:r w:rsidRPr="00DB0C40">
        <w:rPr>
          <w:rFonts w:asciiTheme="minorHAnsi" w:eastAsiaTheme="minorHAnsi" w:hAnsiTheme="minorHAnsi" w:cstheme="minorHAnsi"/>
          <w:sz w:val="22"/>
          <w:szCs w:val="22"/>
        </w:rPr>
        <w:t>Achieving equal pay for work of equal value</w:t>
      </w:r>
    </w:p>
    <w:p w14:paraId="69786E0E" w14:textId="77777777" w:rsidR="00B93B70" w:rsidRPr="00DB0C40" w:rsidRDefault="00B93B70" w:rsidP="00B93B70">
      <w:pPr>
        <w:numPr>
          <w:ilvl w:val="3"/>
          <w:numId w:val="9"/>
        </w:numPr>
        <w:spacing w:after="160" w:line="259" w:lineRule="auto"/>
        <w:contextualSpacing/>
        <w:rPr>
          <w:rFonts w:asciiTheme="minorHAnsi" w:eastAsiaTheme="minorHAnsi" w:hAnsiTheme="minorHAnsi" w:cstheme="minorHAnsi"/>
          <w:sz w:val="22"/>
          <w:szCs w:val="22"/>
        </w:rPr>
      </w:pPr>
      <w:r w:rsidRPr="00DB0C40">
        <w:rPr>
          <w:rFonts w:asciiTheme="minorHAnsi" w:eastAsiaTheme="minorHAnsi" w:hAnsiTheme="minorHAnsi" w:cstheme="minorHAnsi"/>
          <w:sz w:val="22"/>
          <w:szCs w:val="22"/>
        </w:rPr>
        <w:t>International Labour Standards and other key instruments</w:t>
      </w:r>
    </w:p>
    <w:p w14:paraId="4C230074" w14:textId="77777777" w:rsidR="00B93B70" w:rsidRPr="00DB0C40" w:rsidRDefault="00B93B70" w:rsidP="00B93B70">
      <w:pPr>
        <w:numPr>
          <w:ilvl w:val="3"/>
          <w:numId w:val="9"/>
        </w:numPr>
        <w:spacing w:after="160" w:line="259" w:lineRule="auto"/>
        <w:contextualSpacing/>
        <w:rPr>
          <w:rFonts w:asciiTheme="minorHAnsi" w:eastAsiaTheme="minorHAnsi" w:hAnsiTheme="minorHAnsi" w:cstheme="minorHAnsi"/>
          <w:sz w:val="22"/>
          <w:szCs w:val="22"/>
        </w:rPr>
      </w:pPr>
      <w:r w:rsidRPr="00DB0C40">
        <w:rPr>
          <w:rFonts w:asciiTheme="minorHAnsi" w:eastAsiaTheme="minorHAnsi" w:hAnsiTheme="minorHAnsi" w:cstheme="minorHAnsi"/>
          <w:sz w:val="22"/>
          <w:szCs w:val="22"/>
        </w:rPr>
        <w:t>Some examples of national legal framework in European countries (France and Spain)</w:t>
      </w:r>
    </w:p>
    <w:p w14:paraId="75D53529" w14:textId="1B4D6895" w:rsidR="00B93B70" w:rsidRPr="00DB0C40" w:rsidRDefault="00B93B70" w:rsidP="00B93B70">
      <w:pPr>
        <w:numPr>
          <w:ilvl w:val="3"/>
          <w:numId w:val="9"/>
        </w:numPr>
        <w:spacing w:after="160" w:line="259" w:lineRule="auto"/>
        <w:contextualSpacing/>
        <w:rPr>
          <w:rFonts w:asciiTheme="minorHAnsi" w:eastAsiaTheme="minorHAnsi" w:hAnsiTheme="minorHAnsi" w:cstheme="minorHAnsi"/>
          <w:sz w:val="22"/>
          <w:szCs w:val="22"/>
        </w:rPr>
      </w:pPr>
      <w:r w:rsidRPr="00DB0C40">
        <w:rPr>
          <w:rFonts w:asciiTheme="minorHAnsi" w:eastAsiaTheme="minorHAnsi" w:hAnsiTheme="minorHAnsi" w:cstheme="minorHAnsi"/>
          <w:sz w:val="22"/>
          <w:szCs w:val="22"/>
        </w:rPr>
        <w:t>Laws and policies during the COVID</w:t>
      </w:r>
      <w:r w:rsidR="000A4570">
        <w:rPr>
          <w:rFonts w:asciiTheme="minorHAnsi" w:eastAsiaTheme="minorHAnsi" w:hAnsiTheme="minorHAnsi" w:cstheme="minorHAnsi"/>
          <w:sz w:val="22"/>
          <w:szCs w:val="22"/>
        </w:rPr>
        <w:t xml:space="preserve"> related to </w:t>
      </w:r>
      <w:r w:rsidR="000A4570" w:rsidRPr="000A4570">
        <w:rPr>
          <w:rFonts w:asciiTheme="minorHAnsi" w:eastAsiaTheme="minorHAnsi" w:hAnsiTheme="minorHAnsi" w:cstheme="minorHAnsi"/>
          <w:sz w:val="22"/>
          <w:szCs w:val="22"/>
        </w:rPr>
        <w:t>equal pay for work of equal value</w:t>
      </w:r>
    </w:p>
    <w:p w14:paraId="0F6549A1" w14:textId="77777777" w:rsidR="00B93B70" w:rsidRPr="00DB0C40" w:rsidRDefault="00B93B70" w:rsidP="00B93B70">
      <w:pPr>
        <w:numPr>
          <w:ilvl w:val="2"/>
          <w:numId w:val="9"/>
        </w:numPr>
        <w:spacing w:after="160" w:line="259" w:lineRule="auto"/>
        <w:contextualSpacing/>
        <w:rPr>
          <w:rFonts w:asciiTheme="minorHAnsi" w:eastAsiaTheme="minorHAnsi" w:hAnsiTheme="minorHAnsi" w:cstheme="minorHAnsi"/>
          <w:sz w:val="22"/>
          <w:szCs w:val="22"/>
        </w:rPr>
      </w:pPr>
      <w:r w:rsidRPr="00DB0C40">
        <w:rPr>
          <w:rFonts w:asciiTheme="minorHAnsi" w:eastAsiaTheme="minorHAnsi" w:hAnsiTheme="minorHAnsi" w:cstheme="minorHAnsi"/>
          <w:sz w:val="22"/>
          <w:szCs w:val="22"/>
        </w:rPr>
        <w:t>Preventing and ending mobbing, gender-based violence and harassment in the world of work</w:t>
      </w:r>
    </w:p>
    <w:p w14:paraId="3BC64FF9" w14:textId="77777777" w:rsidR="00B93B70" w:rsidRPr="00DB0C40" w:rsidRDefault="00B93B70" w:rsidP="00B93B70">
      <w:pPr>
        <w:numPr>
          <w:ilvl w:val="3"/>
          <w:numId w:val="9"/>
        </w:numPr>
        <w:spacing w:after="160" w:line="259" w:lineRule="auto"/>
        <w:contextualSpacing/>
        <w:rPr>
          <w:rFonts w:asciiTheme="minorHAnsi" w:eastAsiaTheme="minorHAnsi" w:hAnsiTheme="minorHAnsi" w:cstheme="minorHAnsi"/>
          <w:sz w:val="22"/>
          <w:szCs w:val="22"/>
        </w:rPr>
      </w:pPr>
      <w:r w:rsidRPr="00DB0C40">
        <w:rPr>
          <w:rFonts w:asciiTheme="minorHAnsi" w:eastAsiaTheme="minorHAnsi" w:hAnsiTheme="minorHAnsi" w:cstheme="minorHAnsi"/>
          <w:sz w:val="22"/>
          <w:szCs w:val="22"/>
        </w:rPr>
        <w:lastRenderedPageBreak/>
        <w:t>International Labour Standards and other key instruments</w:t>
      </w:r>
    </w:p>
    <w:p w14:paraId="41F6DCEC" w14:textId="77777777" w:rsidR="00B93B70" w:rsidRPr="00DB0C40" w:rsidRDefault="00B93B70" w:rsidP="00B93B70">
      <w:pPr>
        <w:numPr>
          <w:ilvl w:val="3"/>
          <w:numId w:val="9"/>
        </w:numPr>
        <w:spacing w:after="160" w:line="259" w:lineRule="auto"/>
        <w:contextualSpacing/>
        <w:rPr>
          <w:rFonts w:asciiTheme="minorHAnsi" w:eastAsiaTheme="minorHAnsi" w:hAnsiTheme="minorHAnsi" w:cstheme="minorHAnsi"/>
          <w:sz w:val="22"/>
          <w:szCs w:val="22"/>
        </w:rPr>
      </w:pPr>
      <w:r w:rsidRPr="00DB0C40">
        <w:rPr>
          <w:rFonts w:asciiTheme="minorHAnsi" w:eastAsiaTheme="minorHAnsi" w:hAnsiTheme="minorHAnsi" w:cstheme="minorHAnsi"/>
          <w:sz w:val="22"/>
          <w:szCs w:val="22"/>
        </w:rPr>
        <w:t>Some examples of national legal framework in European countries (EU and Finland)</w:t>
      </w:r>
    </w:p>
    <w:p w14:paraId="36861EEE" w14:textId="77777777" w:rsidR="00B93B70" w:rsidRPr="00DB0C40" w:rsidRDefault="00B93B70" w:rsidP="00B93B70">
      <w:pPr>
        <w:numPr>
          <w:ilvl w:val="3"/>
          <w:numId w:val="9"/>
        </w:numPr>
        <w:spacing w:after="160" w:line="259" w:lineRule="auto"/>
        <w:contextualSpacing/>
        <w:rPr>
          <w:rFonts w:asciiTheme="minorHAnsi" w:eastAsiaTheme="minorHAnsi" w:hAnsiTheme="minorHAnsi" w:cstheme="minorHAnsi"/>
          <w:sz w:val="22"/>
          <w:szCs w:val="22"/>
        </w:rPr>
      </w:pPr>
      <w:r w:rsidRPr="00DB0C40">
        <w:rPr>
          <w:rFonts w:asciiTheme="minorHAnsi" w:eastAsiaTheme="minorHAnsi" w:hAnsiTheme="minorHAnsi" w:cstheme="minorHAnsi"/>
          <w:sz w:val="22"/>
          <w:szCs w:val="22"/>
        </w:rPr>
        <w:t>Laws and policies during the COVID</w:t>
      </w:r>
    </w:p>
    <w:p w14:paraId="525D5817" w14:textId="77777777" w:rsidR="00B93B70" w:rsidRPr="00DB0C40" w:rsidRDefault="00B93B70" w:rsidP="00B93B70">
      <w:pPr>
        <w:numPr>
          <w:ilvl w:val="2"/>
          <w:numId w:val="9"/>
        </w:numPr>
        <w:spacing w:after="160" w:line="259" w:lineRule="auto"/>
        <w:contextualSpacing/>
        <w:rPr>
          <w:rFonts w:asciiTheme="minorHAnsi" w:eastAsiaTheme="minorHAnsi" w:hAnsiTheme="minorHAnsi" w:cstheme="minorHAnsi"/>
          <w:sz w:val="22"/>
          <w:szCs w:val="22"/>
        </w:rPr>
      </w:pPr>
      <w:r w:rsidRPr="00DB0C40">
        <w:rPr>
          <w:rFonts w:asciiTheme="minorHAnsi" w:eastAsiaTheme="minorHAnsi" w:hAnsiTheme="minorHAnsi" w:cstheme="minorHAnsi"/>
          <w:sz w:val="22"/>
          <w:szCs w:val="22"/>
        </w:rPr>
        <w:t>Promoting work – life balance and equal sharing of care responsibilities</w:t>
      </w:r>
    </w:p>
    <w:p w14:paraId="62095D12" w14:textId="77777777" w:rsidR="00B93B70" w:rsidRPr="00DB0C40" w:rsidRDefault="00B93B70" w:rsidP="00B93B70">
      <w:pPr>
        <w:numPr>
          <w:ilvl w:val="3"/>
          <w:numId w:val="9"/>
        </w:numPr>
        <w:spacing w:after="160" w:line="259" w:lineRule="auto"/>
        <w:contextualSpacing/>
        <w:rPr>
          <w:rFonts w:asciiTheme="minorHAnsi" w:eastAsiaTheme="minorHAnsi" w:hAnsiTheme="minorHAnsi" w:cstheme="minorHAnsi"/>
          <w:sz w:val="22"/>
          <w:szCs w:val="22"/>
        </w:rPr>
      </w:pPr>
      <w:r w:rsidRPr="00DB0C40">
        <w:rPr>
          <w:rFonts w:asciiTheme="minorHAnsi" w:eastAsiaTheme="minorHAnsi" w:hAnsiTheme="minorHAnsi" w:cstheme="minorHAnsi"/>
          <w:sz w:val="22"/>
          <w:szCs w:val="22"/>
        </w:rPr>
        <w:t>International Labour Standards and other key instruments</w:t>
      </w:r>
    </w:p>
    <w:p w14:paraId="6FAD3105" w14:textId="77777777" w:rsidR="000A4570" w:rsidRDefault="00B93B70" w:rsidP="005B4C1D">
      <w:pPr>
        <w:numPr>
          <w:ilvl w:val="3"/>
          <w:numId w:val="9"/>
        </w:numPr>
        <w:spacing w:after="160" w:line="259" w:lineRule="auto"/>
        <w:contextualSpacing/>
        <w:rPr>
          <w:rFonts w:asciiTheme="minorHAnsi" w:eastAsiaTheme="minorHAnsi" w:hAnsiTheme="minorHAnsi" w:cstheme="minorHAnsi"/>
          <w:sz w:val="22"/>
          <w:szCs w:val="22"/>
        </w:rPr>
      </w:pPr>
      <w:r w:rsidRPr="000A4570">
        <w:rPr>
          <w:rFonts w:asciiTheme="minorHAnsi" w:eastAsiaTheme="minorHAnsi" w:hAnsiTheme="minorHAnsi" w:cstheme="minorHAnsi"/>
          <w:sz w:val="22"/>
          <w:szCs w:val="22"/>
        </w:rPr>
        <w:t>Some examples of national legal framework in European (Germany and Norway)</w:t>
      </w:r>
    </w:p>
    <w:p w14:paraId="16F97558" w14:textId="164BA95E" w:rsidR="000A4570" w:rsidRPr="000A4570" w:rsidRDefault="00B93B70" w:rsidP="005B4C1D">
      <w:pPr>
        <w:numPr>
          <w:ilvl w:val="3"/>
          <w:numId w:val="9"/>
        </w:numPr>
        <w:spacing w:after="160" w:line="259" w:lineRule="auto"/>
        <w:contextualSpacing/>
        <w:rPr>
          <w:rFonts w:asciiTheme="minorHAnsi" w:eastAsiaTheme="minorHAnsi" w:hAnsiTheme="minorHAnsi" w:cstheme="minorHAnsi"/>
          <w:sz w:val="22"/>
          <w:szCs w:val="22"/>
        </w:rPr>
      </w:pPr>
      <w:r w:rsidRPr="000A4570">
        <w:rPr>
          <w:rFonts w:asciiTheme="minorHAnsi" w:eastAsiaTheme="minorHAnsi" w:hAnsiTheme="minorHAnsi" w:cstheme="minorHAnsi"/>
          <w:sz w:val="22"/>
          <w:szCs w:val="22"/>
        </w:rPr>
        <w:t>Laws and policies during the COVID</w:t>
      </w:r>
      <w:r w:rsidR="000A4570" w:rsidRPr="000A4570">
        <w:t xml:space="preserve"> </w:t>
      </w:r>
      <w:r w:rsidR="000A4570">
        <w:t>related to p</w:t>
      </w:r>
      <w:r w:rsidR="000A4570" w:rsidRPr="000A4570">
        <w:rPr>
          <w:rFonts w:asciiTheme="minorHAnsi" w:eastAsiaTheme="minorHAnsi" w:hAnsiTheme="minorHAnsi" w:cstheme="minorHAnsi"/>
          <w:sz w:val="22"/>
          <w:szCs w:val="22"/>
        </w:rPr>
        <w:t>romoting work – life balance and equal sharing of care responsibilities</w:t>
      </w:r>
    </w:p>
    <w:p w14:paraId="51D0A3E5" w14:textId="77777777" w:rsidR="00B93B70" w:rsidRPr="00DB0C40" w:rsidRDefault="00B93B70" w:rsidP="00B93B70">
      <w:pPr>
        <w:numPr>
          <w:ilvl w:val="1"/>
          <w:numId w:val="9"/>
        </w:numPr>
        <w:spacing w:after="160" w:line="259" w:lineRule="auto"/>
        <w:contextualSpacing/>
        <w:rPr>
          <w:rFonts w:asciiTheme="minorHAnsi" w:eastAsiaTheme="minorHAnsi" w:hAnsiTheme="minorHAnsi" w:cstheme="minorHAnsi"/>
          <w:sz w:val="22"/>
          <w:szCs w:val="22"/>
        </w:rPr>
      </w:pPr>
      <w:bookmarkStart w:id="0" w:name="_Hlk109835015"/>
      <w:r w:rsidRPr="00DB0C40">
        <w:rPr>
          <w:rFonts w:asciiTheme="minorHAnsi" w:eastAsiaTheme="minorHAnsi" w:hAnsiTheme="minorHAnsi" w:cstheme="minorHAnsi"/>
          <w:sz w:val="22"/>
          <w:szCs w:val="22"/>
        </w:rPr>
        <w:t>Supporting women´s equal participation in decision-making in the world of work</w:t>
      </w:r>
    </w:p>
    <w:bookmarkEnd w:id="0"/>
    <w:p w14:paraId="4C2C6806" w14:textId="77777777" w:rsidR="00B93B70" w:rsidRPr="00DB0C40" w:rsidRDefault="00B93B70" w:rsidP="00B93B70">
      <w:pPr>
        <w:numPr>
          <w:ilvl w:val="2"/>
          <w:numId w:val="9"/>
        </w:numPr>
        <w:spacing w:after="160" w:line="259" w:lineRule="auto"/>
        <w:contextualSpacing/>
        <w:rPr>
          <w:rFonts w:asciiTheme="minorHAnsi" w:eastAsiaTheme="minorHAnsi" w:hAnsiTheme="minorHAnsi" w:cstheme="minorHAnsi"/>
          <w:sz w:val="22"/>
          <w:szCs w:val="22"/>
        </w:rPr>
      </w:pPr>
      <w:r w:rsidRPr="00DB0C40">
        <w:rPr>
          <w:rFonts w:asciiTheme="minorHAnsi" w:eastAsiaTheme="minorHAnsi" w:hAnsiTheme="minorHAnsi" w:cstheme="minorHAnsi"/>
          <w:sz w:val="22"/>
          <w:szCs w:val="22"/>
        </w:rPr>
        <w:t>International labour standards and other key instruments</w:t>
      </w:r>
    </w:p>
    <w:p w14:paraId="0404C1A4" w14:textId="77777777" w:rsidR="000A4570" w:rsidRDefault="00B93B70" w:rsidP="005B4C1D">
      <w:pPr>
        <w:numPr>
          <w:ilvl w:val="2"/>
          <w:numId w:val="9"/>
        </w:numPr>
        <w:spacing w:after="160" w:line="259" w:lineRule="auto"/>
        <w:contextualSpacing/>
        <w:rPr>
          <w:rFonts w:asciiTheme="minorHAnsi" w:eastAsiaTheme="minorHAnsi" w:hAnsiTheme="minorHAnsi" w:cstheme="minorHAnsi"/>
          <w:sz w:val="22"/>
          <w:szCs w:val="22"/>
        </w:rPr>
      </w:pPr>
      <w:r w:rsidRPr="000A4570">
        <w:rPr>
          <w:rFonts w:asciiTheme="minorHAnsi" w:eastAsiaTheme="minorHAnsi" w:hAnsiTheme="minorHAnsi" w:cstheme="minorHAnsi"/>
          <w:sz w:val="22"/>
          <w:szCs w:val="22"/>
        </w:rPr>
        <w:t xml:space="preserve">Some examples of national legal framework in European (France and Italy) </w:t>
      </w:r>
    </w:p>
    <w:p w14:paraId="351BA397" w14:textId="4CE4E3D2" w:rsidR="000A4570" w:rsidRPr="000A4570" w:rsidRDefault="00B93B70" w:rsidP="005B4C1D">
      <w:pPr>
        <w:numPr>
          <w:ilvl w:val="2"/>
          <w:numId w:val="9"/>
        </w:numPr>
        <w:spacing w:after="160" w:line="259" w:lineRule="auto"/>
        <w:contextualSpacing/>
        <w:rPr>
          <w:rFonts w:asciiTheme="minorHAnsi" w:eastAsiaTheme="minorHAnsi" w:hAnsiTheme="minorHAnsi" w:cstheme="minorHAnsi"/>
          <w:sz w:val="22"/>
          <w:szCs w:val="22"/>
        </w:rPr>
      </w:pPr>
      <w:r w:rsidRPr="000A4570">
        <w:rPr>
          <w:rFonts w:asciiTheme="minorHAnsi" w:eastAsiaTheme="minorHAnsi" w:hAnsiTheme="minorHAnsi" w:cstheme="minorHAnsi"/>
          <w:sz w:val="22"/>
          <w:szCs w:val="22"/>
        </w:rPr>
        <w:t>Laws and policies during the COVID</w:t>
      </w:r>
      <w:r w:rsidR="000A4570" w:rsidRPr="000A4570">
        <w:rPr>
          <w:rFonts w:asciiTheme="minorHAnsi" w:eastAsiaTheme="minorHAnsi" w:hAnsiTheme="minorHAnsi" w:cstheme="minorHAnsi"/>
          <w:sz w:val="22"/>
          <w:szCs w:val="22"/>
        </w:rPr>
        <w:t xml:space="preserve"> related to Supporting women´s equal participation in decision-making in the world of work</w:t>
      </w:r>
    </w:p>
    <w:p w14:paraId="341275FB" w14:textId="77777777" w:rsidR="00B93B70" w:rsidRPr="00DB0C40" w:rsidRDefault="00B93B70" w:rsidP="00B93B70">
      <w:pPr>
        <w:numPr>
          <w:ilvl w:val="1"/>
          <w:numId w:val="9"/>
        </w:numPr>
        <w:spacing w:after="160" w:line="259" w:lineRule="auto"/>
        <w:rPr>
          <w:rFonts w:asciiTheme="minorHAnsi" w:eastAsiaTheme="minorHAnsi" w:hAnsiTheme="minorHAnsi" w:cstheme="minorHAnsi"/>
          <w:sz w:val="22"/>
          <w:szCs w:val="22"/>
        </w:rPr>
      </w:pPr>
      <w:r w:rsidRPr="00DB0C40">
        <w:rPr>
          <w:rFonts w:asciiTheme="minorHAnsi" w:eastAsiaTheme="minorHAnsi" w:hAnsiTheme="minorHAnsi" w:cstheme="minorHAnsi"/>
          <w:sz w:val="22"/>
          <w:szCs w:val="22"/>
        </w:rPr>
        <w:t>Building a future of work that works for women</w:t>
      </w:r>
    </w:p>
    <w:p w14:paraId="4344DCC0" w14:textId="77777777" w:rsidR="00B93B70" w:rsidRPr="00DB0C40" w:rsidRDefault="00B93B70" w:rsidP="00B93B70">
      <w:pPr>
        <w:numPr>
          <w:ilvl w:val="2"/>
          <w:numId w:val="9"/>
        </w:numPr>
        <w:spacing w:after="160" w:line="259" w:lineRule="auto"/>
        <w:contextualSpacing/>
        <w:rPr>
          <w:rFonts w:asciiTheme="minorHAnsi" w:eastAsiaTheme="minorHAnsi" w:hAnsiTheme="minorHAnsi" w:cstheme="minorHAnsi"/>
          <w:sz w:val="22"/>
          <w:szCs w:val="22"/>
        </w:rPr>
      </w:pPr>
      <w:r w:rsidRPr="00DB0C40">
        <w:rPr>
          <w:rFonts w:asciiTheme="minorHAnsi" w:eastAsiaTheme="minorHAnsi" w:hAnsiTheme="minorHAnsi" w:cstheme="minorHAnsi"/>
          <w:sz w:val="22"/>
          <w:szCs w:val="22"/>
        </w:rPr>
        <w:t>International Labour Standards and other key instruments</w:t>
      </w:r>
    </w:p>
    <w:p w14:paraId="43D57EED" w14:textId="77777777" w:rsidR="00B93B70" w:rsidRPr="00DB0C40" w:rsidRDefault="00B93B70" w:rsidP="00B93B70">
      <w:pPr>
        <w:numPr>
          <w:ilvl w:val="2"/>
          <w:numId w:val="9"/>
        </w:numPr>
        <w:spacing w:after="160" w:line="259" w:lineRule="auto"/>
        <w:contextualSpacing/>
        <w:rPr>
          <w:rFonts w:asciiTheme="minorHAnsi" w:eastAsiaTheme="minorHAnsi" w:hAnsiTheme="minorHAnsi" w:cstheme="minorHAnsi"/>
          <w:sz w:val="22"/>
          <w:szCs w:val="22"/>
        </w:rPr>
      </w:pPr>
      <w:r w:rsidRPr="00DB0C40">
        <w:rPr>
          <w:rFonts w:asciiTheme="minorHAnsi" w:eastAsiaTheme="minorHAnsi" w:hAnsiTheme="minorHAnsi" w:cstheme="minorHAnsi"/>
          <w:sz w:val="22"/>
          <w:szCs w:val="22"/>
        </w:rPr>
        <w:t>Some examples of national legal framework in European countries (Belgium and Denmark)</w:t>
      </w:r>
    </w:p>
    <w:p w14:paraId="70732761" w14:textId="0940BF2B" w:rsidR="00B93B70" w:rsidRPr="00DB0C40" w:rsidRDefault="00B93B70" w:rsidP="00B93B70">
      <w:pPr>
        <w:numPr>
          <w:ilvl w:val="1"/>
          <w:numId w:val="9"/>
        </w:numPr>
        <w:spacing w:after="160" w:line="259" w:lineRule="auto"/>
        <w:rPr>
          <w:rFonts w:asciiTheme="minorHAnsi" w:eastAsiaTheme="minorHAnsi" w:hAnsiTheme="minorHAnsi" w:cstheme="minorBidi"/>
          <w:sz w:val="22"/>
          <w:szCs w:val="22"/>
        </w:rPr>
      </w:pPr>
      <w:r w:rsidRPr="00DB0C40">
        <w:rPr>
          <w:rFonts w:asciiTheme="minorHAnsi" w:eastAsiaTheme="minorHAnsi" w:hAnsiTheme="minorHAnsi" w:cstheme="minorBidi"/>
          <w:sz w:val="22"/>
          <w:szCs w:val="22"/>
        </w:rPr>
        <w:t xml:space="preserve">Review of National Legislation in </w:t>
      </w:r>
      <w:r w:rsidR="00AC20EA">
        <w:rPr>
          <w:rFonts w:asciiTheme="minorHAnsi" w:eastAsiaTheme="minorHAnsi" w:hAnsiTheme="minorHAnsi" w:cstheme="minorBidi"/>
          <w:sz w:val="22"/>
          <w:szCs w:val="22"/>
        </w:rPr>
        <w:t>Türkiye</w:t>
      </w:r>
      <w:r w:rsidRPr="00DB0C40">
        <w:rPr>
          <w:rFonts w:asciiTheme="minorHAnsi" w:eastAsiaTheme="minorHAnsi" w:hAnsiTheme="minorHAnsi" w:cstheme="minorBidi"/>
          <w:sz w:val="22"/>
          <w:szCs w:val="22"/>
        </w:rPr>
        <w:t xml:space="preserve"> in terms of Women Employment</w:t>
      </w:r>
    </w:p>
    <w:p w14:paraId="0CBAB9EA" w14:textId="77777777" w:rsidR="00B93B70" w:rsidRPr="00DB0C40" w:rsidRDefault="00B93B70" w:rsidP="00B93B70">
      <w:pPr>
        <w:numPr>
          <w:ilvl w:val="1"/>
          <w:numId w:val="9"/>
        </w:numPr>
        <w:spacing w:after="160" w:line="259" w:lineRule="auto"/>
        <w:rPr>
          <w:rFonts w:asciiTheme="minorHAnsi" w:eastAsiaTheme="minorHAnsi" w:hAnsiTheme="minorHAnsi" w:cstheme="minorBidi"/>
          <w:sz w:val="22"/>
          <w:szCs w:val="22"/>
        </w:rPr>
      </w:pPr>
      <w:r w:rsidRPr="00DB0C40">
        <w:rPr>
          <w:rFonts w:asciiTheme="minorHAnsi" w:eastAsiaTheme="minorHAnsi" w:hAnsiTheme="minorHAnsi" w:cstheme="minorBidi"/>
          <w:sz w:val="22"/>
          <w:szCs w:val="22"/>
        </w:rPr>
        <w:t>The Impact of Labour Law on Women Employment In Türkiye. A Brief Comparison Study.</w:t>
      </w:r>
    </w:p>
    <w:p w14:paraId="727AFB47" w14:textId="77777777" w:rsidR="00B93B70" w:rsidRPr="00DB0C40" w:rsidRDefault="00B93B70" w:rsidP="00B93B70">
      <w:pPr>
        <w:numPr>
          <w:ilvl w:val="2"/>
          <w:numId w:val="9"/>
        </w:numPr>
        <w:spacing w:after="160" w:line="259" w:lineRule="auto"/>
        <w:contextualSpacing/>
        <w:rPr>
          <w:rFonts w:asciiTheme="minorHAnsi" w:eastAsiaTheme="minorHAnsi" w:hAnsiTheme="minorHAnsi" w:cstheme="minorBidi"/>
          <w:sz w:val="22"/>
          <w:szCs w:val="22"/>
        </w:rPr>
      </w:pPr>
      <w:r w:rsidRPr="00DB0C40">
        <w:rPr>
          <w:rFonts w:asciiTheme="minorHAnsi" w:eastAsiaTheme="minorHAnsi" w:hAnsiTheme="minorHAnsi" w:cstheme="minorBidi"/>
          <w:sz w:val="22"/>
          <w:szCs w:val="22"/>
        </w:rPr>
        <w:t>An Introduction to the Main Impacts of Laws and Policies on Female Labour Participation</w:t>
      </w:r>
    </w:p>
    <w:p w14:paraId="7306D89D" w14:textId="77777777" w:rsidR="00B93B70" w:rsidRPr="00DB0C40" w:rsidRDefault="00B93B70" w:rsidP="00B93B70">
      <w:pPr>
        <w:numPr>
          <w:ilvl w:val="2"/>
          <w:numId w:val="9"/>
        </w:numPr>
        <w:spacing w:after="160" w:line="259" w:lineRule="auto"/>
        <w:contextualSpacing/>
        <w:rPr>
          <w:rFonts w:asciiTheme="minorHAnsi" w:eastAsiaTheme="minorHAnsi" w:hAnsiTheme="minorHAnsi" w:cstheme="minorBidi"/>
          <w:sz w:val="22"/>
          <w:szCs w:val="22"/>
        </w:rPr>
      </w:pPr>
      <w:r w:rsidRPr="00DB0C40">
        <w:rPr>
          <w:rFonts w:asciiTheme="minorHAnsi" w:eastAsiaTheme="minorHAnsi" w:hAnsiTheme="minorHAnsi" w:cstheme="minorBidi"/>
          <w:sz w:val="22"/>
          <w:szCs w:val="22"/>
        </w:rPr>
        <w:t>A Comparison of Türkiye with Other Countries</w:t>
      </w:r>
    </w:p>
    <w:p w14:paraId="68B0E8C2" w14:textId="77777777" w:rsidR="00B93B70" w:rsidRPr="00DB0C40" w:rsidRDefault="00B93B70" w:rsidP="00B93B70">
      <w:pPr>
        <w:numPr>
          <w:ilvl w:val="3"/>
          <w:numId w:val="9"/>
        </w:numPr>
        <w:spacing w:after="160" w:line="259" w:lineRule="auto"/>
        <w:contextualSpacing/>
        <w:rPr>
          <w:rFonts w:asciiTheme="minorHAnsi" w:eastAsiaTheme="minorHAnsi" w:hAnsiTheme="minorHAnsi" w:cstheme="minorBidi"/>
          <w:sz w:val="22"/>
          <w:szCs w:val="22"/>
        </w:rPr>
      </w:pPr>
      <w:r w:rsidRPr="00DB0C40">
        <w:rPr>
          <w:rFonts w:asciiTheme="minorHAnsi" w:eastAsiaTheme="minorHAnsi" w:hAnsiTheme="minorHAnsi" w:cstheme="minorBidi"/>
          <w:sz w:val="22"/>
          <w:szCs w:val="22"/>
        </w:rPr>
        <w:t xml:space="preserve">A Brief Analysis of G20 Countries </w:t>
      </w:r>
    </w:p>
    <w:p w14:paraId="65DE3FB4" w14:textId="77777777" w:rsidR="00B93B70" w:rsidRPr="00DB0C40" w:rsidRDefault="00B93B70" w:rsidP="00B93B70">
      <w:pPr>
        <w:numPr>
          <w:ilvl w:val="3"/>
          <w:numId w:val="9"/>
        </w:numPr>
        <w:spacing w:after="160" w:line="259" w:lineRule="auto"/>
        <w:contextualSpacing/>
        <w:rPr>
          <w:rFonts w:asciiTheme="minorHAnsi" w:eastAsiaTheme="minorHAnsi" w:hAnsiTheme="minorHAnsi" w:cstheme="minorBidi"/>
          <w:sz w:val="22"/>
          <w:szCs w:val="22"/>
        </w:rPr>
      </w:pPr>
    </w:p>
    <w:p w14:paraId="1A3EC571" w14:textId="77777777" w:rsidR="00B93B70" w:rsidRPr="00DB0C40" w:rsidRDefault="00B93B70" w:rsidP="00B93B70">
      <w:pPr>
        <w:numPr>
          <w:ilvl w:val="2"/>
          <w:numId w:val="9"/>
        </w:numPr>
        <w:spacing w:after="160" w:line="259" w:lineRule="auto"/>
        <w:contextualSpacing/>
        <w:rPr>
          <w:rFonts w:asciiTheme="minorHAnsi" w:eastAsiaTheme="minorHAnsi" w:hAnsiTheme="minorHAnsi" w:cstheme="minorBidi"/>
          <w:sz w:val="22"/>
          <w:szCs w:val="22"/>
        </w:rPr>
      </w:pPr>
      <w:r w:rsidRPr="00DB0C40">
        <w:rPr>
          <w:rFonts w:asciiTheme="minorHAnsi" w:eastAsiaTheme="minorHAnsi" w:hAnsiTheme="minorHAnsi" w:cstheme="minorBidi"/>
          <w:sz w:val="22"/>
          <w:szCs w:val="22"/>
        </w:rPr>
        <w:t>Some Indicators for Türkiye</w:t>
      </w:r>
    </w:p>
    <w:p w14:paraId="75294CD9" w14:textId="77777777" w:rsidR="00B93B70" w:rsidRPr="00DB0C40" w:rsidRDefault="00B93B70" w:rsidP="00B93B70">
      <w:pPr>
        <w:numPr>
          <w:ilvl w:val="3"/>
          <w:numId w:val="9"/>
        </w:numPr>
        <w:spacing w:after="160" w:line="259" w:lineRule="auto"/>
        <w:contextualSpacing/>
        <w:rPr>
          <w:rFonts w:asciiTheme="minorHAnsi" w:eastAsiaTheme="minorHAnsi" w:hAnsiTheme="minorHAnsi" w:cstheme="minorBidi"/>
          <w:sz w:val="22"/>
          <w:szCs w:val="22"/>
        </w:rPr>
      </w:pPr>
      <w:r w:rsidRPr="00DB0C40">
        <w:rPr>
          <w:rFonts w:asciiTheme="minorHAnsi" w:eastAsiaTheme="minorHAnsi" w:hAnsiTheme="minorHAnsi" w:cstheme="minorBidi"/>
          <w:sz w:val="22"/>
          <w:szCs w:val="22"/>
        </w:rPr>
        <w:t>Analysis of Data Gender Employment in Türkiye during the Period 2015 – 2021</w:t>
      </w:r>
    </w:p>
    <w:p w14:paraId="4C762801" w14:textId="77777777" w:rsidR="00B93B70" w:rsidRPr="00DB0C40" w:rsidRDefault="00B93B70" w:rsidP="00B93B70">
      <w:pPr>
        <w:numPr>
          <w:ilvl w:val="4"/>
          <w:numId w:val="9"/>
        </w:numPr>
        <w:spacing w:after="160" w:line="259" w:lineRule="auto"/>
        <w:contextualSpacing/>
        <w:rPr>
          <w:rFonts w:asciiTheme="minorHAnsi" w:eastAsiaTheme="minorHAnsi" w:hAnsiTheme="minorHAnsi" w:cstheme="minorBidi"/>
          <w:sz w:val="22"/>
          <w:szCs w:val="22"/>
        </w:rPr>
      </w:pPr>
      <w:r w:rsidRPr="00DB0C40">
        <w:rPr>
          <w:rFonts w:asciiTheme="minorHAnsi" w:eastAsiaTheme="minorHAnsi" w:hAnsiTheme="minorHAnsi" w:cstheme="minorBidi"/>
          <w:sz w:val="22"/>
          <w:szCs w:val="22"/>
        </w:rPr>
        <w:t xml:space="preserve">Female Employment Rate (2015 – 2021) </w:t>
      </w:r>
    </w:p>
    <w:p w14:paraId="6BE97BE9" w14:textId="77777777" w:rsidR="00B93B70" w:rsidRPr="00DB0C40" w:rsidRDefault="00B93B70" w:rsidP="00B93B70">
      <w:pPr>
        <w:numPr>
          <w:ilvl w:val="4"/>
          <w:numId w:val="9"/>
        </w:numPr>
        <w:spacing w:after="160" w:line="259" w:lineRule="auto"/>
        <w:contextualSpacing/>
        <w:rPr>
          <w:rFonts w:asciiTheme="minorHAnsi" w:eastAsiaTheme="minorHAnsi" w:hAnsiTheme="minorHAnsi" w:cstheme="minorBidi"/>
          <w:sz w:val="22"/>
          <w:szCs w:val="22"/>
        </w:rPr>
      </w:pPr>
      <w:r w:rsidRPr="00DB0C40">
        <w:rPr>
          <w:rFonts w:asciiTheme="minorHAnsi" w:eastAsiaTheme="minorHAnsi" w:hAnsiTheme="minorHAnsi" w:cstheme="minorBidi"/>
          <w:sz w:val="22"/>
          <w:szCs w:val="22"/>
        </w:rPr>
        <w:t>Gender Employment Gap (2015 – 2021)</w:t>
      </w:r>
    </w:p>
    <w:p w14:paraId="774399C5" w14:textId="77777777" w:rsidR="00B93B70" w:rsidRPr="00DB0C40" w:rsidRDefault="00B93B70" w:rsidP="00B93B70">
      <w:pPr>
        <w:numPr>
          <w:ilvl w:val="2"/>
          <w:numId w:val="9"/>
        </w:numPr>
        <w:spacing w:after="160" w:line="259" w:lineRule="auto"/>
        <w:contextualSpacing/>
        <w:rPr>
          <w:rFonts w:asciiTheme="minorHAnsi" w:eastAsiaTheme="minorHAnsi" w:hAnsiTheme="minorHAnsi" w:cstheme="minorBidi"/>
          <w:sz w:val="22"/>
          <w:szCs w:val="22"/>
        </w:rPr>
      </w:pPr>
      <w:r w:rsidRPr="00DB0C40">
        <w:rPr>
          <w:rFonts w:asciiTheme="minorHAnsi" w:eastAsiaTheme="minorHAnsi" w:hAnsiTheme="minorHAnsi" w:cstheme="minorBidi"/>
          <w:sz w:val="22"/>
          <w:szCs w:val="22"/>
        </w:rPr>
        <w:t xml:space="preserve">On Part-Time Work </w:t>
      </w:r>
    </w:p>
    <w:p w14:paraId="776F0BC8" w14:textId="77777777" w:rsidR="00B93B70" w:rsidRPr="00DB0C40" w:rsidRDefault="00B93B70" w:rsidP="00B93B70">
      <w:pPr>
        <w:numPr>
          <w:ilvl w:val="2"/>
          <w:numId w:val="9"/>
        </w:numPr>
        <w:spacing w:after="160" w:line="259" w:lineRule="auto"/>
        <w:contextualSpacing/>
        <w:rPr>
          <w:rFonts w:asciiTheme="minorHAnsi" w:eastAsiaTheme="minorHAnsi" w:hAnsiTheme="minorHAnsi" w:cstheme="minorBidi"/>
          <w:sz w:val="22"/>
          <w:szCs w:val="22"/>
        </w:rPr>
      </w:pPr>
      <w:r w:rsidRPr="00DB0C40">
        <w:rPr>
          <w:rFonts w:asciiTheme="minorHAnsi" w:eastAsiaTheme="minorHAnsi" w:hAnsiTheme="minorHAnsi" w:cstheme="minorBidi"/>
          <w:sz w:val="22"/>
          <w:szCs w:val="22"/>
        </w:rPr>
        <w:t>On Gender Pay  (2015 – 2018)</w:t>
      </w:r>
    </w:p>
    <w:p w14:paraId="7A23E32D" w14:textId="77777777" w:rsidR="00B93B70" w:rsidRPr="00DB0C40" w:rsidRDefault="00B93B70" w:rsidP="00B93B70">
      <w:pPr>
        <w:numPr>
          <w:ilvl w:val="2"/>
          <w:numId w:val="9"/>
        </w:numPr>
        <w:spacing w:after="160" w:line="259" w:lineRule="auto"/>
        <w:contextualSpacing/>
        <w:rPr>
          <w:rFonts w:asciiTheme="minorHAnsi" w:eastAsiaTheme="minorHAnsi" w:hAnsiTheme="minorHAnsi" w:cstheme="minorBidi"/>
          <w:sz w:val="22"/>
          <w:szCs w:val="22"/>
        </w:rPr>
      </w:pPr>
      <w:r w:rsidRPr="00DB0C40">
        <w:rPr>
          <w:rFonts w:asciiTheme="minorHAnsi" w:eastAsiaTheme="minorHAnsi" w:hAnsiTheme="minorHAnsi" w:cstheme="minorBidi"/>
          <w:sz w:val="22"/>
          <w:szCs w:val="22"/>
        </w:rPr>
        <w:t xml:space="preserve">Educational Attainment and The Gender Wage Gap </w:t>
      </w:r>
    </w:p>
    <w:p w14:paraId="4DCF285D" w14:textId="77777777" w:rsidR="00B93B70" w:rsidRPr="00DB0C40" w:rsidRDefault="00B93B70" w:rsidP="00B93B70">
      <w:pPr>
        <w:numPr>
          <w:ilvl w:val="2"/>
          <w:numId w:val="9"/>
        </w:numPr>
        <w:spacing w:after="160" w:line="259" w:lineRule="auto"/>
        <w:contextualSpacing/>
        <w:rPr>
          <w:rFonts w:asciiTheme="minorHAnsi" w:eastAsiaTheme="minorHAnsi" w:hAnsiTheme="minorHAnsi" w:cstheme="minorBidi"/>
          <w:sz w:val="22"/>
          <w:szCs w:val="22"/>
        </w:rPr>
      </w:pPr>
      <w:r w:rsidRPr="00DB0C40">
        <w:rPr>
          <w:rFonts w:asciiTheme="minorHAnsi" w:eastAsiaTheme="minorHAnsi" w:hAnsiTheme="minorHAnsi" w:cstheme="minorBidi"/>
          <w:sz w:val="22"/>
          <w:szCs w:val="22"/>
        </w:rPr>
        <w:t>Perspectives on working life</w:t>
      </w:r>
    </w:p>
    <w:p w14:paraId="1F4C4ABC" w14:textId="77777777" w:rsidR="00B93B70" w:rsidRPr="00DB0C40" w:rsidRDefault="00B93B70" w:rsidP="00B93B70">
      <w:pPr>
        <w:numPr>
          <w:ilvl w:val="2"/>
          <w:numId w:val="9"/>
        </w:numPr>
        <w:spacing w:after="160" w:line="259" w:lineRule="auto"/>
        <w:contextualSpacing/>
        <w:rPr>
          <w:rFonts w:asciiTheme="minorHAnsi" w:eastAsiaTheme="minorHAnsi" w:hAnsiTheme="minorHAnsi" w:cstheme="minorBidi"/>
          <w:sz w:val="22"/>
          <w:szCs w:val="22"/>
        </w:rPr>
      </w:pPr>
      <w:r w:rsidRPr="00DB0C40">
        <w:rPr>
          <w:rFonts w:asciiTheme="minorHAnsi" w:eastAsiaTheme="minorHAnsi" w:hAnsiTheme="minorHAnsi" w:cstheme="minorBidi"/>
          <w:sz w:val="22"/>
          <w:szCs w:val="22"/>
        </w:rPr>
        <w:t xml:space="preserve">Self-Employed Women Workers </w:t>
      </w:r>
    </w:p>
    <w:p w14:paraId="4CDBC4B2" w14:textId="77777777" w:rsidR="00B93B70" w:rsidRPr="00DB0C40" w:rsidRDefault="00B93B70" w:rsidP="00B93B70">
      <w:pPr>
        <w:numPr>
          <w:ilvl w:val="2"/>
          <w:numId w:val="9"/>
        </w:numPr>
        <w:spacing w:after="160" w:line="259" w:lineRule="auto"/>
        <w:contextualSpacing/>
        <w:rPr>
          <w:rFonts w:asciiTheme="minorHAnsi" w:eastAsiaTheme="minorHAnsi" w:hAnsiTheme="minorHAnsi" w:cstheme="minorBidi"/>
          <w:sz w:val="22"/>
          <w:szCs w:val="22"/>
        </w:rPr>
      </w:pPr>
      <w:r w:rsidRPr="00DB0C40">
        <w:rPr>
          <w:rFonts w:asciiTheme="minorHAnsi" w:eastAsiaTheme="minorHAnsi" w:hAnsiTheme="minorHAnsi" w:cstheme="minorBidi"/>
          <w:sz w:val="22"/>
          <w:szCs w:val="22"/>
        </w:rPr>
        <w:t>Some Social indicators</w:t>
      </w:r>
    </w:p>
    <w:p w14:paraId="2615B58F" w14:textId="77777777" w:rsidR="00B93B70" w:rsidRPr="00DB0C40" w:rsidRDefault="00B93B70" w:rsidP="00B93B70">
      <w:pPr>
        <w:numPr>
          <w:ilvl w:val="2"/>
          <w:numId w:val="9"/>
        </w:numPr>
        <w:spacing w:after="160" w:line="259" w:lineRule="auto"/>
        <w:contextualSpacing/>
        <w:rPr>
          <w:rFonts w:asciiTheme="minorHAnsi" w:eastAsiaTheme="minorHAnsi" w:hAnsiTheme="minorHAnsi" w:cstheme="minorBidi"/>
          <w:sz w:val="22"/>
          <w:szCs w:val="22"/>
        </w:rPr>
      </w:pPr>
      <w:r w:rsidRPr="00DB0C40">
        <w:rPr>
          <w:rFonts w:asciiTheme="minorHAnsi" w:eastAsiaTheme="minorHAnsi" w:hAnsiTheme="minorHAnsi" w:cstheme="minorBidi"/>
          <w:sz w:val="22"/>
          <w:szCs w:val="22"/>
        </w:rPr>
        <w:t>Information from ISKUR and Social Security Institutions</w:t>
      </w:r>
    </w:p>
    <w:p w14:paraId="04ACEC61" w14:textId="77777777" w:rsidR="00B93B70" w:rsidRPr="00DB0C40" w:rsidRDefault="00B93B70" w:rsidP="00B93B70">
      <w:pPr>
        <w:spacing w:after="160" w:line="259" w:lineRule="auto"/>
        <w:ind w:left="1800"/>
        <w:contextualSpacing/>
        <w:rPr>
          <w:rFonts w:asciiTheme="minorHAnsi" w:eastAsiaTheme="minorHAnsi" w:hAnsiTheme="minorHAnsi" w:cstheme="minorBidi"/>
          <w:sz w:val="22"/>
          <w:szCs w:val="22"/>
          <w:highlight w:val="yellow"/>
        </w:rPr>
      </w:pPr>
    </w:p>
    <w:p w14:paraId="78F4FABC" w14:textId="77777777" w:rsidR="00B93B70" w:rsidRPr="00DB0C40" w:rsidRDefault="00B93B70" w:rsidP="00B93B70">
      <w:pPr>
        <w:numPr>
          <w:ilvl w:val="0"/>
          <w:numId w:val="9"/>
        </w:numPr>
        <w:spacing w:after="160" w:line="259" w:lineRule="auto"/>
        <w:contextualSpacing/>
        <w:rPr>
          <w:rFonts w:asciiTheme="minorHAnsi" w:eastAsiaTheme="minorHAnsi" w:hAnsiTheme="minorHAnsi" w:cstheme="minorBidi"/>
          <w:sz w:val="22"/>
          <w:szCs w:val="22"/>
        </w:rPr>
      </w:pPr>
      <w:r w:rsidRPr="00DB0C40">
        <w:rPr>
          <w:rFonts w:asciiTheme="minorHAnsi" w:eastAsiaTheme="minorHAnsi" w:hAnsiTheme="minorHAnsi" w:cstheme="minorBidi"/>
          <w:sz w:val="22"/>
          <w:szCs w:val="22"/>
        </w:rPr>
        <w:t xml:space="preserve"> Methodology And Data Of The Field Study</w:t>
      </w:r>
    </w:p>
    <w:p w14:paraId="6943F2A9" w14:textId="77777777" w:rsidR="00B93B70" w:rsidRPr="00DB0C40" w:rsidRDefault="00B93B70" w:rsidP="00B93B70">
      <w:pPr>
        <w:numPr>
          <w:ilvl w:val="1"/>
          <w:numId w:val="9"/>
        </w:numPr>
        <w:spacing w:after="160" w:line="259" w:lineRule="auto"/>
        <w:contextualSpacing/>
        <w:rPr>
          <w:rFonts w:asciiTheme="minorHAnsi" w:eastAsiaTheme="minorHAnsi" w:hAnsiTheme="minorHAnsi" w:cstheme="minorBidi"/>
          <w:bCs/>
          <w:sz w:val="22"/>
          <w:szCs w:val="22"/>
        </w:rPr>
      </w:pPr>
      <w:r w:rsidRPr="00DB0C40">
        <w:rPr>
          <w:rFonts w:asciiTheme="minorHAnsi" w:eastAsiaTheme="minorHAnsi" w:hAnsiTheme="minorHAnsi" w:cstheme="minorBidi"/>
          <w:bCs/>
          <w:sz w:val="22"/>
          <w:szCs w:val="22"/>
        </w:rPr>
        <w:t>Steps for the Preparation of the Recommendation Report on Impact Assessment</w:t>
      </w:r>
    </w:p>
    <w:p w14:paraId="6EC11AAD" w14:textId="77777777" w:rsidR="00B93B70" w:rsidRPr="00DB0C40" w:rsidRDefault="00B93B70" w:rsidP="00B93B70">
      <w:pPr>
        <w:numPr>
          <w:ilvl w:val="1"/>
          <w:numId w:val="9"/>
        </w:numPr>
        <w:spacing w:after="160" w:line="259" w:lineRule="auto"/>
        <w:contextualSpacing/>
        <w:rPr>
          <w:rFonts w:asciiTheme="minorHAnsi" w:eastAsiaTheme="minorHAnsi" w:hAnsiTheme="minorHAnsi" w:cstheme="minorBidi"/>
          <w:bCs/>
          <w:sz w:val="22"/>
          <w:szCs w:val="22"/>
        </w:rPr>
      </w:pPr>
      <w:r w:rsidRPr="00DB0C40">
        <w:rPr>
          <w:rFonts w:asciiTheme="minorHAnsi" w:eastAsiaTheme="minorHAnsi" w:hAnsiTheme="minorHAnsi" w:cstheme="minorBidi"/>
          <w:bCs/>
          <w:sz w:val="22"/>
          <w:szCs w:val="22"/>
        </w:rPr>
        <w:t>Qualitative Assessment by Stakeholders</w:t>
      </w:r>
    </w:p>
    <w:p w14:paraId="01296486" w14:textId="77777777" w:rsidR="00B93B70" w:rsidRPr="00DB0C40" w:rsidRDefault="00B93B70" w:rsidP="00B93B70">
      <w:pPr>
        <w:numPr>
          <w:ilvl w:val="1"/>
          <w:numId w:val="9"/>
        </w:numPr>
        <w:spacing w:after="160" w:line="259" w:lineRule="auto"/>
        <w:contextualSpacing/>
        <w:rPr>
          <w:rFonts w:asciiTheme="minorHAnsi" w:eastAsiaTheme="minorHAnsi" w:hAnsiTheme="minorHAnsi" w:cstheme="minorBidi"/>
          <w:bCs/>
          <w:sz w:val="22"/>
          <w:szCs w:val="22"/>
        </w:rPr>
      </w:pPr>
      <w:r w:rsidRPr="00DB0C40">
        <w:rPr>
          <w:rFonts w:asciiTheme="minorHAnsi" w:eastAsiaTheme="minorHAnsi" w:hAnsiTheme="minorHAnsi" w:cstheme="minorBidi"/>
          <w:bCs/>
          <w:sz w:val="22"/>
          <w:szCs w:val="22"/>
        </w:rPr>
        <w:t>Results of the Pre-Study Workshop</w:t>
      </w:r>
    </w:p>
    <w:p w14:paraId="2C021DF5" w14:textId="77777777" w:rsidR="00B93B70" w:rsidRPr="00DB0C40" w:rsidRDefault="00B93B70" w:rsidP="00B93B70">
      <w:pPr>
        <w:numPr>
          <w:ilvl w:val="0"/>
          <w:numId w:val="9"/>
        </w:numPr>
        <w:spacing w:after="160" w:line="259" w:lineRule="auto"/>
        <w:rPr>
          <w:rFonts w:asciiTheme="minorHAnsi" w:eastAsiaTheme="minorHAnsi" w:hAnsiTheme="minorHAnsi" w:cstheme="minorBidi"/>
          <w:bCs/>
          <w:sz w:val="22"/>
          <w:szCs w:val="22"/>
        </w:rPr>
      </w:pPr>
      <w:r w:rsidRPr="00DB0C40">
        <w:rPr>
          <w:rFonts w:asciiTheme="minorHAnsi" w:eastAsiaTheme="minorHAnsi" w:hAnsiTheme="minorHAnsi" w:cstheme="minorBidi"/>
          <w:sz w:val="22"/>
          <w:szCs w:val="22"/>
        </w:rPr>
        <w:t xml:space="preserve"> </w:t>
      </w:r>
      <w:r w:rsidRPr="00DB0C40">
        <w:rPr>
          <w:rFonts w:asciiTheme="minorHAnsi" w:eastAsiaTheme="minorHAnsi" w:hAnsiTheme="minorHAnsi" w:cstheme="minorBidi"/>
          <w:bCs/>
          <w:sz w:val="22"/>
          <w:szCs w:val="22"/>
        </w:rPr>
        <w:t>Quantitative Information Derived From a Major Field Study</w:t>
      </w:r>
    </w:p>
    <w:p w14:paraId="6843F919" w14:textId="77777777" w:rsidR="00B93B70" w:rsidRPr="00DB0C40" w:rsidRDefault="00B93B70" w:rsidP="00B93B70">
      <w:pPr>
        <w:numPr>
          <w:ilvl w:val="1"/>
          <w:numId w:val="9"/>
        </w:numPr>
        <w:spacing w:after="160" w:line="259" w:lineRule="auto"/>
        <w:contextualSpacing/>
        <w:rPr>
          <w:rFonts w:asciiTheme="minorHAnsi" w:eastAsiaTheme="minorHAnsi" w:hAnsiTheme="minorHAnsi" w:cstheme="minorBidi"/>
          <w:bCs/>
          <w:sz w:val="22"/>
          <w:szCs w:val="22"/>
        </w:rPr>
      </w:pPr>
      <w:r w:rsidRPr="00DB0C40">
        <w:rPr>
          <w:rFonts w:asciiTheme="minorHAnsi" w:eastAsiaTheme="minorHAnsi" w:hAnsiTheme="minorHAnsi" w:cstheme="minorBidi"/>
          <w:bCs/>
          <w:sz w:val="22"/>
          <w:szCs w:val="22"/>
        </w:rPr>
        <w:lastRenderedPageBreak/>
        <w:t>Design of the Field Study</w:t>
      </w:r>
    </w:p>
    <w:p w14:paraId="12B82929" w14:textId="77777777" w:rsidR="00B93B70" w:rsidRPr="00DB0C40" w:rsidRDefault="00B93B70" w:rsidP="00B93B70">
      <w:pPr>
        <w:numPr>
          <w:ilvl w:val="1"/>
          <w:numId w:val="9"/>
        </w:numPr>
        <w:spacing w:after="160" w:line="259" w:lineRule="auto"/>
        <w:contextualSpacing/>
        <w:rPr>
          <w:rFonts w:asciiTheme="minorHAnsi" w:eastAsiaTheme="minorHAnsi" w:hAnsiTheme="minorHAnsi" w:cstheme="minorBidi"/>
          <w:bCs/>
          <w:sz w:val="22"/>
          <w:szCs w:val="22"/>
        </w:rPr>
      </w:pPr>
      <w:r w:rsidRPr="00DB0C40">
        <w:rPr>
          <w:rFonts w:asciiTheme="minorHAnsi" w:eastAsiaTheme="minorHAnsi" w:hAnsiTheme="minorHAnsi" w:cstheme="minorBidi"/>
          <w:bCs/>
          <w:sz w:val="22"/>
          <w:szCs w:val="22"/>
        </w:rPr>
        <w:t>Results of the Field Study</w:t>
      </w:r>
    </w:p>
    <w:p w14:paraId="3E0FC96F" w14:textId="77777777" w:rsidR="00B93B70" w:rsidRPr="00DB0C40" w:rsidRDefault="00B93B70" w:rsidP="00B93B70">
      <w:pPr>
        <w:numPr>
          <w:ilvl w:val="2"/>
          <w:numId w:val="9"/>
        </w:numPr>
        <w:spacing w:after="160" w:line="259" w:lineRule="auto"/>
        <w:contextualSpacing/>
        <w:rPr>
          <w:rFonts w:asciiTheme="minorHAnsi" w:eastAsiaTheme="minorHAnsi" w:hAnsiTheme="minorHAnsi" w:cstheme="minorBidi"/>
          <w:bCs/>
          <w:sz w:val="22"/>
          <w:szCs w:val="22"/>
        </w:rPr>
      </w:pPr>
      <w:r w:rsidRPr="00DB0C40">
        <w:rPr>
          <w:rFonts w:asciiTheme="minorHAnsi" w:eastAsiaTheme="minorHAnsi" w:hAnsiTheme="minorHAnsi" w:cstheme="minorBidi"/>
          <w:bCs/>
          <w:sz w:val="22"/>
          <w:szCs w:val="22"/>
        </w:rPr>
        <w:t>Results from Employee Participants</w:t>
      </w:r>
    </w:p>
    <w:p w14:paraId="7EAF825C" w14:textId="77777777" w:rsidR="00B93B70" w:rsidRPr="00DB0C40" w:rsidRDefault="00B93B70" w:rsidP="00B93B70">
      <w:pPr>
        <w:numPr>
          <w:ilvl w:val="3"/>
          <w:numId w:val="9"/>
        </w:numPr>
        <w:spacing w:after="160" w:line="259" w:lineRule="auto"/>
        <w:contextualSpacing/>
        <w:rPr>
          <w:rFonts w:asciiTheme="minorHAnsi" w:eastAsiaTheme="minorHAnsi" w:hAnsiTheme="minorHAnsi" w:cstheme="minorBidi"/>
          <w:bCs/>
          <w:sz w:val="22"/>
          <w:szCs w:val="22"/>
        </w:rPr>
      </w:pPr>
      <w:r w:rsidRPr="00DB0C40">
        <w:rPr>
          <w:rFonts w:asciiTheme="minorHAnsi" w:eastAsiaTheme="minorHAnsi" w:hAnsiTheme="minorHAnsi" w:cstheme="minorBidi"/>
          <w:bCs/>
          <w:sz w:val="22"/>
          <w:szCs w:val="22"/>
        </w:rPr>
        <w:t>Demographic profile of Employee Participants</w:t>
      </w:r>
    </w:p>
    <w:p w14:paraId="2E28F7DD" w14:textId="77777777" w:rsidR="00B93B70" w:rsidRPr="00DB0C40" w:rsidRDefault="00B93B70" w:rsidP="00B93B70">
      <w:pPr>
        <w:numPr>
          <w:ilvl w:val="3"/>
          <w:numId w:val="9"/>
        </w:numPr>
        <w:spacing w:after="160" w:line="259" w:lineRule="auto"/>
        <w:contextualSpacing/>
        <w:rPr>
          <w:rFonts w:asciiTheme="minorHAnsi" w:eastAsiaTheme="minorHAnsi" w:hAnsiTheme="minorHAnsi" w:cstheme="minorBidi"/>
          <w:bCs/>
          <w:sz w:val="22"/>
          <w:szCs w:val="22"/>
        </w:rPr>
      </w:pPr>
      <w:r w:rsidRPr="00DB0C40">
        <w:rPr>
          <w:rFonts w:asciiTheme="minorHAnsi" w:eastAsiaTheme="minorHAnsi" w:hAnsiTheme="minorHAnsi" w:cstheme="minorBidi"/>
          <w:bCs/>
          <w:sz w:val="22"/>
          <w:szCs w:val="22"/>
        </w:rPr>
        <w:t xml:space="preserve">Implementation of the Law and Level of Satisfaction   </w:t>
      </w:r>
    </w:p>
    <w:p w14:paraId="74B9973F" w14:textId="77777777" w:rsidR="00B93B70" w:rsidRPr="00DB0C40" w:rsidRDefault="00B93B70" w:rsidP="00B93B70">
      <w:pPr>
        <w:numPr>
          <w:ilvl w:val="2"/>
          <w:numId w:val="9"/>
        </w:numPr>
        <w:spacing w:after="160" w:line="259" w:lineRule="auto"/>
        <w:contextualSpacing/>
        <w:rPr>
          <w:rFonts w:asciiTheme="minorHAnsi" w:eastAsiaTheme="minorHAnsi" w:hAnsiTheme="minorHAnsi" w:cstheme="minorBidi"/>
          <w:bCs/>
          <w:sz w:val="22"/>
          <w:szCs w:val="22"/>
        </w:rPr>
      </w:pPr>
      <w:r w:rsidRPr="00DB0C40">
        <w:rPr>
          <w:rFonts w:asciiTheme="minorHAnsi" w:eastAsiaTheme="minorHAnsi" w:hAnsiTheme="minorHAnsi" w:cstheme="minorBidi"/>
          <w:bCs/>
          <w:sz w:val="22"/>
          <w:szCs w:val="22"/>
        </w:rPr>
        <w:t>Results from Employer Participants</w:t>
      </w:r>
    </w:p>
    <w:p w14:paraId="0EEC5469" w14:textId="77777777" w:rsidR="00B93B70" w:rsidRPr="00DB0C40" w:rsidRDefault="00B93B70" w:rsidP="00B93B70">
      <w:pPr>
        <w:numPr>
          <w:ilvl w:val="3"/>
          <w:numId w:val="9"/>
        </w:numPr>
        <w:spacing w:after="160" w:line="259" w:lineRule="auto"/>
        <w:contextualSpacing/>
        <w:rPr>
          <w:rFonts w:asciiTheme="minorHAnsi" w:eastAsiaTheme="minorHAnsi" w:hAnsiTheme="minorHAnsi" w:cstheme="minorBidi"/>
          <w:bCs/>
          <w:sz w:val="22"/>
          <w:szCs w:val="22"/>
        </w:rPr>
      </w:pPr>
      <w:r w:rsidRPr="00DB0C40">
        <w:rPr>
          <w:rFonts w:asciiTheme="minorHAnsi" w:eastAsiaTheme="minorHAnsi" w:hAnsiTheme="minorHAnsi" w:cstheme="minorBidi"/>
          <w:bCs/>
          <w:sz w:val="22"/>
          <w:szCs w:val="22"/>
        </w:rPr>
        <w:t>Demographic Profile of the Employers</w:t>
      </w:r>
    </w:p>
    <w:p w14:paraId="1B6EF1D3" w14:textId="77777777" w:rsidR="00B93B70" w:rsidRPr="00DB0C40" w:rsidRDefault="00B93B70" w:rsidP="00B93B70">
      <w:pPr>
        <w:numPr>
          <w:ilvl w:val="3"/>
          <w:numId w:val="9"/>
        </w:numPr>
        <w:spacing w:after="160" w:line="259" w:lineRule="auto"/>
        <w:contextualSpacing/>
        <w:rPr>
          <w:rFonts w:asciiTheme="minorHAnsi" w:eastAsiaTheme="minorHAnsi" w:hAnsiTheme="minorHAnsi" w:cstheme="minorBidi"/>
          <w:bCs/>
          <w:sz w:val="22"/>
          <w:szCs w:val="22"/>
        </w:rPr>
      </w:pPr>
      <w:r w:rsidRPr="00DB0C40">
        <w:rPr>
          <w:rFonts w:asciiTheme="minorHAnsi" w:eastAsiaTheme="minorHAnsi" w:hAnsiTheme="minorHAnsi" w:cstheme="minorBidi"/>
          <w:bCs/>
          <w:sz w:val="22"/>
          <w:szCs w:val="22"/>
        </w:rPr>
        <w:t xml:space="preserve">Implementation of the Law and Level of Satisfaction   </w:t>
      </w:r>
    </w:p>
    <w:p w14:paraId="0A3FEF8A" w14:textId="77777777" w:rsidR="00B93B70" w:rsidRPr="00DB0C40" w:rsidRDefault="00B93B70" w:rsidP="00B93B70">
      <w:pPr>
        <w:numPr>
          <w:ilvl w:val="0"/>
          <w:numId w:val="9"/>
        </w:numPr>
        <w:spacing w:after="160" w:line="259" w:lineRule="auto"/>
        <w:rPr>
          <w:rFonts w:asciiTheme="minorHAnsi" w:eastAsiaTheme="minorHAnsi" w:hAnsiTheme="minorHAnsi" w:cstheme="minorBidi"/>
          <w:sz w:val="22"/>
          <w:szCs w:val="22"/>
        </w:rPr>
      </w:pPr>
      <w:r w:rsidRPr="00DB0C40">
        <w:rPr>
          <w:rFonts w:asciiTheme="minorHAnsi" w:eastAsiaTheme="minorHAnsi" w:hAnsiTheme="minorHAnsi" w:cstheme="minorBidi"/>
          <w:sz w:val="22"/>
          <w:szCs w:val="22"/>
        </w:rPr>
        <w:t>Policy Recommendations And Suggestions To Enhance Relevant Regulations And To Draft New Policies</w:t>
      </w:r>
    </w:p>
    <w:p w14:paraId="51D54A56" w14:textId="77777777" w:rsidR="00B93B70" w:rsidRPr="00DB0C40" w:rsidRDefault="00B93B70" w:rsidP="00B93B70">
      <w:pPr>
        <w:numPr>
          <w:ilvl w:val="1"/>
          <w:numId w:val="9"/>
        </w:numPr>
        <w:spacing w:after="160" w:line="259" w:lineRule="auto"/>
        <w:contextualSpacing/>
        <w:rPr>
          <w:rFonts w:asciiTheme="minorHAnsi" w:eastAsiaTheme="minorHAnsi" w:hAnsiTheme="minorHAnsi" w:cstheme="minorBidi"/>
          <w:sz w:val="22"/>
          <w:szCs w:val="22"/>
        </w:rPr>
      </w:pPr>
      <w:r w:rsidRPr="00DB0C40">
        <w:rPr>
          <w:rFonts w:asciiTheme="minorHAnsi" w:eastAsiaTheme="minorHAnsi" w:hAnsiTheme="minorHAnsi" w:cstheme="minorBidi"/>
          <w:sz w:val="22"/>
          <w:szCs w:val="22"/>
        </w:rPr>
        <w:t>Legislation that Promotes More Gender Equality and Avoids Enforcing the Stereotype that Women should have the Main Responsibility for Family Care</w:t>
      </w:r>
    </w:p>
    <w:p w14:paraId="7E91B0D6" w14:textId="77777777" w:rsidR="00B93B70" w:rsidRPr="00DB0C40" w:rsidRDefault="00B93B70" w:rsidP="00B93B70">
      <w:pPr>
        <w:numPr>
          <w:ilvl w:val="1"/>
          <w:numId w:val="9"/>
        </w:numPr>
        <w:spacing w:after="160" w:line="259" w:lineRule="auto"/>
        <w:contextualSpacing/>
        <w:rPr>
          <w:rFonts w:asciiTheme="minorHAnsi" w:eastAsiaTheme="minorHAnsi" w:hAnsiTheme="minorHAnsi" w:cstheme="minorBidi"/>
          <w:sz w:val="22"/>
          <w:szCs w:val="22"/>
        </w:rPr>
      </w:pPr>
      <w:r w:rsidRPr="00DB0C40">
        <w:rPr>
          <w:rFonts w:asciiTheme="minorHAnsi" w:eastAsiaTheme="minorHAnsi" w:hAnsiTheme="minorHAnsi" w:cstheme="minorBidi"/>
          <w:sz w:val="22"/>
          <w:szCs w:val="22"/>
        </w:rPr>
        <w:t>Suggested Improvements in the Existing Labour Law</w:t>
      </w:r>
    </w:p>
    <w:p w14:paraId="3639FBA7" w14:textId="77777777" w:rsidR="00B93B70" w:rsidRPr="00DB0C40" w:rsidRDefault="00B93B70" w:rsidP="00B93B70">
      <w:pPr>
        <w:numPr>
          <w:ilvl w:val="2"/>
          <w:numId w:val="9"/>
        </w:numPr>
        <w:spacing w:after="160" w:line="259" w:lineRule="auto"/>
        <w:contextualSpacing/>
        <w:rPr>
          <w:rFonts w:asciiTheme="minorHAnsi" w:eastAsiaTheme="minorHAnsi" w:hAnsiTheme="minorHAnsi" w:cstheme="minorBidi"/>
          <w:sz w:val="22"/>
          <w:szCs w:val="22"/>
        </w:rPr>
      </w:pPr>
      <w:r w:rsidRPr="00DB0C40">
        <w:rPr>
          <w:rFonts w:asciiTheme="minorHAnsi" w:eastAsiaTheme="minorHAnsi" w:hAnsiTheme="minorHAnsi" w:cstheme="minorBidi"/>
          <w:sz w:val="22"/>
          <w:szCs w:val="22"/>
        </w:rPr>
        <w:t>Paid and Unpaid Maternity Leave</w:t>
      </w:r>
    </w:p>
    <w:p w14:paraId="6977FD86" w14:textId="77777777" w:rsidR="00B93B70" w:rsidRPr="00DB0C40" w:rsidRDefault="00B93B70" w:rsidP="00B93B70">
      <w:pPr>
        <w:numPr>
          <w:ilvl w:val="2"/>
          <w:numId w:val="9"/>
        </w:numPr>
        <w:spacing w:after="160" w:line="259" w:lineRule="auto"/>
        <w:contextualSpacing/>
        <w:rPr>
          <w:rFonts w:asciiTheme="minorHAnsi" w:eastAsiaTheme="minorHAnsi" w:hAnsiTheme="minorHAnsi" w:cstheme="minorBidi"/>
          <w:sz w:val="22"/>
          <w:szCs w:val="22"/>
        </w:rPr>
      </w:pPr>
      <w:r w:rsidRPr="00DB0C40">
        <w:rPr>
          <w:rFonts w:asciiTheme="minorHAnsi" w:eastAsiaTheme="minorHAnsi" w:hAnsiTheme="minorHAnsi" w:cstheme="minorBidi"/>
          <w:sz w:val="22"/>
          <w:szCs w:val="22"/>
        </w:rPr>
        <w:t>Nursery Requirement for Workplaces</w:t>
      </w:r>
    </w:p>
    <w:p w14:paraId="3B45DEF0" w14:textId="77777777" w:rsidR="00B93B70" w:rsidRPr="00DB0C40" w:rsidRDefault="00B93B70" w:rsidP="00B93B70">
      <w:pPr>
        <w:numPr>
          <w:ilvl w:val="2"/>
          <w:numId w:val="9"/>
        </w:numPr>
        <w:spacing w:after="160" w:line="259" w:lineRule="auto"/>
        <w:contextualSpacing/>
        <w:rPr>
          <w:rFonts w:asciiTheme="minorHAnsi" w:eastAsiaTheme="minorHAnsi" w:hAnsiTheme="minorHAnsi" w:cstheme="minorBidi"/>
          <w:sz w:val="22"/>
          <w:szCs w:val="22"/>
        </w:rPr>
      </w:pPr>
      <w:r w:rsidRPr="00DB0C40">
        <w:rPr>
          <w:rFonts w:asciiTheme="minorHAnsi" w:eastAsiaTheme="minorHAnsi" w:hAnsiTheme="minorHAnsi" w:cstheme="minorBidi"/>
          <w:sz w:val="22"/>
          <w:szCs w:val="22"/>
        </w:rPr>
        <w:t>Work after Maternity Leave</w:t>
      </w:r>
    </w:p>
    <w:p w14:paraId="02866E30" w14:textId="77777777" w:rsidR="00B93B70" w:rsidRPr="00DB0C40" w:rsidRDefault="00B93B70" w:rsidP="00B93B70">
      <w:pPr>
        <w:numPr>
          <w:ilvl w:val="2"/>
          <w:numId w:val="9"/>
        </w:numPr>
        <w:spacing w:after="160" w:line="259" w:lineRule="auto"/>
        <w:contextualSpacing/>
        <w:rPr>
          <w:rFonts w:asciiTheme="minorHAnsi" w:eastAsiaTheme="minorHAnsi" w:hAnsiTheme="minorHAnsi" w:cstheme="minorBidi"/>
          <w:sz w:val="22"/>
          <w:szCs w:val="22"/>
        </w:rPr>
      </w:pPr>
      <w:r w:rsidRPr="00DB0C40">
        <w:rPr>
          <w:rFonts w:asciiTheme="minorHAnsi" w:eastAsiaTheme="minorHAnsi" w:hAnsiTheme="minorHAnsi" w:cstheme="minorBidi"/>
          <w:sz w:val="22"/>
          <w:szCs w:val="22"/>
        </w:rPr>
        <w:t>Equal Pay</w:t>
      </w:r>
    </w:p>
    <w:p w14:paraId="7A3DE879" w14:textId="77777777" w:rsidR="00B93B70" w:rsidRPr="00DB0C40" w:rsidRDefault="00B93B70" w:rsidP="00B93B70">
      <w:pPr>
        <w:numPr>
          <w:ilvl w:val="2"/>
          <w:numId w:val="9"/>
        </w:numPr>
        <w:spacing w:after="160" w:line="259" w:lineRule="auto"/>
        <w:contextualSpacing/>
        <w:rPr>
          <w:rFonts w:asciiTheme="minorHAnsi" w:eastAsiaTheme="minorHAnsi" w:hAnsiTheme="minorHAnsi" w:cstheme="minorBidi"/>
          <w:bCs/>
          <w:sz w:val="22"/>
          <w:szCs w:val="22"/>
        </w:rPr>
      </w:pPr>
      <w:r w:rsidRPr="00DB0C40">
        <w:rPr>
          <w:rFonts w:asciiTheme="minorHAnsi" w:eastAsiaTheme="minorHAnsi" w:hAnsiTheme="minorHAnsi" w:cstheme="minorBidi"/>
          <w:bCs/>
          <w:sz w:val="22"/>
          <w:szCs w:val="22"/>
        </w:rPr>
        <w:t>Care Work Provisions</w:t>
      </w:r>
    </w:p>
    <w:p w14:paraId="340C5D46" w14:textId="77777777" w:rsidR="00B93B70" w:rsidRPr="00DB0C40" w:rsidRDefault="00B93B70" w:rsidP="00B93B70">
      <w:pPr>
        <w:numPr>
          <w:ilvl w:val="2"/>
          <w:numId w:val="9"/>
        </w:numPr>
        <w:spacing w:after="160" w:line="259" w:lineRule="auto"/>
        <w:contextualSpacing/>
        <w:rPr>
          <w:rFonts w:asciiTheme="minorHAnsi" w:eastAsiaTheme="minorHAnsi" w:hAnsiTheme="minorHAnsi" w:cstheme="minorBidi"/>
          <w:bCs/>
          <w:sz w:val="22"/>
          <w:szCs w:val="22"/>
        </w:rPr>
      </w:pPr>
      <w:r w:rsidRPr="00DB0C40">
        <w:rPr>
          <w:rFonts w:asciiTheme="minorHAnsi" w:eastAsiaTheme="minorHAnsi" w:hAnsiTheme="minorHAnsi" w:cstheme="minorBidi"/>
          <w:bCs/>
          <w:sz w:val="22"/>
          <w:szCs w:val="22"/>
        </w:rPr>
        <w:t>Care Incentives for Persons not Covered by the Existing Law</w:t>
      </w:r>
    </w:p>
    <w:p w14:paraId="596325D0" w14:textId="77777777" w:rsidR="00B93B70" w:rsidRPr="00DB0C40" w:rsidRDefault="00B93B70" w:rsidP="00B93B70">
      <w:pPr>
        <w:numPr>
          <w:ilvl w:val="2"/>
          <w:numId w:val="9"/>
        </w:numPr>
        <w:spacing w:after="160" w:line="259" w:lineRule="auto"/>
        <w:contextualSpacing/>
        <w:rPr>
          <w:rFonts w:asciiTheme="minorHAnsi" w:eastAsiaTheme="minorHAnsi" w:hAnsiTheme="minorHAnsi" w:cstheme="minorBidi"/>
          <w:bCs/>
          <w:sz w:val="22"/>
          <w:szCs w:val="22"/>
        </w:rPr>
      </w:pPr>
      <w:r w:rsidRPr="00DB0C40">
        <w:rPr>
          <w:rFonts w:asciiTheme="minorHAnsi" w:eastAsiaTheme="minorHAnsi" w:hAnsiTheme="minorHAnsi" w:cstheme="minorBidi"/>
          <w:bCs/>
          <w:sz w:val="22"/>
          <w:szCs w:val="22"/>
        </w:rPr>
        <w:t>Government Support to the Employment of Victims of Domestic Violence</w:t>
      </w:r>
    </w:p>
    <w:p w14:paraId="4BAE7F2B" w14:textId="77777777" w:rsidR="00B93B70" w:rsidRPr="00DB0C40" w:rsidRDefault="00B93B70" w:rsidP="00B93B70">
      <w:pPr>
        <w:numPr>
          <w:ilvl w:val="2"/>
          <w:numId w:val="9"/>
        </w:numPr>
        <w:spacing w:after="160" w:line="259" w:lineRule="auto"/>
        <w:contextualSpacing/>
        <w:rPr>
          <w:rFonts w:asciiTheme="minorHAnsi" w:eastAsiaTheme="minorHAnsi" w:hAnsiTheme="minorHAnsi" w:cstheme="minorBidi"/>
          <w:bCs/>
          <w:sz w:val="22"/>
          <w:szCs w:val="22"/>
        </w:rPr>
      </w:pPr>
      <w:r w:rsidRPr="00DB0C40">
        <w:rPr>
          <w:rFonts w:asciiTheme="minorHAnsi" w:eastAsiaTheme="minorHAnsi" w:hAnsiTheme="minorHAnsi" w:cstheme="minorBidi"/>
          <w:bCs/>
          <w:sz w:val="22"/>
          <w:szCs w:val="22"/>
        </w:rPr>
        <w:t>Other Recommendations</w:t>
      </w:r>
    </w:p>
    <w:p w14:paraId="00516FF7" w14:textId="77777777" w:rsidR="00B93B70" w:rsidRPr="00DB0C40" w:rsidRDefault="00B93B70" w:rsidP="00B93B70">
      <w:pPr>
        <w:numPr>
          <w:ilvl w:val="1"/>
          <w:numId w:val="9"/>
        </w:numPr>
        <w:spacing w:after="160" w:line="259" w:lineRule="auto"/>
        <w:contextualSpacing/>
        <w:rPr>
          <w:rFonts w:asciiTheme="minorHAnsi" w:eastAsiaTheme="minorHAnsi" w:hAnsiTheme="minorHAnsi" w:cstheme="minorBidi"/>
          <w:bCs/>
          <w:sz w:val="22"/>
          <w:szCs w:val="22"/>
        </w:rPr>
      </w:pPr>
      <w:r w:rsidRPr="00DB0C40">
        <w:rPr>
          <w:rFonts w:asciiTheme="minorHAnsi" w:eastAsiaTheme="minorHAnsi" w:hAnsiTheme="minorHAnsi" w:cstheme="minorBidi"/>
          <w:bCs/>
          <w:sz w:val="22"/>
          <w:szCs w:val="22"/>
        </w:rPr>
        <w:t>Summation of Recommendations</w:t>
      </w:r>
    </w:p>
    <w:p w14:paraId="4F40F3F4" w14:textId="77777777" w:rsidR="00B93B70" w:rsidRPr="00DB0C40" w:rsidRDefault="00B93B70" w:rsidP="00B93B70">
      <w:pPr>
        <w:numPr>
          <w:ilvl w:val="0"/>
          <w:numId w:val="9"/>
        </w:numPr>
        <w:spacing w:after="160" w:line="259" w:lineRule="auto"/>
        <w:contextualSpacing/>
        <w:rPr>
          <w:rFonts w:asciiTheme="minorHAnsi" w:eastAsiaTheme="minorHAnsi" w:hAnsiTheme="minorHAnsi" w:cstheme="minorBidi"/>
          <w:bCs/>
          <w:sz w:val="22"/>
          <w:szCs w:val="22"/>
        </w:rPr>
      </w:pPr>
      <w:r w:rsidRPr="00DB0C40">
        <w:rPr>
          <w:rFonts w:asciiTheme="minorHAnsi" w:eastAsiaTheme="minorHAnsi" w:hAnsiTheme="minorHAnsi" w:cstheme="minorBidi"/>
          <w:bCs/>
          <w:sz w:val="22"/>
          <w:szCs w:val="22"/>
        </w:rPr>
        <w:t>Conclusions</w:t>
      </w:r>
    </w:p>
    <w:p w14:paraId="09DBAB57" w14:textId="77777777" w:rsidR="00B93B70" w:rsidRPr="00DB0C40" w:rsidRDefault="00B93B70" w:rsidP="00B93B70">
      <w:pPr>
        <w:spacing w:after="160" w:line="259" w:lineRule="auto"/>
        <w:ind w:left="360"/>
        <w:contextualSpacing/>
        <w:rPr>
          <w:rFonts w:asciiTheme="minorHAnsi" w:eastAsiaTheme="minorHAnsi" w:hAnsiTheme="minorHAnsi" w:cstheme="minorBidi"/>
          <w:sz w:val="22"/>
          <w:szCs w:val="22"/>
        </w:rPr>
      </w:pPr>
    </w:p>
    <w:p w14:paraId="59E31C81" w14:textId="2BE6EBC0" w:rsidR="00B93B70" w:rsidRPr="00DB0C40" w:rsidRDefault="00B93B70">
      <w:r w:rsidRPr="00DB0C40">
        <w:br w:type="page"/>
      </w:r>
    </w:p>
    <w:p w14:paraId="01A65E48" w14:textId="20366B2D" w:rsidR="00B93B70" w:rsidRPr="00DB0C40" w:rsidRDefault="00DB0C40" w:rsidP="00B93B70">
      <w:pPr>
        <w:spacing w:after="160" w:line="259" w:lineRule="auto"/>
        <w:jc w:val="both"/>
        <w:rPr>
          <w:rFonts w:asciiTheme="minorHAnsi" w:eastAsiaTheme="minorHAnsi" w:hAnsiTheme="minorHAnsi" w:cstheme="minorBidi"/>
          <w:b/>
          <w:sz w:val="22"/>
          <w:szCs w:val="22"/>
        </w:rPr>
      </w:pPr>
      <w:r w:rsidRPr="00DB0C40">
        <w:rPr>
          <w:rFonts w:asciiTheme="minorHAnsi" w:eastAsiaTheme="minorHAnsi" w:hAnsiTheme="minorHAnsi" w:cstheme="minorBidi"/>
          <w:b/>
          <w:sz w:val="22"/>
          <w:szCs w:val="22"/>
        </w:rPr>
        <w:lastRenderedPageBreak/>
        <w:t xml:space="preserve">List of </w:t>
      </w:r>
      <w:r w:rsidR="00B93B70" w:rsidRPr="00DB0C40">
        <w:rPr>
          <w:rFonts w:asciiTheme="minorHAnsi" w:eastAsiaTheme="minorHAnsi" w:hAnsiTheme="minorHAnsi" w:cstheme="minorBidi"/>
          <w:b/>
          <w:sz w:val="22"/>
          <w:szCs w:val="22"/>
        </w:rPr>
        <w:t xml:space="preserve">Tables </w:t>
      </w:r>
    </w:p>
    <w:p w14:paraId="3DF44552" w14:textId="7B297CD1" w:rsidR="00B93B70" w:rsidRPr="00DB0C40" w:rsidRDefault="00B93B70" w:rsidP="00DB0C40">
      <w:pPr>
        <w:spacing w:after="160"/>
        <w:jc w:val="both"/>
        <w:rPr>
          <w:rFonts w:asciiTheme="minorHAnsi" w:eastAsiaTheme="minorHAnsi" w:hAnsiTheme="minorHAnsi" w:cstheme="minorBidi"/>
          <w:bCs/>
          <w:sz w:val="22"/>
          <w:szCs w:val="22"/>
        </w:rPr>
      </w:pPr>
      <w:r w:rsidRPr="00DB0C40">
        <w:rPr>
          <w:rFonts w:asciiTheme="minorHAnsi" w:eastAsiaTheme="minorHAnsi" w:hAnsiTheme="minorHAnsi" w:cstheme="minorBidi"/>
          <w:bCs/>
          <w:sz w:val="22"/>
          <w:szCs w:val="22"/>
        </w:rPr>
        <w:t xml:space="preserve">Table 1. Policy responses to the COVID-19 pandemic in support of workers with care responsibilities in G7 and selected EU countries </w:t>
      </w:r>
    </w:p>
    <w:p w14:paraId="5F143048" w14:textId="77777777" w:rsidR="00B93B70" w:rsidRPr="00DB0C40" w:rsidRDefault="00B93B70" w:rsidP="00DB0C40">
      <w:pPr>
        <w:spacing w:after="160"/>
        <w:jc w:val="both"/>
        <w:rPr>
          <w:rFonts w:asciiTheme="minorHAnsi" w:eastAsiaTheme="minorHAnsi" w:hAnsiTheme="minorHAnsi" w:cstheme="minorBidi"/>
          <w:bCs/>
          <w:sz w:val="22"/>
          <w:szCs w:val="22"/>
        </w:rPr>
      </w:pPr>
      <w:r w:rsidRPr="00DB0C40">
        <w:rPr>
          <w:rFonts w:asciiTheme="minorHAnsi" w:eastAsiaTheme="minorHAnsi" w:hAnsiTheme="minorHAnsi" w:cstheme="minorBidi"/>
          <w:bCs/>
          <w:sz w:val="22"/>
          <w:szCs w:val="22"/>
        </w:rPr>
        <w:t>Table 2. Laws and Regulations in Turkiye</w:t>
      </w:r>
    </w:p>
    <w:p w14:paraId="248D1DAA" w14:textId="346EF18C" w:rsidR="00B93B70" w:rsidRPr="00DB0C40" w:rsidRDefault="00B93B70" w:rsidP="00DB0C40">
      <w:pPr>
        <w:spacing w:after="160"/>
        <w:jc w:val="both"/>
        <w:rPr>
          <w:rFonts w:asciiTheme="minorHAnsi" w:eastAsiaTheme="minorHAnsi" w:hAnsiTheme="minorHAnsi" w:cstheme="minorBidi"/>
          <w:bCs/>
          <w:sz w:val="22"/>
          <w:szCs w:val="22"/>
        </w:rPr>
      </w:pPr>
      <w:r w:rsidRPr="00DB0C40">
        <w:rPr>
          <w:rFonts w:asciiTheme="minorHAnsi" w:eastAsiaTheme="minorHAnsi" w:hAnsiTheme="minorHAnsi" w:cstheme="minorBidi"/>
          <w:bCs/>
          <w:sz w:val="22"/>
          <w:szCs w:val="22"/>
        </w:rPr>
        <w:t>Table 3. Law Sources used for The Women Business and the Law Reports in Turkiye</w:t>
      </w:r>
    </w:p>
    <w:p w14:paraId="54B7BEA0" w14:textId="77777777" w:rsidR="00B93B70" w:rsidRPr="00DB0C40" w:rsidRDefault="00B93B70" w:rsidP="00DB0C40">
      <w:pPr>
        <w:spacing w:after="160"/>
        <w:jc w:val="both"/>
        <w:rPr>
          <w:rFonts w:asciiTheme="minorHAnsi" w:eastAsiaTheme="minorHAnsi" w:hAnsiTheme="minorHAnsi" w:cstheme="minorBidi"/>
          <w:bCs/>
          <w:sz w:val="22"/>
          <w:szCs w:val="22"/>
        </w:rPr>
      </w:pPr>
      <w:r w:rsidRPr="00DB0C40">
        <w:rPr>
          <w:rFonts w:asciiTheme="minorHAnsi" w:eastAsiaTheme="minorHAnsi" w:hAnsiTheme="minorHAnsi" w:cstheme="minorBidi"/>
          <w:bCs/>
          <w:sz w:val="22"/>
          <w:szCs w:val="22"/>
        </w:rPr>
        <w:t xml:space="preserve">Table 4. Comparative data on employment </w:t>
      </w:r>
      <w:r w:rsidR="00EF4332" w:rsidRPr="00DB0C40">
        <w:rPr>
          <w:rFonts w:asciiTheme="minorHAnsi" w:eastAsiaTheme="minorHAnsi" w:hAnsiTheme="minorHAnsi" w:cstheme="minorBidi"/>
          <w:bCs/>
          <w:sz w:val="22"/>
          <w:szCs w:val="22"/>
        </w:rPr>
        <w:t>Türkiye</w:t>
      </w:r>
      <w:r w:rsidRPr="00DB0C40">
        <w:rPr>
          <w:rFonts w:asciiTheme="minorHAnsi" w:eastAsiaTheme="minorHAnsi" w:hAnsiTheme="minorHAnsi" w:cstheme="minorBidi"/>
          <w:bCs/>
          <w:sz w:val="22"/>
          <w:szCs w:val="22"/>
        </w:rPr>
        <w:t xml:space="preserve"> from 2015 to 2021</w:t>
      </w:r>
    </w:p>
    <w:p w14:paraId="2818DEFC" w14:textId="77777777" w:rsidR="00B93B70" w:rsidRPr="00DB0C40" w:rsidRDefault="00B93B70" w:rsidP="00DB0C40">
      <w:pPr>
        <w:spacing w:after="160"/>
        <w:jc w:val="both"/>
        <w:rPr>
          <w:rFonts w:asciiTheme="minorHAnsi" w:eastAsiaTheme="minorHAnsi" w:hAnsiTheme="minorHAnsi" w:cstheme="minorBidi"/>
          <w:bCs/>
          <w:sz w:val="22"/>
          <w:szCs w:val="22"/>
        </w:rPr>
      </w:pPr>
      <w:r w:rsidRPr="00DB0C40">
        <w:rPr>
          <w:rFonts w:asciiTheme="minorHAnsi" w:eastAsiaTheme="minorHAnsi" w:hAnsiTheme="minorHAnsi" w:cstheme="minorBidi"/>
          <w:bCs/>
          <w:sz w:val="22"/>
          <w:szCs w:val="22"/>
        </w:rPr>
        <w:t>Table 5.  Part – Time work in Türkiye (2016 – 2020)</w:t>
      </w:r>
    </w:p>
    <w:p w14:paraId="5D2F41BC" w14:textId="77777777" w:rsidR="00B93B70" w:rsidRPr="00DB0C40" w:rsidRDefault="00B93B70" w:rsidP="00DB0C40">
      <w:pPr>
        <w:spacing w:after="160"/>
        <w:jc w:val="both"/>
        <w:rPr>
          <w:rFonts w:asciiTheme="minorHAnsi" w:eastAsiaTheme="minorHAnsi" w:hAnsiTheme="minorHAnsi" w:cstheme="minorBidi"/>
          <w:bCs/>
          <w:sz w:val="22"/>
          <w:szCs w:val="22"/>
        </w:rPr>
      </w:pPr>
      <w:r w:rsidRPr="00DB0C40">
        <w:rPr>
          <w:rFonts w:asciiTheme="minorHAnsi" w:eastAsiaTheme="minorHAnsi" w:hAnsiTheme="minorHAnsi" w:cstheme="minorBidi"/>
          <w:bCs/>
          <w:sz w:val="22"/>
          <w:szCs w:val="22"/>
        </w:rPr>
        <w:t>Table 6. Distribution of Employment by Gender and Age Group in Türkiye (%)</w:t>
      </w:r>
    </w:p>
    <w:p w14:paraId="78F9C17B" w14:textId="77777777" w:rsidR="00B93B70" w:rsidRPr="00DB0C40" w:rsidRDefault="00B93B70" w:rsidP="00DB0C40">
      <w:pPr>
        <w:spacing w:after="160"/>
        <w:jc w:val="both"/>
        <w:rPr>
          <w:rFonts w:asciiTheme="minorHAnsi" w:eastAsiaTheme="minorHAnsi" w:hAnsiTheme="minorHAnsi" w:cstheme="minorBidi"/>
          <w:bCs/>
          <w:sz w:val="22"/>
          <w:szCs w:val="22"/>
        </w:rPr>
      </w:pPr>
      <w:r w:rsidRPr="00DB0C40">
        <w:rPr>
          <w:rFonts w:asciiTheme="minorHAnsi" w:eastAsiaTheme="minorHAnsi" w:hAnsiTheme="minorHAnsi" w:cstheme="minorBidi"/>
          <w:bCs/>
          <w:sz w:val="22"/>
          <w:szCs w:val="22"/>
        </w:rPr>
        <w:t>Table 7.  Social Indicators in Türkiye (2008 – 2020)</w:t>
      </w:r>
    </w:p>
    <w:p w14:paraId="20807303" w14:textId="77777777" w:rsidR="00B93B70" w:rsidRPr="00DB0C40" w:rsidRDefault="00B93B70" w:rsidP="00DB0C40">
      <w:pPr>
        <w:spacing w:after="160"/>
        <w:jc w:val="both"/>
        <w:rPr>
          <w:rFonts w:asciiTheme="minorHAnsi" w:eastAsiaTheme="minorHAnsi" w:hAnsiTheme="minorHAnsi" w:cstheme="minorBidi"/>
          <w:bCs/>
          <w:sz w:val="22"/>
          <w:szCs w:val="22"/>
        </w:rPr>
      </w:pPr>
      <w:r w:rsidRPr="00DB0C40">
        <w:rPr>
          <w:rFonts w:asciiTheme="minorHAnsi" w:eastAsiaTheme="minorHAnsi" w:hAnsiTheme="minorHAnsi" w:cstheme="minorBidi"/>
          <w:bCs/>
          <w:sz w:val="22"/>
          <w:szCs w:val="22"/>
        </w:rPr>
        <w:t>Table 8. Number of Face-To-Face interviews conducted by sector in each of the provinces  for the Field study</w:t>
      </w:r>
    </w:p>
    <w:p w14:paraId="7AC90025" w14:textId="77777777" w:rsidR="00B93B70" w:rsidRPr="00DB0C40" w:rsidRDefault="00B93B70" w:rsidP="00DB0C40">
      <w:pPr>
        <w:spacing w:after="160"/>
        <w:jc w:val="both"/>
        <w:rPr>
          <w:rFonts w:asciiTheme="minorHAnsi" w:eastAsiaTheme="minorHAnsi" w:hAnsiTheme="minorHAnsi" w:cstheme="minorBidi"/>
          <w:bCs/>
          <w:sz w:val="22"/>
          <w:szCs w:val="22"/>
        </w:rPr>
      </w:pPr>
      <w:r w:rsidRPr="00DB0C40">
        <w:rPr>
          <w:rFonts w:asciiTheme="minorHAnsi" w:eastAsiaTheme="minorHAnsi" w:hAnsiTheme="minorHAnsi" w:cstheme="minorBidi"/>
          <w:bCs/>
          <w:sz w:val="22"/>
          <w:szCs w:val="22"/>
        </w:rPr>
        <w:t>Table 9. Distribution of Respondents by Province (employees)</w:t>
      </w:r>
    </w:p>
    <w:p w14:paraId="0C178547" w14:textId="77777777" w:rsidR="00B93B70" w:rsidRPr="00DB0C40" w:rsidRDefault="00B93B70" w:rsidP="00DB0C40">
      <w:pPr>
        <w:spacing w:after="160"/>
        <w:jc w:val="both"/>
        <w:rPr>
          <w:rFonts w:asciiTheme="minorHAnsi" w:eastAsiaTheme="minorHAnsi" w:hAnsiTheme="minorHAnsi" w:cstheme="minorBidi"/>
          <w:bCs/>
          <w:sz w:val="22"/>
          <w:szCs w:val="22"/>
        </w:rPr>
      </w:pPr>
      <w:r w:rsidRPr="00DB0C40">
        <w:rPr>
          <w:rFonts w:asciiTheme="minorHAnsi" w:eastAsiaTheme="minorHAnsi" w:hAnsiTheme="minorHAnsi" w:cstheme="minorBidi"/>
          <w:bCs/>
          <w:sz w:val="22"/>
          <w:szCs w:val="22"/>
        </w:rPr>
        <w:t>Table 10. The Demographic structure of Respondents</w:t>
      </w:r>
    </w:p>
    <w:p w14:paraId="7D60B5C1" w14:textId="3B1FA3EF" w:rsidR="00B93B70" w:rsidRPr="00DB0C40" w:rsidRDefault="00B93B70" w:rsidP="00DB0C40">
      <w:pPr>
        <w:spacing w:after="160"/>
        <w:jc w:val="both"/>
        <w:rPr>
          <w:rFonts w:asciiTheme="minorHAnsi" w:eastAsiaTheme="minorHAnsi" w:hAnsiTheme="minorHAnsi" w:cstheme="minorBidi"/>
          <w:bCs/>
          <w:sz w:val="22"/>
          <w:szCs w:val="22"/>
        </w:rPr>
      </w:pPr>
      <w:r w:rsidRPr="00DB0C40">
        <w:rPr>
          <w:rFonts w:asciiTheme="minorHAnsi" w:eastAsiaTheme="minorHAnsi" w:hAnsiTheme="minorHAnsi" w:cstheme="minorBidi"/>
          <w:bCs/>
          <w:sz w:val="22"/>
          <w:szCs w:val="22"/>
        </w:rPr>
        <w:t>Table 11: Distribution of respondents per province (employers)</w:t>
      </w:r>
    </w:p>
    <w:p w14:paraId="47E0D36D" w14:textId="171BE101" w:rsidR="00B93B70" w:rsidRPr="00DB0C40" w:rsidRDefault="00B93B70">
      <w:pPr>
        <w:rPr>
          <w:rFonts w:asciiTheme="minorHAnsi" w:eastAsiaTheme="minorHAnsi" w:hAnsiTheme="minorHAnsi" w:cstheme="minorBidi"/>
          <w:bCs/>
          <w:sz w:val="22"/>
          <w:szCs w:val="22"/>
        </w:rPr>
      </w:pPr>
      <w:r w:rsidRPr="00DB0C40">
        <w:rPr>
          <w:rFonts w:asciiTheme="minorHAnsi" w:eastAsiaTheme="minorHAnsi" w:hAnsiTheme="minorHAnsi" w:cstheme="minorBidi"/>
          <w:bCs/>
          <w:sz w:val="22"/>
          <w:szCs w:val="22"/>
        </w:rPr>
        <w:br w:type="page"/>
      </w:r>
    </w:p>
    <w:p w14:paraId="2393A620" w14:textId="697039C2" w:rsidR="00B93B70" w:rsidRPr="00DB0C40" w:rsidRDefault="00483488" w:rsidP="00B93B70">
      <w:pPr>
        <w:spacing w:after="160" w:line="259" w:lineRule="auto"/>
        <w:rPr>
          <w:rFonts w:asciiTheme="minorHAnsi" w:eastAsiaTheme="minorHAnsi" w:hAnsiTheme="minorHAnsi" w:cstheme="minorBidi"/>
          <w:b/>
          <w:sz w:val="22"/>
          <w:szCs w:val="22"/>
        </w:rPr>
      </w:pPr>
      <w:r w:rsidRPr="00DB0C40">
        <w:rPr>
          <w:rFonts w:asciiTheme="minorHAnsi" w:eastAsiaTheme="minorHAnsi" w:hAnsiTheme="minorHAnsi" w:cstheme="minorBidi"/>
          <w:b/>
          <w:sz w:val="22"/>
          <w:szCs w:val="22"/>
        </w:rPr>
        <w:lastRenderedPageBreak/>
        <w:t xml:space="preserve">List of </w:t>
      </w:r>
      <w:r w:rsidR="00DB0C40" w:rsidRPr="00DB0C40">
        <w:rPr>
          <w:rFonts w:asciiTheme="minorHAnsi" w:eastAsiaTheme="minorHAnsi" w:hAnsiTheme="minorHAnsi" w:cstheme="minorBidi"/>
          <w:b/>
          <w:sz w:val="22"/>
          <w:szCs w:val="22"/>
        </w:rPr>
        <w:t xml:space="preserve">Figures </w:t>
      </w:r>
    </w:p>
    <w:p w14:paraId="682DB0C1" w14:textId="77777777" w:rsidR="00B93B70" w:rsidRPr="00C51E07" w:rsidRDefault="00B93B70" w:rsidP="00C51E07">
      <w:pPr>
        <w:spacing w:after="160"/>
        <w:jc w:val="both"/>
        <w:rPr>
          <w:rFonts w:asciiTheme="minorHAnsi" w:eastAsiaTheme="minorHAnsi" w:hAnsiTheme="minorHAnsi" w:cstheme="minorBidi"/>
          <w:bCs/>
          <w:sz w:val="22"/>
          <w:szCs w:val="22"/>
        </w:rPr>
      </w:pPr>
      <w:r w:rsidRPr="00C51E07">
        <w:rPr>
          <w:rFonts w:asciiTheme="minorHAnsi" w:eastAsiaTheme="minorHAnsi" w:hAnsiTheme="minorHAnsi" w:cstheme="minorBidi"/>
          <w:bCs/>
          <w:sz w:val="22"/>
          <w:szCs w:val="22"/>
        </w:rPr>
        <w:t>Figure 1. The state of the gender gap in the world</w:t>
      </w:r>
    </w:p>
    <w:p w14:paraId="3BE2D007" w14:textId="77777777" w:rsidR="00B93B70" w:rsidRPr="00C51E07" w:rsidRDefault="00B93B70" w:rsidP="00C51E07">
      <w:pPr>
        <w:spacing w:after="160"/>
        <w:jc w:val="both"/>
        <w:rPr>
          <w:rFonts w:asciiTheme="minorHAnsi" w:eastAsiaTheme="minorHAnsi" w:hAnsiTheme="minorHAnsi" w:cstheme="minorBidi"/>
          <w:bCs/>
          <w:sz w:val="22"/>
          <w:szCs w:val="22"/>
        </w:rPr>
      </w:pPr>
      <w:r w:rsidRPr="00C51E07">
        <w:rPr>
          <w:rFonts w:asciiTheme="minorHAnsi" w:eastAsiaTheme="minorHAnsi" w:hAnsiTheme="minorHAnsi" w:cstheme="minorBidi"/>
          <w:bCs/>
          <w:sz w:val="22"/>
          <w:szCs w:val="22"/>
        </w:rPr>
        <w:t>Figure 2.  Actual versus expected decline in the gender gap in participation for G20 countries, 2012-2018</w:t>
      </w:r>
    </w:p>
    <w:p w14:paraId="07537650" w14:textId="77777777" w:rsidR="00B93B70" w:rsidRPr="00C51E07" w:rsidRDefault="00B93B70" w:rsidP="00C51E07">
      <w:pPr>
        <w:spacing w:after="160"/>
        <w:jc w:val="both"/>
        <w:rPr>
          <w:rFonts w:asciiTheme="minorHAnsi" w:eastAsiaTheme="minorHAnsi" w:hAnsiTheme="minorHAnsi" w:cstheme="minorBidi"/>
          <w:bCs/>
          <w:sz w:val="22"/>
          <w:szCs w:val="22"/>
        </w:rPr>
      </w:pPr>
      <w:r w:rsidRPr="00C51E07">
        <w:rPr>
          <w:rFonts w:asciiTheme="minorHAnsi" w:eastAsiaTheme="minorHAnsi" w:hAnsiTheme="minorHAnsi" w:cstheme="minorBidi"/>
          <w:bCs/>
          <w:sz w:val="22"/>
          <w:szCs w:val="22"/>
        </w:rPr>
        <w:t>Figure 3. The gender gap in part-time work remains large in G20 countries, 2012-2017</w:t>
      </w:r>
    </w:p>
    <w:p w14:paraId="27EE7F68" w14:textId="77777777" w:rsidR="00B93B70" w:rsidRPr="00C51E07" w:rsidRDefault="00B93B70" w:rsidP="00C51E07">
      <w:pPr>
        <w:spacing w:after="160"/>
        <w:jc w:val="both"/>
        <w:rPr>
          <w:rFonts w:asciiTheme="minorHAnsi" w:eastAsiaTheme="minorHAnsi" w:hAnsiTheme="minorHAnsi" w:cstheme="minorBidi"/>
          <w:bCs/>
          <w:sz w:val="22"/>
          <w:szCs w:val="22"/>
        </w:rPr>
      </w:pPr>
      <w:r w:rsidRPr="00C51E07">
        <w:rPr>
          <w:rFonts w:asciiTheme="minorHAnsi" w:eastAsiaTheme="minorHAnsi" w:hAnsiTheme="minorHAnsi" w:cstheme="minorBidi"/>
          <w:bCs/>
          <w:sz w:val="22"/>
          <w:szCs w:val="22"/>
        </w:rPr>
        <w:t>Figure 4. Gender pay gaps remain substantial in G20 countries, 2006 and 2018</w:t>
      </w:r>
    </w:p>
    <w:p w14:paraId="039A6FEF" w14:textId="77777777" w:rsidR="00B93B70" w:rsidRPr="00C51E07" w:rsidRDefault="00B93B70" w:rsidP="00C51E07">
      <w:pPr>
        <w:spacing w:after="160"/>
        <w:jc w:val="both"/>
        <w:rPr>
          <w:rFonts w:asciiTheme="minorHAnsi" w:eastAsiaTheme="minorHAnsi" w:hAnsiTheme="minorHAnsi" w:cstheme="minorBidi"/>
          <w:bCs/>
          <w:sz w:val="22"/>
          <w:szCs w:val="22"/>
        </w:rPr>
      </w:pPr>
      <w:r w:rsidRPr="00C51E07">
        <w:rPr>
          <w:rFonts w:asciiTheme="minorHAnsi" w:eastAsiaTheme="minorHAnsi" w:hAnsiTheme="minorHAnsi" w:cstheme="minorBidi"/>
          <w:bCs/>
          <w:sz w:val="22"/>
          <w:szCs w:val="22"/>
        </w:rPr>
        <w:t>Figure 5. Türkiye - Scores for Women, Business and the Law 2022</w:t>
      </w:r>
    </w:p>
    <w:p w14:paraId="56C4CB4F" w14:textId="77777777" w:rsidR="00B93B70" w:rsidRPr="00C51E07" w:rsidRDefault="00B93B70" w:rsidP="00C51E07">
      <w:pPr>
        <w:spacing w:after="160"/>
        <w:jc w:val="both"/>
        <w:rPr>
          <w:rFonts w:asciiTheme="minorHAnsi" w:eastAsiaTheme="minorHAnsi" w:hAnsiTheme="minorHAnsi" w:cstheme="minorBidi"/>
          <w:bCs/>
          <w:sz w:val="22"/>
          <w:szCs w:val="22"/>
        </w:rPr>
      </w:pPr>
      <w:r w:rsidRPr="00C51E07">
        <w:rPr>
          <w:rFonts w:asciiTheme="minorHAnsi" w:eastAsiaTheme="minorHAnsi" w:hAnsiTheme="minorHAnsi" w:cstheme="minorBidi"/>
          <w:bCs/>
          <w:sz w:val="22"/>
          <w:szCs w:val="22"/>
        </w:rPr>
        <w:t xml:space="preserve">Figure 6. Female Employment Rate </w:t>
      </w:r>
      <w:r w:rsidR="00EF4332" w:rsidRPr="00C51E07">
        <w:rPr>
          <w:rFonts w:asciiTheme="minorHAnsi" w:eastAsiaTheme="minorHAnsi" w:hAnsiTheme="minorHAnsi" w:cstheme="minorBidi"/>
          <w:bCs/>
          <w:sz w:val="22"/>
          <w:szCs w:val="22"/>
        </w:rPr>
        <w:t>Türkiye</w:t>
      </w:r>
      <w:r w:rsidRPr="00C51E07">
        <w:rPr>
          <w:rFonts w:asciiTheme="minorHAnsi" w:eastAsiaTheme="minorHAnsi" w:hAnsiTheme="minorHAnsi" w:cstheme="minorBidi"/>
          <w:bCs/>
          <w:sz w:val="22"/>
          <w:szCs w:val="22"/>
        </w:rPr>
        <w:t xml:space="preserve"> (2015 – 2021)</w:t>
      </w:r>
    </w:p>
    <w:p w14:paraId="56B88B56" w14:textId="77777777" w:rsidR="00B93B70" w:rsidRPr="00C51E07" w:rsidRDefault="00B93B70" w:rsidP="00C51E07">
      <w:pPr>
        <w:spacing w:after="160"/>
        <w:jc w:val="both"/>
        <w:rPr>
          <w:rFonts w:asciiTheme="minorHAnsi" w:eastAsiaTheme="minorHAnsi" w:hAnsiTheme="minorHAnsi" w:cstheme="minorBidi"/>
          <w:bCs/>
          <w:sz w:val="22"/>
          <w:szCs w:val="22"/>
        </w:rPr>
      </w:pPr>
      <w:r w:rsidRPr="00C51E07">
        <w:rPr>
          <w:rFonts w:asciiTheme="minorHAnsi" w:eastAsiaTheme="minorHAnsi" w:hAnsiTheme="minorHAnsi" w:cstheme="minorBidi"/>
          <w:bCs/>
          <w:sz w:val="22"/>
          <w:szCs w:val="22"/>
        </w:rPr>
        <w:t xml:space="preserve">Figure 7. Employed Rate by gender </w:t>
      </w:r>
      <w:r w:rsidR="00EF4332" w:rsidRPr="00C51E07">
        <w:rPr>
          <w:rFonts w:asciiTheme="minorHAnsi" w:eastAsiaTheme="minorHAnsi" w:hAnsiTheme="minorHAnsi" w:cstheme="minorBidi"/>
          <w:bCs/>
          <w:sz w:val="22"/>
          <w:szCs w:val="22"/>
        </w:rPr>
        <w:t>Türkiye</w:t>
      </w:r>
      <w:r w:rsidRPr="00C51E07">
        <w:rPr>
          <w:rFonts w:asciiTheme="minorHAnsi" w:eastAsiaTheme="minorHAnsi" w:hAnsiTheme="minorHAnsi" w:cstheme="minorBidi"/>
          <w:bCs/>
          <w:sz w:val="22"/>
          <w:szCs w:val="22"/>
        </w:rPr>
        <w:t xml:space="preserve"> (%) (2015 - 2021)</w:t>
      </w:r>
    </w:p>
    <w:p w14:paraId="00C642D4" w14:textId="77777777" w:rsidR="00B93B70" w:rsidRPr="00C51E07" w:rsidRDefault="00B93B70" w:rsidP="00C51E07">
      <w:pPr>
        <w:spacing w:after="160"/>
        <w:jc w:val="both"/>
        <w:rPr>
          <w:rFonts w:asciiTheme="minorHAnsi" w:eastAsiaTheme="minorHAnsi" w:hAnsiTheme="minorHAnsi" w:cstheme="minorBidi"/>
          <w:bCs/>
          <w:sz w:val="22"/>
          <w:szCs w:val="22"/>
        </w:rPr>
      </w:pPr>
      <w:r w:rsidRPr="00C51E07">
        <w:rPr>
          <w:rFonts w:asciiTheme="minorHAnsi" w:eastAsiaTheme="minorHAnsi" w:hAnsiTheme="minorHAnsi" w:cstheme="minorBidi"/>
          <w:bCs/>
          <w:sz w:val="22"/>
          <w:szCs w:val="22"/>
        </w:rPr>
        <w:t xml:space="preserve">Figure 8.  Unemployment rate by gender </w:t>
      </w:r>
      <w:r w:rsidR="00EF4332" w:rsidRPr="00C51E07">
        <w:rPr>
          <w:rFonts w:asciiTheme="minorHAnsi" w:eastAsiaTheme="minorHAnsi" w:hAnsiTheme="minorHAnsi" w:cstheme="minorBidi"/>
          <w:bCs/>
          <w:sz w:val="22"/>
          <w:szCs w:val="22"/>
        </w:rPr>
        <w:t>Türkiye</w:t>
      </w:r>
      <w:r w:rsidRPr="00C51E07">
        <w:rPr>
          <w:rFonts w:asciiTheme="minorHAnsi" w:eastAsiaTheme="minorHAnsi" w:hAnsiTheme="minorHAnsi" w:cstheme="minorBidi"/>
          <w:bCs/>
          <w:sz w:val="22"/>
          <w:szCs w:val="22"/>
        </w:rPr>
        <w:t xml:space="preserve"> (%) (2015 - 2021)</w:t>
      </w:r>
    </w:p>
    <w:p w14:paraId="50FE77A9" w14:textId="77777777" w:rsidR="00B93B70" w:rsidRPr="00C51E07" w:rsidRDefault="00B93B70" w:rsidP="00C51E07">
      <w:pPr>
        <w:spacing w:after="160"/>
        <w:jc w:val="both"/>
        <w:rPr>
          <w:rFonts w:asciiTheme="minorHAnsi" w:eastAsiaTheme="minorHAnsi" w:hAnsiTheme="minorHAnsi" w:cstheme="minorBidi"/>
          <w:bCs/>
          <w:sz w:val="22"/>
          <w:szCs w:val="22"/>
        </w:rPr>
      </w:pPr>
      <w:r w:rsidRPr="00C51E07">
        <w:rPr>
          <w:rFonts w:asciiTheme="minorHAnsi" w:eastAsiaTheme="minorHAnsi" w:hAnsiTheme="minorHAnsi" w:cstheme="minorBidi"/>
          <w:bCs/>
          <w:sz w:val="22"/>
          <w:szCs w:val="22"/>
        </w:rPr>
        <w:t xml:space="preserve">Figure 9. Employment rate by educational level </w:t>
      </w:r>
      <w:r w:rsidR="00EF4332" w:rsidRPr="00C51E07">
        <w:rPr>
          <w:rFonts w:asciiTheme="minorHAnsi" w:eastAsiaTheme="minorHAnsi" w:hAnsiTheme="minorHAnsi" w:cstheme="minorBidi"/>
          <w:bCs/>
          <w:sz w:val="22"/>
          <w:szCs w:val="22"/>
        </w:rPr>
        <w:t>Türkiye</w:t>
      </w:r>
      <w:r w:rsidRPr="00C51E07">
        <w:rPr>
          <w:rFonts w:asciiTheme="minorHAnsi" w:eastAsiaTheme="minorHAnsi" w:hAnsiTheme="minorHAnsi" w:cstheme="minorBidi"/>
          <w:bCs/>
          <w:sz w:val="22"/>
          <w:szCs w:val="22"/>
        </w:rPr>
        <w:t xml:space="preserve"> (less than high school) (%) (2015 – 2021)</w:t>
      </w:r>
    </w:p>
    <w:p w14:paraId="4D417486" w14:textId="77777777" w:rsidR="00B93B70" w:rsidRPr="00C51E07" w:rsidRDefault="00B93B70" w:rsidP="00C51E07">
      <w:pPr>
        <w:spacing w:after="160"/>
        <w:jc w:val="both"/>
        <w:rPr>
          <w:rFonts w:asciiTheme="minorHAnsi" w:eastAsiaTheme="minorHAnsi" w:hAnsiTheme="minorHAnsi" w:cstheme="minorBidi"/>
          <w:bCs/>
          <w:sz w:val="22"/>
          <w:szCs w:val="22"/>
        </w:rPr>
      </w:pPr>
      <w:r w:rsidRPr="00C51E07">
        <w:rPr>
          <w:rFonts w:asciiTheme="minorHAnsi" w:eastAsiaTheme="minorHAnsi" w:hAnsiTheme="minorHAnsi" w:cstheme="minorBidi"/>
          <w:bCs/>
          <w:sz w:val="22"/>
          <w:szCs w:val="22"/>
        </w:rPr>
        <w:t xml:space="preserve">Figure 10. Employment rate by educational level </w:t>
      </w:r>
      <w:r w:rsidR="00EF4332" w:rsidRPr="00C51E07">
        <w:rPr>
          <w:rFonts w:asciiTheme="minorHAnsi" w:eastAsiaTheme="minorHAnsi" w:hAnsiTheme="minorHAnsi" w:cstheme="minorBidi"/>
          <w:bCs/>
          <w:sz w:val="22"/>
          <w:szCs w:val="22"/>
        </w:rPr>
        <w:t>Türkiye</w:t>
      </w:r>
      <w:r w:rsidRPr="00C51E07">
        <w:rPr>
          <w:rFonts w:asciiTheme="minorHAnsi" w:eastAsiaTheme="minorHAnsi" w:hAnsiTheme="minorHAnsi" w:cstheme="minorBidi"/>
          <w:bCs/>
          <w:sz w:val="22"/>
          <w:szCs w:val="22"/>
        </w:rPr>
        <w:t xml:space="preserve"> (high school) (%) (2015 – 2021)</w:t>
      </w:r>
    </w:p>
    <w:p w14:paraId="63200DB9" w14:textId="77777777" w:rsidR="00B93B70" w:rsidRPr="00C51E07" w:rsidRDefault="00B93B70" w:rsidP="00C51E07">
      <w:pPr>
        <w:spacing w:after="160"/>
        <w:jc w:val="both"/>
        <w:rPr>
          <w:rFonts w:asciiTheme="minorHAnsi" w:eastAsiaTheme="minorHAnsi" w:hAnsiTheme="minorHAnsi" w:cstheme="minorBidi"/>
          <w:bCs/>
          <w:sz w:val="22"/>
          <w:szCs w:val="22"/>
        </w:rPr>
      </w:pPr>
      <w:r w:rsidRPr="00C51E07">
        <w:rPr>
          <w:rFonts w:asciiTheme="minorHAnsi" w:eastAsiaTheme="minorHAnsi" w:hAnsiTheme="minorHAnsi" w:cstheme="minorBidi"/>
          <w:bCs/>
          <w:sz w:val="22"/>
          <w:szCs w:val="22"/>
        </w:rPr>
        <w:t xml:space="preserve">Figure 11. Employment rate by educational level </w:t>
      </w:r>
      <w:r w:rsidR="00EF4332" w:rsidRPr="00C51E07">
        <w:rPr>
          <w:rFonts w:asciiTheme="minorHAnsi" w:eastAsiaTheme="minorHAnsi" w:hAnsiTheme="minorHAnsi" w:cstheme="minorBidi"/>
          <w:bCs/>
          <w:sz w:val="22"/>
          <w:szCs w:val="22"/>
        </w:rPr>
        <w:t>Türkiye</w:t>
      </w:r>
      <w:r w:rsidRPr="00C51E07">
        <w:rPr>
          <w:rFonts w:asciiTheme="minorHAnsi" w:eastAsiaTheme="minorHAnsi" w:hAnsiTheme="minorHAnsi" w:cstheme="minorBidi"/>
          <w:bCs/>
          <w:sz w:val="22"/>
          <w:szCs w:val="22"/>
        </w:rPr>
        <w:t xml:space="preserve"> (vocational high school) (%) (2015 – 2021)</w:t>
      </w:r>
    </w:p>
    <w:p w14:paraId="5FBB5243" w14:textId="77777777" w:rsidR="00B93B70" w:rsidRPr="00C51E07" w:rsidRDefault="00B93B70" w:rsidP="00C51E07">
      <w:pPr>
        <w:spacing w:after="160"/>
        <w:jc w:val="both"/>
        <w:rPr>
          <w:rFonts w:asciiTheme="minorHAnsi" w:eastAsiaTheme="minorHAnsi" w:hAnsiTheme="minorHAnsi" w:cstheme="minorBidi"/>
          <w:bCs/>
          <w:sz w:val="22"/>
          <w:szCs w:val="22"/>
        </w:rPr>
      </w:pPr>
      <w:r w:rsidRPr="00C51E07">
        <w:rPr>
          <w:rFonts w:asciiTheme="minorHAnsi" w:eastAsiaTheme="minorHAnsi" w:hAnsiTheme="minorHAnsi" w:cstheme="minorBidi"/>
          <w:bCs/>
          <w:sz w:val="22"/>
          <w:szCs w:val="22"/>
        </w:rPr>
        <w:t xml:space="preserve">Figure 12. Employment rate by educational level </w:t>
      </w:r>
      <w:r w:rsidR="00EF4332" w:rsidRPr="00C51E07">
        <w:rPr>
          <w:rFonts w:asciiTheme="minorHAnsi" w:eastAsiaTheme="minorHAnsi" w:hAnsiTheme="minorHAnsi" w:cstheme="minorBidi"/>
          <w:bCs/>
          <w:sz w:val="22"/>
          <w:szCs w:val="22"/>
        </w:rPr>
        <w:t>Türkiye</w:t>
      </w:r>
      <w:r w:rsidRPr="00C51E07">
        <w:rPr>
          <w:rFonts w:asciiTheme="minorHAnsi" w:eastAsiaTheme="minorHAnsi" w:hAnsiTheme="minorHAnsi" w:cstheme="minorBidi"/>
          <w:bCs/>
          <w:sz w:val="22"/>
          <w:szCs w:val="22"/>
        </w:rPr>
        <w:t xml:space="preserve"> (less than high school) (%) (2015 – 2021)</w:t>
      </w:r>
    </w:p>
    <w:p w14:paraId="304FCF4C" w14:textId="77777777" w:rsidR="00B93B70" w:rsidRPr="00C51E07" w:rsidRDefault="00B93B70" w:rsidP="00C51E07">
      <w:pPr>
        <w:spacing w:after="160"/>
        <w:jc w:val="both"/>
        <w:rPr>
          <w:rFonts w:asciiTheme="minorHAnsi" w:eastAsiaTheme="minorHAnsi" w:hAnsiTheme="minorHAnsi" w:cstheme="minorBidi"/>
          <w:bCs/>
          <w:sz w:val="22"/>
          <w:szCs w:val="22"/>
        </w:rPr>
      </w:pPr>
      <w:r w:rsidRPr="00C51E07">
        <w:rPr>
          <w:rFonts w:asciiTheme="minorHAnsi" w:eastAsiaTheme="minorHAnsi" w:hAnsiTheme="minorHAnsi" w:cstheme="minorBidi"/>
          <w:bCs/>
          <w:sz w:val="22"/>
          <w:szCs w:val="22"/>
        </w:rPr>
        <w:t xml:space="preserve">Figure 13. Employment by sector of activity - Agriculture </w:t>
      </w:r>
      <w:r w:rsidR="00EF4332" w:rsidRPr="00C51E07">
        <w:rPr>
          <w:rFonts w:asciiTheme="minorHAnsi" w:eastAsiaTheme="minorHAnsi" w:hAnsiTheme="minorHAnsi" w:cstheme="minorBidi"/>
          <w:bCs/>
          <w:sz w:val="22"/>
          <w:szCs w:val="22"/>
        </w:rPr>
        <w:t>Türkiye</w:t>
      </w:r>
      <w:r w:rsidRPr="00C51E07">
        <w:rPr>
          <w:rFonts w:asciiTheme="minorHAnsi" w:eastAsiaTheme="minorHAnsi" w:hAnsiTheme="minorHAnsi" w:cstheme="minorBidi"/>
          <w:bCs/>
          <w:sz w:val="22"/>
          <w:szCs w:val="22"/>
        </w:rPr>
        <w:t xml:space="preserve"> (% of men and women) (2015 – 2021)</w:t>
      </w:r>
    </w:p>
    <w:p w14:paraId="00D0733A" w14:textId="77777777" w:rsidR="00B93B70" w:rsidRPr="00C51E07" w:rsidRDefault="00B93B70" w:rsidP="00C51E07">
      <w:pPr>
        <w:spacing w:after="160"/>
        <w:jc w:val="both"/>
        <w:rPr>
          <w:rFonts w:asciiTheme="minorHAnsi" w:eastAsiaTheme="minorHAnsi" w:hAnsiTheme="minorHAnsi" w:cstheme="minorBidi"/>
          <w:bCs/>
          <w:sz w:val="22"/>
          <w:szCs w:val="22"/>
        </w:rPr>
      </w:pPr>
      <w:r w:rsidRPr="00C51E07">
        <w:rPr>
          <w:rFonts w:asciiTheme="minorHAnsi" w:eastAsiaTheme="minorHAnsi" w:hAnsiTheme="minorHAnsi" w:cstheme="minorBidi"/>
          <w:bCs/>
          <w:sz w:val="22"/>
          <w:szCs w:val="22"/>
        </w:rPr>
        <w:t xml:space="preserve">Figure 14. Employment by sector of activity - Industry </w:t>
      </w:r>
      <w:r w:rsidR="00EF4332" w:rsidRPr="00C51E07">
        <w:rPr>
          <w:rFonts w:asciiTheme="minorHAnsi" w:eastAsiaTheme="minorHAnsi" w:hAnsiTheme="minorHAnsi" w:cstheme="minorBidi"/>
          <w:bCs/>
          <w:sz w:val="22"/>
          <w:szCs w:val="22"/>
        </w:rPr>
        <w:t>Türkiye</w:t>
      </w:r>
      <w:r w:rsidRPr="00C51E07">
        <w:rPr>
          <w:rFonts w:asciiTheme="minorHAnsi" w:eastAsiaTheme="minorHAnsi" w:hAnsiTheme="minorHAnsi" w:cstheme="minorBidi"/>
          <w:bCs/>
          <w:sz w:val="22"/>
          <w:szCs w:val="22"/>
        </w:rPr>
        <w:t xml:space="preserve"> (% of men and women) (2015 – 2021)</w:t>
      </w:r>
    </w:p>
    <w:p w14:paraId="57E118AA" w14:textId="77777777" w:rsidR="00B93B70" w:rsidRPr="00C51E07" w:rsidRDefault="00B93B70" w:rsidP="00C51E07">
      <w:pPr>
        <w:spacing w:after="160"/>
        <w:jc w:val="both"/>
        <w:rPr>
          <w:rFonts w:asciiTheme="minorHAnsi" w:eastAsiaTheme="minorHAnsi" w:hAnsiTheme="minorHAnsi" w:cstheme="minorBidi"/>
          <w:bCs/>
          <w:sz w:val="22"/>
          <w:szCs w:val="22"/>
        </w:rPr>
      </w:pPr>
      <w:r w:rsidRPr="00C51E07">
        <w:rPr>
          <w:rFonts w:asciiTheme="minorHAnsi" w:eastAsiaTheme="minorHAnsi" w:hAnsiTheme="minorHAnsi" w:cstheme="minorBidi"/>
          <w:bCs/>
          <w:sz w:val="22"/>
          <w:szCs w:val="22"/>
        </w:rPr>
        <w:t xml:space="preserve">Figure 15. Employment by sector of activity - Construction </w:t>
      </w:r>
      <w:r w:rsidR="00EF4332" w:rsidRPr="00C51E07">
        <w:rPr>
          <w:rFonts w:asciiTheme="minorHAnsi" w:eastAsiaTheme="minorHAnsi" w:hAnsiTheme="minorHAnsi" w:cstheme="minorBidi"/>
          <w:bCs/>
          <w:sz w:val="22"/>
          <w:szCs w:val="22"/>
        </w:rPr>
        <w:t>Türkiye</w:t>
      </w:r>
      <w:r w:rsidRPr="00C51E07">
        <w:rPr>
          <w:rFonts w:asciiTheme="minorHAnsi" w:eastAsiaTheme="minorHAnsi" w:hAnsiTheme="minorHAnsi" w:cstheme="minorBidi"/>
          <w:bCs/>
          <w:sz w:val="22"/>
          <w:szCs w:val="22"/>
        </w:rPr>
        <w:t xml:space="preserve"> (% of men and women) (2015 – 2021)</w:t>
      </w:r>
    </w:p>
    <w:p w14:paraId="717C0C1F" w14:textId="77777777" w:rsidR="00B93B70" w:rsidRPr="00C51E07" w:rsidRDefault="00B93B70" w:rsidP="00C51E07">
      <w:pPr>
        <w:spacing w:after="160"/>
        <w:jc w:val="both"/>
        <w:rPr>
          <w:rFonts w:asciiTheme="minorHAnsi" w:eastAsiaTheme="minorHAnsi" w:hAnsiTheme="minorHAnsi" w:cstheme="minorBidi"/>
          <w:bCs/>
          <w:sz w:val="22"/>
          <w:szCs w:val="22"/>
        </w:rPr>
      </w:pPr>
      <w:r w:rsidRPr="00C51E07">
        <w:rPr>
          <w:rFonts w:asciiTheme="minorHAnsi" w:eastAsiaTheme="minorHAnsi" w:hAnsiTheme="minorHAnsi" w:cstheme="minorBidi"/>
          <w:bCs/>
          <w:sz w:val="22"/>
          <w:szCs w:val="22"/>
        </w:rPr>
        <w:t xml:space="preserve">Figure 16. Employment by sector of activity - Service </w:t>
      </w:r>
      <w:r w:rsidR="00EF4332" w:rsidRPr="00C51E07">
        <w:rPr>
          <w:rFonts w:asciiTheme="minorHAnsi" w:eastAsiaTheme="minorHAnsi" w:hAnsiTheme="minorHAnsi" w:cstheme="minorBidi"/>
          <w:bCs/>
          <w:sz w:val="22"/>
          <w:szCs w:val="22"/>
        </w:rPr>
        <w:t>Türkiye</w:t>
      </w:r>
      <w:r w:rsidRPr="00C51E07">
        <w:rPr>
          <w:rFonts w:asciiTheme="minorHAnsi" w:eastAsiaTheme="minorHAnsi" w:hAnsiTheme="minorHAnsi" w:cstheme="minorBidi"/>
          <w:bCs/>
          <w:sz w:val="22"/>
          <w:szCs w:val="22"/>
        </w:rPr>
        <w:t xml:space="preserve"> (% of men and women) (2015 – 2021)</w:t>
      </w:r>
    </w:p>
    <w:p w14:paraId="3EE9E8D0" w14:textId="77777777" w:rsidR="00B93B70" w:rsidRPr="00C51E07" w:rsidRDefault="00B93B70" w:rsidP="00C51E07">
      <w:pPr>
        <w:spacing w:after="160"/>
        <w:jc w:val="both"/>
        <w:rPr>
          <w:rFonts w:asciiTheme="minorHAnsi" w:eastAsiaTheme="minorHAnsi" w:hAnsiTheme="minorHAnsi" w:cstheme="minorBidi"/>
          <w:bCs/>
          <w:sz w:val="22"/>
          <w:szCs w:val="22"/>
        </w:rPr>
      </w:pPr>
      <w:r w:rsidRPr="00C51E07">
        <w:rPr>
          <w:rFonts w:asciiTheme="minorHAnsi" w:eastAsiaTheme="minorHAnsi" w:hAnsiTheme="minorHAnsi" w:cstheme="minorBidi"/>
          <w:bCs/>
          <w:sz w:val="22"/>
          <w:szCs w:val="22"/>
        </w:rPr>
        <w:t>Figure 17. Duration of working life in Türkiye, 2013-2019</w:t>
      </w:r>
    </w:p>
    <w:p w14:paraId="2E954E9A" w14:textId="77777777" w:rsidR="00B93B70" w:rsidRPr="00C51E07" w:rsidRDefault="00B93B70" w:rsidP="00C51E07">
      <w:pPr>
        <w:spacing w:after="160"/>
        <w:jc w:val="both"/>
        <w:rPr>
          <w:rFonts w:asciiTheme="minorHAnsi" w:eastAsiaTheme="minorHAnsi" w:hAnsiTheme="minorHAnsi" w:cstheme="minorBidi"/>
          <w:bCs/>
          <w:sz w:val="22"/>
          <w:szCs w:val="22"/>
        </w:rPr>
      </w:pPr>
      <w:r w:rsidRPr="00C51E07">
        <w:rPr>
          <w:rFonts w:asciiTheme="minorHAnsi" w:eastAsiaTheme="minorHAnsi" w:hAnsiTheme="minorHAnsi" w:cstheme="minorBidi"/>
          <w:bCs/>
          <w:sz w:val="22"/>
          <w:szCs w:val="22"/>
        </w:rPr>
        <w:t>Figure 18: Provisions of the Law that respondents get benefited (%)</w:t>
      </w:r>
    </w:p>
    <w:p w14:paraId="30F53806" w14:textId="77777777" w:rsidR="00B93B70" w:rsidRPr="00C51E07" w:rsidRDefault="00B93B70" w:rsidP="00C51E07">
      <w:pPr>
        <w:spacing w:after="160"/>
        <w:jc w:val="both"/>
        <w:rPr>
          <w:rFonts w:asciiTheme="minorHAnsi" w:eastAsiaTheme="minorHAnsi" w:hAnsiTheme="minorHAnsi" w:cstheme="minorBidi"/>
          <w:bCs/>
          <w:sz w:val="22"/>
          <w:szCs w:val="22"/>
        </w:rPr>
      </w:pPr>
      <w:r w:rsidRPr="00C51E07">
        <w:rPr>
          <w:rFonts w:asciiTheme="minorHAnsi" w:eastAsiaTheme="minorHAnsi" w:hAnsiTheme="minorHAnsi" w:cstheme="minorBidi"/>
          <w:bCs/>
          <w:sz w:val="22"/>
          <w:szCs w:val="22"/>
        </w:rPr>
        <w:t>Figure 19. Assessment on how Provisions in the Labour Law Facilitate Women´s Working Life in Practice (Question B3)</w:t>
      </w:r>
    </w:p>
    <w:p w14:paraId="4A72FBFF" w14:textId="77777777" w:rsidR="00B93B70" w:rsidRPr="00C51E07" w:rsidRDefault="00B93B70" w:rsidP="00C51E07">
      <w:pPr>
        <w:spacing w:after="160"/>
        <w:jc w:val="both"/>
        <w:rPr>
          <w:rFonts w:asciiTheme="minorHAnsi" w:eastAsiaTheme="minorHAnsi" w:hAnsiTheme="minorHAnsi" w:cstheme="minorBidi"/>
          <w:bCs/>
          <w:sz w:val="22"/>
          <w:szCs w:val="22"/>
        </w:rPr>
      </w:pPr>
      <w:r w:rsidRPr="00C51E07">
        <w:rPr>
          <w:rFonts w:asciiTheme="minorHAnsi" w:eastAsiaTheme="minorHAnsi" w:hAnsiTheme="minorHAnsi" w:cstheme="minorBidi"/>
          <w:bCs/>
          <w:sz w:val="22"/>
          <w:szCs w:val="22"/>
        </w:rPr>
        <w:t>Figure 20: Assessment on how the Provisions in the Labour Law Facilitate Women’s Work Life in Practice (Question B4)</w:t>
      </w:r>
    </w:p>
    <w:p w14:paraId="383A39DB" w14:textId="77777777" w:rsidR="00B93B70" w:rsidRPr="00C51E07" w:rsidRDefault="00B93B70" w:rsidP="00C51E07">
      <w:pPr>
        <w:spacing w:after="160"/>
        <w:jc w:val="both"/>
        <w:rPr>
          <w:rFonts w:asciiTheme="minorHAnsi" w:eastAsiaTheme="minorHAnsi" w:hAnsiTheme="minorHAnsi" w:cstheme="minorBidi"/>
          <w:bCs/>
          <w:sz w:val="22"/>
          <w:szCs w:val="22"/>
        </w:rPr>
      </w:pPr>
      <w:r w:rsidRPr="00C51E07">
        <w:rPr>
          <w:rFonts w:asciiTheme="minorHAnsi" w:eastAsiaTheme="minorHAnsi" w:hAnsiTheme="minorHAnsi" w:cstheme="minorBidi"/>
          <w:bCs/>
          <w:sz w:val="22"/>
          <w:szCs w:val="22"/>
        </w:rPr>
        <w:t>Figure 21.  Measures taken at the Workplace to implement the Provisions of the Law (Question B5)</w:t>
      </w:r>
    </w:p>
    <w:p w14:paraId="2CCA66B1" w14:textId="77777777" w:rsidR="00B93B70" w:rsidRPr="00C51E07" w:rsidRDefault="00B93B70" w:rsidP="00C51E07">
      <w:pPr>
        <w:spacing w:after="160"/>
        <w:jc w:val="both"/>
        <w:rPr>
          <w:rFonts w:asciiTheme="minorHAnsi" w:eastAsiaTheme="minorHAnsi" w:hAnsiTheme="minorHAnsi" w:cstheme="minorBidi"/>
          <w:bCs/>
          <w:sz w:val="22"/>
          <w:szCs w:val="22"/>
        </w:rPr>
      </w:pPr>
      <w:r w:rsidRPr="00C51E07">
        <w:rPr>
          <w:rFonts w:asciiTheme="minorHAnsi" w:eastAsiaTheme="minorHAnsi" w:hAnsiTheme="minorHAnsi" w:cstheme="minorBidi"/>
          <w:bCs/>
          <w:sz w:val="22"/>
          <w:szCs w:val="22"/>
        </w:rPr>
        <w:t>Figure 22: Assessment on the Efficiency of the Law by Participants</w:t>
      </w:r>
    </w:p>
    <w:p w14:paraId="6BD26FDC" w14:textId="77777777" w:rsidR="00B93B70" w:rsidRPr="00C51E07" w:rsidRDefault="00B93B70" w:rsidP="00C51E07">
      <w:pPr>
        <w:spacing w:after="160"/>
        <w:jc w:val="both"/>
        <w:rPr>
          <w:rFonts w:asciiTheme="minorHAnsi" w:eastAsiaTheme="minorHAnsi" w:hAnsiTheme="minorHAnsi" w:cstheme="minorBidi"/>
          <w:bCs/>
          <w:sz w:val="22"/>
          <w:szCs w:val="22"/>
        </w:rPr>
      </w:pPr>
      <w:r w:rsidRPr="00C51E07">
        <w:rPr>
          <w:rFonts w:asciiTheme="minorHAnsi" w:eastAsiaTheme="minorHAnsi" w:hAnsiTheme="minorHAnsi" w:cstheme="minorBidi"/>
          <w:bCs/>
          <w:sz w:val="22"/>
          <w:szCs w:val="22"/>
        </w:rPr>
        <w:t>Figure 23: Suggestions by Participants to Improve the Law from a gender Perspective</w:t>
      </w:r>
    </w:p>
    <w:p w14:paraId="031A49C8" w14:textId="77777777" w:rsidR="00B93B70" w:rsidRPr="00C51E07" w:rsidRDefault="00B93B70" w:rsidP="00C51E07">
      <w:pPr>
        <w:spacing w:after="160"/>
        <w:jc w:val="both"/>
        <w:rPr>
          <w:rFonts w:asciiTheme="minorHAnsi" w:eastAsiaTheme="minorHAnsi" w:hAnsiTheme="minorHAnsi" w:cstheme="minorBidi"/>
          <w:bCs/>
          <w:sz w:val="22"/>
          <w:szCs w:val="22"/>
        </w:rPr>
      </w:pPr>
      <w:r w:rsidRPr="00C51E07">
        <w:rPr>
          <w:rFonts w:asciiTheme="minorHAnsi" w:eastAsiaTheme="minorHAnsi" w:hAnsiTheme="minorHAnsi" w:cstheme="minorBidi"/>
          <w:bCs/>
          <w:sz w:val="22"/>
          <w:szCs w:val="22"/>
        </w:rPr>
        <w:t>Figure 24. Number of Employees at the Interviewed Enterprises, 2022 (%)</w:t>
      </w:r>
    </w:p>
    <w:p w14:paraId="228D1EB4" w14:textId="77777777" w:rsidR="00B93B70" w:rsidRPr="00C51E07" w:rsidRDefault="00B93B70" w:rsidP="00C51E07">
      <w:pPr>
        <w:spacing w:after="160"/>
        <w:jc w:val="both"/>
        <w:rPr>
          <w:rFonts w:asciiTheme="minorHAnsi" w:eastAsiaTheme="minorHAnsi" w:hAnsiTheme="minorHAnsi" w:cstheme="minorBidi"/>
          <w:bCs/>
          <w:sz w:val="22"/>
          <w:szCs w:val="22"/>
        </w:rPr>
      </w:pPr>
      <w:r w:rsidRPr="00C51E07">
        <w:rPr>
          <w:rFonts w:asciiTheme="minorHAnsi" w:eastAsiaTheme="minorHAnsi" w:hAnsiTheme="minorHAnsi" w:cstheme="minorBidi"/>
          <w:bCs/>
          <w:sz w:val="22"/>
          <w:szCs w:val="22"/>
        </w:rPr>
        <w:t>Figure 25. Distribution of Employees by Gender, 2022 (%)</w:t>
      </w:r>
    </w:p>
    <w:p w14:paraId="1ADF96D8" w14:textId="77777777" w:rsidR="00B93B70" w:rsidRPr="00C51E07" w:rsidRDefault="00B93B70" w:rsidP="00C51E07">
      <w:pPr>
        <w:spacing w:after="160"/>
        <w:jc w:val="both"/>
        <w:rPr>
          <w:rFonts w:asciiTheme="minorHAnsi" w:eastAsiaTheme="minorHAnsi" w:hAnsiTheme="minorHAnsi" w:cstheme="minorBidi"/>
          <w:bCs/>
          <w:sz w:val="22"/>
          <w:szCs w:val="22"/>
        </w:rPr>
      </w:pPr>
      <w:r w:rsidRPr="00C51E07">
        <w:rPr>
          <w:rFonts w:asciiTheme="minorHAnsi" w:eastAsiaTheme="minorHAnsi" w:hAnsiTheme="minorHAnsi" w:cstheme="minorBidi"/>
          <w:bCs/>
          <w:sz w:val="22"/>
          <w:szCs w:val="22"/>
        </w:rPr>
        <w:t>Figure 26. Respondents’ Level of Knowledge about Preparation and Implementation of the Labour Law</w:t>
      </w:r>
    </w:p>
    <w:p w14:paraId="0EAA9079" w14:textId="77777777" w:rsidR="00B93B70" w:rsidRPr="00C51E07" w:rsidRDefault="00B93B70" w:rsidP="00C51E07">
      <w:pPr>
        <w:spacing w:after="160"/>
        <w:jc w:val="both"/>
        <w:rPr>
          <w:rFonts w:asciiTheme="minorHAnsi" w:eastAsiaTheme="minorHAnsi" w:hAnsiTheme="minorHAnsi" w:cstheme="minorBidi"/>
          <w:bCs/>
          <w:sz w:val="22"/>
          <w:szCs w:val="22"/>
        </w:rPr>
      </w:pPr>
      <w:r w:rsidRPr="00C51E07">
        <w:rPr>
          <w:rFonts w:asciiTheme="minorHAnsi" w:eastAsiaTheme="minorHAnsi" w:hAnsiTheme="minorHAnsi" w:cstheme="minorBidi"/>
          <w:bCs/>
          <w:sz w:val="22"/>
          <w:szCs w:val="22"/>
        </w:rPr>
        <w:t>Figure 27. The Provisions of the Law that Employees Benefited (%)</w:t>
      </w:r>
    </w:p>
    <w:p w14:paraId="407527AE" w14:textId="77777777" w:rsidR="00B93B70" w:rsidRPr="00C51E07" w:rsidRDefault="00B93B70" w:rsidP="00C51E07">
      <w:pPr>
        <w:spacing w:after="160"/>
        <w:jc w:val="both"/>
        <w:rPr>
          <w:rFonts w:asciiTheme="minorHAnsi" w:eastAsiaTheme="minorHAnsi" w:hAnsiTheme="minorHAnsi" w:cstheme="minorBidi"/>
          <w:bCs/>
          <w:sz w:val="22"/>
          <w:szCs w:val="22"/>
        </w:rPr>
      </w:pPr>
      <w:r w:rsidRPr="00C51E07">
        <w:rPr>
          <w:rFonts w:asciiTheme="minorHAnsi" w:eastAsiaTheme="minorHAnsi" w:hAnsiTheme="minorHAnsi" w:cstheme="minorBidi"/>
          <w:bCs/>
          <w:sz w:val="22"/>
          <w:szCs w:val="22"/>
        </w:rPr>
        <w:t>Figure 28. Assessment on How Provisions in the Labour Law Facilitate Women´s Working life in Practice</w:t>
      </w:r>
    </w:p>
    <w:p w14:paraId="6980211D" w14:textId="77777777" w:rsidR="00B93B70" w:rsidRPr="00C51E07" w:rsidRDefault="00B93B70" w:rsidP="00C51E07">
      <w:pPr>
        <w:spacing w:after="160"/>
        <w:jc w:val="both"/>
        <w:rPr>
          <w:rFonts w:asciiTheme="minorHAnsi" w:eastAsiaTheme="minorHAnsi" w:hAnsiTheme="minorHAnsi" w:cstheme="minorBidi"/>
          <w:bCs/>
          <w:sz w:val="22"/>
          <w:szCs w:val="22"/>
        </w:rPr>
      </w:pPr>
      <w:r w:rsidRPr="00C51E07">
        <w:rPr>
          <w:rFonts w:asciiTheme="minorHAnsi" w:eastAsiaTheme="minorHAnsi" w:hAnsiTheme="minorHAnsi" w:cstheme="minorBidi"/>
          <w:bCs/>
          <w:sz w:val="22"/>
          <w:szCs w:val="22"/>
        </w:rPr>
        <w:lastRenderedPageBreak/>
        <w:t>Figure 29. Assessment on Implementation on the Labour Law in Practice</w:t>
      </w:r>
    </w:p>
    <w:p w14:paraId="73834CBE" w14:textId="77777777" w:rsidR="00B93B70" w:rsidRPr="00C51E07" w:rsidRDefault="00B93B70" w:rsidP="00C51E07">
      <w:pPr>
        <w:spacing w:after="160"/>
        <w:jc w:val="both"/>
        <w:rPr>
          <w:rFonts w:asciiTheme="minorHAnsi" w:eastAsiaTheme="minorHAnsi" w:hAnsiTheme="minorHAnsi" w:cstheme="minorBidi"/>
          <w:bCs/>
          <w:sz w:val="22"/>
          <w:szCs w:val="22"/>
        </w:rPr>
      </w:pPr>
      <w:r w:rsidRPr="00C51E07">
        <w:rPr>
          <w:rFonts w:asciiTheme="minorHAnsi" w:eastAsiaTheme="minorHAnsi" w:hAnsiTheme="minorHAnsi" w:cstheme="minorBidi"/>
          <w:bCs/>
          <w:sz w:val="22"/>
          <w:szCs w:val="22"/>
        </w:rPr>
        <w:t>Figure 30. Measures Taken by the Employers</w:t>
      </w:r>
    </w:p>
    <w:p w14:paraId="0F2414DB" w14:textId="77777777" w:rsidR="00B93B70" w:rsidRPr="00C51E07" w:rsidRDefault="00B93B70" w:rsidP="00C51E07">
      <w:pPr>
        <w:spacing w:after="160"/>
        <w:jc w:val="both"/>
        <w:rPr>
          <w:rFonts w:asciiTheme="minorHAnsi" w:eastAsiaTheme="minorHAnsi" w:hAnsiTheme="minorHAnsi" w:cstheme="minorBidi"/>
          <w:bCs/>
          <w:sz w:val="22"/>
          <w:szCs w:val="22"/>
        </w:rPr>
      </w:pPr>
      <w:r w:rsidRPr="00C51E07">
        <w:rPr>
          <w:rFonts w:asciiTheme="minorHAnsi" w:eastAsiaTheme="minorHAnsi" w:hAnsiTheme="minorHAnsi" w:cstheme="minorBidi"/>
          <w:bCs/>
          <w:sz w:val="22"/>
          <w:szCs w:val="22"/>
        </w:rPr>
        <w:t>Figure 31. Is there any Additional Cost Associated with the Measures for Women´s Employment and Figure 32. Cost Burden of the Measures for Women´s Employment (%)</w:t>
      </w:r>
    </w:p>
    <w:p w14:paraId="7640C489" w14:textId="77777777" w:rsidR="00B93B70" w:rsidRPr="00C51E07" w:rsidRDefault="00B93B70" w:rsidP="00C51E07">
      <w:pPr>
        <w:spacing w:after="160"/>
        <w:jc w:val="both"/>
        <w:rPr>
          <w:rFonts w:asciiTheme="minorHAnsi" w:eastAsiaTheme="minorHAnsi" w:hAnsiTheme="minorHAnsi" w:cstheme="minorBidi"/>
          <w:bCs/>
          <w:sz w:val="22"/>
          <w:szCs w:val="22"/>
        </w:rPr>
      </w:pPr>
      <w:r w:rsidRPr="00C51E07">
        <w:rPr>
          <w:rFonts w:asciiTheme="minorHAnsi" w:eastAsiaTheme="minorHAnsi" w:hAnsiTheme="minorHAnsi" w:cstheme="minorBidi"/>
          <w:bCs/>
          <w:sz w:val="22"/>
          <w:szCs w:val="22"/>
        </w:rPr>
        <w:t>Figure 33. Support in the Implementation of the Provisions of the Labour Law</w:t>
      </w:r>
    </w:p>
    <w:p w14:paraId="2DC0B7B4" w14:textId="77777777" w:rsidR="00B93B70" w:rsidRPr="00C51E07" w:rsidRDefault="00B93B70" w:rsidP="00C51E07">
      <w:pPr>
        <w:spacing w:after="160"/>
        <w:jc w:val="both"/>
        <w:rPr>
          <w:rFonts w:asciiTheme="minorHAnsi" w:eastAsiaTheme="minorHAnsi" w:hAnsiTheme="minorHAnsi" w:cstheme="minorBidi"/>
          <w:bCs/>
          <w:sz w:val="22"/>
          <w:szCs w:val="22"/>
        </w:rPr>
      </w:pPr>
      <w:r w:rsidRPr="00C51E07">
        <w:rPr>
          <w:rFonts w:asciiTheme="minorHAnsi" w:eastAsiaTheme="minorHAnsi" w:hAnsiTheme="minorHAnsi" w:cstheme="minorBidi"/>
          <w:bCs/>
          <w:sz w:val="22"/>
          <w:szCs w:val="22"/>
        </w:rPr>
        <w:t>Figure 34. Do women have Equal Wages, Career Opportunities and Vocational Training with Male Employees?</w:t>
      </w:r>
    </w:p>
    <w:p w14:paraId="555438A6" w14:textId="77777777" w:rsidR="00B93B70" w:rsidRPr="00C51E07" w:rsidRDefault="00B93B70" w:rsidP="00C51E07">
      <w:pPr>
        <w:spacing w:after="160"/>
        <w:jc w:val="both"/>
        <w:rPr>
          <w:rFonts w:asciiTheme="minorHAnsi" w:eastAsiaTheme="minorHAnsi" w:hAnsiTheme="minorHAnsi" w:cstheme="minorBidi"/>
          <w:bCs/>
          <w:sz w:val="22"/>
          <w:szCs w:val="22"/>
        </w:rPr>
      </w:pPr>
      <w:r w:rsidRPr="00C51E07">
        <w:rPr>
          <w:rFonts w:asciiTheme="minorHAnsi" w:eastAsiaTheme="minorHAnsi" w:hAnsiTheme="minorHAnsi" w:cstheme="minorBidi"/>
          <w:bCs/>
          <w:sz w:val="22"/>
          <w:szCs w:val="22"/>
        </w:rPr>
        <w:t>Figure 35 . Having a Mediation in a Labour Court Case regarding Rights Granted to Women Employees during the past Five Years</w:t>
      </w:r>
    </w:p>
    <w:p w14:paraId="1B0E245B" w14:textId="77777777" w:rsidR="00B93B70" w:rsidRPr="00C51E07" w:rsidRDefault="00B93B70" w:rsidP="00C51E07">
      <w:pPr>
        <w:spacing w:after="160"/>
        <w:jc w:val="both"/>
        <w:rPr>
          <w:rFonts w:asciiTheme="minorHAnsi" w:eastAsiaTheme="minorHAnsi" w:hAnsiTheme="minorHAnsi" w:cstheme="minorBidi"/>
          <w:bCs/>
          <w:sz w:val="22"/>
          <w:szCs w:val="22"/>
        </w:rPr>
      </w:pPr>
      <w:r w:rsidRPr="00C51E07">
        <w:rPr>
          <w:rFonts w:asciiTheme="minorHAnsi" w:eastAsiaTheme="minorHAnsi" w:hAnsiTheme="minorHAnsi" w:cstheme="minorBidi"/>
          <w:bCs/>
          <w:sz w:val="22"/>
          <w:szCs w:val="22"/>
        </w:rPr>
        <w:t>Figure 36. Suggestions to Improve Conditions for Female Employers</w:t>
      </w:r>
    </w:p>
    <w:p w14:paraId="089567B1" w14:textId="77777777" w:rsidR="00B93B70" w:rsidRPr="00DB0C40" w:rsidRDefault="00B93B70" w:rsidP="00B93B70">
      <w:pPr>
        <w:spacing w:after="160" w:line="259" w:lineRule="auto"/>
        <w:rPr>
          <w:rFonts w:asciiTheme="minorHAnsi" w:eastAsiaTheme="minorHAnsi" w:hAnsiTheme="minorHAnsi" w:cstheme="minorBidi"/>
          <w:bCs/>
          <w:sz w:val="22"/>
          <w:szCs w:val="22"/>
        </w:rPr>
      </w:pPr>
    </w:p>
    <w:p w14:paraId="66B7A05B" w14:textId="77777777" w:rsidR="00B93B70" w:rsidRPr="00DB0C40" w:rsidRDefault="00B93B70" w:rsidP="00B93B70">
      <w:pPr>
        <w:spacing w:after="160" w:line="259" w:lineRule="auto"/>
        <w:rPr>
          <w:rFonts w:asciiTheme="minorHAnsi" w:eastAsiaTheme="minorHAnsi" w:hAnsiTheme="minorHAnsi" w:cstheme="minorBidi"/>
          <w:bCs/>
          <w:sz w:val="22"/>
          <w:szCs w:val="22"/>
        </w:rPr>
      </w:pPr>
    </w:p>
    <w:p w14:paraId="6B2AE8B1" w14:textId="3F652C96" w:rsidR="00B93B70" w:rsidRPr="00DB0C40" w:rsidRDefault="00DB0C40" w:rsidP="00B93B70">
      <w:pPr>
        <w:spacing w:after="160" w:line="259" w:lineRule="auto"/>
        <w:rPr>
          <w:rFonts w:asciiTheme="minorHAnsi" w:eastAsiaTheme="minorHAnsi" w:hAnsiTheme="minorHAnsi" w:cstheme="minorBidi"/>
          <w:b/>
          <w:sz w:val="22"/>
          <w:szCs w:val="22"/>
        </w:rPr>
      </w:pPr>
      <w:r w:rsidRPr="00DB0C40">
        <w:rPr>
          <w:rFonts w:asciiTheme="minorHAnsi" w:eastAsiaTheme="minorHAnsi" w:hAnsiTheme="minorHAnsi" w:cstheme="minorBidi"/>
          <w:b/>
          <w:sz w:val="22"/>
          <w:szCs w:val="22"/>
        </w:rPr>
        <w:t xml:space="preserve">List of Annexes </w:t>
      </w:r>
    </w:p>
    <w:p w14:paraId="4DA5726F" w14:textId="77777777" w:rsidR="00DB0C40" w:rsidRPr="00DB0C40" w:rsidRDefault="00DB0C40" w:rsidP="00DB0C40">
      <w:pPr>
        <w:textAlignment w:val="baseline"/>
        <w:rPr>
          <w:rFonts w:eastAsia="Times New Roman"/>
          <w:color w:val="000000"/>
          <w:sz w:val="22"/>
          <w:szCs w:val="22"/>
        </w:rPr>
      </w:pPr>
      <w:r w:rsidRPr="00DB0C40">
        <w:rPr>
          <w:rFonts w:eastAsia="Times New Roman"/>
          <w:color w:val="000000"/>
          <w:sz w:val="22"/>
          <w:szCs w:val="22"/>
        </w:rPr>
        <w:t>Annex 1. Desk Research Report.</w:t>
      </w:r>
    </w:p>
    <w:p w14:paraId="5F23E99C" w14:textId="77777777" w:rsidR="00DB0C40" w:rsidRPr="00DB0C40" w:rsidRDefault="00DB0C40" w:rsidP="00DB0C40">
      <w:pPr>
        <w:textAlignment w:val="baseline"/>
        <w:rPr>
          <w:rFonts w:eastAsia="Times New Roman"/>
          <w:color w:val="000000"/>
          <w:sz w:val="22"/>
          <w:szCs w:val="22"/>
        </w:rPr>
      </w:pPr>
      <w:r w:rsidRPr="00DB0C40">
        <w:rPr>
          <w:rFonts w:eastAsia="Times New Roman"/>
          <w:color w:val="000000"/>
          <w:sz w:val="22"/>
          <w:szCs w:val="22"/>
        </w:rPr>
        <w:t>Annex 2. Questionnaire for Stakeholder Meetings.</w:t>
      </w:r>
    </w:p>
    <w:p w14:paraId="7FC5E4FA" w14:textId="1ACBADAE" w:rsidR="00DB0C40" w:rsidRPr="00DB0C40" w:rsidRDefault="00DB0C40" w:rsidP="00DB0C40">
      <w:pPr>
        <w:textAlignment w:val="baseline"/>
        <w:rPr>
          <w:rFonts w:eastAsia="Times New Roman"/>
          <w:color w:val="000000"/>
          <w:sz w:val="22"/>
          <w:szCs w:val="22"/>
        </w:rPr>
      </w:pPr>
      <w:r w:rsidRPr="00DB0C40">
        <w:rPr>
          <w:rFonts w:eastAsia="Times New Roman"/>
          <w:color w:val="000000"/>
          <w:sz w:val="22"/>
          <w:szCs w:val="22"/>
        </w:rPr>
        <w:t xml:space="preserve">Annex 3. Pre-Study Workshop </w:t>
      </w:r>
      <w:r w:rsidR="00795554">
        <w:rPr>
          <w:rFonts w:eastAsia="Times New Roman"/>
          <w:color w:val="000000"/>
          <w:sz w:val="22"/>
          <w:szCs w:val="22"/>
        </w:rPr>
        <w:t xml:space="preserve">Evaluation </w:t>
      </w:r>
      <w:r w:rsidRPr="00DB0C40">
        <w:rPr>
          <w:rFonts w:eastAsia="Times New Roman"/>
          <w:color w:val="000000"/>
          <w:sz w:val="22"/>
          <w:szCs w:val="22"/>
        </w:rPr>
        <w:t>Report.</w:t>
      </w:r>
    </w:p>
    <w:p w14:paraId="65EE4CD2" w14:textId="77777777" w:rsidR="00DB0C40" w:rsidRPr="00DB0C40" w:rsidRDefault="00DB0C40" w:rsidP="00DB0C40">
      <w:pPr>
        <w:textAlignment w:val="baseline"/>
        <w:rPr>
          <w:rFonts w:eastAsia="Times New Roman"/>
          <w:color w:val="000000"/>
          <w:sz w:val="22"/>
          <w:szCs w:val="22"/>
        </w:rPr>
      </w:pPr>
      <w:r w:rsidRPr="00DB0C40">
        <w:rPr>
          <w:rFonts w:eastAsia="Times New Roman"/>
          <w:color w:val="000000"/>
          <w:sz w:val="22"/>
          <w:szCs w:val="22"/>
        </w:rPr>
        <w:t>Annex 4. Semi-Structured Questionnaires for Field Study.</w:t>
      </w:r>
    </w:p>
    <w:p w14:paraId="0205F3D4" w14:textId="76A4A1F1" w:rsidR="00DB0C40" w:rsidRPr="00DB0C40" w:rsidRDefault="00DB0C40" w:rsidP="00DB0C40">
      <w:pPr>
        <w:textAlignment w:val="baseline"/>
        <w:rPr>
          <w:rFonts w:eastAsia="Times New Roman"/>
          <w:color w:val="000000"/>
          <w:sz w:val="22"/>
          <w:szCs w:val="22"/>
        </w:rPr>
      </w:pPr>
      <w:r w:rsidRPr="00DB0C40">
        <w:rPr>
          <w:rFonts w:eastAsia="Times New Roman"/>
          <w:color w:val="000000"/>
          <w:sz w:val="22"/>
          <w:szCs w:val="22"/>
          <w:bdr w:val="none" w:sz="0" w:space="0" w:color="auto" w:frame="1"/>
        </w:rPr>
        <w:t xml:space="preserve">Annex 5. Post-Study Workshop </w:t>
      </w:r>
      <w:r w:rsidR="00795554">
        <w:rPr>
          <w:rFonts w:eastAsia="Times New Roman"/>
          <w:color w:val="000000"/>
          <w:sz w:val="22"/>
          <w:szCs w:val="22"/>
          <w:bdr w:val="none" w:sz="0" w:space="0" w:color="auto" w:frame="1"/>
        </w:rPr>
        <w:t xml:space="preserve">Evaluation </w:t>
      </w:r>
      <w:r w:rsidRPr="00DB0C40">
        <w:rPr>
          <w:rFonts w:eastAsia="Times New Roman"/>
          <w:color w:val="000000"/>
          <w:sz w:val="22"/>
          <w:szCs w:val="22"/>
          <w:bdr w:val="none" w:sz="0" w:space="0" w:color="auto" w:frame="1"/>
        </w:rPr>
        <w:t>Report.</w:t>
      </w:r>
    </w:p>
    <w:p w14:paraId="614DD37B" w14:textId="297B0FA6" w:rsidR="00DB0C40" w:rsidRPr="00DB0C40" w:rsidRDefault="00DB0C40" w:rsidP="00B93B70">
      <w:pPr>
        <w:spacing w:after="160" w:line="259" w:lineRule="auto"/>
        <w:rPr>
          <w:rFonts w:asciiTheme="minorHAnsi" w:eastAsiaTheme="minorHAnsi" w:hAnsiTheme="minorHAnsi" w:cstheme="minorBidi"/>
          <w:bCs/>
          <w:sz w:val="22"/>
          <w:szCs w:val="22"/>
        </w:rPr>
      </w:pPr>
      <w:r w:rsidRPr="00DB0C40">
        <w:rPr>
          <w:rFonts w:asciiTheme="minorHAnsi" w:eastAsiaTheme="minorHAnsi" w:hAnsiTheme="minorHAnsi" w:cstheme="minorBidi"/>
          <w:bCs/>
          <w:sz w:val="22"/>
          <w:szCs w:val="22"/>
        </w:rPr>
        <w:t xml:space="preserve"> </w:t>
      </w:r>
    </w:p>
    <w:p w14:paraId="6C56CA6F" w14:textId="77777777" w:rsidR="00DB0C40" w:rsidRPr="00DB0C40" w:rsidRDefault="00DB0C40" w:rsidP="00B93B70">
      <w:pPr>
        <w:spacing w:after="160" w:line="259" w:lineRule="auto"/>
        <w:rPr>
          <w:rFonts w:asciiTheme="minorHAnsi" w:eastAsiaTheme="minorHAnsi" w:hAnsiTheme="minorHAnsi" w:cstheme="minorBidi"/>
          <w:b/>
          <w:sz w:val="22"/>
          <w:szCs w:val="22"/>
        </w:rPr>
      </w:pPr>
    </w:p>
    <w:p w14:paraId="54EEF3F3" w14:textId="77777777" w:rsidR="00BB44E1" w:rsidRPr="00DB0C40" w:rsidRDefault="00BB44E1"/>
    <w:p w14:paraId="78C96052" w14:textId="77777777" w:rsidR="00BB44E1" w:rsidRPr="00DB0C40" w:rsidRDefault="00BB44E1"/>
    <w:p w14:paraId="6081135D" w14:textId="77777777" w:rsidR="00BB44E1" w:rsidRPr="00DB0C40" w:rsidRDefault="00BB44E1">
      <w:pPr>
        <w:jc w:val="both"/>
        <w:rPr>
          <w:b/>
          <w:sz w:val="22"/>
          <w:szCs w:val="22"/>
        </w:rPr>
      </w:pPr>
    </w:p>
    <w:p w14:paraId="52D0AE13" w14:textId="77777777" w:rsidR="00BB44E1" w:rsidRPr="00DB0C40" w:rsidRDefault="00230B49">
      <w:pPr>
        <w:rPr>
          <w:color w:val="2F5496"/>
          <w:sz w:val="22"/>
          <w:szCs w:val="22"/>
        </w:rPr>
      </w:pPr>
      <w:bookmarkStart w:id="1" w:name="_heading=h.gjdgxs" w:colFirst="0" w:colLast="0"/>
      <w:bookmarkEnd w:id="1"/>
      <w:r w:rsidRPr="00DB0C40">
        <w:br w:type="page"/>
      </w:r>
    </w:p>
    <w:p w14:paraId="2AB30032" w14:textId="77777777" w:rsidR="00BB44E1" w:rsidRPr="00DB0C40" w:rsidRDefault="00230B49">
      <w:pPr>
        <w:pStyle w:val="Heading1"/>
        <w:rPr>
          <w:sz w:val="28"/>
          <w:szCs w:val="28"/>
        </w:rPr>
      </w:pPr>
      <w:bookmarkStart w:id="2" w:name="_heading=h.30j0zll" w:colFirst="0" w:colLast="0"/>
      <w:bookmarkEnd w:id="2"/>
      <w:r w:rsidRPr="00DB0C40">
        <w:rPr>
          <w:sz w:val="28"/>
          <w:szCs w:val="28"/>
        </w:rPr>
        <w:lastRenderedPageBreak/>
        <w:t>LIST OF ABBREVIATIONS</w:t>
      </w:r>
    </w:p>
    <w:p w14:paraId="301B4A38" w14:textId="77777777" w:rsidR="00BB44E1" w:rsidRPr="00DB0C40" w:rsidRDefault="00BB44E1"/>
    <w:tbl>
      <w:tblPr>
        <w:tblStyle w:val="a0"/>
        <w:tblW w:w="9072"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98"/>
        <w:gridCol w:w="6874"/>
      </w:tblGrid>
      <w:tr w:rsidR="00BB44E1" w:rsidRPr="00DB0C40" w14:paraId="5970164F" w14:textId="77777777">
        <w:trPr>
          <w:trHeight w:val="138"/>
        </w:trPr>
        <w:tc>
          <w:tcPr>
            <w:tcW w:w="2198" w:type="dxa"/>
            <w:shd w:val="clear" w:color="auto" w:fill="4F81BD"/>
          </w:tcPr>
          <w:p w14:paraId="21FB07D5" w14:textId="77777777" w:rsidR="00BB44E1" w:rsidRPr="00DB0C40" w:rsidRDefault="00230B49">
            <w:pPr>
              <w:spacing w:line="276" w:lineRule="auto"/>
              <w:jc w:val="both"/>
              <w:rPr>
                <w:sz w:val="20"/>
                <w:szCs w:val="20"/>
              </w:rPr>
            </w:pPr>
            <w:r w:rsidRPr="00DB0C40">
              <w:rPr>
                <w:b/>
                <w:sz w:val="20"/>
                <w:szCs w:val="20"/>
              </w:rPr>
              <w:t xml:space="preserve">Abbreviation </w:t>
            </w:r>
          </w:p>
        </w:tc>
        <w:tc>
          <w:tcPr>
            <w:tcW w:w="6874" w:type="dxa"/>
            <w:shd w:val="clear" w:color="auto" w:fill="4F81BD"/>
          </w:tcPr>
          <w:p w14:paraId="366846C7" w14:textId="77777777" w:rsidR="00BB44E1" w:rsidRPr="00DB0C40" w:rsidRDefault="00230B49">
            <w:pPr>
              <w:spacing w:line="276" w:lineRule="auto"/>
              <w:jc w:val="both"/>
              <w:rPr>
                <w:sz w:val="20"/>
                <w:szCs w:val="20"/>
              </w:rPr>
            </w:pPr>
            <w:r w:rsidRPr="00DB0C40">
              <w:rPr>
                <w:b/>
                <w:sz w:val="20"/>
                <w:szCs w:val="20"/>
              </w:rPr>
              <w:t xml:space="preserve">Meaning </w:t>
            </w:r>
          </w:p>
        </w:tc>
      </w:tr>
      <w:tr w:rsidR="00BB44E1" w:rsidRPr="00DB0C40" w14:paraId="239A53ED" w14:textId="77777777">
        <w:trPr>
          <w:trHeight w:val="138"/>
        </w:trPr>
        <w:tc>
          <w:tcPr>
            <w:tcW w:w="2198" w:type="dxa"/>
            <w:shd w:val="clear" w:color="auto" w:fill="D9E2F3"/>
          </w:tcPr>
          <w:p w14:paraId="3C14C29F" w14:textId="77777777" w:rsidR="00BB44E1" w:rsidRPr="00DB0C40" w:rsidRDefault="00230B49">
            <w:pPr>
              <w:spacing w:before="40" w:after="40" w:line="276" w:lineRule="auto"/>
              <w:jc w:val="both"/>
              <w:rPr>
                <w:b/>
                <w:sz w:val="18"/>
                <w:szCs w:val="18"/>
              </w:rPr>
            </w:pPr>
            <w:r w:rsidRPr="00DB0C40">
              <w:rPr>
                <w:b/>
                <w:sz w:val="18"/>
                <w:szCs w:val="18"/>
              </w:rPr>
              <w:t>BDPfA</w:t>
            </w:r>
            <w:r w:rsidRPr="00DB0C40">
              <w:rPr>
                <w:b/>
                <w:sz w:val="18"/>
                <w:szCs w:val="18"/>
              </w:rPr>
              <w:tab/>
            </w:r>
          </w:p>
        </w:tc>
        <w:tc>
          <w:tcPr>
            <w:tcW w:w="6874" w:type="dxa"/>
          </w:tcPr>
          <w:p w14:paraId="037B1326" w14:textId="77777777" w:rsidR="00BB44E1" w:rsidRPr="00DB0C40" w:rsidRDefault="00230B49">
            <w:pPr>
              <w:spacing w:before="40" w:after="40" w:line="276" w:lineRule="auto"/>
              <w:jc w:val="both"/>
              <w:rPr>
                <w:sz w:val="20"/>
                <w:szCs w:val="20"/>
              </w:rPr>
            </w:pPr>
            <w:r w:rsidRPr="00DB0C40">
              <w:rPr>
                <w:sz w:val="22"/>
                <w:szCs w:val="22"/>
              </w:rPr>
              <w:t>Beijing Declaration and Platform for Action</w:t>
            </w:r>
          </w:p>
        </w:tc>
      </w:tr>
      <w:tr w:rsidR="00BB44E1" w:rsidRPr="00DB0C40" w14:paraId="2388EDC4" w14:textId="77777777">
        <w:trPr>
          <w:trHeight w:val="138"/>
        </w:trPr>
        <w:tc>
          <w:tcPr>
            <w:tcW w:w="2198" w:type="dxa"/>
            <w:shd w:val="clear" w:color="auto" w:fill="D9E2F3"/>
          </w:tcPr>
          <w:p w14:paraId="72926AA2" w14:textId="77777777" w:rsidR="00BB44E1" w:rsidRPr="00DB0C40" w:rsidRDefault="00230B49">
            <w:pPr>
              <w:spacing w:before="40" w:after="40" w:line="276" w:lineRule="auto"/>
              <w:jc w:val="both"/>
              <w:rPr>
                <w:b/>
                <w:sz w:val="18"/>
                <w:szCs w:val="18"/>
              </w:rPr>
            </w:pPr>
            <w:r w:rsidRPr="00DB0C40">
              <w:rPr>
                <w:b/>
                <w:sz w:val="18"/>
                <w:szCs w:val="18"/>
              </w:rPr>
              <w:t>CEDAW</w:t>
            </w:r>
          </w:p>
        </w:tc>
        <w:tc>
          <w:tcPr>
            <w:tcW w:w="6874" w:type="dxa"/>
          </w:tcPr>
          <w:p w14:paraId="7611CA40" w14:textId="77777777" w:rsidR="00BB44E1" w:rsidRPr="00DB0C40" w:rsidRDefault="00230B49">
            <w:pPr>
              <w:spacing w:before="40" w:after="40" w:line="276" w:lineRule="auto"/>
              <w:jc w:val="both"/>
              <w:rPr>
                <w:sz w:val="20"/>
                <w:szCs w:val="20"/>
              </w:rPr>
            </w:pPr>
            <w:r w:rsidRPr="00DB0C40">
              <w:rPr>
                <w:sz w:val="22"/>
                <w:szCs w:val="22"/>
              </w:rPr>
              <w:t>Convention on the Elimination of Discrimination against Women</w:t>
            </w:r>
          </w:p>
        </w:tc>
      </w:tr>
      <w:tr w:rsidR="00BB44E1" w:rsidRPr="00DB0C40" w14:paraId="011E4521" w14:textId="77777777">
        <w:trPr>
          <w:trHeight w:val="138"/>
        </w:trPr>
        <w:tc>
          <w:tcPr>
            <w:tcW w:w="2198" w:type="dxa"/>
            <w:shd w:val="clear" w:color="auto" w:fill="D9E2F3"/>
          </w:tcPr>
          <w:p w14:paraId="57163D10" w14:textId="77777777" w:rsidR="00BB44E1" w:rsidRPr="00DB0C40" w:rsidRDefault="00230B49">
            <w:pPr>
              <w:spacing w:before="40" w:after="40" w:line="276" w:lineRule="auto"/>
              <w:jc w:val="both"/>
              <w:rPr>
                <w:b/>
                <w:sz w:val="18"/>
                <w:szCs w:val="18"/>
              </w:rPr>
            </w:pPr>
            <w:r w:rsidRPr="00DB0C40">
              <w:rPr>
                <w:b/>
                <w:sz w:val="18"/>
                <w:szCs w:val="18"/>
              </w:rPr>
              <w:t>CJEU</w:t>
            </w:r>
          </w:p>
        </w:tc>
        <w:tc>
          <w:tcPr>
            <w:tcW w:w="6874" w:type="dxa"/>
          </w:tcPr>
          <w:p w14:paraId="0B3165E2" w14:textId="77777777" w:rsidR="00BB44E1" w:rsidRPr="00DB0C40" w:rsidRDefault="00230B49">
            <w:pPr>
              <w:rPr>
                <w:sz w:val="20"/>
                <w:szCs w:val="20"/>
              </w:rPr>
            </w:pPr>
            <w:r w:rsidRPr="00DB0C40">
              <w:rPr>
                <w:sz w:val="22"/>
                <w:szCs w:val="22"/>
              </w:rPr>
              <w:t>Court of Justice of the European Union</w:t>
            </w:r>
          </w:p>
        </w:tc>
      </w:tr>
      <w:tr w:rsidR="00BB44E1" w:rsidRPr="00DB0C40" w14:paraId="3FE6DAE2" w14:textId="77777777">
        <w:trPr>
          <w:trHeight w:val="138"/>
        </w:trPr>
        <w:tc>
          <w:tcPr>
            <w:tcW w:w="2198" w:type="dxa"/>
            <w:shd w:val="clear" w:color="auto" w:fill="D9E2F3"/>
          </w:tcPr>
          <w:p w14:paraId="014EB50B" w14:textId="77777777" w:rsidR="00BB44E1" w:rsidRPr="00DB0C40" w:rsidRDefault="00230B49">
            <w:pPr>
              <w:spacing w:before="40" w:after="40" w:line="276" w:lineRule="auto"/>
              <w:jc w:val="both"/>
              <w:rPr>
                <w:b/>
                <w:sz w:val="18"/>
                <w:szCs w:val="18"/>
              </w:rPr>
            </w:pPr>
            <w:r w:rsidRPr="00DB0C40">
              <w:rPr>
                <w:b/>
                <w:sz w:val="18"/>
                <w:szCs w:val="18"/>
              </w:rPr>
              <w:t>COVID-19</w:t>
            </w:r>
          </w:p>
        </w:tc>
        <w:tc>
          <w:tcPr>
            <w:tcW w:w="6874" w:type="dxa"/>
          </w:tcPr>
          <w:p w14:paraId="4384275C" w14:textId="77777777" w:rsidR="00BB44E1" w:rsidRPr="00DB0C40" w:rsidRDefault="00230B49">
            <w:pPr>
              <w:spacing w:before="40" w:after="40" w:line="276" w:lineRule="auto"/>
              <w:jc w:val="both"/>
              <w:rPr>
                <w:sz w:val="20"/>
                <w:szCs w:val="20"/>
              </w:rPr>
            </w:pPr>
            <w:r w:rsidRPr="00DB0C40">
              <w:rPr>
                <w:sz w:val="22"/>
                <w:szCs w:val="22"/>
              </w:rPr>
              <w:t>Corona virus disease 2019</w:t>
            </w:r>
          </w:p>
        </w:tc>
      </w:tr>
      <w:tr w:rsidR="00BB44E1" w:rsidRPr="00DB0C40" w14:paraId="70799D96" w14:textId="77777777">
        <w:trPr>
          <w:trHeight w:val="138"/>
        </w:trPr>
        <w:tc>
          <w:tcPr>
            <w:tcW w:w="2198" w:type="dxa"/>
            <w:shd w:val="clear" w:color="auto" w:fill="D9E2F3"/>
          </w:tcPr>
          <w:p w14:paraId="1667F542" w14:textId="77777777" w:rsidR="00BB44E1" w:rsidRPr="00DB0C40" w:rsidRDefault="00230B49">
            <w:pPr>
              <w:spacing w:before="40" w:after="40" w:line="276" w:lineRule="auto"/>
              <w:jc w:val="both"/>
              <w:rPr>
                <w:b/>
                <w:sz w:val="18"/>
                <w:szCs w:val="18"/>
              </w:rPr>
            </w:pPr>
            <w:r w:rsidRPr="00DB0C40">
              <w:rPr>
                <w:b/>
                <w:sz w:val="18"/>
                <w:szCs w:val="18"/>
              </w:rPr>
              <w:t>CSA</w:t>
            </w:r>
          </w:p>
        </w:tc>
        <w:tc>
          <w:tcPr>
            <w:tcW w:w="6874" w:type="dxa"/>
          </w:tcPr>
          <w:p w14:paraId="2D38A0B2" w14:textId="77777777" w:rsidR="00BB44E1" w:rsidRPr="00DB0C40" w:rsidRDefault="00230B49">
            <w:pPr>
              <w:spacing w:before="40" w:after="40" w:line="276" w:lineRule="auto"/>
              <w:jc w:val="both"/>
              <w:rPr>
                <w:sz w:val="20"/>
                <w:szCs w:val="20"/>
              </w:rPr>
            </w:pPr>
            <w:r w:rsidRPr="00DB0C40">
              <w:rPr>
                <w:sz w:val="22"/>
                <w:szCs w:val="22"/>
              </w:rPr>
              <w:t>Civil Servants Act of 1965</w:t>
            </w:r>
          </w:p>
        </w:tc>
      </w:tr>
      <w:tr w:rsidR="00BB44E1" w:rsidRPr="00DB0C40" w14:paraId="527EDBDC" w14:textId="77777777">
        <w:trPr>
          <w:trHeight w:val="138"/>
        </w:trPr>
        <w:tc>
          <w:tcPr>
            <w:tcW w:w="2198" w:type="dxa"/>
            <w:shd w:val="clear" w:color="auto" w:fill="D9E2F3"/>
          </w:tcPr>
          <w:p w14:paraId="049F63EE" w14:textId="77777777" w:rsidR="00BB44E1" w:rsidRPr="00DB0C40" w:rsidRDefault="00230B49">
            <w:pPr>
              <w:spacing w:before="40" w:after="40" w:line="276" w:lineRule="auto"/>
              <w:jc w:val="both"/>
              <w:rPr>
                <w:b/>
                <w:sz w:val="18"/>
                <w:szCs w:val="18"/>
              </w:rPr>
            </w:pPr>
            <w:r w:rsidRPr="00DB0C40">
              <w:rPr>
                <w:b/>
                <w:sz w:val="18"/>
                <w:szCs w:val="18"/>
              </w:rPr>
              <w:t>DV</w:t>
            </w:r>
          </w:p>
        </w:tc>
        <w:tc>
          <w:tcPr>
            <w:tcW w:w="6874" w:type="dxa"/>
          </w:tcPr>
          <w:p w14:paraId="71C94C3E" w14:textId="77777777" w:rsidR="00BB44E1" w:rsidRPr="00DB0C40" w:rsidRDefault="00230B49">
            <w:pPr>
              <w:spacing w:before="40" w:after="40" w:line="276" w:lineRule="auto"/>
              <w:jc w:val="both"/>
              <w:rPr>
                <w:sz w:val="20"/>
                <w:szCs w:val="20"/>
              </w:rPr>
            </w:pPr>
            <w:r w:rsidRPr="00DB0C40">
              <w:rPr>
                <w:sz w:val="22"/>
                <w:szCs w:val="22"/>
              </w:rPr>
              <w:t>Domestic violence</w:t>
            </w:r>
          </w:p>
        </w:tc>
      </w:tr>
      <w:tr w:rsidR="00BB44E1" w:rsidRPr="00DB0C40" w14:paraId="788A739C" w14:textId="77777777">
        <w:trPr>
          <w:trHeight w:val="138"/>
        </w:trPr>
        <w:tc>
          <w:tcPr>
            <w:tcW w:w="2198" w:type="dxa"/>
            <w:shd w:val="clear" w:color="auto" w:fill="D9E2F3"/>
          </w:tcPr>
          <w:p w14:paraId="67C57224" w14:textId="77777777" w:rsidR="00BB44E1" w:rsidRPr="00DB0C40" w:rsidRDefault="00230B49">
            <w:pPr>
              <w:spacing w:before="40" w:after="40" w:line="276" w:lineRule="auto"/>
              <w:jc w:val="both"/>
              <w:rPr>
                <w:b/>
                <w:sz w:val="18"/>
                <w:szCs w:val="18"/>
              </w:rPr>
            </w:pPr>
            <w:r w:rsidRPr="00DB0C40">
              <w:rPr>
                <w:sz w:val="22"/>
                <w:szCs w:val="22"/>
              </w:rPr>
              <w:t xml:space="preserve">EA  </w:t>
            </w:r>
          </w:p>
        </w:tc>
        <w:tc>
          <w:tcPr>
            <w:tcW w:w="6874" w:type="dxa"/>
          </w:tcPr>
          <w:p w14:paraId="1CB8CC83" w14:textId="77777777" w:rsidR="00BB44E1" w:rsidRPr="00DB0C40" w:rsidRDefault="00230B49">
            <w:pPr>
              <w:spacing w:before="40" w:after="40" w:line="276" w:lineRule="auto"/>
              <w:jc w:val="both"/>
              <w:rPr>
                <w:sz w:val="20"/>
                <w:szCs w:val="20"/>
              </w:rPr>
            </w:pPr>
            <w:r w:rsidRPr="00DB0C40">
              <w:rPr>
                <w:sz w:val="22"/>
                <w:szCs w:val="22"/>
              </w:rPr>
              <w:t>Employment Act</w:t>
            </w:r>
          </w:p>
        </w:tc>
      </w:tr>
      <w:tr w:rsidR="00BB44E1" w:rsidRPr="00DB0C40" w14:paraId="465C5FE7" w14:textId="77777777">
        <w:trPr>
          <w:trHeight w:val="138"/>
        </w:trPr>
        <w:tc>
          <w:tcPr>
            <w:tcW w:w="2198" w:type="dxa"/>
            <w:shd w:val="clear" w:color="auto" w:fill="D9E2F3"/>
          </w:tcPr>
          <w:p w14:paraId="72822673" w14:textId="77777777" w:rsidR="00BB44E1" w:rsidRPr="00DB0C40" w:rsidRDefault="00230B49">
            <w:pPr>
              <w:spacing w:before="40" w:after="40" w:line="276" w:lineRule="auto"/>
              <w:jc w:val="both"/>
              <w:rPr>
                <w:b/>
                <w:sz w:val="18"/>
                <w:szCs w:val="18"/>
              </w:rPr>
            </w:pPr>
            <w:r w:rsidRPr="00DB0C40">
              <w:rPr>
                <w:sz w:val="22"/>
                <w:szCs w:val="22"/>
              </w:rPr>
              <w:t>EBMOs</w:t>
            </w:r>
          </w:p>
        </w:tc>
        <w:tc>
          <w:tcPr>
            <w:tcW w:w="6874" w:type="dxa"/>
          </w:tcPr>
          <w:p w14:paraId="0609F082" w14:textId="77777777" w:rsidR="00BB44E1" w:rsidRPr="00DB0C40" w:rsidRDefault="00230B49">
            <w:pPr>
              <w:spacing w:before="40" w:after="40" w:line="276" w:lineRule="auto"/>
              <w:jc w:val="both"/>
              <w:rPr>
                <w:sz w:val="20"/>
                <w:szCs w:val="20"/>
              </w:rPr>
            </w:pPr>
            <w:r w:rsidRPr="00DB0C40">
              <w:rPr>
                <w:sz w:val="22"/>
                <w:szCs w:val="22"/>
              </w:rPr>
              <w:t>Employer and business membership organisations</w:t>
            </w:r>
          </w:p>
        </w:tc>
      </w:tr>
      <w:tr w:rsidR="00BB44E1" w:rsidRPr="00DB0C40" w14:paraId="1318B85D" w14:textId="77777777">
        <w:trPr>
          <w:trHeight w:val="138"/>
        </w:trPr>
        <w:tc>
          <w:tcPr>
            <w:tcW w:w="2198" w:type="dxa"/>
            <w:shd w:val="clear" w:color="auto" w:fill="D9E2F3"/>
          </w:tcPr>
          <w:p w14:paraId="60D7EEFE" w14:textId="77777777" w:rsidR="00BB44E1" w:rsidRPr="00DB0C40" w:rsidRDefault="00230B49">
            <w:pPr>
              <w:spacing w:before="40" w:after="40" w:line="276" w:lineRule="auto"/>
              <w:jc w:val="both"/>
              <w:rPr>
                <w:b/>
                <w:sz w:val="18"/>
                <w:szCs w:val="18"/>
              </w:rPr>
            </w:pPr>
            <w:r w:rsidRPr="00DB0C40">
              <w:rPr>
                <w:sz w:val="22"/>
                <w:szCs w:val="22"/>
              </w:rPr>
              <w:t>ECCE</w:t>
            </w:r>
          </w:p>
        </w:tc>
        <w:tc>
          <w:tcPr>
            <w:tcW w:w="6874" w:type="dxa"/>
          </w:tcPr>
          <w:p w14:paraId="56F86A74" w14:textId="77777777" w:rsidR="00BB44E1" w:rsidRPr="00DB0C40" w:rsidRDefault="00230B49">
            <w:pPr>
              <w:spacing w:before="40" w:after="40" w:line="276" w:lineRule="auto"/>
              <w:jc w:val="both"/>
              <w:rPr>
                <w:sz w:val="20"/>
                <w:szCs w:val="20"/>
              </w:rPr>
            </w:pPr>
            <w:r w:rsidRPr="00DB0C40">
              <w:rPr>
                <w:sz w:val="22"/>
                <w:szCs w:val="22"/>
              </w:rPr>
              <w:t>Early childhood care and education</w:t>
            </w:r>
          </w:p>
        </w:tc>
      </w:tr>
      <w:tr w:rsidR="00BB44E1" w:rsidRPr="00DB0C40" w14:paraId="6C9A8A4B" w14:textId="77777777">
        <w:trPr>
          <w:trHeight w:val="138"/>
        </w:trPr>
        <w:tc>
          <w:tcPr>
            <w:tcW w:w="2198" w:type="dxa"/>
            <w:shd w:val="clear" w:color="auto" w:fill="D9E2F3"/>
          </w:tcPr>
          <w:p w14:paraId="3665818E" w14:textId="77777777" w:rsidR="00BB44E1" w:rsidRPr="00DB0C40" w:rsidRDefault="00230B49">
            <w:pPr>
              <w:spacing w:before="40" w:after="40" w:line="276" w:lineRule="auto"/>
              <w:jc w:val="both"/>
              <w:rPr>
                <w:b/>
                <w:sz w:val="18"/>
                <w:szCs w:val="18"/>
              </w:rPr>
            </w:pPr>
            <w:r w:rsidRPr="00DB0C40">
              <w:rPr>
                <w:sz w:val="22"/>
                <w:szCs w:val="22"/>
              </w:rPr>
              <w:t>EC</w:t>
            </w:r>
          </w:p>
        </w:tc>
        <w:tc>
          <w:tcPr>
            <w:tcW w:w="6874" w:type="dxa"/>
          </w:tcPr>
          <w:p w14:paraId="6F280025" w14:textId="77777777" w:rsidR="00BB44E1" w:rsidRPr="00DB0C40" w:rsidRDefault="00230B49">
            <w:pPr>
              <w:spacing w:before="40" w:after="40" w:line="276" w:lineRule="auto"/>
              <w:jc w:val="both"/>
              <w:rPr>
                <w:sz w:val="20"/>
                <w:szCs w:val="20"/>
              </w:rPr>
            </w:pPr>
            <w:r w:rsidRPr="00DB0C40">
              <w:rPr>
                <w:sz w:val="22"/>
                <w:szCs w:val="22"/>
              </w:rPr>
              <w:t>European Commission</w:t>
            </w:r>
          </w:p>
        </w:tc>
      </w:tr>
      <w:tr w:rsidR="00BB44E1" w:rsidRPr="00DB0C40" w14:paraId="3A358403" w14:textId="77777777">
        <w:trPr>
          <w:trHeight w:val="138"/>
        </w:trPr>
        <w:tc>
          <w:tcPr>
            <w:tcW w:w="2198" w:type="dxa"/>
            <w:shd w:val="clear" w:color="auto" w:fill="D9E2F3"/>
          </w:tcPr>
          <w:p w14:paraId="7FB84D03" w14:textId="77777777" w:rsidR="00BB44E1" w:rsidRPr="00DB0C40" w:rsidRDefault="00230B49">
            <w:pPr>
              <w:spacing w:before="40" w:after="40" w:line="276" w:lineRule="auto"/>
              <w:jc w:val="both"/>
              <w:rPr>
                <w:b/>
                <w:sz w:val="18"/>
                <w:szCs w:val="18"/>
              </w:rPr>
            </w:pPr>
            <w:r w:rsidRPr="00DB0C40">
              <w:rPr>
                <w:sz w:val="22"/>
                <w:szCs w:val="22"/>
              </w:rPr>
              <w:t>EIGE</w:t>
            </w:r>
          </w:p>
        </w:tc>
        <w:tc>
          <w:tcPr>
            <w:tcW w:w="6874" w:type="dxa"/>
          </w:tcPr>
          <w:p w14:paraId="5C6F7056" w14:textId="77777777" w:rsidR="00BB44E1" w:rsidRPr="00DB0C40" w:rsidRDefault="00230B49">
            <w:pPr>
              <w:spacing w:before="40" w:after="40" w:line="276" w:lineRule="auto"/>
              <w:jc w:val="both"/>
              <w:rPr>
                <w:sz w:val="20"/>
                <w:szCs w:val="20"/>
              </w:rPr>
            </w:pPr>
            <w:r w:rsidRPr="00DB0C40">
              <w:rPr>
                <w:sz w:val="22"/>
                <w:szCs w:val="22"/>
              </w:rPr>
              <w:t>European Institute for Gender Equality</w:t>
            </w:r>
          </w:p>
        </w:tc>
      </w:tr>
      <w:tr w:rsidR="00BB44E1" w:rsidRPr="00DB0C40" w14:paraId="0BF7A30F" w14:textId="77777777">
        <w:trPr>
          <w:trHeight w:val="138"/>
        </w:trPr>
        <w:tc>
          <w:tcPr>
            <w:tcW w:w="2198" w:type="dxa"/>
            <w:shd w:val="clear" w:color="auto" w:fill="D9E2F3"/>
          </w:tcPr>
          <w:p w14:paraId="321628BA" w14:textId="77777777" w:rsidR="00BB44E1" w:rsidRPr="00DB0C40" w:rsidRDefault="00230B49">
            <w:pPr>
              <w:spacing w:before="40" w:after="40" w:line="276" w:lineRule="auto"/>
              <w:jc w:val="both"/>
              <w:rPr>
                <w:b/>
                <w:sz w:val="18"/>
                <w:szCs w:val="18"/>
              </w:rPr>
            </w:pPr>
            <w:r w:rsidRPr="00DB0C40">
              <w:rPr>
                <w:sz w:val="22"/>
                <w:szCs w:val="22"/>
              </w:rPr>
              <w:t>EPIC</w:t>
            </w:r>
          </w:p>
        </w:tc>
        <w:tc>
          <w:tcPr>
            <w:tcW w:w="6874" w:type="dxa"/>
          </w:tcPr>
          <w:p w14:paraId="172545E8" w14:textId="77777777" w:rsidR="00BB44E1" w:rsidRPr="00DB0C40" w:rsidRDefault="00230B49">
            <w:pPr>
              <w:rPr>
                <w:sz w:val="20"/>
                <w:szCs w:val="20"/>
              </w:rPr>
            </w:pPr>
            <w:r w:rsidRPr="00DB0C40">
              <w:rPr>
                <w:sz w:val="22"/>
                <w:szCs w:val="22"/>
              </w:rPr>
              <w:t>Equal Pay International Coalition</w:t>
            </w:r>
          </w:p>
        </w:tc>
      </w:tr>
      <w:tr w:rsidR="00BB44E1" w:rsidRPr="00DB0C40" w14:paraId="4A626E8F" w14:textId="77777777">
        <w:trPr>
          <w:trHeight w:val="138"/>
        </w:trPr>
        <w:tc>
          <w:tcPr>
            <w:tcW w:w="2198" w:type="dxa"/>
            <w:shd w:val="clear" w:color="auto" w:fill="D9E2F3"/>
          </w:tcPr>
          <w:p w14:paraId="36373EC2" w14:textId="77777777" w:rsidR="00BB44E1" w:rsidRPr="00DB0C40" w:rsidRDefault="00230B49">
            <w:pPr>
              <w:spacing w:before="40" w:after="40" w:line="276" w:lineRule="auto"/>
              <w:jc w:val="both"/>
              <w:rPr>
                <w:b/>
                <w:sz w:val="18"/>
                <w:szCs w:val="18"/>
              </w:rPr>
            </w:pPr>
            <w:r w:rsidRPr="00DB0C40">
              <w:rPr>
                <w:sz w:val="22"/>
                <w:szCs w:val="22"/>
              </w:rPr>
              <w:t>EU</w:t>
            </w:r>
          </w:p>
        </w:tc>
        <w:tc>
          <w:tcPr>
            <w:tcW w:w="6874" w:type="dxa"/>
          </w:tcPr>
          <w:p w14:paraId="006F56D2" w14:textId="77777777" w:rsidR="00BB44E1" w:rsidRPr="00DB0C40" w:rsidRDefault="00230B49">
            <w:pPr>
              <w:rPr>
                <w:sz w:val="20"/>
                <w:szCs w:val="20"/>
              </w:rPr>
            </w:pPr>
            <w:r w:rsidRPr="00DB0C40">
              <w:rPr>
                <w:sz w:val="22"/>
                <w:szCs w:val="22"/>
              </w:rPr>
              <w:t>European Union</w:t>
            </w:r>
          </w:p>
        </w:tc>
      </w:tr>
      <w:tr w:rsidR="00BB44E1" w:rsidRPr="00DB0C40" w14:paraId="5E12459E" w14:textId="77777777">
        <w:trPr>
          <w:trHeight w:val="138"/>
        </w:trPr>
        <w:tc>
          <w:tcPr>
            <w:tcW w:w="2198" w:type="dxa"/>
            <w:shd w:val="clear" w:color="auto" w:fill="D9E2F3"/>
          </w:tcPr>
          <w:p w14:paraId="3D384D9A" w14:textId="77777777" w:rsidR="00BB44E1" w:rsidRPr="00DB0C40" w:rsidRDefault="00230B49">
            <w:pPr>
              <w:spacing w:before="40" w:after="40" w:line="276" w:lineRule="auto"/>
              <w:jc w:val="both"/>
              <w:rPr>
                <w:sz w:val="22"/>
                <w:szCs w:val="22"/>
              </w:rPr>
            </w:pPr>
            <w:r w:rsidRPr="00DB0C40">
              <w:rPr>
                <w:sz w:val="22"/>
                <w:szCs w:val="22"/>
              </w:rPr>
              <w:t xml:space="preserve">EctHR   </w:t>
            </w:r>
          </w:p>
        </w:tc>
        <w:tc>
          <w:tcPr>
            <w:tcW w:w="6874" w:type="dxa"/>
          </w:tcPr>
          <w:p w14:paraId="3405D03B" w14:textId="77777777" w:rsidR="00BB44E1" w:rsidRPr="00DB0C40" w:rsidRDefault="00230B49">
            <w:pPr>
              <w:spacing w:before="40" w:after="40" w:line="276" w:lineRule="auto"/>
              <w:jc w:val="both"/>
              <w:rPr>
                <w:sz w:val="20"/>
                <w:szCs w:val="20"/>
              </w:rPr>
            </w:pPr>
            <w:r w:rsidRPr="00DB0C40">
              <w:rPr>
                <w:sz w:val="22"/>
                <w:szCs w:val="22"/>
              </w:rPr>
              <w:t>European Court of Human Rights</w:t>
            </w:r>
          </w:p>
        </w:tc>
      </w:tr>
      <w:tr w:rsidR="00BB44E1" w:rsidRPr="00DB0C40" w14:paraId="43835DCE" w14:textId="77777777">
        <w:trPr>
          <w:trHeight w:val="138"/>
        </w:trPr>
        <w:tc>
          <w:tcPr>
            <w:tcW w:w="2198" w:type="dxa"/>
            <w:shd w:val="clear" w:color="auto" w:fill="D9E2F3"/>
          </w:tcPr>
          <w:p w14:paraId="7E05A499" w14:textId="77777777" w:rsidR="00BB44E1" w:rsidRPr="00DB0C40" w:rsidRDefault="00230B49">
            <w:pPr>
              <w:spacing w:before="40" w:after="40" w:line="276" w:lineRule="auto"/>
              <w:jc w:val="both"/>
              <w:rPr>
                <w:sz w:val="22"/>
                <w:szCs w:val="22"/>
              </w:rPr>
            </w:pPr>
            <w:r w:rsidRPr="00DB0C40">
              <w:rPr>
                <w:sz w:val="22"/>
                <w:szCs w:val="22"/>
              </w:rPr>
              <w:t xml:space="preserve">ECHR  </w:t>
            </w:r>
          </w:p>
        </w:tc>
        <w:tc>
          <w:tcPr>
            <w:tcW w:w="6874" w:type="dxa"/>
          </w:tcPr>
          <w:p w14:paraId="3988787E" w14:textId="77777777" w:rsidR="00BB44E1" w:rsidRPr="00DB0C40" w:rsidRDefault="00230B49">
            <w:pPr>
              <w:spacing w:before="40" w:after="40" w:line="276" w:lineRule="auto"/>
              <w:jc w:val="both"/>
              <w:rPr>
                <w:sz w:val="20"/>
                <w:szCs w:val="20"/>
              </w:rPr>
            </w:pPr>
            <w:r w:rsidRPr="00DB0C40">
              <w:rPr>
                <w:sz w:val="22"/>
                <w:szCs w:val="22"/>
              </w:rPr>
              <w:t>European Convention of Human Rights</w:t>
            </w:r>
          </w:p>
        </w:tc>
      </w:tr>
      <w:tr w:rsidR="00BB44E1" w:rsidRPr="00DB0C40" w14:paraId="4802213E" w14:textId="77777777">
        <w:trPr>
          <w:trHeight w:val="138"/>
        </w:trPr>
        <w:tc>
          <w:tcPr>
            <w:tcW w:w="2198" w:type="dxa"/>
            <w:shd w:val="clear" w:color="auto" w:fill="D9E2F3"/>
          </w:tcPr>
          <w:p w14:paraId="21B26E1F" w14:textId="77777777" w:rsidR="00BB44E1" w:rsidRPr="00DB0C40" w:rsidRDefault="00230B49">
            <w:pPr>
              <w:spacing w:before="40" w:after="40" w:line="276" w:lineRule="auto"/>
              <w:jc w:val="both"/>
              <w:rPr>
                <w:sz w:val="22"/>
                <w:szCs w:val="22"/>
              </w:rPr>
            </w:pPr>
            <w:r w:rsidRPr="00DB0C40">
              <w:rPr>
                <w:sz w:val="22"/>
                <w:szCs w:val="22"/>
              </w:rPr>
              <w:t>GAP III</w:t>
            </w:r>
            <w:r w:rsidRPr="00DB0C40">
              <w:rPr>
                <w:sz w:val="22"/>
                <w:szCs w:val="22"/>
              </w:rPr>
              <w:tab/>
            </w:r>
          </w:p>
        </w:tc>
        <w:tc>
          <w:tcPr>
            <w:tcW w:w="6874" w:type="dxa"/>
          </w:tcPr>
          <w:p w14:paraId="55375D46" w14:textId="77777777" w:rsidR="00BB44E1" w:rsidRPr="00DB0C40" w:rsidRDefault="00230B49">
            <w:pPr>
              <w:spacing w:before="40" w:after="40" w:line="276" w:lineRule="auto"/>
              <w:jc w:val="both"/>
              <w:rPr>
                <w:sz w:val="20"/>
                <w:szCs w:val="20"/>
              </w:rPr>
            </w:pPr>
            <w:r w:rsidRPr="00DB0C40">
              <w:rPr>
                <w:sz w:val="22"/>
                <w:szCs w:val="22"/>
              </w:rPr>
              <w:t>EU’s new Action Plan on Gender Equality and Women’s Empowerment in External Action 2021–2025</w:t>
            </w:r>
          </w:p>
        </w:tc>
      </w:tr>
      <w:tr w:rsidR="00BB44E1" w:rsidRPr="00DB0C40" w14:paraId="672CD795" w14:textId="77777777">
        <w:trPr>
          <w:trHeight w:val="138"/>
        </w:trPr>
        <w:tc>
          <w:tcPr>
            <w:tcW w:w="2198" w:type="dxa"/>
            <w:shd w:val="clear" w:color="auto" w:fill="D9E2F3"/>
          </w:tcPr>
          <w:p w14:paraId="14C2270F" w14:textId="77777777" w:rsidR="00BB44E1" w:rsidRPr="00DB0C40" w:rsidRDefault="00230B49">
            <w:pPr>
              <w:spacing w:before="40" w:after="40" w:line="276" w:lineRule="auto"/>
              <w:jc w:val="both"/>
              <w:rPr>
                <w:sz w:val="22"/>
                <w:szCs w:val="22"/>
              </w:rPr>
            </w:pPr>
            <w:r w:rsidRPr="00DB0C40">
              <w:rPr>
                <w:sz w:val="22"/>
                <w:szCs w:val="22"/>
              </w:rPr>
              <w:t>G7</w:t>
            </w:r>
          </w:p>
        </w:tc>
        <w:tc>
          <w:tcPr>
            <w:tcW w:w="6874" w:type="dxa"/>
          </w:tcPr>
          <w:p w14:paraId="776134A0" w14:textId="77777777" w:rsidR="00BB44E1" w:rsidRPr="00DB0C40" w:rsidRDefault="00230B49">
            <w:pPr>
              <w:spacing w:before="40" w:after="40" w:line="276" w:lineRule="auto"/>
              <w:jc w:val="both"/>
              <w:rPr>
                <w:sz w:val="20"/>
                <w:szCs w:val="20"/>
              </w:rPr>
            </w:pPr>
            <w:r w:rsidRPr="00DB0C40">
              <w:rPr>
                <w:sz w:val="22"/>
                <w:szCs w:val="22"/>
              </w:rPr>
              <w:t>Group of seven</w:t>
            </w:r>
          </w:p>
        </w:tc>
      </w:tr>
      <w:tr w:rsidR="00BB44E1" w:rsidRPr="00DB0C40" w14:paraId="5C6D6AE2" w14:textId="77777777">
        <w:trPr>
          <w:trHeight w:val="138"/>
        </w:trPr>
        <w:tc>
          <w:tcPr>
            <w:tcW w:w="2198" w:type="dxa"/>
            <w:shd w:val="clear" w:color="auto" w:fill="D9E2F3"/>
          </w:tcPr>
          <w:p w14:paraId="3E5759E7" w14:textId="77777777" w:rsidR="00BB44E1" w:rsidRPr="00DB0C40" w:rsidRDefault="00230B49">
            <w:pPr>
              <w:spacing w:before="40" w:after="40" w:line="276" w:lineRule="auto"/>
              <w:jc w:val="both"/>
              <w:rPr>
                <w:sz w:val="22"/>
                <w:szCs w:val="22"/>
              </w:rPr>
            </w:pPr>
            <w:r w:rsidRPr="00DB0C40">
              <w:rPr>
                <w:sz w:val="22"/>
                <w:szCs w:val="22"/>
              </w:rPr>
              <w:t>G20</w:t>
            </w:r>
          </w:p>
        </w:tc>
        <w:tc>
          <w:tcPr>
            <w:tcW w:w="6874" w:type="dxa"/>
          </w:tcPr>
          <w:p w14:paraId="3820C68A" w14:textId="77777777" w:rsidR="00BB44E1" w:rsidRPr="00DB0C40" w:rsidRDefault="00230B49">
            <w:pPr>
              <w:spacing w:before="40" w:after="40" w:line="276" w:lineRule="auto"/>
              <w:jc w:val="both"/>
              <w:rPr>
                <w:sz w:val="20"/>
                <w:szCs w:val="20"/>
              </w:rPr>
            </w:pPr>
            <w:r w:rsidRPr="00DB0C40">
              <w:rPr>
                <w:sz w:val="22"/>
                <w:szCs w:val="22"/>
              </w:rPr>
              <w:t>Group of twenty</w:t>
            </w:r>
          </w:p>
        </w:tc>
      </w:tr>
      <w:tr w:rsidR="00BB44E1" w:rsidRPr="00DB0C40" w14:paraId="2897B388" w14:textId="77777777">
        <w:trPr>
          <w:trHeight w:val="138"/>
        </w:trPr>
        <w:tc>
          <w:tcPr>
            <w:tcW w:w="2198" w:type="dxa"/>
            <w:shd w:val="clear" w:color="auto" w:fill="D9E2F3"/>
          </w:tcPr>
          <w:p w14:paraId="6CAA3644" w14:textId="77777777" w:rsidR="00BB44E1" w:rsidRPr="00DB0C40" w:rsidRDefault="00230B49">
            <w:pPr>
              <w:spacing w:before="40" w:after="40" w:line="276" w:lineRule="auto"/>
              <w:jc w:val="both"/>
              <w:rPr>
                <w:b/>
                <w:sz w:val="18"/>
                <w:szCs w:val="18"/>
              </w:rPr>
            </w:pPr>
            <w:r w:rsidRPr="00DB0C40">
              <w:rPr>
                <w:sz w:val="22"/>
                <w:szCs w:val="22"/>
              </w:rPr>
              <w:t>GBVH</w:t>
            </w:r>
          </w:p>
        </w:tc>
        <w:tc>
          <w:tcPr>
            <w:tcW w:w="6874" w:type="dxa"/>
          </w:tcPr>
          <w:p w14:paraId="58F0CA8F" w14:textId="77777777" w:rsidR="00BB44E1" w:rsidRPr="00DB0C40" w:rsidRDefault="00230B49">
            <w:pPr>
              <w:rPr>
                <w:sz w:val="20"/>
                <w:szCs w:val="20"/>
              </w:rPr>
            </w:pPr>
            <w:r w:rsidRPr="00DB0C40">
              <w:rPr>
                <w:sz w:val="22"/>
                <w:szCs w:val="22"/>
              </w:rPr>
              <w:t>Gender-based violence and harassment</w:t>
            </w:r>
          </w:p>
        </w:tc>
      </w:tr>
      <w:tr w:rsidR="00BB44E1" w:rsidRPr="00DB0C40" w14:paraId="340816E8" w14:textId="77777777">
        <w:trPr>
          <w:trHeight w:val="138"/>
        </w:trPr>
        <w:tc>
          <w:tcPr>
            <w:tcW w:w="2198" w:type="dxa"/>
            <w:shd w:val="clear" w:color="auto" w:fill="D9E2F3"/>
          </w:tcPr>
          <w:p w14:paraId="5ECF2B3E" w14:textId="77777777" w:rsidR="00BB44E1" w:rsidRPr="00DB0C40" w:rsidRDefault="00230B49">
            <w:pPr>
              <w:spacing w:before="40" w:after="40" w:line="276" w:lineRule="auto"/>
              <w:jc w:val="both"/>
              <w:rPr>
                <w:sz w:val="22"/>
                <w:szCs w:val="22"/>
              </w:rPr>
            </w:pPr>
            <w:r w:rsidRPr="00DB0C40">
              <w:rPr>
                <w:sz w:val="22"/>
                <w:szCs w:val="22"/>
              </w:rPr>
              <w:t>GDP</w:t>
            </w:r>
          </w:p>
        </w:tc>
        <w:tc>
          <w:tcPr>
            <w:tcW w:w="6874" w:type="dxa"/>
          </w:tcPr>
          <w:p w14:paraId="4CBAC443" w14:textId="77777777" w:rsidR="00BB44E1" w:rsidRPr="00DB0C40" w:rsidRDefault="00230B49">
            <w:pPr>
              <w:rPr>
                <w:sz w:val="20"/>
                <w:szCs w:val="20"/>
              </w:rPr>
            </w:pPr>
            <w:r w:rsidRPr="00DB0C40">
              <w:rPr>
                <w:sz w:val="22"/>
                <w:szCs w:val="22"/>
              </w:rPr>
              <w:t>Gross domestic product</w:t>
            </w:r>
          </w:p>
        </w:tc>
      </w:tr>
      <w:tr w:rsidR="00BB44E1" w:rsidRPr="00DB0C40" w14:paraId="0B12510E" w14:textId="77777777">
        <w:trPr>
          <w:trHeight w:val="138"/>
        </w:trPr>
        <w:tc>
          <w:tcPr>
            <w:tcW w:w="2198" w:type="dxa"/>
            <w:shd w:val="clear" w:color="auto" w:fill="D9E2F3"/>
          </w:tcPr>
          <w:p w14:paraId="35639095" w14:textId="77777777" w:rsidR="00BB44E1" w:rsidRPr="00DB0C40" w:rsidRDefault="00230B49">
            <w:pPr>
              <w:spacing w:before="40" w:after="40" w:line="276" w:lineRule="auto"/>
              <w:jc w:val="both"/>
              <w:rPr>
                <w:sz w:val="22"/>
                <w:szCs w:val="22"/>
              </w:rPr>
            </w:pPr>
            <w:r w:rsidRPr="00DB0C40">
              <w:rPr>
                <w:sz w:val="22"/>
                <w:szCs w:val="22"/>
              </w:rPr>
              <w:t>GEAC</w:t>
            </w:r>
          </w:p>
        </w:tc>
        <w:tc>
          <w:tcPr>
            <w:tcW w:w="6874" w:type="dxa"/>
          </w:tcPr>
          <w:p w14:paraId="47AE76D9" w14:textId="77777777" w:rsidR="00BB44E1" w:rsidRPr="00DB0C40" w:rsidRDefault="00230B49">
            <w:pPr>
              <w:rPr>
                <w:sz w:val="20"/>
                <w:szCs w:val="20"/>
              </w:rPr>
            </w:pPr>
            <w:r w:rsidRPr="00DB0C40">
              <w:rPr>
                <w:sz w:val="22"/>
                <w:szCs w:val="22"/>
              </w:rPr>
              <w:t>Gender Equality Advisory Council</w:t>
            </w:r>
          </w:p>
        </w:tc>
      </w:tr>
      <w:tr w:rsidR="00BB44E1" w:rsidRPr="00DB0C40" w14:paraId="5FC8021C" w14:textId="77777777">
        <w:trPr>
          <w:trHeight w:val="138"/>
        </w:trPr>
        <w:tc>
          <w:tcPr>
            <w:tcW w:w="2198" w:type="dxa"/>
            <w:shd w:val="clear" w:color="auto" w:fill="D9E2F3"/>
          </w:tcPr>
          <w:p w14:paraId="58BC40FA" w14:textId="77777777" w:rsidR="00BB44E1" w:rsidRPr="00DB0C40" w:rsidRDefault="00230B49">
            <w:pPr>
              <w:spacing w:before="40" w:after="40" w:line="276" w:lineRule="auto"/>
              <w:jc w:val="both"/>
              <w:rPr>
                <w:sz w:val="22"/>
                <w:szCs w:val="22"/>
              </w:rPr>
            </w:pPr>
            <w:r w:rsidRPr="00DB0C40">
              <w:rPr>
                <w:sz w:val="22"/>
                <w:szCs w:val="22"/>
              </w:rPr>
              <w:t>GRP</w:t>
            </w:r>
          </w:p>
        </w:tc>
        <w:tc>
          <w:tcPr>
            <w:tcW w:w="6874" w:type="dxa"/>
          </w:tcPr>
          <w:p w14:paraId="4915AE2E" w14:textId="77777777" w:rsidR="00BB44E1" w:rsidRPr="00DB0C40" w:rsidRDefault="00230B49">
            <w:pPr>
              <w:rPr>
                <w:sz w:val="20"/>
                <w:szCs w:val="20"/>
              </w:rPr>
            </w:pPr>
            <w:r w:rsidRPr="00DB0C40">
              <w:rPr>
                <w:sz w:val="22"/>
                <w:szCs w:val="22"/>
              </w:rPr>
              <w:t>Gender-responsive procurement</w:t>
            </w:r>
          </w:p>
        </w:tc>
      </w:tr>
      <w:tr w:rsidR="00BB44E1" w:rsidRPr="00DB0C40" w14:paraId="6D4EDF0D" w14:textId="77777777">
        <w:trPr>
          <w:trHeight w:val="138"/>
        </w:trPr>
        <w:tc>
          <w:tcPr>
            <w:tcW w:w="2198" w:type="dxa"/>
            <w:shd w:val="clear" w:color="auto" w:fill="D9E2F3"/>
          </w:tcPr>
          <w:p w14:paraId="1705DF7D" w14:textId="77777777" w:rsidR="00BB44E1" w:rsidRPr="00DB0C40" w:rsidRDefault="00230B49">
            <w:pPr>
              <w:spacing w:before="40" w:after="40" w:line="276" w:lineRule="auto"/>
              <w:jc w:val="both"/>
              <w:rPr>
                <w:sz w:val="22"/>
                <w:szCs w:val="22"/>
              </w:rPr>
            </w:pPr>
            <w:r w:rsidRPr="00DB0C40">
              <w:rPr>
                <w:sz w:val="22"/>
                <w:szCs w:val="22"/>
              </w:rPr>
              <w:t>HREIA</w:t>
            </w:r>
          </w:p>
        </w:tc>
        <w:tc>
          <w:tcPr>
            <w:tcW w:w="6874" w:type="dxa"/>
          </w:tcPr>
          <w:p w14:paraId="575B86CA" w14:textId="77777777" w:rsidR="00BB44E1" w:rsidRPr="00DB0C40" w:rsidRDefault="00230B49">
            <w:pPr>
              <w:rPr>
                <w:sz w:val="20"/>
                <w:szCs w:val="20"/>
              </w:rPr>
            </w:pPr>
            <w:r w:rsidRPr="00DB0C40">
              <w:rPr>
                <w:sz w:val="22"/>
                <w:szCs w:val="22"/>
              </w:rPr>
              <w:t>Human Rights and Equality Institutions Act. 2016</w:t>
            </w:r>
          </w:p>
        </w:tc>
      </w:tr>
      <w:tr w:rsidR="00BB44E1" w:rsidRPr="00DB0C40" w14:paraId="6BF955F8" w14:textId="77777777">
        <w:trPr>
          <w:trHeight w:val="138"/>
        </w:trPr>
        <w:tc>
          <w:tcPr>
            <w:tcW w:w="2198" w:type="dxa"/>
            <w:shd w:val="clear" w:color="auto" w:fill="D9E2F3"/>
          </w:tcPr>
          <w:p w14:paraId="05CFF69A" w14:textId="77777777" w:rsidR="00BB44E1" w:rsidRPr="00DB0C40" w:rsidRDefault="00230B49">
            <w:pPr>
              <w:spacing w:before="40" w:after="40" w:line="276" w:lineRule="auto"/>
              <w:jc w:val="both"/>
              <w:rPr>
                <w:sz w:val="22"/>
                <w:szCs w:val="22"/>
              </w:rPr>
            </w:pPr>
            <w:r w:rsidRPr="00DB0C40">
              <w:rPr>
                <w:sz w:val="22"/>
                <w:szCs w:val="22"/>
              </w:rPr>
              <w:t>ICESCR</w:t>
            </w:r>
          </w:p>
        </w:tc>
        <w:tc>
          <w:tcPr>
            <w:tcW w:w="6874" w:type="dxa"/>
          </w:tcPr>
          <w:p w14:paraId="1634359C" w14:textId="77777777" w:rsidR="00BB44E1" w:rsidRPr="00DB0C40" w:rsidRDefault="00230B49">
            <w:pPr>
              <w:rPr>
                <w:sz w:val="20"/>
                <w:szCs w:val="20"/>
              </w:rPr>
            </w:pPr>
            <w:r w:rsidRPr="00DB0C40">
              <w:rPr>
                <w:sz w:val="22"/>
                <w:szCs w:val="22"/>
              </w:rPr>
              <w:t>International Covenant on Economic, Social and Cultural Rights</w:t>
            </w:r>
          </w:p>
        </w:tc>
      </w:tr>
      <w:tr w:rsidR="00BB44E1" w:rsidRPr="00DB0C40" w14:paraId="572DE771" w14:textId="77777777">
        <w:trPr>
          <w:trHeight w:val="138"/>
        </w:trPr>
        <w:tc>
          <w:tcPr>
            <w:tcW w:w="2198" w:type="dxa"/>
            <w:shd w:val="clear" w:color="auto" w:fill="D9E2F3"/>
          </w:tcPr>
          <w:p w14:paraId="5764030E" w14:textId="77777777" w:rsidR="00BB44E1" w:rsidRPr="00DB0C40" w:rsidRDefault="00230B49">
            <w:pPr>
              <w:spacing w:before="40" w:after="40" w:line="276" w:lineRule="auto"/>
              <w:jc w:val="both"/>
              <w:rPr>
                <w:sz w:val="22"/>
                <w:szCs w:val="22"/>
              </w:rPr>
            </w:pPr>
            <w:r w:rsidRPr="00DB0C40">
              <w:rPr>
                <w:sz w:val="22"/>
                <w:szCs w:val="22"/>
              </w:rPr>
              <w:t>ICT</w:t>
            </w:r>
          </w:p>
        </w:tc>
        <w:tc>
          <w:tcPr>
            <w:tcW w:w="6874" w:type="dxa"/>
          </w:tcPr>
          <w:p w14:paraId="32D60295" w14:textId="77777777" w:rsidR="00BB44E1" w:rsidRPr="00DB0C40" w:rsidRDefault="00230B49">
            <w:pPr>
              <w:rPr>
                <w:sz w:val="20"/>
                <w:szCs w:val="20"/>
              </w:rPr>
            </w:pPr>
            <w:r w:rsidRPr="00DB0C40">
              <w:rPr>
                <w:sz w:val="22"/>
                <w:szCs w:val="22"/>
              </w:rPr>
              <w:t>Information and communication technology</w:t>
            </w:r>
          </w:p>
        </w:tc>
      </w:tr>
      <w:tr w:rsidR="00BB44E1" w:rsidRPr="00DB0C40" w14:paraId="219E5207" w14:textId="77777777">
        <w:trPr>
          <w:trHeight w:val="138"/>
        </w:trPr>
        <w:tc>
          <w:tcPr>
            <w:tcW w:w="2198" w:type="dxa"/>
            <w:shd w:val="clear" w:color="auto" w:fill="D9E2F3"/>
          </w:tcPr>
          <w:p w14:paraId="1714C7AC" w14:textId="77777777" w:rsidR="00BB44E1" w:rsidRPr="00DB0C40" w:rsidRDefault="00230B49">
            <w:pPr>
              <w:spacing w:before="40" w:after="40" w:line="276" w:lineRule="auto"/>
              <w:jc w:val="both"/>
              <w:rPr>
                <w:sz w:val="22"/>
                <w:szCs w:val="22"/>
              </w:rPr>
            </w:pPr>
            <w:r w:rsidRPr="00DB0C40">
              <w:rPr>
                <w:sz w:val="22"/>
                <w:szCs w:val="22"/>
              </w:rPr>
              <w:t>ILO</w:t>
            </w:r>
          </w:p>
        </w:tc>
        <w:tc>
          <w:tcPr>
            <w:tcW w:w="6874" w:type="dxa"/>
          </w:tcPr>
          <w:p w14:paraId="133CE15C" w14:textId="77777777" w:rsidR="00BB44E1" w:rsidRPr="00DB0C40" w:rsidRDefault="00230B49">
            <w:pPr>
              <w:rPr>
                <w:sz w:val="20"/>
                <w:szCs w:val="20"/>
              </w:rPr>
            </w:pPr>
            <w:r w:rsidRPr="00DB0C40">
              <w:rPr>
                <w:sz w:val="22"/>
                <w:szCs w:val="22"/>
              </w:rPr>
              <w:t>International Labour Organisation</w:t>
            </w:r>
          </w:p>
        </w:tc>
      </w:tr>
      <w:tr w:rsidR="00BB44E1" w:rsidRPr="00DB0C40" w14:paraId="420EEE62" w14:textId="77777777">
        <w:trPr>
          <w:trHeight w:val="138"/>
        </w:trPr>
        <w:tc>
          <w:tcPr>
            <w:tcW w:w="2198" w:type="dxa"/>
            <w:shd w:val="clear" w:color="auto" w:fill="D9E2F3"/>
          </w:tcPr>
          <w:p w14:paraId="51BD9495" w14:textId="77777777" w:rsidR="00BB44E1" w:rsidRPr="00DB0C40" w:rsidRDefault="00230B49">
            <w:pPr>
              <w:spacing w:before="40" w:after="40" w:line="276" w:lineRule="auto"/>
              <w:jc w:val="both"/>
              <w:rPr>
                <w:sz w:val="22"/>
                <w:szCs w:val="22"/>
              </w:rPr>
            </w:pPr>
            <w:r w:rsidRPr="00DB0C40">
              <w:rPr>
                <w:sz w:val="22"/>
                <w:szCs w:val="22"/>
              </w:rPr>
              <w:t>ILO MNE</w:t>
            </w:r>
          </w:p>
        </w:tc>
        <w:tc>
          <w:tcPr>
            <w:tcW w:w="6874" w:type="dxa"/>
          </w:tcPr>
          <w:p w14:paraId="70FA0140" w14:textId="77777777" w:rsidR="00BB44E1" w:rsidRPr="00DB0C40" w:rsidRDefault="00230B49">
            <w:pPr>
              <w:rPr>
                <w:sz w:val="20"/>
                <w:szCs w:val="20"/>
              </w:rPr>
            </w:pPr>
            <w:r w:rsidRPr="00DB0C40">
              <w:rPr>
                <w:sz w:val="22"/>
                <w:szCs w:val="22"/>
              </w:rPr>
              <w:t>Declaration ILO Tripartite Declaration of Principles concerning Multinational Enterprises and Social Policy</w:t>
            </w:r>
          </w:p>
        </w:tc>
      </w:tr>
      <w:tr w:rsidR="00BB44E1" w:rsidRPr="00DB0C40" w14:paraId="0C76153A" w14:textId="77777777">
        <w:trPr>
          <w:trHeight w:val="138"/>
        </w:trPr>
        <w:tc>
          <w:tcPr>
            <w:tcW w:w="2198" w:type="dxa"/>
            <w:shd w:val="clear" w:color="auto" w:fill="D9E2F3"/>
          </w:tcPr>
          <w:p w14:paraId="51DC0270" w14:textId="77777777" w:rsidR="00BB44E1" w:rsidRPr="00DB0C40" w:rsidRDefault="00230B49">
            <w:pPr>
              <w:spacing w:before="40" w:after="40" w:line="276" w:lineRule="auto"/>
              <w:jc w:val="both"/>
              <w:rPr>
                <w:sz w:val="22"/>
                <w:szCs w:val="22"/>
              </w:rPr>
            </w:pPr>
            <w:r w:rsidRPr="00DB0C40">
              <w:rPr>
                <w:sz w:val="22"/>
                <w:szCs w:val="22"/>
              </w:rPr>
              <w:t>IOE</w:t>
            </w:r>
          </w:p>
        </w:tc>
        <w:tc>
          <w:tcPr>
            <w:tcW w:w="6874" w:type="dxa"/>
          </w:tcPr>
          <w:p w14:paraId="00565E8E" w14:textId="77777777" w:rsidR="00BB44E1" w:rsidRPr="00DB0C40" w:rsidRDefault="00230B49">
            <w:pPr>
              <w:rPr>
                <w:sz w:val="20"/>
                <w:szCs w:val="20"/>
              </w:rPr>
            </w:pPr>
            <w:r w:rsidRPr="00DB0C40">
              <w:rPr>
                <w:sz w:val="22"/>
                <w:szCs w:val="22"/>
              </w:rPr>
              <w:t>International Organisation of Employers</w:t>
            </w:r>
          </w:p>
        </w:tc>
      </w:tr>
      <w:tr w:rsidR="00BB44E1" w:rsidRPr="00DB0C40" w14:paraId="578E6C12" w14:textId="77777777">
        <w:trPr>
          <w:trHeight w:val="138"/>
        </w:trPr>
        <w:tc>
          <w:tcPr>
            <w:tcW w:w="2198" w:type="dxa"/>
            <w:shd w:val="clear" w:color="auto" w:fill="D9E2F3"/>
          </w:tcPr>
          <w:p w14:paraId="291908EC" w14:textId="77777777" w:rsidR="00BB44E1" w:rsidRPr="00DB0C40" w:rsidRDefault="00230B49">
            <w:pPr>
              <w:spacing w:before="40" w:after="40" w:line="276" w:lineRule="auto"/>
              <w:jc w:val="both"/>
              <w:rPr>
                <w:sz w:val="22"/>
                <w:szCs w:val="22"/>
              </w:rPr>
            </w:pPr>
            <w:r w:rsidRPr="00DB0C40">
              <w:rPr>
                <w:sz w:val="22"/>
                <w:szCs w:val="22"/>
              </w:rPr>
              <w:lastRenderedPageBreak/>
              <w:t>IPU</w:t>
            </w:r>
          </w:p>
        </w:tc>
        <w:tc>
          <w:tcPr>
            <w:tcW w:w="6874" w:type="dxa"/>
          </w:tcPr>
          <w:p w14:paraId="40780617" w14:textId="77777777" w:rsidR="00BB44E1" w:rsidRPr="00DB0C40" w:rsidRDefault="00230B49">
            <w:pPr>
              <w:rPr>
                <w:sz w:val="20"/>
                <w:szCs w:val="20"/>
              </w:rPr>
            </w:pPr>
            <w:r w:rsidRPr="00DB0C40">
              <w:rPr>
                <w:sz w:val="22"/>
                <w:szCs w:val="22"/>
              </w:rPr>
              <w:t>Inter-Parliamentary Union</w:t>
            </w:r>
          </w:p>
        </w:tc>
      </w:tr>
      <w:tr w:rsidR="00BB44E1" w:rsidRPr="00DB0C40" w14:paraId="7414D54C" w14:textId="77777777">
        <w:trPr>
          <w:trHeight w:val="138"/>
        </w:trPr>
        <w:tc>
          <w:tcPr>
            <w:tcW w:w="2198" w:type="dxa"/>
            <w:shd w:val="clear" w:color="auto" w:fill="D9E2F3"/>
          </w:tcPr>
          <w:p w14:paraId="0DD4CA41" w14:textId="77777777" w:rsidR="00BB44E1" w:rsidRPr="00DB0C40" w:rsidRDefault="00230B49">
            <w:pPr>
              <w:spacing w:before="40" w:after="40" w:line="276" w:lineRule="auto"/>
              <w:jc w:val="both"/>
              <w:rPr>
                <w:sz w:val="22"/>
                <w:szCs w:val="22"/>
              </w:rPr>
            </w:pPr>
            <w:r w:rsidRPr="00DB0C40">
              <w:rPr>
                <w:sz w:val="22"/>
                <w:szCs w:val="22"/>
              </w:rPr>
              <w:t xml:space="preserve">ISKUR  </w:t>
            </w:r>
          </w:p>
        </w:tc>
        <w:tc>
          <w:tcPr>
            <w:tcW w:w="6874" w:type="dxa"/>
          </w:tcPr>
          <w:p w14:paraId="375FDFAE" w14:textId="77777777" w:rsidR="00BB44E1" w:rsidRPr="00DB0C40" w:rsidRDefault="00230B49">
            <w:pPr>
              <w:rPr>
                <w:sz w:val="20"/>
                <w:szCs w:val="20"/>
              </w:rPr>
            </w:pPr>
            <w:r w:rsidRPr="00DB0C40">
              <w:rPr>
                <w:sz w:val="22"/>
                <w:szCs w:val="22"/>
              </w:rPr>
              <w:t>Turkish Employment Agency</w:t>
            </w:r>
          </w:p>
        </w:tc>
      </w:tr>
      <w:tr w:rsidR="00BB44E1" w:rsidRPr="00DB0C40" w14:paraId="536E1B56" w14:textId="77777777">
        <w:trPr>
          <w:trHeight w:val="138"/>
        </w:trPr>
        <w:tc>
          <w:tcPr>
            <w:tcW w:w="2198" w:type="dxa"/>
            <w:shd w:val="clear" w:color="auto" w:fill="D9E2F3"/>
          </w:tcPr>
          <w:p w14:paraId="5E47C290" w14:textId="77777777" w:rsidR="00BB44E1" w:rsidRPr="00DB0C40" w:rsidRDefault="00230B49">
            <w:pPr>
              <w:spacing w:before="40" w:after="40" w:line="276" w:lineRule="auto"/>
              <w:jc w:val="both"/>
              <w:rPr>
                <w:sz w:val="22"/>
                <w:szCs w:val="22"/>
              </w:rPr>
            </w:pPr>
            <w:r w:rsidRPr="00DB0C40">
              <w:rPr>
                <w:sz w:val="22"/>
                <w:szCs w:val="22"/>
              </w:rPr>
              <w:t>ITUC</w:t>
            </w:r>
            <w:r w:rsidRPr="00DB0C40">
              <w:rPr>
                <w:sz w:val="22"/>
                <w:szCs w:val="22"/>
              </w:rPr>
              <w:tab/>
            </w:r>
          </w:p>
        </w:tc>
        <w:tc>
          <w:tcPr>
            <w:tcW w:w="6874" w:type="dxa"/>
          </w:tcPr>
          <w:p w14:paraId="01FFF531" w14:textId="77777777" w:rsidR="00BB44E1" w:rsidRPr="00DB0C40" w:rsidRDefault="00230B49">
            <w:pPr>
              <w:rPr>
                <w:sz w:val="20"/>
                <w:szCs w:val="20"/>
              </w:rPr>
            </w:pPr>
            <w:r w:rsidRPr="00DB0C40">
              <w:rPr>
                <w:sz w:val="22"/>
                <w:szCs w:val="22"/>
              </w:rPr>
              <w:t>International Trade Union Confederation</w:t>
            </w:r>
          </w:p>
        </w:tc>
      </w:tr>
      <w:tr w:rsidR="00BB44E1" w:rsidRPr="00DB0C40" w14:paraId="7DCD6209" w14:textId="77777777">
        <w:trPr>
          <w:trHeight w:val="138"/>
        </w:trPr>
        <w:tc>
          <w:tcPr>
            <w:tcW w:w="2198" w:type="dxa"/>
            <w:shd w:val="clear" w:color="auto" w:fill="D9E2F3"/>
          </w:tcPr>
          <w:p w14:paraId="421B9779" w14:textId="77777777" w:rsidR="00BB44E1" w:rsidRPr="00DB0C40" w:rsidRDefault="00230B49">
            <w:pPr>
              <w:spacing w:before="40" w:after="40" w:line="276" w:lineRule="auto"/>
              <w:jc w:val="both"/>
              <w:rPr>
                <w:sz w:val="22"/>
                <w:szCs w:val="22"/>
              </w:rPr>
            </w:pPr>
            <w:r w:rsidRPr="00DB0C40">
              <w:rPr>
                <w:sz w:val="22"/>
                <w:szCs w:val="22"/>
              </w:rPr>
              <w:t>IWPR</w:t>
            </w:r>
          </w:p>
        </w:tc>
        <w:tc>
          <w:tcPr>
            <w:tcW w:w="6874" w:type="dxa"/>
          </w:tcPr>
          <w:p w14:paraId="378ED6A6" w14:textId="77777777" w:rsidR="00BB44E1" w:rsidRPr="00DB0C40" w:rsidRDefault="00230B49">
            <w:pPr>
              <w:rPr>
                <w:sz w:val="20"/>
                <w:szCs w:val="20"/>
              </w:rPr>
            </w:pPr>
            <w:r w:rsidRPr="00DB0C40">
              <w:rPr>
                <w:sz w:val="22"/>
                <w:szCs w:val="22"/>
              </w:rPr>
              <w:t>Institute for Women’s Policy Research</w:t>
            </w:r>
          </w:p>
        </w:tc>
      </w:tr>
      <w:tr w:rsidR="00BB44E1" w:rsidRPr="00DB0C40" w14:paraId="469EF061" w14:textId="77777777">
        <w:trPr>
          <w:trHeight w:val="138"/>
        </w:trPr>
        <w:tc>
          <w:tcPr>
            <w:tcW w:w="2198" w:type="dxa"/>
            <w:shd w:val="clear" w:color="auto" w:fill="D9E2F3"/>
          </w:tcPr>
          <w:p w14:paraId="4B36FB44" w14:textId="77777777" w:rsidR="00BB44E1" w:rsidRPr="00DB0C40" w:rsidRDefault="00230B49">
            <w:pPr>
              <w:spacing w:before="40" w:after="40" w:line="276" w:lineRule="auto"/>
              <w:jc w:val="both"/>
              <w:rPr>
                <w:sz w:val="22"/>
                <w:szCs w:val="22"/>
              </w:rPr>
            </w:pPr>
            <w:r w:rsidRPr="00DB0C40">
              <w:rPr>
                <w:sz w:val="22"/>
                <w:szCs w:val="22"/>
              </w:rPr>
              <w:t>KAGIDER</w:t>
            </w:r>
          </w:p>
        </w:tc>
        <w:tc>
          <w:tcPr>
            <w:tcW w:w="6874" w:type="dxa"/>
          </w:tcPr>
          <w:p w14:paraId="17522D42" w14:textId="5CC5FCF3" w:rsidR="00BB44E1" w:rsidRPr="00DB0C40" w:rsidRDefault="00230B49">
            <w:pPr>
              <w:rPr>
                <w:sz w:val="20"/>
                <w:szCs w:val="20"/>
              </w:rPr>
            </w:pPr>
            <w:r w:rsidRPr="00DB0C40">
              <w:rPr>
                <w:sz w:val="22"/>
                <w:szCs w:val="22"/>
              </w:rPr>
              <w:t xml:space="preserve">Women Entrepreneurs Association of </w:t>
            </w:r>
            <w:r w:rsidR="00AC20EA">
              <w:rPr>
                <w:sz w:val="22"/>
                <w:szCs w:val="22"/>
              </w:rPr>
              <w:t>Türkiye</w:t>
            </w:r>
          </w:p>
        </w:tc>
      </w:tr>
      <w:tr w:rsidR="00BB44E1" w:rsidRPr="00DB0C40" w14:paraId="7F723DA9" w14:textId="77777777">
        <w:trPr>
          <w:trHeight w:val="138"/>
        </w:trPr>
        <w:tc>
          <w:tcPr>
            <w:tcW w:w="2198" w:type="dxa"/>
            <w:shd w:val="clear" w:color="auto" w:fill="D9E2F3"/>
          </w:tcPr>
          <w:p w14:paraId="5A7883F1" w14:textId="77777777" w:rsidR="00BB44E1" w:rsidRPr="00DB0C40" w:rsidRDefault="00230B49">
            <w:pPr>
              <w:spacing w:before="40" w:after="40" w:line="276" w:lineRule="auto"/>
              <w:jc w:val="both"/>
              <w:rPr>
                <w:sz w:val="22"/>
                <w:szCs w:val="22"/>
              </w:rPr>
            </w:pPr>
            <w:r w:rsidRPr="00DB0C40">
              <w:rPr>
                <w:sz w:val="22"/>
                <w:szCs w:val="22"/>
              </w:rPr>
              <w:t>KOSGEB</w:t>
            </w:r>
          </w:p>
        </w:tc>
        <w:tc>
          <w:tcPr>
            <w:tcW w:w="6874" w:type="dxa"/>
          </w:tcPr>
          <w:p w14:paraId="5C6A920F" w14:textId="51EFC7AF" w:rsidR="00BB44E1" w:rsidRPr="00DB0C40" w:rsidRDefault="00230B49">
            <w:pPr>
              <w:rPr>
                <w:sz w:val="20"/>
                <w:szCs w:val="20"/>
              </w:rPr>
            </w:pPr>
            <w:r w:rsidRPr="00DB0C40">
              <w:rPr>
                <w:sz w:val="22"/>
                <w:szCs w:val="22"/>
              </w:rPr>
              <w:t xml:space="preserve">Small and Medium Enterprises Development Organisation of </w:t>
            </w:r>
            <w:r w:rsidR="00AC20EA">
              <w:rPr>
                <w:sz w:val="22"/>
                <w:szCs w:val="22"/>
              </w:rPr>
              <w:t>Türkiye</w:t>
            </w:r>
          </w:p>
        </w:tc>
      </w:tr>
      <w:tr w:rsidR="00BB44E1" w:rsidRPr="00DB0C40" w14:paraId="15EBC32A" w14:textId="77777777">
        <w:trPr>
          <w:trHeight w:val="138"/>
        </w:trPr>
        <w:tc>
          <w:tcPr>
            <w:tcW w:w="2198" w:type="dxa"/>
            <w:shd w:val="clear" w:color="auto" w:fill="D9E2F3"/>
          </w:tcPr>
          <w:p w14:paraId="5CB47208" w14:textId="77777777" w:rsidR="00BB44E1" w:rsidRPr="00DB0C40" w:rsidRDefault="00230B49">
            <w:pPr>
              <w:spacing w:before="40" w:after="40" w:line="276" w:lineRule="auto"/>
              <w:jc w:val="both"/>
              <w:rPr>
                <w:sz w:val="22"/>
                <w:szCs w:val="22"/>
              </w:rPr>
            </w:pPr>
            <w:r w:rsidRPr="00DB0C40">
              <w:rPr>
                <w:sz w:val="22"/>
                <w:szCs w:val="22"/>
              </w:rPr>
              <w:t>MEA</w:t>
            </w:r>
          </w:p>
        </w:tc>
        <w:tc>
          <w:tcPr>
            <w:tcW w:w="6874" w:type="dxa"/>
          </w:tcPr>
          <w:p w14:paraId="11877DA4" w14:textId="77777777" w:rsidR="00BB44E1" w:rsidRPr="00DB0C40" w:rsidRDefault="00230B49">
            <w:pPr>
              <w:rPr>
                <w:sz w:val="20"/>
                <w:szCs w:val="20"/>
              </w:rPr>
            </w:pPr>
            <w:r w:rsidRPr="00DB0C40">
              <w:rPr>
                <w:sz w:val="22"/>
                <w:szCs w:val="22"/>
              </w:rPr>
              <w:t>Maritime Employment Act. 2005</w:t>
            </w:r>
          </w:p>
        </w:tc>
      </w:tr>
      <w:tr w:rsidR="00BB44E1" w:rsidRPr="00DB0C40" w14:paraId="71E07F94" w14:textId="77777777">
        <w:trPr>
          <w:trHeight w:val="138"/>
        </w:trPr>
        <w:tc>
          <w:tcPr>
            <w:tcW w:w="2198" w:type="dxa"/>
            <w:shd w:val="clear" w:color="auto" w:fill="D9E2F3"/>
          </w:tcPr>
          <w:p w14:paraId="10AAD9C8" w14:textId="77777777" w:rsidR="00BB44E1" w:rsidRPr="00DB0C40" w:rsidRDefault="00230B49">
            <w:pPr>
              <w:spacing w:before="40" w:after="40" w:line="276" w:lineRule="auto"/>
              <w:jc w:val="both"/>
              <w:rPr>
                <w:sz w:val="22"/>
                <w:szCs w:val="22"/>
              </w:rPr>
            </w:pPr>
            <w:r w:rsidRPr="00DB0C40">
              <w:rPr>
                <w:sz w:val="22"/>
                <w:szCs w:val="22"/>
              </w:rPr>
              <w:t>MSMEs</w:t>
            </w:r>
          </w:p>
        </w:tc>
        <w:tc>
          <w:tcPr>
            <w:tcW w:w="6874" w:type="dxa"/>
          </w:tcPr>
          <w:p w14:paraId="057197FD" w14:textId="77777777" w:rsidR="00BB44E1" w:rsidRPr="00DB0C40" w:rsidRDefault="00230B49">
            <w:pPr>
              <w:rPr>
                <w:sz w:val="20"/>
                <w:szCs w:val="20"/>
              </w:rPr>
            </w:pPr>
            <w:r w:rsidRPr="00DB0C40">
              <w:rPr>
                <w:sz w:val="22"/>
                <w:szCs w:val="22"/>
              </w:rPr>
              <w:t>Micro, small and medium-sized enterprises</w:t>
            </w:r>
          </w:p>
        </w:tc>
      </w:tr>
      <w:tr w:rsidR="00BB44E1" w:rsidRPr="00DB0C40" w14:paraId="07D9C0BF" w14:textId="77777777">
        <w:trPr>
          <w:trHeight w:val="138"/>
        </w:trPr>
        <w:tc>
          <w:tcPr>
            <w:tcW w:w="2198" w:type="dxa"/>
            <w:shd w:val="clear" w:color="auto" w:fill="D9E2F3"/>
          </w:tcPr>
          <w:p w14:paraId="4C8B3339" w14:textId="77777777" w:rsidR="00BB44E1" w:rsidRPr="00DB0C40" w:rsidRDefault="00230B49">
            <w:pPr>
              <w:spacing w:before="40" w:after="40" w:line="276" w:lineRule="auto"/>
              <w:jc w:val="both"/>
              <w:rPr>
                <w:sz w:val="22"/>
                <w:szCs w:val="22"/>
              </w:rPr>
            </w:pPr>
            <w:r w:rsidRPr="00DB0C40">
              <w:rPr>
                <w:sz w:val="22"/>
                <w:szCs w:val="22"/>
              </w:rPr>
              <w:t>NGO</w:t>
            </w:r>
          </w:p>
        </w:tc>
        <w:tc>
          <w:tcPr>
            <w:tcW w:w="6874" w:type="dxa"/>
          </w:tcPr>
          <w:p w14:paraId="1338DF43" w14:textId="77777777" w:rsidR="00BB44E1" w:rsidRPr="00DB0C40" w:rsidRDefault="00230B49">
            <w:pPr>
              <w:rPr>
                <w:sz w:val="20"/>
                <w:szCs w:val="20"/>
              </w:rPr>
            </w:pPr>
            <w:r w:rsidRPr="00DB0C40">
              <w:rPr>
                <w:sz w:val="22"/>
                <w:szCs w:val="22"/>
              </w:rPr>
              <w:t>Non-governmental organisation</w:t>
            </w:r>
          </w:p>
        </w:tc>
      </w:tr>
      <w:tr w:rsidR="00BB44E1" w:rsidRPr="00DB0C40" w14:paraId="5107F77B" w14:textId="77777777">
        <w:trPr>
          <w:trHeight w:val="138"/>
        </w:trPr>
        <w:tc>
          <w:tcPr>
            <w:tcW w:w="2198" w:type="dxa"/>
            <w:shd w:val="clear" w:color="auto" w:fill="D9E2F3"/>
          </w:tcPr>
          <w:p w14:paraId="47C403BA" w14:textId="77777777" w:rsidR="00BB44E1" w:rsidRPr="00DB0C40" w:rsidRDefault="00230B49">
            <w:pPr>
              <w:spacing w:before="40" w:after="40" w:line="276" w:lineRule="auto"/>
              <w:jc w:val="both"/>
              <w:rPr>
                <w:sz w:val="22"/>
                <w:szCs w:val="22"/>
              </w:rPr>
            </w:pPr>
            <w:r w:rsidRPr="00DB0C40">
              <w:rPr>
                <w:sz w:val="22"/>
                <w:szCs w:val="22"/>
              </w:rPr>
              <w:t xml:space="preserve">OA   </w:t>
            </w:r>
          </w:p>
        </w:tc>
        <w:tc>
          <w:tcPr>
            <w:tcW w:w="6874" w:type="dxa"/>
          </w:tcPr>
          <w:p w14:paraId="45CFD415" w14:textId="77777777" w:rsidR="00BB44E1" w:rsidRPr="00DB0C40" w:rsidRDefault="00230B49">
            <w:pPr>
              <w:rPr>
                <w:sz w:val="20"/>
                <w:szCs w:val="20"/>
              </w:rPr>
            </w:pPr>
            <w:r w:rsidRPr="00DB0C40">
              <w:rPr>
                <w:sz w:val="22"/>
                <w:szCs w:val="22"/>
              </w:rPr>
              <w:t>Obligations Act- 2011</w:t>
            </w:r>
          </w:p>
        </w:tc>
      </w:tr>
      <w:tr w:rsidR="00BB44E1" w:rsidRPr="00DB0C40" w14:paraId="1A40EC81" w14:textId="77777777">
        <w:trPr>
          <w:trHeight w:val="138"/>
        </w:trPr>
        <w:tc>
          <w:tcPr>
            <w:tcW w:w="2198" w:type="dxa"/>
            <w:shd w:val="clear" w:color="auto" w:fill="D9E2F3"/>
          </w:tcPr>
          <w:p w14:paraId="39ADF8F5" w14:textId="77777777" w:rsidR="00BB44E1" w:rsidRPr="00DB0C40" w:rsidRDefault="00230B49">
            <w:pPr>
              <w:spacing w:before="40" w:after="40" w:line="276" w:lineRule="auto"/>
              <w:jc w:val="both"/>
              <w:rPr>
                <w:sz w:val="22"/>
                <w:szCs w:val="22"/>
              </w:rPr>
            </w:pPr>
            <w:r w:rsidRPr="00DB0C40">
              <w:rPr>
                <w:sz w:val="22"/>
                <w:szCs w:val="22"/>
              </w:rPr>
              <w:t>OSH</w:t>
            </w:r>
          </w:p>
        </w:tc>
        <w:tc>
          <w:tcPr>
            <w:tcW w:w="6874" w:type="dxa"/>
          </w:tcPr>
          <w:p w14:paraId="6234AF96" w14:textId="77777777" w:rsidR="00BB44E1" w:rsidRPr="00DB0C40" w:rsidRDefault="00230B49">
            <w:pPr>
              <w:rPr>
                <w:sz w:val="20"/>
                <w:szCs w:val="20"/>
              </w:rPr>
            </w:pPr>
            <w:r w:rsidRPr="00DB0C40">
              <w:rPr>
                <w:sz w:val="22"/>
                <w:szCs w:val="22"/>
              </w:rPr>
              <w:t>Occupational safety and health</w:t>
            </w:r>
          </w:p>
        </w:tc>
      </w:tr>
      <w:tr w:rsidR="00BB44E1" w:rsidRPr="00DB0C40" w14:paraId="18CCC641" w14:textId="77777777">
        <w:trPr>
          <w:trHeight w:val="138"/>
        </w:trPr>
        <w:tc>
          <w:tcPr>
            <w:tcW w:w="2198" w:type="dxa"/>
            <w:shd w:val="clear" w:color="auto" w:fill="D9E2F3"/>
          </w:tcPr>
          <w:p w14:paraId="47BDD0A1" w14:textId="77777777" w:rsidR="00BB44E1" w:rsidRPr="00DB0C40" w:rsidRDefault="00230B49">
            <w:pPr>
              <w:spacing w:before="40" w:after="40" w:line="276" w:lineRule="auto"/>
              <w:jc w:val="both"/>
              <w:rPr>
                <w:sz w:val="22"/>
                <w:szCs w:val="22"/>
              </w:rPr>
            </w:pPr>
            <w:r w:rsidRPr="00DB0C40">
              <w:rPr>
                <w:sz w:val="22"/>
                <w:szCs w:val="22"/>
              </w:rPr>
              <w:t>OECD</w:t>
            </w:r>
            <w:r w:rsidRPr="00DB0C40">
              <w:rPr>
                <w:sz w:val="22"/>
                <w:szCs w:val="22"/>
              </w:rPr>
              <w:tab/>
            </w:r>
          </w:p>
        </w:tc>
        <w:tc>
          <w:tcPr>
            <w:tcW w:w="6874" w:type="dxa"/>
          </w:tcPr>
          <w:p w14:paraId="57F97A11" w14:textId="77777777" w:rsidR="00BB44E1" w:rsidRPr="00DB0C40" w:rsidRDefault="00230B49">
            <w:pPr>
              <w:rPr>
                <w:sz w:val="20"/>
                <w:szCs w:val="20"/>
              </w:rPr>
            </w:pPr>
            <w:r w:rsidRPr="00DB0C40">
              <w:rPr>
                <w:sz w:val="22"/>
                <w:szCs w:val="22"/>
              </w:rPr>
              <w:t>The Organisation for Economic Co-operation and Development</w:t>
            </w:r>
          </w:p>
        </w:tc>
      </w:tr>
      <w:tr w:rsidR="00BB44E1" w:rsidRPr="00DB0C40" w14:paraId="0FDF7A36" w14:textId="77777777">
        <w:trPr>
          <w:trHeight w:val="138"/>
        </w:trPr>
        <w:tc>
          <w:tcPr>
            <w:tcW w:w="2198" w:type="dxa"/>
            <w:shd w:val="clear" w:color="auto" w:fill="D9E2F3"/>
          </w:tcPr>
          <w:p w14:paraId="02DE6A8F" w14:textId="77777777" w:rsidR="00BB44E1" w:rsidRPr="00DB0C40" w:rsidRDefault="00230B49">
            <w:pPr>
              <w:spacing w:before="40" w:after="40" w:line="276" w:lineRule="auto"/>
              <w:jc w:val="both"/>
              <w:rPr>
                <w:sz w:val="22"/>
                <w:szCs w:val="22"/>
              </w:rPr>
            </w:pPr>
            <w:r w:rsidRPr="00DB0C40">
              <w:rPr>
                <w:sz w:val="22"/>
                <w:szCs w:val="22"/>
              </w:rPr>
              <w:t>OSCE</w:t>
            </w:r>
          </w:p>
        </w:tc>
        <w:tc>
          <w:tcPr>
            <w:tcW w:w="6874" w:type="dxa"/>
          </w:tcPr>
          <w:p w14:paraId="29AA933E" w14:textId="77777777" w:rsidR="00BB44E1" w:rsidRPr="00DB0C40" w:rsidRDefault="00230B49">
            <w:pPr>
              <w:rPr>
                <w:sz w:val="20"/>
                <w:szCs w:val="20"/>
              </w:rPr>
            </w:pPr>
            <w:r w:rsidRPr="00DB0C40">
              <w:rPr>
                <w:sz w:val="22"/>
                <w:szCs w:val="22"/>
              </w:rPr>
              <w:t>Organisation for Security and Co-operation in Europe</w:t>
            </w:r>
          </w:p>
        </w:tc>
      </w:tr>
      <w:tr w:rsidR="00BB44E1" w:rsidRPr="00DB0C40" w14:paraId="4F3FDA6B" w14:textId="77777777">
        <w:trPr>
          <w:trHeight w:val="138"/>
        </w:trPr>
        <w:tc>
          <w:tcPr>
            <w:tcW w:w="2198" w:type="dxa"/>
            <w:shd w:val="clear" w:color="auto" w:fill="D9E2F3"/>
          </w:tcPr>
          <w:p w14:paraId="0B601514" w14:textId="77777777" w:rsidR="00BB44E1" w:rsidRPr="00DB0C40" w:rsidRDefault="00230B49">
            <w:pPr>
              <w:spacing w:before="40" w:after="40" w:line="276" w:lineRule="auto"/>
              <w:jc w:val="both"/>
              <w:rPr>
                <w:sz w:val="22"/>
                <w:szCs w:val="22"/>
              </w:rPr>
            </w:pPr>
            <w:r w:rsidRPr="00DB0C40">
              <w:rPr>
                <w:sz w:val="22"/>
                <w:szCs w:val="22"/>
              </w:rPr>
              <w:t xml:space="preserve">PEA  </w:t>
            </w:r>
          </w:p>
        </w:tc>
        <w:tc>
          <w:tcPr>
            <w:tcW w:w="6874" w:type="dxa"/>
          </w:tcPr>
          <w:p w14:paraId="0015613C" w14:textId="77777777" w:rsidR="00BB44E1" w:rsidRPr="00DB0C40" w:rsidRDefault="00230B49">
            <w:pPr>
              <w:rPr>
                <w:sz w:val="20"/>
                <w:szCs w:val="20"/>
              </w:rPr>
            </w:pPr>
            <w:r w:rsidRPr="00DB0C40">
              <w:rPr>
                <w:sz w:val="22"/>
                <w:szCs w:val="22"/>
              </w:rPr>
              <w:t>Press Employment Act</w:t>
            </w:r>
          </w:p>
        </w:tc>
      </w:tr>
      <w:tr w:rsidR="00BB44E1" w:rsidRPr="00DB0C40" w14:paraId="1851B5B3" w14:textId="77777777">
        <w:trPr>
          <w:trHeight w:val="138"/>
        </w:trPr>
        <w:tc>
          <w:tcPr>
            <w:tcW w:w="2198" w:type="dxa"/>
            <w:shd w:val="clear" w:color="auto" w:fill="D9E2F3"/>
          </w:tcPr>
          <w:p w14:paraId="5FAB075F" w14:textId="77777777" w:rsidR="00BB44E1" w:rsidRPr="00DB0C40" w:rsidRDefault="00230B49">
            <w:pPr>
              <w:spacing w:before="40" w:after="40" w:line="276" w:lineRule="auto"/>
              <w:jc w:val="both"/>
              <w:rPr>
                <w:sz w:val="22"/>
                <w:szCs w:val="22"/>
              </w:rPr>
            </w:pPr>
            <w:r w:rsidRPr="00DB0C40">
              <w:rPr>
                <w:sz w:val="22"/>
                <w:szCs w:val="22"/>
              </w:rPr>
              <w:t>PC</w:t>
            </w:r>
          </w:p>
        </w:tc>
        <w:tc>
          <w:tcPr>
            <w:tcW w:w="6874" w:type="dxa"/>
          </w:tcPr>
          <w:p w14:paraId="3F46C072" w14:textId="77777777" w:rsidR="00BB44E1" w:rsidRPr="00DB0C40" w:rsidRDefault="00230B49">
            <w:pPr>
              <w:rPr>
                <w:sz w:val="20"/>
                <w:szCs w:val="20"/>
              </w:rPr>
            </w:pPr>
            <w:r w:rsidRPr="00DB0C40">
              <w:rPr>
                <w:sz w:val="22"/>
                <w:szCs w:val="22"/>
              </w:rPr>
              <w:t>Penal Code - 2004</w:t>
            </w:r>
          </w:p>
        </w:tc>
      </w:tr>
      <w:tr w:rsidR="00BB44E1" w:rsidRPr="00DB0C40" w14:paraId="3AE6614F" w14:textId="77777777">
        <w:trPr>
          <w:trHeight w:val="138"/>
        </w:trPr>
        <w:tc>
          <w:tcPr>
            <w:tcW w:w="2198" w:type="dxa"/>
            <w:shd w:val="clear" w:color="auto" w:fill="D9E2F3"/>
          </w:tcPr>
          <w:p w14:paraId="11B4572B" w14:textId="77777777" w:rsidR="00BB44E1" w:rsidRPr="00DB0C40" w:rsidRDefault="00230B49">
            <w:pPr>
              <w:spacing w:before="40" w:after="40" w:line="276" w:lineRule="auto"/>
              <w:jc w:val="both"/>
              <w:rPr>
                <w:sz w:val="22"/>
                <w:szCs w:val="22"/>
              </w:rPr>
            </w:pPr>
            <w:r w:rsidRPr="00DB0C40">
              <w:rPr>
                <w:sz w:val="22"/>
                <w:szCs w:val="22"/>
              </w:rPr>
              <w:t>SDGs</w:t>
            </w:r>
          </w:p>
        </w:tc>
        <w:tc>
          <w:tcPr>
            <w:tcW w:w="6874" w:type="dxa"/>
          </w:tcPr>
          <w:p w14:paraId="4E80B681" w14:textId="77777777" w:rsidR="00BB44E1" w:rsidRPr="00DB0C40" w:rsidRDefault="00230B49">
            <w:pPr>
              <w:rPr>
                <w:sz w:val="20"/>
                <w:szCs w:val="20"/>
              </w:rPr>
            </w:pPr>
            <w:r w:rsidRPr="00DB0C40">
              <w:rPr>
                <w:sz w:val="22"/>
                <w:szCs w:val="22"/>
              </w:rPr>
              <w:t>Sustainable Development Goals</w:t>
            </w:r>
          </w:p>
        </w:tc>
      </w:tr>
      <w:tr w:rsidR="00BB44E1" w:rsidRPr="00DB0C40" w14:paraId="1BEF82E1" w14:textId="77777777">
        <w:trPr>
          <w:trHeight w:val="138"/>
        </w:trPr>
        <w:tc>
          <w:tcPr>
            <w:tcW w:w="2198" w:type="dxa"/>
            <w:shd w:val="clear" w:color="auto" w:fill="D9E2F3"/>
          </w:tcPr>
          <w:p w14:paraId="332FE380" w14:textId="77777777" w:rsidR="00BB44E1" w:rsidRPr="00DB0C40" w:rsidRDefault="00230B49">
            <w:pPr>
              <w:spacing w:before="40" w:after="40" w:line="276" w:lineRule="auto"/>
              <w:jc w:val="both"/>
              <w:rPr>
                <w:sz w:val="22"/>
                <w:szCs w:val="22"/>
              </w:rPr>
            </w:pPr>
            <w:r w:rsidRPr="00DB0C40">
              <w:rPr>
                <w:sz w:val="22"/>
                <w:szCs w:val="22"/>
              </w:rPr>
              <w:t>SH</w:t>
            </w:r>
            <w:r w:rsidRPr="00DB0C40">
              <w:rPr>
                <w:sz w:val="22"/>
                <w:szCs w:val="22"/>
              </w:rPr>
              <w:tab/>
            </w:r>
          </w:p>
        </w:tc>
        <w:tc>
          <w:tcPr>
            <w:tcW w:w="6874" w:type="dxa"/>
          </w:tcPr>
          <w:p w14:paraId="4F376A22" w14:textId="77777777" w:rsidR="00BB44E1" w:rsidRPr="00DB0C40" w:rsidRDefault="00230B49">
            <w:pPr>
              <w:rPr>
                <w:sz w:val="20"/>
                <w:szCs w:val="20"/>
              </w:rPr>
            </w:pPr>
            <w:r w:rsidRPr="00DB0C40">
              <w:rPr>
                <w:sz w:val="22"/>
                <w:szCs w:val="22"/>
              </w:rPr>
              <w:t>Sexual harassment</w:t>
            </w:r>
          </w:p>
        </w:tc>
      </w:tr>
      <w:tr w:rsidR="00BB44E1" w:rsidRPr="00DB0C40" w14:paraId="0B71304E" w14:textId="77777777">
        <w:trPr>
          <w:trHeight w:val="138"/>
        </w:trPr>
        <w:tc>
          <w:tcPr>
            <w:tcW w:w="2198" w:type="dxa"/>
            <w:shd w:val="clear" w:color="auto" w:fill="D9E2F3"/>
          </w:tcPr>
          <w:p w14:paraId="4E7CB420" w14:textId="77777777" w:rsidR="00BB44E1" w:rsidRPr="00DB0C40" w:rsidRDefault="00230B49">
            <w:pPr>
              <w:spacing w:before="40" w:after="40" w:line="276" w:lineRule="auto"/>
              <w:jc w:val="both"/>
              <w:rPr>
                <w:sz w:val="22"/>
                <w:szCs w:val="22"/>
              </w:rPr>
            </w:pPr>
            <w:r w:rsidRPr="00DB0C40">
              <w:rPr>
                <w:sz w:val="22"/>
                <w:szCs w:val="22"/>
              </w:rPr>
              <w:t>SMEs</w:t>
            </w:r>
            <w:r w:rsidRPr="00DB0C40">
              <w:rPr>
                <w:sz w:val="22"/>
                <w:szCs w:val="22"/>
              </w:rPr>
              <w:tab/>
            </w:r>
          </w:p>
        </w:tc>
        <w:tc>
          <w:tcPr>
            <w:tcW w:w="6874" w:type="dxa"/>
          </w:tcPr>
          <w:p w14:paraId="211706EB" w14:textId="77777777" w:rsidR="00BB44E1" w:rsidRPr="00DB0C40" w:rsidRDefault="00230B49">
            <w:pPr>
              <w:rPr>
                <w:sz w:val="20"/>
                <w:szCs w:val="20"/>
              </w:rPr>
            </w:pPr>
            <w:r w:rsidRPr="00DB0C40">
              <w:rPr>
                <w:sz w:val="22"/>
                <w:szCs w:val="22"/>
              </w:rPr>
              <w:t>Small and medium-sized enterprises</w:t>
            </w:r>
          </w:p>
        </w:tc>
      </w:tr>
      <w:tr w:rsidR="00BB44E1" w:rsidRPr="00DB0C40" w14:paraId="19F54F4F" w14:textId="77777777">
        <w:trPr>
          <w:trHeight w:val="138"/>
        </w:trPr>
        <w:tc>
          <w:tcPr>
            <w:tcW w:w="2198" w:type="dxa"/>
            <w:shd w:val="clear" w:color="auto" w:fill="D9E2F3"/>
          </w:tcPr>
          <w:p w14:paraId="1056C607" w14:textId="77777777" w:rsidR="00BB44E1" w:rsidRPr="00DB0C40" w:rsidRDefault="00230B49">
            <w:pPr>
              <w:spacing w:before="40" w:after="40" w:line="276" w:lineRule="auto"/>
              <w:jc w:val="both"/>
              <w:rPr>
                <w:sz w:val="22"/>
                <w:szCs w:val="22"/>
              </w:rPr>
            </w:pPr>
            <w:r w:rsidRPr="00DB0C40">
              <w:rPr>
                <w:sz w:val="22"/>
                <w:szCs w:val="22"/>
              </w:rPr>
              <w:t>STEM</w:t>
            </w:r>
          </w:p>
        </w:tc>
        <w:tc>
          <w:tcPr>
            <w:tcW w:w="6874" w:type="dxa"/>
          </w:tcPr>
          <w:p w14:paraId="6BF7BC07" w14:textId="77777777" w:rsidR="00BB44E1" w:rsidRPr="00DB0C40" w:rsidRDefault="00230B49">
            <w:pPr>
              <w:rPr>
                <w:sz w:val="20"/>
                <w:szCs w:val="20"/>
              </w:rPr>
            </w:pPr>
            <w:r w:rsidRPr="00DB0C40">
              <w:rPr>
                <w:sz w:val="22"/>
                <w:szCs w:val="22"/>
              </w:rPr>
              <w:t>Science, technology, engineering, and mathematics</w:t>
            </w:r>
          </w:p>
        </w:tc>
      </w:tr>
      <w:tr w:rsidR="00BB44E1" w:rsidRPr="00DB0C40" w14:paraId="6D711FAC" w14:textId="77777777">
        <w:trPr>
          <w:trHeight w:val="138"/>
        </w:trPr>
        <w:tc>
          <w:tcPr>
            <w:tcW w:w="2198" w:type="dxa"/>
            <w:shd w:val="clear" w:color="auto" w:fill="D9E2F3"/>
          </w:tcPr>
          <w:p w14:paraId="72F0396D" w14:textId="77777777" w:rsidR="00BB44E1" w:rsidRPr="00DB0C40" w:rsidRDefault="00230B49">
            <w:pPr>
              <w:spacing w:before="40" w:after="40" w:line="276" w:lineRule="auto"/>
              <w:jc w:val="both"/>
              <w:rPr>
                <w:sz w:val="22"/>
                <w:szCs w:val="22"/>
              </w:rPr>
            </w:pPr>
            <w:r w:rsidRPr="00DB0C40">
              <w:rPr>
                <w:sz w:val="22"/>
                <w:szCs w:val="22"/>
              </w:rPr>
              <w:t xml:space="preserve">TUIK  </w:t>
            </w:r>
          </w:p>
        </w:tc>
        <w:tc>
          <w:tcPr>
            <w:tcW w:w="6874" w:type="dxa"/>
          </w:tcPr>
          <w:p w14:paraId="04D7FF7D" w14:textId="77777777" w:rsidR="00BB44E1" w:rsidRPr="00DB0C40" w:rsidRDefault="00230B49">
            <w:pPr>
              <w:rPr>
                <w:sz w:val="20"/>
                <w:szCs w:val="20"/>
              </w:rPr>
            </w:pPr>
            <w:r w:rsidRPr="00DB0C40">
              <w:rPr>
                <w:sz w:val="22"/>
                <w:szCs w:val="22"/>
              </w:rPr>
              <w:t>Turkish Statistical Institute</w:t>
            </w:r>
          </w:p>
        </w:tc>
      </w:tr>
      <w:tr w:rsidR="00BB44E1" w:rsidRPr="00DB0C40" w14:paraId="10545216" w14:textId="77777777">
        <w:trPr>
          <w:trHeight w:val="138"/>
        </w:trPr>
        <w:tc>
          <w:tcPr>
            <w:tcW w:w="2198" w:type="dxa"/>
            <w:shd w:val="clear" w:color="auto" w:fill="D9E2F3"/>
          </w:tcPr>
          <w:p w14:paraId="27D8EB58" w14:textId="77777777" w:rsidR="00BB44E1" w:rsidRPr="00DB0C40" w:rsidRDefault="00230B49">
            <w:pPr>
              <w:spacing w:before="40" w:after="40" w:line="276" w:lineRule="auto"/>
              <w:jc w:val="both"/>
              <w:rPr>
                <w:sz w:val="22"/>
                <w:szCs w:val="22"/>
              </w:rPr>
            </w:pPr>
            <w:r w:rsidRPr="00DB0C40">
              <w:rPr>
                <w:sz w:val="22"/>
                <w:szCs w:val="22"/>
              </w:rPr>
              <w:t>Turkish WIN</w:t>
            </w:r>
          </w:p>
        </w:tc>
        <w:tc>
          <w:tcPr>
            <w:tcW w:w="6874" w:type="dxa"/>
          </w:tcPr>
          <w:p w14:paraId="47C94B23" w14:textId="77777777" w:rsidR="00BB44E1" w:rsidRPr="00DB0C40" w:rsidRDefault="00230B49">
            <w:pPr>
              <w:rPr>
                <w:sz w:val="20"/>
                <w:szCs w:val="20"/>
              </w:rPr>
            </w:pPr>
            <w:r w:rsidRPr="00DB0C40">
              <w:rPr>
                <w:sz w:val="22"/>
                <w:szCs w:val="22"/>
              </w:rPr>
              <w:t xml:space="preserve">Turkish Women's International Network </w:t>
            </w:r>
          </w:p>
        </w:tc>
      </w:tr>
      <w:tr w:rsidR="00BB44E1" w:rsidRPr="00DB0C40" w14:paraId="6D810292" w14:textId="77777777">
        <w:trPr>
          <w:trHeight w:val="138"/>
        </w:trPr>
        <w:tc>
          <w:tcPr>
            <w:tcW w:w="2198" w:type="dxa"/>
            <w:shd w:val="clear" w:color="auto" w:fill="D9E2F3"/>
          </w:tcPr>
          <w:p w14:paraId="0DDDDDB4" w14:textId="77777777" w:rsidR="00BB44E1" w:rsidRPr="00DB0C40" w:rsidRDefault="00230B49">
            <w:pPr>
              <w:spacing w:before="40" w:after="40" w:line="276" w:lineRule="auto"/>
              <w:jc w:val="both"/>
              <w:rPr>
                <w:sz w:val="22"/>
                <w:szCs w:val="22"/>
              </w:rPr>
            </w:pPr>
            <w:r w:rsidRPr="00DB0C40">
              <w:rPr>
                <w:sz w:val="22"/>
                <w:szCs w:val="22"/>
              </w:rPr>
              <w:t>UDHR</w:t>
            </w:r>
            <w:r w:rsidRPr="00DB0C40">
              <w:rPr>
                <w:sz w:val="22"/>
                <w:szCs w:val="22"/>
              </w:rPr>
              <w:tab/>
            </w:r>
          </w:p>
        </w:tc>
        <w:tc>
          <w:tcPr>
            <w:tcW w:w="6874" w:type="dxa"/>
          </w:tcPr>
          <w:p w14:paraId="138EEF5A" w14:textId="77777777" w:rsidR="00BB44E1" w:rsidRPr="00DB0C40" w:rsidRDefault="00230B49">
            <w:pPr>
              <w:rPr>
                <w:sz w:val="20"/>
                <w:szCs w:val="20"/>
              </w:rPr>
            </w:pPr>
            <w:r w:rsidRPr="00DB0C40">
              <w:rPr>
                <w:sz w:val="22"/>
                <w:szCs w:val="22"/>
              </w:rPr>
              <w:t>Universal Declaration of Human Rights</w:t>
            </w:r>
          </w:p>
        </w:tc>
      </w:tr>
      <w:tr w:rsidR="00BB44E1" w:rsidRPr="00DB0C40" w14:paraId="5713E994" w14:textId="77777777">
        <w:trPr>
          <w:trHeight w:val="138"/>
        </w:trPr>
        <w:tc>
          <w:tcPr>
            <w:tcW w:w="2198" w:type="dxa"/>
            <w:shd w:val="clear" w:color="auto" w:fill="D9E2F3"/>
          </w:tcPr>
          <w:p w14:paraId="094C81B2" w14:textId="77777777" w:rsidR="00BB44E1" w:rsidRPr="00DB0C40" w:rsidRDefault="00230B49">
            <w:pPr>
              <w:spacing w:before="40" w:after="40" w:line="276" w:lineRule="auto"/>
              <w:jc w:val="both"/>
              <w:rPr>
                <w:sz w:val="22"/>
                <w:szCs w:val="22"/>
              </w:rPr>
            </w:pPr>
            <w:r w:rsidRPr="00DB0C40">
              <w:rPr>
                <w:sz w:val="22"/>
                <w:szCs w:val="22"/>
              </w:rPr>
              <w:t>UNGA</w:t>
            </w:r>
          </w:p>
        </w:tc>
        <w:tc>
          <w:tcPr>
            <w:tcW w:w="6874" w:type="dxa"/>
          </w:tcPr>
          <w:p w14:paraId="57183772" w14:textId="77777777" w:rsidR="00BB44E1" w:rsidRPr="00DB0C40" w:rsidRDefault="00230B49">
            <w:pPr>
              <w:rPr>
                <w:sz w:val="20"/>
                <w:szCs w:val="20"/>
              </w:rPr>
            </w:pPr>
            <w:r w:rsidRPr="00DB0C40">
              <w:rPr>
                <w:sz w:val="22"/>
                <w:szCs w:val="22"/>
              </w:rPr>
              <w:t>United Nations General Assembly</w:t>
            </w:r>
          </w:p>
        </w:tc>
      </w:tr>
      <w:tr w:rsidR="00BB44E1" w:rsidRPr="00DB0C40" w14:paraId="1A77C50C" w14:textId="77777777">
        <w:trPr>
          <w:trHeight w:val="138"/>
        </w:trPr>
        <w:tc>
          <w:tcPr>
            <w:tcW w:w="2198" w:type="dxa"/>
            <w:shd w:val="clear" w:color="auto" w:fill="D9E2F3"/>
          </w:tcPr>
          <w:p w14:paraId="31F4B273" w14:textId="77777777" w:rsidR="00BB44E1" w:rsidRPr="00DB0C40" w:rsidRDefault="00230B49">
            <w:pPr>
              <w:spacing w:before="40" w:after="40" w:line="276" w:lineRule="auto"/>
              <w:jc w:val="both"/>
              <w:rPr>
                <w:sz w:val="22"/>
                <w:szCs w:val="22"/>
              </w:rPr>
            </w:pPr>
            <w:r w:rsidRPr="00DB0C40">
              <w:rPr>
                <w:sz w:val="22"/>
                <w:szCs w:val="22"/>
              </w:rPr>
              <w:t>UN Guiding Principles</w:t>
            </w:r>
          </w:p>
        </w:tc>
        <w:tc>
          <w:tcPr>
            <w:tcW w:w="6874" w:type="dxa"/>
          </w:tcPr>
          <w:p w14:paraId="136EBDE5" w14:textId="77777777" w:rsidR="00BB44E1" w:rsidRPr="00DB0C40" w:rsidRDefault="00230B49">
            <w:pPr>
              <w:rPr>
                <w:sz w:val="20"/>
                <w:szCs w:val="20"/>
              </w:rPr>
            </w:pPr>
            <w:r w:rsidRPr="00DB0C40">
              <w:rPr>
                <w:sz w:val="22"/>
                <w:szCs w:val="22"/>
              </w:rPr>
              <w:t xml:space="preserve">UN Guiding Principles on Business and Human Rights </w:t>
            </w:r>
          </w:p>
        </w:tc>
      </w:tr>
      <w:tr w:rsidR="00BB44E1" w:rsidRPr="00DB0C40" w14:paraId="0723F748" w14:textId="77777777">
        <w:trPr>
          <w:trHeight w:val="138"/>
        </w:trPr>
        <w:tc>
          <w:tcPr>
            <w:tcW w:w="2198" w:type="dxa"/>
            <w:shd w:val="clear" w:color="auto" w:fill="D9E2F3"/>
          </w:tcPr>
          <w:p w14:paraId="7FCF2271" w14:textId="77777777" w:rsidR="00BB44E1" w:rsidRPr="00DB0C40" w:rsidRDefault="00230B49">
            <w:pPr>
              <w:spacing w:before="40" w:after="40" w:line="276" w:lineRule="auto"/>
              <w:jc w:val="both"/>
              <w:rPr>
                <w:sz w:val="22"/>
                <w:szCs w:val="22"/>
              </w:rPr>
            </w:pPr>
            <w:r w:rsidRPr="00DB0C40">
              <w:rPr>
                <w:sz w:val="22"/>
                <w:szCs w:val="22"/>
              </w:rPr>
              <w:t>UNHROHC</w:t>
            </w:r>
          </w:p>
        </w:tc>
        <w:tc>
          <w:tcPr>
            <w:tcW w:w="6874" w:type="dxa"/>
          </w:tcPr>
          <w:p w14:paraId="48693506" w14:textId="77777777" w:rsidR="00BB44E1" w:rsidRPr="00DB0C40" w:rsidRDefault="00230B49">
            <w:pPr>
              <w:rPr>
                <w:sz w:val="20"/>
                <w:szCs w:val="20"/>
              </w:rPr>
            </w:pPr>
            <w:r w:rsidRPr="00DB0C40">
              <w:rPr>
                <w:sz w:val="22"/>
                <w:szCs w:val="22"/>
              </w:rPr>
              <w:t xml:space="preserve">United Nations Human Rights Office of the High Commissioner </w:t>
            </w:r>
          </w:p>
        </w:tc>
      </w:tr>
      <w:tr w:rsidR="00BB44E1" w:rsidRPr="00DB0C40" w14:paraId="010B6E58" w14:textId="77777777">
        <w:trPr>
          <w:trHeight w:val="138"/>
        </w:trPr>
        <w:tc>
          <w:tcPr>
            <w:tcW w:w="2198" w:type="dxa"/>
            <w:shd w:val="clear" w:color="auto" w:fill="D9E2F3"/>
          </w:tcPr>
          <w:p w14:paraId="09D23F4E" w14:textId="77777777" w:rsidR="00BB44E1" w:rsidRPr="00DB0C40" w:rsidRDefault="00230B49">
            <w:pPr>
              <w:spacing w:before="40" w:after="40" w:line="276" w:lineRule="auto"/>
              <w:jc w:val="both"/>
              <w:rPr>
                <w:sz w:val="22"/>
                <w:szCs w:val="22"/>
              </w:rPr>
            </w:pPr>
            <w:r w:rsidRPr="00DB0C40">
              <w:rPr>
                <w:sz w:val="22"/>
                <w:szCs w:val="22"/>
              </w:rPr>
              <w:t>USD</w:t>
            </w:r>
          </w:p>
        </w:tc>
        <w:tc>
          <w:tcPr>
            <w:tcW w:w="6874" w:type="dxa"/>
          </w:tcPr>
          <w:p w14:paraId="61D34503" w14:textId="77777777" w:rsidR="00BB44E1" w:rsidRPr="00DB0C40" w:rsidRDefault="00230B49">
            <w:pPr>
              <w:rPr>
                <w:sz w:val="20"/>
                <w:szCs w:val="20"/>
              </w:rPr>
            </w:pPr>
            <w:r w:rsidRPr="00DB0C40">
              <w:rPr>
                <w:sz w:val="22"/>
                <w:szCs w:val="22"/>
              </w:rPr>
              <w:t>United States dollar</w:t>
            </w:r>
          </w:p>
        </w:tc>
      </w:tr>
      <w:tr w:rsidR="00BB44E1" w:rsidRPr="00DB0C40" w14:paraId="223AA928" w14:textId="77777777">
        <w:trPr>
          <w:trHeight w:val="138"/>
        </w:trPr>
        <w:tc>
          <w:tcPr>
            <w:tcW w:w="2198" w:type="dxa"/>
            <w:shd w:val="clear" w:color="auto" w:fill="D9E2F3"/>
          </w:tcPr>
          <w:p w14:paraId="2E94C8D0" w14:textId="77777777" w:rsidR="00BB44E1" w:rsidRPr="00DB0C40" w:rsidRDefault="00230B49">
            <w:pPr>
              <w:spacing w:before="40" w:after="40" w:line="276" w:lineRule="auto"/>
              <w:jc w:val="both"/>
              <w:rPr>
                <w:sz w:val="22"/>
                <w:szCs w:val="22"/>
              </w:rPr>
            </w:pPr>
            <w:r w:rsidRPr="00DB0C40">
              <w:rPr>
                <w:sz w:val="22"/>
                <w:szCs w:val="22"/>
              </w:rPr>
              <w:t>W7</w:t>
            </w:r>
          </w:p>
        </w:tc>
        <w:tc>
          <w:tcPr>
            <w:tcW w:w="6874" w:type="dxa"/>
          </w:tcPr>
          <w:p w14:paraId="1CE898CD" w14:textId="77777777" w:rsidR="00BB44E1" w:rsidRPr="00DB0C40" w:rsidRDefault="00230B49">
            <w:pPr>
              <w:rPr>
                <w:sz w:val="22"/>
                <w:szCs w:val="22"/>
              </w:rPr>
            </w:pPr>
            <w:r w:rsidRPr="00DB0C40">
              <w:rPr>
                <w:sz w:val="22"/>
                <w:szCs w:val="22"/>
              </w:rPr>
              <w:t>Women 7</w:t>
            </w:r>
          </w:p>
        </w:tc>
      </w:tr>
      <w:tr w:rsidR="00BB44E1" w:rsidRPr="00DB0C40" w14:paraId="7BE90D79" w14:textId="77777777">
        <w:trPr>
          <w:trHeight w:val="138"/>
        </w:trPr>
        <w:tc>
          <w:tcPr>
            <w:tcW w:w="2198" w:type="dxa"/>
            <w:shd w:val="clear" w:color="auto" w:fill="D9E2F3"/>
          </w:tcPr>
          <w:p w14:paraId="3F7839F6" w14:textId="77777777" w:rsidR="00BB44E1" w:rsidRPr="00DB0C40" w:rsidRDefault="00230B49">
            <w:pPr>
              <w:spacing w:before="40" w:after="40" w:line="276" w:lineRule="auto"/>
              <w:jc w:val="both"/>
              <w:rPr>
                <w:sz w:val="22"/>
                <w:szCs w:val="22"/>
              </w:rPr>
            </w:pPr>
            <w:r w:rsidRPr="00DB0C40">
              <w:rPr>
                <w:sz w:val="22"/>
                <w:szCs w:val="22"/>
              </w:rPr>
              <w:t>WED</w:t>
            </w:r>
          </w:p>
        </w:tc>
        <w:tc>
          <w:tcPr>
            <w:tcW w:w="6874" w:type="dxa"/>
          </w:tcPr>
          <w:p w14:paraId="02546D12" w14:textId="77777777" w:rsidR="00BB44E1" w:rsidRPr="00DB0C40" w:rsidRDefault="00230B49">
            <w:pPr>
              <w:rPr>
                <w:sz w:val="22"/>
                <w:szCs w:val="22"/>
              </w:rPr>
            </w:pPr>
            <w:r w:rsidRPr="00DB0C40">
              <w:rPr>
                <w:sz w:val="22"/>
                <w:szCs w:val="22"/>
              </w:rPr>
              <w:t>Women’s Entrepreneurship Development</w:t>
            </w:r>
          </w:p>
        </w:tc>
      </w:tr>
      <w:tr w:rsidR="00BB44E1" w:rsidRPr="00DB0C40" w14:paraId="293C461C" w14:textId="77777777">
        <w:trPr>
          <w:trHeight w:val="138"/>
        </w:trPr>
        <w:tc>
          <w:tcPr>
            <w:tcW w:w="2198" w:type="dxa"/>
            <w:shd w:val="clear" w:color="auto" w:fill="D9E2F3"/>
          </w:tcPr>
          <w:p w14:paraId="36B6D52B" w14:textId="77777777" w:rsidR="00BB44E1" w:rsidRPr="00DB0C40" w:rsidRDefault="00230B49">
            <w:pPr>
              <w:spacing w:before="40" w:after="40" w:line="276" w:lineRule="auto"/>
              <w:jc w:val="both"/>
              <w:rPr>
                <w:sz w:val="22"/>
                <w:szCs w:val="22"/>
              </w:rPr>
            </w:pPr>
            <w:r w:rsidRPr="00DB0C40">
              <w:rPr>
                <w:sz w:val="22"/>
                <w:szCs w:val="22"/>
              </w:rPr>
              <w:t>WE EMPOWER-G7</w:t>
            </w:r>
          </w:p>
        </w:tc>
        <w:tc>
          <w:tcPr>
            <w:tcW w:w="6874" w:type="dxa"/>
          </w:tcPr>
          <w:p w14:paraId="1F1CA6EB" w14:textId="77777777" w:rsidR="00BB44E1" w:rsidRPr="00DB0C40" w:rsidRDefault="00230B49">
            <w:pPr>
              <w:rPr>
                <w:sz w:val="22"/>
                <w:szCs w:val="22"/>
              </w:rPr>
            </w:pPr>
            <w:r w:rsidRPr="00DB0C40">
              <w:rPr>
                <w:sz w:val="22"/>
                <w:szCs w:val="22"/>
              </w:rPr>
              <w:t>EU, UN Women and ILO project “Empowering women at work through responsible business conduct</w:t>
            </w:r>
          </w:p>
        </w:tc>
      </w:tr>
    </w:tbl>
    <w:p w14:paraId="085A779E" w14:textId="77777777" w:rsidR="00BB44E1" w:rsidRPr="00DB0C40" w:rsidRDefault="00BB44E1"/>
    <w:p w14:paraId="11AB9AE7" w14:textId="77777777" w:rsidR="00BB44E1" w:rsidRPr="00DB0C40" w:rsidRDefault="00BB44E1">
      <w:pPr>
        <w:rPr>
          <w:sz w:val="22"/>
          <w:szCs w:val="22"/>
        </w:rPr>
      </w:pPr>
    </w:p>
    <w:p w14:paraId="7F6253B9" w14:textId="77777777" w:rsidR="00BB44E1" w:rsidRPr="00DB0C40" w:rsidRDefault="00BB44E1">
      <w:pPr>
        <w:rPr>
          <w:sz w:val="22"/>
          <w:szCs w:val="22"/>
        </w:rPr>
      </w:pPr>
    </w:p>
    <w:p w14:paraId="7A32EF2B" w14:textId="77777777" w:rsidR="00BB44E1" w:rsidRPr="00DB0C40" w:rsidRDefault="00230B49">
      <w:pPr>
        <w:rPr>
          <w:sz w:val="22"/>
          <w:szCs w:val="22"/>
        </w:rPr>
      </w:pPr>
      <w:r w:rsidRPr="00DB0C40">
        <w:br w:type="page"/>
      </w:r>
    </w:p>
    <w:p w14:paraId="2B4B2785" w14:textId="77777777" w:rsidR="00BA33A9" w:rsidRPr="00DB0C40" w:rsidRDefault="00230B49">
      <w:pPr>
        <w:pStyle w:val="Heading1"/>
        <w:rPr>
          <w:sz w:val="28"/>
          <w:szCs w:val="28"/>
        </w:rPr>
      </w:pPr>
      <w:bookmarkStart w:id="3" w:name="_heading=h.1fob9te" w:colFirst="0" w:colLast="0"/>
      <w:bookmarkEnd w:id="3"/>
      <w:r w:rsidRPr="00DB0C40">
        <w:rPr>
          <w:rFonts w:asciiTheme="minorHAnsi" w:hAnsiTheme="minorHAnsi" w:cstheme="minorHAnsi"/>
          <w:b/>
          <w:bCs/>
          <w:color w:val="auto"/>
          <w:sz w:val="22"/>
          <w:szCs w:val="22"/>
        </w:rPr>
        <w:lastRenderedPageBreak/>
        <w:t>EXECUTIVE SUMMARY</w:t>
      </w:r>
      <w:r w:rsidRPr="00DB0C40">
        <w:rPr>
          <w:color w:val="auto"/>
          <w:sz w:val="28"/>
          <w:szCs w:val="28"/>
        </w:rPr>
        <w:t xml:space="preserve"> </w:t>
      </w:r>
    </w:p>
    <w:p w14:paraId="2581A8E7" w14:textId="77777777" w:rsidR="00A637D5" w:rsidRDefault="00A637D5" w:rsidP="00A637D5">
      <w:pPr>
        <w:jc w:val="both"/>
        <w:rPr>
          <w:bCs/>
          <w:sz w:val="22"/>
          <w:szCs w:val="22"/>
        </w:rPr>
      </w:pPr>
      <w:r>
        <w:rPr>
          <w:bCs/>
          <w:sz w:val="22"/>
          <w:szCs w:val="22"/>
        </w:rPr>
        <w:t>This Report was commissioned by the</w:t>
      </w:r>
      <w:r w:rsidRPr="007E15AC">
        <w:rPr>
          <w:rFonts w:ascii="Segoe UI" w:hAnsi="Segoe UI" w:cs="Segoe UI"/>
          <w:sz w:val="18"/>
          <w:szCs w:val="18"/>
        </w:rPr>
        <w:t xml:space="preserve"> </w:t>
      </w:r>
      <w:r w:rsidRPr="007E15AC">
        <w:rPr>
          <w:bCs/>
          <w:sz w:val="22"/>
          <w:szCs w:val="22"/>
        </w:rPr>
        <w:t>Department for Employment Policies under Ministry of Labour and Social Security</w:t>
      </w:r>
      <w:r>
        <w:rPr>
          <w:bCs/>
          <w:sz w:val="22"/>
          <w:szCs w:val="22"/>
        </w:rPr>
        <w:t xml:space="preserve"> to examine the effectiveness of current legislation in protecting workers’ (especially women’s) rights and in promoting greater participation of women in the Turkish labour force, with a view to making recommendations for adjustments in legislation where deemed necessary. The Report was produced by the project team working within the EU-funded project ‘Technical Assistance for Promoting Decent Future of Work Approach with a focus on Gender Equality’.  </w:t>
      </w:r>
    </w:p>
    <w:p w14:paraId="7A3961EF" w14:textId="77777777" w:rsidR="00A637D5" w:rsidRDefault="00A637D5" w:rsidP="00A637D5">
      <w:pPr>
        <w:jc w:val="both"/>
        <w:rPr>
          <w:rFonts w:cstheme="minorHAnsi"/>
          <w:sz w:val="22"/>
          <w:szCs w:val="22"/>
        </w:rPr>
      </w:pPr>
    </w:p>
    <w:p w14:paraId="066EFAA0" w14:textId="77777777" w:rsidR="00A637D5" w:rsidRDefault="00A637D5" w:rsidP="00A637D5">
      <w:pPr>
        <w:jc w:val="both"/>
        <w:rPr>
          <w:sz w:val="22"/>
          <w:szCs w:val="22"/>
        </w:rPr>
      </w:pPr>
      <w:r>
        <w:rPr>
          <w:rFonts w:cstheme="minorHAnsi"/>
          <w:sz w:val="22"/>
          <w:szCs w:val="22"/>
        </w:rPr>
        <w:t xml:space="preserve">It is generally recognised that the coming decade will see many changes in the workplace in terms of how we work, where we work, and what we will be doing. The COVID-19 pandemic accelerated changes in the idea of where people could work, with a move towards home-based working seen by many as a way of achieving a better work/life balance, through the elimination of lengthy commuting requirements in larger cities. Robotisation, automation, AI and digitalisation have already impacted the world of work and changed the banking and retail sectors dramatically. This process of change will continue and expand and jobs will be affected. Commentators predict that by 2030, in </w:t>
      </w:r>
      <w:r>
        <w:rPr>
          <w:sz w:val="22"/>
          <w:szCs w:val="22"/>
        </w:rPr>
        <w:t xml:space="preserve">Türkiye some 7.5m jobs will be lost as a result of these changes, but that almost 9m jobs will be created – by the very forces (robotisation, automation, etc.) which will have eliminated the conventional jobs. </w:t>
      </w:r>
    </w:p>
    <w:p w14:paraId="6A9175B5" w14:textId="77777777" w:rsidR="00A637D5" w:rsidRDefault="00A637D5" w:rsidP="00A637D5">
      <w:pPr>
        <w:jc w:val="both"/>
        <w:rPr>
          <w:sz w:val="22"/>
          <w:szCs w:val="22"/>
        </w:rPr>
      </w:pPr>
    </w:p>
    <w:p w14:paraId="695D99B0" w14:textId="77777777" w:rsidR="00A637D5" w:rsidRDefault="00A637D5" w:rsidP="00A637D5">
      <w:pPr>
        <w:jc w:val="both"/>
        <w:rPr>
          <w:rFonts w:cstheme="minorHAnsi"/>
          <w:sz w:val="22"/>
          <w:szCs w:val="22"/>
        </w:rPr>
      </w:pPr>
      <w:r>
        <w:rPr>
          <w:sz w:val="22"/>
          <w:szCs w:val="22"/>
        </w:rPr>
        <w:t xml:space="preserve">Throughout this coming era of change, some things will remain constant. Women will continue to produce children, and women in work will continue to require periods of leave to care for their new families; they will continue to need access to childcare to enable then to return to work should they choose to do so; and they will need to have some degree of flexibility to take time away from work to care for sick children throughout their working lives. The Technical Assistance team (TAT) of the </w:t>
      </w:r>
      <w:r w:rsidRPr="00431188">
        <w:rPr>
          <w:rFonts w:cstheme="minorHAnsi"/>
          <w:sz w:val="22"/>
          <w:szCs w:val="22"/>
        </w:rPr>
        <w:t>‘Technical Assistance for Promoting Decent Future of Work Approach with a Focus on Gender Equality’</w:t>
      </w:r>
      <w:r>
        <w:rPr>
          <w:rFonts w:cstheme="minorHAnsi"/>
          <w:sz w:val="22"/>
          <w:szCs w:val="22"/>
        </w:rPr>
        <w:t xml:space="preserve"> project was asked to examine the extent to which current Turkish legislation and practice was, in fact</w:t>
      </w:r>
      <w:r>
        <w:rPr>
          <w:sz w:val="22"/>
          <w:szCs w:val="22"/>
        </w:rPr>
        <w:t xml:space="preserve">, providing the necessary basis for protecting women’s working rights, and, through a better understanding of the situation ‘on the ground’ and through a thorough examination of comparative legislation from other countries, to make recommendations, where necessary, to tighten up Turkish legislative framework. </w:t>
      </w:r>
    </w:p>
    <w:p w14:paraId="46DDD538" w14:textId="77777777" w:rsidR="00A637D5" w:rsidRDefault="00A637D5" w:rsidP="00A637D5">
      <w:pPr>
        <w:jc w:val="both"/>
        <w:rPr>
          <w:rFonts w:cstheme="minorHAnsi"/>
          <w:sz w:val="22"/>
          <w:szCs w:val="22"/>
        </w:rPr>
      </w:pPr>
    </w:p>
    <w:p w14:paraId="4749AED8" w14:textId="77777777" w:rsidR="00A637D5" w:rsidRDefault="00A637D5" w:rsidP="00A637D5">
      <w:pPr>
        <w:jc w:val="both"/>
        <w:rPr>
          <w:rFonts w:cstheme="minorHAnsi"/>
          <w:sz w:val="22"/>
          <w:szCs w:val="22"/>
        </w:rPr>
      </w:pPr>
      <w:r>
        <w:rPr>
          <w:rFonts w:cstheme="minorHAnsi"/>
          <w:sz w:val="22"/>
          <w:szCs w:val="22"/>
        </w:rPr>
        <w:t>To achieve this, TAT carried out a 6-stage study during the period April 2021 to August 2022:</w:t>
      </w:r>
    </w:p>
    <w:p w14:paraId="70C564B7" w14:textId="77777777" w:rsidR="00A637D5" w:rsidRDefault="00A637D5" w:rsidP="00A637D5">
      <w:pPr>
        <w:jc w:val="both"/>
        <w:rPr>
          <w:rFonts w:cstheme="minorHAnsi"/>
          <w:sz w:val="22"/>
          <w:szCs w:val="22"/>
        </w:rPr>
      </w:pPr>
    </w:p>
    <w:p w14:paraId="5FB5AEEC" w14:textId="77777777" w:rsidR="00A637D5" w:rsidRPr="00431188" w:rsidRDefault="00A637D5" w:rsidP="00A637D5">
      <w:pPr>
        <w:pStyle w:val="ListParagraph"/>
        <w:numPr>
          <w:ilvl w:val="0"/>
          <w:numId w:val="55"/>
        </w:numPr>
        <w:jc w:val="both"/>
        <w:rPr>
          <w:rFonts w:cstheme="minorHAnsi"/>
          <w:sz w:val="22"/>
          <w:szCs w:val="22"/>
        </w:rPr>
      </w:pPr>
      <w:r>
        <w:rPr>
          <w:rFonts w:cstheme="minorHAnsi"/>
          <w:sz w:val="22"/>
          <w:szCs w:val="22"/>
        </w:rPr>
        <w:t>Conducting e</w:t>
      </w:r>
      <w:r w:rsidRPr="00431188">
        <w:rPr>
          <w:rFonts w:cstheme="minorHAnsi"/>
          <w:sz w:val="22"/>
          <w:szCs w:val="22"/>
        </w:rPr>
        <w:t xml:space="preserve">xtensive desk research into international and Turkish </w:t>
      </w:r>
      <w:r>
        <w:rPr>
          <w:rFonts w:cstheme="minorHAnsi"/>
          <w:sz w:val="22"/>
          <w:szCs w:val="22"/>
        </w:rPr>
        <w:t xml:space="preserve">legislation and </w:t>
      </w:r>
      <w:r w:rsidRPr="00431188">
        <w:rPr>
          <w:rFonts w:cstheme="minorHAnsi"/>
          <w:sz w:val="22"/>
          <w:szCs w:val="22"/>
        </w:rPr>
        <w:t>approaches</w:t>
      </w:r>
      <w:r>
        <w:rPr>
          <w:rFonts w:cstheme="minorHAnsi"/>
          <w:sz w:val="22"/>
          <w:szCs w:val="22"/>
        </w:rPr>
        <w:t xml:space="preserve"> regarding women’s working rights</w:t>
      </w:r>
      <w:r w:rsidRPr="00431188">
        <w:rPr>
          <w:rFonts w:cstheme="minorHAnsi"/>
          <w:sz w:val="22"/>
          <w:szCs w:val="22"/>
        </w:rPr>
        <w:t>;</w:t>
      </w:r>
    </w:p>
    <w:p w14:paraId="58048A0C" w14:textId="77777777" w:rsidR="00A637D5" w:rsidRPr="00431188" w:rsidRDefault="00A637D5" w:rsidP="00A637D5">
      <w:pPr>
        <w:pStyle w:val="ListParagraph"/>
        <w:numPr>
          <w:ilvl w:val="0"/>
          <w:numId w:val="55"/>
        </w:numPr>
        <w:jc w:val="both"/>
        <w:rPr>
          <w:rFonts w:cstheme="minorHAnsi"/>
          <w:sz w:val="22"/>
          <w:szCs w:val="22"/>
        </w:rPr>
      </w:pPr>
      <w:r>
        <w:rPr>
          <w:rFonts w:cstheme="minorHAnsi"/>
          <w:sz w:val="22"/>
          <w:szCs w:val="22"/>
        </w:rPr>
        <w:t>Holding a series of s</w:t>
      </w:r>
      <w:r w:rsidRPr="00431188">
        <w:rPr>
          <w:rFonts w:cstheme="minorHAnsi"/>
          <w:sz w:val="22"/>
          <w:szCs w:val="22"/>
        </w:rPr>
        <w:t xml:space="preserve">tructured meetings with </w:t>
      </w:r>
      <w:r>
        <w:rPr>
          <w:rFonts w:cstheme="minorHAnsi"/>
          <w:sz w:val="22"/>
          <w:szCs w:val="22"/>
        </w:rPr>
        <w:t xml:space="preserve">relevant stakeholder </w:t>
      </w:r>
      <w:r w:rsidRPr="00431188">
        <w:rPr>
          <w:rFonts w:cstheme="minorHAnsi"/>
          <w:sz w:val="22"/>
          <w:szCs w:val="22"/>
        </w:rPr>
        <w:t>institutions</w:t>
      </w:r>
      <w:r>
        <w:rPr>
          <w:rFonts w:cstheme="minorHAnsi"/>
          <w:sz w:val="22"/>
          <w:szCs w:val="22"/>
        </w:rPr>
        <w:t xml:space="preserve"> in Türkiye</w:t>
      </w:r>
      <w:r w:rsidRPr="00431188">
        <w:rPr>
          <w:rFonts w:cstheme="minorHAnsi"/>
          <w:sz w:val="22"/>
          <w:szCs w:val="22"/>
        </w:rPr>
        <w:t>;</w:t>
      </w:r>
    </w:p>
    <w:p w14:paraId="4130C0EE" w14:textId="77777777" w:rsidR="00A637D5" w:rsidRDefault="00A637D5" w:rsidP="00A637D5">
      <w:pPr>
        <w:pStyle w:val="ListParagraph"/>
        <w:numPr>
          <w:ilvl w:val="0"/>
          <w:numId w:val="55"/>
        </w:numPr>
        <w:jc w:val="both"/>
        <w:rPr>
          <w:rFonts w:cstheme="minorHAnsi"/>
          <w:sz w:val="22"/>
          <w:szCs w:val="22"/>
        </w:rPr>
      </w:pPr>
      <w:r>
        <w:rPr>
          <w:rFonts w:cstheme="minorHAnsi"/>
          <w:sz w:val="22"/>
          <w:szCs w:val="22"/>
        </w:rPr>
        <w:t>Delivering a Pre-Study</w:t>
      </w:r>
      <w:r w:rsidRPr="00431188">
        <w:rPr>
          <w:rFonts w:cstheme="minorHAnsi"/>
          <w:sz w:val="22"/>
          <w:szCs w:val="22"/>
        </w:rPr>
        <w:t xml:space="preserve"> Workshop </w:t>
      </w:r>
      <w:r>
        <w:rPr>
          <w:rFonts w:cstheme="minorHAnsi"/>
          <w:sz w:val="22"/>
          <w:szCs w:val="22"/>
        </w:rPr>
        <w:t xml:space="preserve">during which 51 </w:t>
      </w:r>
      <w:r w:rsidRPr="00431188">
        <w:rPr>
          <w:rFonts w:cstheme="minorHAnsi"/>
          <w:sz w:val="22"/>
          <w:szCs w:val="22"/>
        </w:rPr>
        <w:t xml:space="preserve">representatives of the public and third sectors </w:t>
      </w:r>
      <w:r>
        <w:rPr>
          <w:rFonts w:cstheme="minorHAnsi"/>
          <w:sz w:val="22"/>
          <w:szCs w:val="22"/>
        </w:rPr>
        <w:t xml:space="preserve">were encouraged to </w:t>
      </w:r>
      <w:r w:rsidRPr="00431188">
        <w:rPr>
          <w:rFonts w:cstheme="minorHAnsi"/>
          <w:sz w:val="22"/>
          <w:szCs w:val="22"/>
        </w:rPr>
        <w:t xml:space="preserve">formulate their views on how </w:t>
      </w:r>
      <w:r>
        <w:rPr>
          <w:rFonts w:cstheme="minorHAnsi"/>
          <w:sz w:val="22"/>
          <w:szCs w:val="22"/>
        </w:rPr>
        <w:t>Turkish legislation and practice were working and whether changes were required;</w:t>
      </w:r>
    </w:p>
    <w:p w14:paraId="06664ABF" w14:textId="77777777" w:rsidR="00A637D5" w:rsidRDefault="00A637D5" w:rsidP="00A637D5">
      <w:pPr>
        <w:pStyle w:val="ListParagraph"/>
        <w:numPr>
          <w:ilvl w:val="0"/>
          <w:numId w:val="55"/>
        </w:numPr>
        <w:jc w:val="both"/>
        <w:rPr>
          <w:rFonts w:cstheme="minorHAnsi"/>
          <w:sz w:val="22"/>
          <w:szCs w:val="22"/>
        </w:rPr>
      </w:pPr>
      <w:r>
        <w:rPr>
          <w:rFonts w:cstheme="minorHAnsi"/>
          <w:sz w:val="22"/>
          <w:szCs w:val="22"/>
        </w:rPr>
        <w:t xml:space="preserve">Undertaking a field study involving over 500 face-to-face interviews with employers and employees in 5 Turkish provinces (Adana, Ankara, Bursa, Istanbul and Izmir); </w:t>
      </w:r>
    </w:p>
    <w:p w14:paraId="1D4E4486" w14:textId="77777777" w:rsidR="00A637D5" w:rsidRDefault="00A637D5" w:rsidP="00A637D5">
      <w:pPr>
        <w:pStyle w:val="ListParagraph"/>
        <w:numPr>
          <w:ilvl w:val="0"/>
          <w:numId w:val="55"/>
        </w:numPr>
        <w:jc w:val="both"/>
        <w:rPr>
          <w:rFonts w:cstheme="minorHAnsi"/>
          <w:sz w:val="22"/>
          <w:szCs w:val="22"/>
        </w:rPr>
      </w:pPr>
      <w:r>
        <w:rPr>
          <w:rFonts w:cstheme="minorHAnsi"/>
          <w:sz w:val="22"/>
          <w:szCs w:val="22"/>
        </w:rPr>
        <w:t>Delivering a Post-Study</w:t>
      </w:r>
      <w:r w:rsidRPr="00431188">
        <w:rPr>
          <w:rFonts w:cstheme="minorHAnsi"/>
          <w:sz w:val="22"/>
          <w:szCs w:val="22"/>
        </w:rPr>
        <w:t xml:space="preserve"> Workshop </w:t>
      </w:r>
      <w:r>
        <w:rPr>
          <w:rFonts w:cstheme="minorHAnsi"/>
          <w:sz w:val="22"/>
          <w:szCs w:val="22"/>
        </w:rPr>
        <w:t>during which 110</w:t>
      </w:r>
      <w:r w:rsidRPr="00431188">
        <w:rPr>
          <w:rFonts w:cstheme="minorHAnsi"/>
          <w:sz w:val="22"/>
          <w:szCs w:val="22"/>
        </w:rPr>
        <w:t xml:space="preserve"> representatives of the public and third sectors </w:t>
      </w:r>
      <w:r>
        <w:rPr>
          <w:rFonts w:cstheme="minorHAnsi"/>
          <w:sz w:val="22"/>
          <w:szCs w:val="22"/>
        </w:rPr>
        <w:t>provided feedback to draft Recommendations formulated from feedback in the preceding stages;</w:t>
      </w:r>
    </w:p>
    <w:p w14:paraId="5EA798ED" w14:textId="77777777" w:rsidR="00A637D5" w:rsidRPr="00AF708B" w:rsidRDefault="00A637D5" w:rsidP="00A637D5">
      <w:pPr>
        <w:pStyle w:val="ListParagraph"/>
        <w:numPr>
          <w:ilvl w:val="0"/>
          <w:numId w:val="55"/>
        </w:numPr>
        <w:jc w:val="both"/>
        <w:rPr>
          <w:rFonts w:cstheme="minorHAnsi"/>
          <w:sz w:val="22"/>
          <w:szCs w:val="22"/>
        </w:rPr>
      </w:pPr>
      <w:r>
        <w:rPr>
          <w:rFonts w:cstheme="minorHAnsi"/>
          <w:sz w:val="22"/>
          <w:szCs w:val="22"/>
        </w:rPr>
        <w:t>Subjecting all feedback to a data analysis process.</w:t>
      </w:r>
    </w:p>
    <w:p w14:paraId="5EA2AA8A" w14:textId="77777777" w:rsidR="00A637D5" w:rsidRDefault="00A637D5" w:rsidP="00A637D5">
      <w:pPr>
        <w:jc w:val="both"/>
        <w:rPr>
          <w:rFonts w:cstheme="minorHAnsi"/>
          <w:sz w:val="22"/>
          <w:szCs w:val="22"/>
        </w:rPr>
      </w:pPr>
    </w:p>
    <w:p w14:paraId="2175664C" w14:textId="77777777" w:rsidR="00A637D5" w:rsidRDefault="00A637D5" w:rsidP="00A637D5">
      <w:pPr>
        <w:jc w:val="both"/>
        <w:rPr>
          <w:rFonts w:cstheme="minorHAnsi"/>
          <w:sz w:val="22"/>
          <w:szCs w:val="22"/>
        </w:rPr>
      </w:pPr>
      <w:r>
        <w:rPr>
          <w:rFonts w:cstheme="minorHAnsi"/>
          <w:sz w:val="22"/>
          <w:szCs w:val="22"/>
        </w:rPr>
        <w:t>The results of this assignment are summarised in this Report, the main outputs of which are a series of 18 recommendations for legislative and policy change divided into the following 10 thematic/sub-thematic areas, each containing a range of specific policy recommendations:</w:t>
      </w:r>
    </w:p>
    <w:p w14:paraId="2FE2363F" w14:textId="77777777" w:rsidR="00A637D5" w:rsidRDefault="00A637D5" w:rsidP="00A637D5">
      <w:pPr>
        <w:jc w:val="both"/>
        <w:rPr>
          <w:rFonts w:cstheme="minorHAnsi"/>
          <w:sz w:val="22"/>
          <w:szCs w:val="22"/>
        </w:rPr>
      </w:pPr>
    </w:p>
    <w:p w14:paraId="1447D10D" w14:textId="77777777" w:rsidR="00A637D5" w:rsidRPr="00C205EA" w:rsidRDefault="00A637D5" w:rsidP="00A637D5">
      <w:pPr>
        <w:pStyle w:val="ListParagraph"/>
        <w:numPr>
          <w:ilvl w:val="0"/>
          <w:numId w:val="56"/>
        </w:numPr>
        <w:spacing w:after="160" w:line="259" w:lineRule="auto"/>
        <w:rPr>
          <w:rFonts w:eastAsiaTheme="majorEastAsia"/>
          <w:sz w:val="22"/>
          <w:szCs w:val="22"/>
        </w:rPr>
      </w:pPr>
      <w:r w:rsidRPr="00C205EA">
        <w:rPr>
          <w:rFonts w:eastAsiaTheme="majorEastAsia"/>
          <w:sz w:val="22"/>
          <w:szCs w:val="22"/>
        </w:rPr>
        <w:t>Legislation that promotes more gender equality and avoids enforcing the stereotype that women should have the main responsibility for family care;</w:t>
      </w:r>
    </w:p>
    <w:p w14:paraId="222BA21C" w14:textId="77777777" w:rsidR="00A637D5" w:rsidRPr="00C205EA" w:rsidRDefault="00A637D5" w:rsidP="00A637D5">
      <w:pPr>
        <w:pStyle w:val="ListParagraph"/>
        <w:numPr>
          <w:ilvl w:val="0"/>
          <w:numId w:val="56"/>
        </w:numPr>
        <w:spacing w:after="160" w:line="259" w:lineRule="auto"/>
        <w:rPr>
          <w:rFonts w:eastAsiaTheme="majorEastAsia"/>
          <w:sz w:val="22"/>
          <w:szCs w:val="22"/>
        </w:rPr>
      </w:pPr>
      <w:r w:rsidRPr="00C205EA">
        <w:rPr>
          <w:rFonts w:eastAsiaTheme="majorEastAsia"/>
          <w:sz w:val="22"/>
          <w:szCs w:val="22"/>
        </w:rPr>
        <w:t>Suggested improvements to the existing Labour Law:</w:t>
      </w:r>
    </w:p>
    <w:p w14:paraId="7EF6E376" w14:textId="77777777" w:rsidR="00A637D5" w:rsidRPr="00C205EA" w:rsidRDefault="00A637D5" w:rsidP="00A637D5">
      <w:pPr>
        <w:pStyle w:val="ListParagraph"/>
        <w:numPr>
          <w:ilvl w:val="1"/>
          <w:numId w:val="56"/>
        </w:numPr>
        <w:spacing w:after="160" w:line="259" w:lineRule="auto"/>
        <w:rPr>
          <w:rFonts w:eastAsiaTheme="majorEastAsia"/>
          <w:sz w:val="22"/>
          <w:szCs w:val="22"/>
        </w:rPr>
      </w:pPr>
      <w:r w:rsidRPr="00C205EA">
        <w:rPr>
          <w:rFonts w:eastAsiaTheme="majorEastAsia"/>
          <w:sz w:val="22"/>
          <w:szCs w:val="22"/>
        </w:rPr>
        <w:t>Paid and Unpaid Maternity Leave;</w:t>
      </w:r>
    </w:p>
    <w:p w14:paraId="60811728" w14:textId="77777777" w:rsidR="00A637D5" w:rsidRPr="00C205EA" w:rsidRDefault="00A637D5" w:rsidP="00A637D5">
      <w:pPr>
        <w:pStyle w:val="ListParagraph"/>
        <w:numPr>
          <w:ilvl w:val="1"/>
          <w:numId w:val="56"/>
        </w:numPr>
        <w:spacing w:after="160" w:line="259" w:lineRule="auto"/>
        <w:rPr>
          <w:rFonts w:eastAsiaTheme="majorEastAsia"/>
          <w:sz w:val="22"/>
          <w:szCs w:val="22"/>
        </w:rPr>
      </w:pPr>
      <w:r w:rsidRPr="00C205EA">
        <w:rPr>
          <w:rFonts w:eastAsiaTheme="majorEastAsia"/>
          <w:sz w:val="22"/>
          <w:szCs w:val="22"/>
        </w:rPr>
        <w:t>Nursery Requirement for Workplaces;</w:t>
      </w:r>
    </w:p>
    <w:p w14:paraId="53624BF2" w14:textId="77777777" w:rsidR="00A637D5" w:rsidRPr="00C205EA" w:rsidRDefault="00A637D5" w:rsidP="00A637D5">
      <w:pPr>
        <w:pStyle w:val="ListParagraph"/>
        <w:numPr>
          <w:ilvl w:val="1"/>
          <w:numId w:val="56"/>
        </w:numPr>
        <w:spacing w:after="160" w:line="259" w:lineRule="auto"/>
        <w:rPr>
          <w:rFonts w:eastAsiaTheme="majorEastAsia"/>
          <w:sz w:val="22"/>
          <w:szCs w:val="22"/>
        </w:rPr>
      </w:pPr>
      <w:r w:rsidRPr="00C205EA">
        <w:rPr>
          <w:rFonts w:eastAsiaTheme="majorEastAsia"/>
          <w:sz w:val="22"/>
          <w:szCs w:val="22"/>
        </w:rPr>
        <w:t>Work after Maternity Leave;</w:t>
      </w:r>
    </w:p>
    <w:p w14:paraId="7D086AC3" w14:textId="77777777" w:rsidR="00A637D5" w:rsidRPr="00C205EA" w:rsidRDefault="00A637D5" w:rsidP="00A637D5">
      <w:pPr>
        <w:pStyle w:val="ListParagraph"/>
        <w:numPr>
          <w:ilvl w:val="1"/>
          <w:numId w:val="56"/>
        </w:numPr>
        <w:spacing w:after="160" w:line="259" w:lineRule="auto"/>
        <w:rPr>
          <w:rFonts w:eastAsiaTheme="majorEastAsia"/>
          <w:sz w:val="22"/>
          <w:szCs w:val="22"/>
        </w:rPr>
      </w:pPr>
      <w:r w:rsidRPr="00C205EA">
        <w:rPr>
          <w:rFonts w:eastAsiaTheme="majorEastAsia"/>
          <w:sz w:val="22"/>
          <w:szCs w:val="22"/>
        </w:rPr>
        <w:t>Equal Pay;</w:t>
      </w:r>
    </w:p>
    <w:p w14:paraId="46F4B19A" w14:textId="77777777" w:rsidR="00A637D5" w:rsidRPr="00C205EA" w:rsidRDefault="00A637D5" w:rsidP="00A637D5">
      <w:pPr>
        <w:pStyle w:val="ListParagraph"/>
        <w:numPr>
          <w:ilvl w:val="1"/>
          <w:numId w:val="56"/>
        </w:numPr>
        <w:spacing w:after="160" w:line="259" w:lineRule="auto"/>
        <w:rPr>
          <w:rFonts w:eastAsiaTheme="majorEastAsia"/>
          <w:sz w:val="22"/>
          <w:szCs w:val="22"/>
        </w:rPr>
      </w:pPr>
      <w:r w:rsidRPr="00C205EA">
        <w:rPr>
          <w:rFonts w:eastAsiaTheme="majorEastAsia"/>
          <w:sz w:val="22"/>
          <w:szCs w:val="22"/>
        </w:rPr>
        <w:t>Care Work Provisions;</w:t>
      </w:r>
    </w:p>
    <w:p w14:paraId="344E370A" w14:textId="77777777" w:rsidR="00A637D5" w:rsidRPr="00C205EA" w:rsidRDefault="00A637D5" w:rsidP="00A637D5">
      <w:pPr>
        <w:pStyle w:val="ListParagraph"/>
        <w:numPr>
          <w:ilvl w:val="1"/>
          <w:numId w:val="56"/>
        </w:numPr>
        <w:spacing w:after="160" w:line="259" w:lineRule="auto"/>
        <w:rPr>
          <w:rFonts w:eastAsiaTheme="majorEastAsia"/>
          <w:sz w:val="22"/>
          <w:szCs w:val="22"/>
        </w:rPr>
      </w:pPr>
      <w:r w:rsidRPr="00C205EA">
        <w:rPr>
          <w:rFonts w:eastAsiaTheme="majorEastAsia"/>
          <w:sz w:val="22"/>
          <w:szCs w:val="22"/>
        </w:rPr>
        <w:t>Care Incentives for Persons not Covered by the Existing Law;</w:t>
      </w:r>
    </w:p>
    <w:p w14:paraId="37A24929" w14:textId="77777777" w:rsidR="00A637D5" w:rsidRPr="00C205EA" w:rsidRDefault="00A637D5" w:rsidP="00A637D5">
      <w:pPr>
        <w:pStyle w:val="ListParagraph"/>
        <w:numPr>
          <w:ilvl w:val="1"/>
          <w:numId w:val="56"/>
        </w:numPr>
        <w:spacing w:after="160" w:line="259" w:lineRule="auto"/>
        <w:rPr>
          <w:rFonts w:eastAsiaTheme="majorEastAsia"/>
          <w:sz w:val="22"/>
          <w:szCs w:val="22"/>
        </w:rPr>
      </w:pPr>
      <w:r w:rsidRPr="00C205EA">
        <w:rPr>
          <w:rFonts w:eastAsiaTheme="majorEastAsia"/>
          <w:sz w:val="22"/>
          <w:szCs w:val="22"/>
        </w:rPr>
        <w:t>Government Support to the Employment of Victims of Domestic Violence;</w:t>
      </w:r>
    </w:p>
    <w:p w14:paraId="67DD6B28" w14:textId="77777777" w:rsidR="00A637D5" w:rsidRPr="00C205EA" w:rsidRDefault="00A637D5" w:rsidP="00A637D5">
      <w:pPr>
        <w:pStyle w:val="ListParagraph"/>
        <w:numPr>
          <w:ilvl w:val="0"/>
          <w:numId w:val="56"/>
        </w:numPr>
        <w:spacing w:after="160" w:line="259" w:lineRule="auto"/>
        <w:rPr>
          <w:rFonts w:eastAsiaTheme="majorEastAsia"/>
          <w:sz w:val="22"/>
          <w:szCs w:val="22"/>
        </w:rPr>
      </w:pPr>
      <w:r w:rsidRPr="00C205EA">
        <w:rPr>
          <w:rFonts w:eastAsiaTheme="majorEastAsia"/>
          <w:sz w:val="22"/>
          <w:szCs w:val="22"/>
        </w:rPr>
        <w:t>Other Recommendations.</w:t>
      </w:r>
    </w:p>
    <w:p w14:paraId="3464BF63" w14:textId="77777777" w:rsidR="00A637D5" w:rsidRDefault="00A637D5" w:rsidP="00A637D5">
      <w:pPr>
        <w:jc w:val="both"/>
        <w:rPr>
          <w:rFonts w:cstheme="minorHAnsi"/>
          <w:sz w:val="22"/>
          <w:szCs w:val="22"/>
        </w:rPr>
      </w:pPr>
      <w:r>
        <w:rPr>
          <w:rFonts w:cstheme="minorHAnsi"/>
          <w:sz w:val="22"/>
          <w:szCs w:val="22"/>
        </w:rPr>
        <w:t xml:space="preserve">Some of the recommendations in this Report are cross-referenced with recommendations/ideas which emerged from a parallel study TAT undertook into 5 selected sectors in </w:t>
      </w:r>
      <w:r>
        <w:rPr>
          <w:sz w:val="22"/>
          <w:szCs w:val="22"/>
        </w:rPr>
        <w:t>Türkiye, for which a separate Executive Summary Report is available.</w:t>
      </w:r>
    </w:p>
    <w:p w14:paraId="180F1B59" w14:textId="77777777" w:rsidR="00A637D5" w:rsidRDefault="00A637D5" w:rsidP="00A637D5">
      <w:pPr>
        <w:jc w:val="both"/>
        <w:rPr>
          <w:rFonts w:cstheme="minorHAnsi"/>
          <w:b/>
          <w:bCs/>
          <w:sz w:val="22"/>
          <w:szCs w:val="22"/>
        </w:rPr>
      </w:pPr>
    </w:p>
    <w:p w14:paraId="1698EBC4" w14:textId="77777777" w:rsidR="00A637D5" w:rsidRDefault="00A637D5" w:rsidP="00A637D5">
      <w:pPr>
        <w:jc w:val="both"/>
        <w:rPr>
          <w:rFonts w:cstheme="minorHAnsi"/>
          <w:sz w:val="22"/>
          <w:szCs w:val="22"/>
        </w:rPr>
      </w:pPr>
      <w:r w:rsidRPr="00F93E34">
        <w:rPr>
          <w:rFonts w:cstheme="minorHAnsi"/>
          <w:sz w:val="22"/>
          <w:szCs w:val="22"/>
        </w:rPr>
        <w:t xml:space="preserve">This Report is the result of a collaborative effort </w:t>
      </w:r>
      <w:r>
        <w:rPr>
          <w:rFonts w:cstheme="minorHAnsi"/>
          <w:sz w:val="22"/>
          <w:szCs w:val="22"/>
        </w:rPr>
        <w:t>to</w:t>
      </w:r>
      <w:r w:rsidRPr="00F93E34">
        <w:rPr>
          <w:rFonts w:cstheme="minorHAnsi"/>
          <w:sz w:val="22"/>
          <w:szCs w:val="22"/>
        </w:rPr>
        <w:t xml:space="preserve"> which many stakeholders</w:t>
      </w:r>
      <w:r>
        <w:rPr>
          <w:rFonts w:cstheme="minorHAnsi"/>
          <w:sz w:val="22"/>
          <w:szCs w:val="22"/>
        </w:rPr>
        <w:t xml:space="preserve"> have contributed with their time, ideas and comments. This has been greatly appreciated by the project team, who have been very impressed by the depth of knowledge and commitment they have encountered during the assignment.</w:t>
      </w:r>
    </w:p>
    <w:p w14:paraId="64C53D77" w14:textId="77777777" w:rsidR="00BB44E1" w:rsidRPr="00DB0C40" w:rsidRDefault="00BB44E1">
      <w:pPr>
        <w:jc w:val="both"/>
        <w:rPr>
          <w:sz w:val="22"/>
          <w:szCs w:val="22"/>
        </w:rPr>
      </w:pPr>
    </w:p>
    <w:p w14:paraId="7DD3E900" w14:textId="77777777" w:rsidR="00BB44E1" w:rsidRPr="00DB0C40" w:rsidRDefault="00230B49">
      <w:pPr>
        <w:jc w:val="both"/>
        <w:rPr>
          <w:b/>
          <w:sz w:val="22"/>
          <w:szCs w:val="22"/>
        </w:rPr>
      </w:pPr>
      <w:r w:rsidRPr="00DB0C40">
        <w:rPr>
          <w:b/>
          <w:sz w:val="22"/>
          <w:szCs w:val="22"/>
        </w:rPr>
        <w:t>FoW TAT</w:t>
      </w:r>
    </w:p>
    <w:p w14:paraId="459E9EFC" w14:textId="29EC6ABB" w:rsidR="00BB44E1" w:rsidRPr="00DB0C40" w:rsidRDefault="004C19E5">
      <w:pPr>
        <w:jc w:val="both"/>
        <w:rPr>
          <w:b/>
          <w:sz w:val="22"/>
          <w:szCs w:val="22"/>
        </w:rPr>
      </w:pPr>
      <w:r w:rsidRPr="00DB0C40">
        <w:rPr>
          <w:b/>
          <w:sz w:val="22"/>
          <w:szCs w:val="22"/>
        </w:rPr>
        <w:t>Ju</w:t>
      </w:r>
      <w:r w:rsidR="00B258C4">
        <w:rPr>
          <w:b/>
          <w:sz w:val="22"/>
          <w:szCs w:val="22"/>
        </w:rPr>
        <w:t>ly</w:t>
      </w:r>
      <w:r w:rsidRPr="00DB0C40">
        <w:rPr>
          <w:b/>
          <w:sz w:val="22"/>
          <w:szCs w:val="22"/>
        </w:rPr>
        <w:t xml:space="preserve"> </w:t>
      </w:r>
      <w:r w:rsidR="00230B49" w:rsidRPr="00DB0C40">
        <w:rPr>
          <w:b/>
          <w:sz w:val="22"/>
          <w:szCs w:val="22"/>
        </w:rPr>
        <w:t>2022</w:t>
      </w:r>
    </w:p>
    <w:p w14:paraId="7145F84B" w14:textId="77777777" w:rsidR="00BB44E1" w:rsidRPr="00DB0C40" w:rsidRDefault="00230B49">
      <w:pPr>
        <w:rPr>
          <w:b/>
          <w:sz w:val="22"/>
          <w:szCs w:val="22"/>
        </w:rPr>
      </w:pPr>
      <w:r w:rsidRPr="00DB0C40">
        <w:br w:type="page"/>
      </w:r>
    </w:p>
    <w:p w14:paraId="245351C7" w14:textId="77777777" w:rsidR="00BB44E1" w:rsidRPr="00DB0C40" w:rsidRDefault="00BB44E1">
      <w:pPr>
        <w:jc w:val="both"/>
        <w:rPr>
          <w:b/>
          <w:sz w:val="22"/>
          <w:szCs w:val="22"/>
        </w:rPr>
      </w:pPr>
    </w:p>
    <w:p w14:paraId="2B7514F0" w14:textId="77777777" w:rsidR="00BB44E1" w:rsidRPr="00B258C4" w:rsidRDefault="00230B49" w:rsidP="00B258C4">
      <w:pPr>
        <w:numPr>
          <w:ilvl w:val="0"/>
          <w:numId w:val="11"/>
        </w:numPr>
        <w:pBdr>
          <w:top w:val="nil"/>
          <w:left w:val="nil"/>
          <w:bottom w:val="nil"/>
          <w:right w:val="nil"/>
          <w:between w:val="nil"/>
        </w:pBdr>
        <w:ind w:left="360"/>
        <w:rPr>
          <w:rFonts w:asciiTheme="majorHAnsi" w:eastAsiaTheme="majorEastAsia" w:hAnsiTheme="majorHAnsi" w:cstheme="majorBidi"/>
          <w:color w:val="2F5496" w:themeColor="accent1" w:themeShade="BF"/>
          <w:sz w:val="26"/>
          <w:szCs w:val="26"/>
        </w:rPr>
      </w:pPr>
      <w:bookmarkStart w:id="4" w:name="_heading=h.3znysh7" w:colFirst="0" w:colLast="0"/>
      <w:bookmarkEnd w:id="4"/>
      <w:r w:rsidRPr="00B258C4">
        <w:rPr>
          <w:rFonts w:asciiTheme="majorHAnsi" w:eastAsiaTheme="majorEastAsia" w:hAnsiTheme="majorHAnsi" w:cstheme="majorBidi"/>
          <w:color w:val="2F5496" w:themeColor="accent1" w:themeShade="BF"/>
          <w:sz w:val="26"/>
          <w:szCs w:val="26"/>
        </w:rPr>
        <w:t>INTRODUCTION AND BACKGROUND OF THE STUDY</w:t>
      </w:r>
    </w:p>
    <w:p w14:paraId="45B10644" w14:textId="77777777" w:rsidR="00BB44E1" w:rsidRPr="00DB0C40" w:rsidRDefault="00BB44E1">
      <w:pPr>
        <w:pBdr>
          <w:top w:val="nil"/>
          <w:left w:val="nil"/>
          <w:bottom w:val="nil"/>
          <w:right w:val="nil"/>
          <w:between w:val="nil"/>
        </w:pBdr>
        <w:ind w:left="1080"/>
        <w:jc w:val="both"/>
        <w:rPr>
          <w:b/>
          <w:color w:val="000000"/>
          <w:sz w:val="22"/>
          <w:szCs w:val="22"/>
        </w:rPr>
      </w:pPr>
    </w:p>
    <w:p w14:paraId="334A38B1" w14:textId="77777777" w:rsidR="00BB44E1" w:rsidRPr="00DB0C40" w:rsidRDefault="00230B49">
      <w:pPr>
        <w:jc w:val="both"/>
        <w:rPr>
          <w:sz w:val="22"/>
          <w:szCs w:val="22"/>
        </w:rPr>
      </w:pPr>
      <w:r w:rsidRPr="00DB0C40">
        <w:rPr>
          <w:sz w:val="22"/>
          <w:szCs w:val="22"/>
        </w:rPr>
        <w:t>This Report has been produced by the EU-funded project ‘Technical Assistance for Promoting Decent Future of Work Approach with a Focus on Gender Equality’ (2021-2023). Its main goal is to identify the contribution of recent legislative arrangements to women's employment to support women's participation in the labour force. This study will help the policymakers to decide on the continuation of the policies implemented as well as identify the areas that need amendments in this field. The major questions to be addressed concerning the legal arrangement to support women’s employment are; maternity leave, paternity leave, part-time work, unpaid leave, registered/ unregistered employment, incentives for improving women’s employment etc.</w:t>
      </w:r>
    </w:p>
    <w:p w14:paraId="416DBDE9" w14:textId="77777777" w:rsidR="00BB44E1" w:rsidRPr="00DB0C40" w:rsidRDefault="00BB44E1">
      <w:pPr>
        <w:jc w:val="both"/>
        <w:rPr>
          <w:sz w:val="22"/>
          <w:szCs w:val="22"/>
        </w:rPr>
      </w:pPr>
    </w:p>
    <w:p w14:paraId="2A1B64CB" w14:textId="77777777" w:rsidR="00BB44E1" w:rsidRPr="00DB0C40" w:rsidRDefault="00230B49">
      <w:pPr>
        <w:jc w:val="both"/>
        <w:rPr>
          <w:sz w:val="22"/>
          <w:szCs w:val="22"/>
        </w:rPr>
      </w:pPr>
      <w:r w:rsidRPr="00DB0C40">
        <w:rPr>
          <w:sz w:val="22"/>
          <w:szCs w:val="22"/>
        </w:rPr>
        <w:t>The information included in this Report has been derived from:</w:t>
      </w:r>
    </w:p>
    <w:p w14:paraId="77F68EB8" w14:textId="77777777" w:rsidR="00BB44E1" w:rsidRPr="00DB0C40" w:rsidRDefault="00BB44E1">
      <w:pPr>
        <w:jc w:val="both"/>
        <w:rPr>
          <w:sz w:val="22"/>
          <w:szCs w:val="22"/>
        </w:rPr>
      </w:pPr>
    </w:p>
    <w:p w14:paraId="48CE13EB" w14:textId="77777777" w:rsidR="00BB44E1" w:rsidRPr="00DB0C40" w:rsidRDefault="00230B49" w:rsidP="00FB59BE">
      <w:pPr>
        <w:numPr>
          <w:ilvl w:val="0"/>
          <w:numId w:val="10"/>
        </w:numPr>
        <w:jc w:val="both"/>
        <w:rPr>
          <w:sz w:val="22"/>
          <w:szCs w:val="22"/>
        </w:rPr>
      </w:pPr>
      <w:r w:rsidRPr="00DB0C40">
        <w:rPr>
          <w:sz w:val="22"/>
          <w:szCs w:val="22"/>
        </w:rPr>
        <w:t>An extensive desk research into international and Turkish approaches;</w:t>
      </w:r>
    </w:p>
    <w:p w14:paraId="24DEE794" w14:textId="77777777" w:rsidR="00BB44E1" w:rsidRPr="00DB0C40" w:rsidRDefault="00230B49" w:rsidP="00FB59BE">
      <w:pPr>
        <w:numPr>
          <w:ilvl w:val="0"/>
          <w:numId w:val="10"/>
        </w:numPr>
        <w:jc w:val="both"/>
        <w:rPr>
          <w:sz w:val="22"/>
          <w:szCs w:val="22"/>
        </w:rPr>
      </w:pPr>
      <w:r w:rsidRPr="00DB0C40">
        <w:rPr>
          <w:sz w:val="22"/>
          <w:szCs w:val="22"/>
        </w:rPr>
        <w:t>A series of structured meetings with institutions directly involved in implementation of the relevant articles of Labour Law to get an general overview about latest legal arrangements in this context;</w:t>
      </w:r>
    </w:p>
    <w:p w14:paraId="1666DE01" w14:textId="18B68109" w:rsidR="00BB44E1" w:rsidRPr="00DB0C40" w:rsidRDefault="00230B49" w:rsidP="00FB59BE">
      <w:pPr>
        <w:numPr>
          <w:ilvl w:val="0"/>
          <w:numId w:val="10"/>
        </w:numPr>
        <w:jc w:val="both"/>
        <w:rPr>
          <w:sz w:val="22"/>
          <w:szCs w:val="22"/>
        </w:rPr>
      </w:pPr>
      <w:r w:rsidRPr="00DB0C40">
        <w:rPr>
          <w:sz w:val="22"/>
          <w:szCs w:val="22"/>
        </w:rPr>
        <w:t xml:space="preserve">A Pre-Study Stakeholder Workshop at which 51 representatives of the public and third sectors formulated their views on how to improve women employment in </w:t>
      </w:r>
      <w:r w:rsidR="00AC20EA">
        <w:rPr>
          <w:sz w:val="22"/>
          <w:szCs w:val="22"/>
        </w:rPr>
        <w:t>Türkiye</w:t>
      </w:r>
      <w:r w:rsidRPr="00DB0C40">
        <w:rPr>
          <w:sz w:val="22"/>
          <w:szCs w:val="22"/>
        </w:rPr>
        <w:t>;</w:t>
      </w:r>
    </w:p>
    <w:p w14:paraId="035F798D" w14:textId="77777777" w:rsidR="00BB44E1" w:rsidRPr="00DB0C40" w:rsidRDefault="00230B49" w:rsidP="00FB59BE">
      <w:pPr>
        <w:numPr>
          <w:ilvl w:val="0"/>
          <w:numId w:val="10"/>
        </w:numPr>
        <w:jc w:val="both"/>
        <w:rPr>
          <w:sz w:val="22"/>
          <w:szCs w:val="22"/>
        </w:rPr>
      </w:pPr>
      <w:r w:rsidRPr="00DB0C40">
        <w:rPr>
          <w:sz w:val="22"/>
          <w:szCs w:val="22"/>
        </w:rPr>
        <w:t>Face-to-face interviews with women employees and employers in 5 provinces: Ankara, Adana, Bursa, İstanbul, and İzmir.</w:t>
      </w:r>
    </w:p>
    <w:p w14:paraId="00C6B7A5" w14:textId="77777777" w:rsidR="00BB44E1" w:rsidRPr="00DB0C40" w:rsidRDefault="00BB44E1">
      <w:pPr>
        <w:jc w:val="both"/>
        <w:rPr>
          <w:sz w:val="22"/>
          <w:szCs w:val="22"/>
        </w:rPr>
      </w:pPr>
    </w:p>
    <w:p w14:paraId="627FE8DD" w14:textId="77777777" w:rsidR="00BB44E1" w:rsidRPr="00DB0C40" w:rsidRDefault="00BB44E1">
      <w:pPr>
        <w:jc w:val="both"/>
        <w:rPr>
          <w:sz w:val="22"/>
          <w:szCs w:val="22"/>
        </w:rPr>
      </w:pPr>
    </w:p>
    <w:p w14:paraId="601561C4" w14:textId="77777777" w:rsidR="00BB44E1" w:rsidRPr="00B258C4" w:rsidRDefault="00230B49" w:rsidP="00FB59BE">
      <w:pPr>
        <w:numPr>
          <w:ilvl w:val="0"/>
          <w:numId w:val="11"/>
        </w:numPr>
        <w:pBdr>
          <w:top w:val="nil"/>
          <w:left w:val="nil"/>
          <w:bottom w:val="nil"/>
          <w:right w:val="nil"/>
          <w:between w:val="nil"/>
        </w:pBdr>
        <w:ind w:left="360"/>
        <w:rPr>
          <w:rFonts w:asciiTheme="majorHAnsi" w:eastAsiaTheme="majorEastAsia" w:hAnsiTheme="majorHAnsi" w:cstheme="majorBidi"/>
          <w:color w:val="2F5496" w:themeColor="accent1" w:themeShade="BF"/>
          <w:sz w:val="26"/>
          <w:szCs w:val="26"/>
        </w:rPr>
      </w:pPr>
      <w:r w:rsidRPr="00B258C4">
        <w:rPr>
          <w:rFonts w:asciiTheme="majorHAnsi" w:eastAsiaTheme="majorEastAsia" w:hAnsiTheme="majorHAnsi" w:cstheme="majorBidi"/>
          <w:color w:val="2F5496" w:themeColor="accent1" w:themeShade="BF"/>
          <w:sz w:val="26"/>
          <w:szCs w:val="26"/>
        </w:rPr>
        <w:t>CONTEXT</w:t>
      </w:r>
    </w:p>
    <w:p w14:paraId="72003F25" w14:textId="77777777" w:rsidR="00B258C4" w:rsidRDefault="00B258C4">
      <w:pPr>
        <w:rPr>
          <w:sz w:val="22"/>
          <w:szCs w:val="22"/>
        </w:rPr>
      </w:pPr>
    </w:p>
    <w:p w14:paraId="2F548EB2" w14:textId="5F73A14F" w:rsidR="00BB44E1" w:rsidRPr="00DB0C40" w:rsidRDefault="00230B49">
      <w:pPr>
        <w:rPr>
          <w:sz w:val="22"/>
          <w:szCs w:val="22"/>
        </w:rPr>
      </w:pPr>
      <w:r w:rsidRPr="00DB0C40">
        <w:rPr>
          <w:sz w:val="22"/>
          <w:szCs w:val="22"/>
        </w:rPr>
        <w:t>The project’s Terms of Reference (ToR) set the following task for the Technical Assistance Team:</w:t>
      </w:r>
    </w:p>
    <w:p w14:paraId="59F30B1E" w14:textId="77777777" w:rsidR="00BB44E1" w:rsidRPr="00DB0C40" w:rsidRDefault="00BB44E1">
      <w:pPr>
        <w:pBdr>
          <w:top w:val="nil"/>
          <w:left w:val="nil"/>
          <w:bottom w:val="nil"/>
          <w:right w:val="nil"/>
          <w:between w:val="nil"/>
        </w:pBdr>
        <w:ind w:left="1080"/>
        <w:jc w:val="both"/>
        <w:rPr>
          <w:color w:val="000000"/>
          <w:sz w:val="22"/>
          <w:szCs w:val="22"/>
        </w:rPr>
      </w:pPr>
    </w:p>
    <w:p w14:paraId="5BFE708A" w14:textId="77777777" w:rsidR="00BB44E1" w:rsidRPr="00DB0C40" w:rsidRDefault="00230B49">
      <w:pPr>
        <w:jc w:val="both"/>
        <w:rPr>
          <w:i/>
          <w:sz w:val="22"/>
          <w:szCs w:val="22"/>
        </w:rPr>
      </w:pPr>
      <w:r w:rsidRPr="00DB0C40">
        <w:rPr>
          <w:i/>
          <w:sz w:val="22"/>
          <w:szCs w:val="22"/>
        </w:rPr>
        <w:t xml:space="preserve">“An impact assessment will be conducted concerning the latest legal arrangement for women employment such as maternity leave, paternity leave, part-time work, unpaid leave, registered/ unregistered employment, incentives for improving women employment, care facilities, remote working, etc. </w:t>
      </w:r>
    </w:p>
    <w:p w14:paraId="4B303486" w14:textId="77777777" w:rsidR="00BB44E1" w:rsidRPr="00DB0C40" w:rsidRDefault="00230B49">
      <w:pPr>
        <w:jc w:val="both"/>
        <w:rPr>
          <w:i/>
          <w:sz w:val="22"/>
          <w:szCs w:val="22"/>
        </w:rPr>
      </w:pPr>
      <w:r w:rsidRPr="00DB0C40">
        <w:rPr>
          <w:i/>
          <w:sz w:val="22"/>
          <w:szCs w:val="22"/>
        </w:rPr>
        <w:t>The aim of the Impact Assessment is to identify the contribution of recent legislative arrangements to women's employment in order to support women's participation in the labour force and to determine the tendency to continue or change the policies implemented in this field.</w:t>
      </w:r>
    </w:p>
    <w:p w14:paraId="135BE315" w14:textId="77777777" w:rsidR="00BB44E1" w:rsidRPr="00DB0C40" w:rsidRDefault="00230B49">
      <w:pPr>
        <w:jc w:val="both"/>
        <w:rPr>
          <w:i/>
          <w:sz w:val="22"/>
          <w:szCs w:val="22"/>
        </w:rPr>
      </w:pPr>
      <w:r w:rsidRPr="00DB0C40">
        <w:rPr>
          <w:i/>
          <w:sz w:val="22"/>
          <w:szCs w:val="22"/>
        </w:rPr>
        <w:t xml:space="preserve">A detailed desk study of Turkish legislations, laws, directives, etc. will be conducted in Ankara and the subject study will be compared with the EU and ILO legislation, data, strategies, etc. </w:t>
      </w:r>
    </w:p>
    <w:p w14:paraId="47234D68" w14:textId="77777777" w:rsidR="00BB44E1" w:rsidRPr="00DB0C40" w:rsidRDefault="00230B49">
      <w:pPr>
        <w:jc w:val="both"/>
        <w:rPr>
          <w:i/>
          <w:sz w:val="22"/>
          <w:szCs w:val="22"/>
        </w:rPr>
      </w:pPr>
      <w:r w:rsidRPr="00DB0C40">
        <w:rPr>
          <w:i/>
          <w:sz w:val="22"/>
          <w:szCs w:val="22"/>
        </w:rPr>
        <w:t xml:space="preserve">In addition to desk study, interviews with public institutions and organisations in Ankara that implement the relevant articles of Labour Law will be done accordingly. Moreover, Face-to-face interviews will cover also women employees and employers in the sectors where regulations are most effective and least effective in Ankara, Adana, Bursa, İstanbul and İzmir. </w:t>
      </w:r>
    </w:p>
    <w:p w14:paraId="305D7223" w14:textId="77777777" w:rsidR="00BB44E1" w:rsidRPr="00DB0C40" w:rsidRDefault="00230B49">
      <w:pPr>
        <w:jc w:val="both"/>
        <w:rPr>
          <w:i/>
          <w:sz w:val="22"/>
          <w:szCs w:val="22"/>
        </w:rPr>
      </w:pPr>
      <w:r w:rsidRPr="00DB0C40">
        <w:rPr>
          <w:i/>
          <w:sz w:val="22"/>
          <w:szCs w:val="22"/>
        </w:rPr>
        <w:t xml:space="preserve">The face-to-face interviews will be conducted with a total of 500 persons, approximately 100 persons for each province. </w:t>
      </w:r>
    </w:p>
    <w:p w14:paraId="0BF07D03" w14:textId="77777777" w:rsidR="00BB44E1" w:rsidRPr="00DB0C40" w:rsidRDefault="00230B49">
      <w:pPr>
        <w:jc w:val="both"/>
        <w:rPr>
          <w:i/>
          <w:sz w:val="22"/>
          <w:szCs w:val="22"/>
        </w:rPr>
      </w:pPr>
      <w:r w:rsidRPr="00DB0C40">
        <w:rPr>
          <w:i/>
          <w:sz w:val="22"/>
          <w:szCs w:val="22"/>
        </w:rPr>
        <w:t xml:space="preserve">The Report will be prepared in cooperation with the relevant institutions, NGOs, professional organisations and social partners. </w:t>
      </w:r>
    </w:p>
    <w:p w14:paraId="23F89CD4" w14:textId="77777777" w:rsidR="00BB44E1" w:rsidRPr="00DB0C40" w:rsidRDefault="00230B49">
      <w:pPr>
        <w:jc w:val="both"/>
        <w:rPr>
          <w:i/>
          <w:sz w:val="22"/>
          <w:szCs w:val="22"/>
        </w:rPr>
      </w:pPr>
      <w:r w:rsidRPr="00DB0C40">
        <w:rPr>
          <w:i/>
          <w:sz w:val="22"/>
          <w:szCs w:val="22"/>
        </w:rPr>
        <w:t>A recommendation report which will include analysis of finding of the research will be drafted in English with executive Turkish summary and it will be used to update relevant strategy plans and/or policies. The subject report will be officially disseminated by the Operation Beneficiary to relevant stakeholders such as relevant public institutions, NGOs, social partners-“</w:t>
      </w:r>
    </w:p>
    <w:p w14:paraId="13A54876" w14:textId="77777777" w:rsidR="00BB44E1" w:rsidRPr="00DB0C40" w:rsidRDefault="00BB44E1">
      <w:pPr>
        <w:pBdr>
          <w:top w:val="nil"/>
          <w:left w:val="nil"/>
          <w:bottom w:val="nil"/>
          <w:right w:val="nil"/>
          <w:between w:val="nil"/>
        </w:pBdr>
        <w:ind w:left="1080"/>
        <w:jc w:val="both"/>
        <w:rPr>
          <w:color w:val="000000"/>
          <w:sz w:val="22"/>
          <w:szCs w:val="22"/>
        </w:rPr>
      </w:pPr>
    </w:p>
    <w:p w14:paraId="46D9895E" w14:textId="77777777" w:rsidR="00BB44E1" w:rsidRPr="00DB0C40" w:rsidRDefault="00230B49">
      <w:pPr>
        <w:pBdr>
          <w:top w:val="nil"/>
          <w:left w:val="nil"/>
          <w:bottom w:val="nil"/>
          <w:right w:val="nil"/>
          <w:between w:val="nil"/>
        </w:pBdr>
        <w:ind w:left="1080"/>
        <w:jc w:val="both"/>
        <w:rPr>
          <w:color w:val="000000"/>
          <w:sz w:val="22"/>
          <w:szCs w:val="22"/>
        </w:rPr>
      </w:pPr>
      <w:r w:rsidRPr="00DB0C40">
        <w:rPr>
          <w:color w:val="000000"/>
          <w:sz w:val="22"/>
          <w:szCs w:val="22"/>
        </w:rPr>
        <w:tab/>
      </w:r>
    </w:p>
    <w:p w14:paraId="2277C553" w14:textId="25CE8898" w:rsidR="00BB44E1" w:rsidRDefault="00230B49" w:rsidP="00FB59BE">
      <w:pPr>
        <w:numPr>
          <w:ilvl w:val="0"/>
          <w:numId w:val="11"/>
        </w:numPr>
        <w:pBdr>
          <w:top w:val="nil"/>
          <w:left w:val="nil"/>
          <w:bottom w:val="nil"/>
          <w:right w:val="nil"/>
          <w:between w:val="nil"/>
        </w:pBdr>
        <w:rPr>
          <w:rFonts w:asciiTheme="majorHAnsi" w:eastAsiaTheme="majorEastAsia" w:hAnsiTheme="majorHAnsi" w:cstheme="majorBidi"/>
          <w:color w:val="2F5496" w:themeColor="accent1" w:themeShade="BF"/>
          <w:sz w:val="26"/>
          <w:szCs w:val="26"/>
        </w:rPr>
      </w:pPr>
      <w:r w:rsidRPr="00B258C4">
        <w:rPr>
          <w:rFonts w:asciiTheme="majorHAnsi" w:eastAsiaTheme="majorEastAsia" w:hAnsiTheme="majorHAnsi" w:cstheme="majorBidi"/>
          <w:color w:val="2F5496" w:themeColor="accent1" w:themeShade="BF"/>
          <w:sz w:val="26"/>
          <w:szCs w:val="26"/>
        </w:rPr>
        <w:t xml:space="preserve">IMPACT OF LEGISLATIONS ON WOMEN’S PARTICIPATION IN LABOUR FORCE AND WOMEN’S EMPLOYMENT </w:t>
      </w:r>
    </w:p>
    <w:p w14:paraId="7F5AEA7C" w14:textId="77777777" w:rsidR="00B258C4" w:rsidRPr="00B258C4" w:rsidRDefault="00B258C4" w:rsidP="00B258C4">
      <w:pPr>
        <w:pBdr>
          <w:top w:val="nil"/>
          <w:left w:val="nil"/>
          <w:bottom w:val="nil"/>
          <w:right w:val="nil"/>
          <w:between w:val="nil"/>
        </w:pBdr>
        <w:ind w:left="1080"/>
        <w:rPr>
          <w:rFonts w:asciiTheme="majorHAnsi" w:eastAsiaTheme="majorEastAsia" w:hAnsiTheme="majorHAnsi" w:cstheme="majorBidi"/>
          <w:color w:val="2F5496" w:themeColor="accent1" w:themeShade="BF"/>
          <w:sz w:val="26"/>
          <w:szCs w:val="26"/>
        </w:rPr>
      </w:pPr>
    </w:p>
    <w:p w14:paraId="345A3725" w14:textId="528395EB" w:rsidR="005758B6" w:rsidRPr="00B258C4" w:rsidRDefault="00B258C4">
      <w:pPr>
        <w:pStyle w:val="ListParagraph"/>
        <w:numPr>
          <w:ilvl w:val="1"/>
          <w:numId w:val="50"/>
        </w:numPr>
        <w:pBdr>
          <w:top w:val="nil"/>
          <w:left w:val="nil"/>
          <w:bottom w:val="nil"/>
          <w:right w:val="nil"/>
          <w:between w:val="nil"/>
        </w:pBdr>
        <w:rPr>
          <w:rFonts w:asciiTheme="majorHAnsi" w:eastAsiaTheme="majorEastAsia" w:hAnsiTheme="majorHAnsi" w:cstheme="majorBidi"/>
          <w:color w:val="2F5496" w:themeColor="accent1" w:themeShade="BF"/>
          <w:sz w:val="26"/>
          <w:szCs w:val="26"/>
        </w:rPr>
      </w:pPr>
      <w:bookmarkStart w:id="5" w:name="_Toc92359044"/>
      <w:r w:rsidRPr="00B258C4">
        <w:rPr>
          <w:rFonts w:asciiTheme="majorHAnsi" w:eastAsiaTheme="majorEastAsia" w:hAnsiTheme="majorHAnsi" w:cstheme="majorBidi"/>
          <w:color w:val="2F5496" w:themeColor="accent1" w:themeShade="BF"/>
          <w:sz w:val="26"/>
          <w:szCs w:val="26"/>
        </w:rPr>
        <w:t>International Legal Frameworks to Promote Gender Equality at Work</w:t>
      </w:r>
      <w:bookmarkEnd w:id="5"/>
    </w:p>
    <w:p w14:paraId="56F6F969" w14:textId="77777777" w:rsidR="00B258C4" w:rsidRDefault="00B258C4" w:rsidP="005758B6">
      <w:pPr>
        <w:jc w:val="both"/>
        <w:rPr>
          <w:rFonts w:asciiTheme="minorHAnsi" w:eastAsiaTheme="minorHAnsi" w:hAnsiTheme="minorHAnsi" w:cstheme="minorHAnsi"/>
          <w:sz w:val="22"/>
          <w:szCs w:val="22"/>
        </w:rPr>
      </w:pPr>
    </w:p>
    <w:p w14:paraId="04024712" w14:textId="5DE28AE2" w:rsidR="005758B6" w:rsidRPr="00DB0C40" w:rsidRDefault="005758B6" w:rsidP="005758B6">
      <w:pPr>
        <w:jc w:val="both"/>
        <w:rPr>
          <w:rFonts w:asciiTheme="minorHAnsi" w:eastAsiaTheme="minorHAnsi" w:hAnsiTheme="minorHAnsi" w:cstheme="minorHAnsi"/>
          <w:sz w:val="22"/>
          <w:szCs w:val="22"/>
        </w:rPr>
      </w:pPr>
      <w:r w:rsidRPr="00DB0C40">
        <w:rPr>
          <w:rFonts w:asciiTheme="minorHAnsi" w:eastAsiaTheme="minorHAnsi" w:hAnsiTheme="minorHAnsi" w:cstheme="minorHAnsi"/>
          <w:sz w:val="22"/>
          <w:szCs w:val="22"/>
        </w:rPr>
        <w:t>The resources available to governments seeking to promote gender equality in the world of work include normative instruments and international initiatives. Normative instruments derive their universal authority from the process by which they were developed. International labour standards and other ILO normative instruments are adopted by the International Labour Conference, which consists of delegates from the governments and the most representatives’ employers’ and workers’ organizations of each of the 187 Member States. Where the UN is concerned, the Convention on the Elimination of Discrimination against Women (CEDAW) is the most relevant international treaty that addresses gender equality. International initiatives and other policy frameworks, on the other hand, facilitate the implementation of international normative instruments and targets by creating opportunities for stakeholders to engage on specific topics.</w:t>
      </w:r>
      <w:r w:rsidRPr="00DB0C40">
        <w:rPr>
          <w:rFonts w:asciiTheme="minorHAnsi" w:eastAsiaTheme="minorHAnsi" w:hAnsiTheme="minorHAnsi" w:cstheme="minorHAnsi"/>
          <w:position w:val="6"/>
          <w:sz w:val="22"/>
          <w:szCs w:val="22"/>
        </w:rPr>
        <w:footnoteReference w:id="1"/>
      </w:r>
    </w:p>
    <w:p w14:paraId="666D3758" w14:textId="77777777" w:rsidR="005758B6" w:rsidRPr="00DB0C40" w:rsidRDefault="005758B6" w:rsidP="005758B6">
      <w:pPr>
        <w:jc w:val="both"/>
        <w:rPr>
          <w:rFonts w:asciiTheme="minorHAnsi" w:eastAsiaTheme="minorHAnsi" w:hAnsiTheme="minorHAnsi" w:cstheme="minorHAnsi"/>
          <w:sz w:val="22"/>
          <w:szCs w:val="22"/>
        </w:rPr>
      </w:pPr>
    </w:p>
    <w:p w14:paraId="06F11D33" w14:textId="52AC57BF" w:rsidR="005758B6" w:rsidRPr="00196D9C" w:rsidRDefault="00775318" w:rsidP="00196D9C">
      <w:pPr>
        <w:keepNext/>
        <w:keepLines/>
        <w:spacing w:before="40"/>
        <w:outlineLvl w:val="1"/>
        <w:rPr>
          <w:rFonts w:asciiTheme="majorHAnsi" w:eastAsiaTheme="majorEastAsia" w:hAnsiTheme="majorHAnsi" w:cstheme="majorBidi"/>
          <w:color w:val="2F5496" w:themeColor="accent1" w:themeShade="BF"/>
          <w:sz w:val="26"/>
          <w:szCs w:val="26"/>
        </w:rPr>
      </w:pPr>
      <w:r>
        <w:rPr>
          <w:rFonts w:asciiTheme="majorHAnsi" w:eastAsiaTheme="majorEastAsia" w:hAnsiTheme="majorHAnsi" w:cstheme="majorBidi"/>
          <w:color w:val="2F5496" w:themeColor="accent1" w:themeShade="BF"/>
          <w:sz w:val="26"/>
          <w:szCs w:val="26"/>
        </w:rPr>
        <w:t>3.1.1.</w:t>
      </w:r>
      <w:r w:rsidR="00F23644">
        <w:rPr>
          <w:rFonts w:asciiTheme="majorHAnsi" w:eastAsiaTheme="majorEastAsia" w:hAnsiTheme="majorHAnsi" w:cstheme="majorBidi"/>
          <w:color w:val="2F5496" w:themeColor="accent1" w:themeShade="BF"/>
          <w:sz w:val="26"/>
          <w:szCs w:val="26"/>
        </w:rPr>
        <w:t xml:space="preserve"> </w:t>
      </w:r>
      <w:bookmarkStart w:id="8" w:name="_Toc92359045"/>
      <w:r w:rsidR="005758B6" w:rsidRPr="00196D9C">
        <w:rPr>
          <w:rFonts w:asciiTheme="majorHAnsi" w:eastAsiaTheme="majorEastAsia" w:hAnsiTheme="majorHAnsi" w:cstheme="majorBidi"/>
          <w:color w:val="2F5496" w:themeColor="accent1" w:themeShade="BF"/>
          <w:sz w:val="26"/>
          <w:szCs w:val="26"/>
        </w:rPr>
        <w:t>Normative International instruments - ILO conventions and recommendations on gender equality at work</w:t>
      </w:r>
      <w:bookmarkEnd w:id="8"/>
    </w:p>
    <w:p w14:paraId="6AF9F0D0" w14:textId="77777777" w:rsidR="005758B6" w:rsidRPr="00DB0C40" w:rsidRDefault="005758B6" w:rsidP="005758B6">
      <w:pPr>
        <w:rPr>
          <w:rFonts w:asciiTheme="minorHAnsi" w:eastAsiaTheme="minorHAnsi" w:hAnsiTheme="minorHAnsi" w:cstheme="minorBidi"/>
        </w:rPr>
      </w:pPr>
    </w:p>
    <w:p w14:paraId="119839C0" w14:textId="77777777" w:rsidR="005758B6" w:rsidRPr="00DB0C40" w:rsidRDefault="005758B6" w:rsidP="005758B6">
      <w:pPr>
        <w:jc w:val="both"/>
        <w:rPr>
          <w:rFonts w:asciiTheme="minorHAnsi" w:eastAsiaTheme="minorHAnsi" w:hAnsiTheme="minorHAnsi" w:cstheme="minorHAnsi"/>
          <w:sz w:val="22"/>
          <w:szCs w:val="22"/>
        </w:rPr>
      </w:pPr>
      <w:r w:rsidRPr="00DB0C40">
        <w:rPr>
          <w:rFonts w:asciiTheme="minorHAnsi" w:eastAsiaTheme="minorHAnsi" w:hAnsiTheme="minorHAnsi" w:cstheme="minorHAnsi"/>
          <w:sz w:val="22"/>
          <w:szCs w:val="22"/>
        </w:rPr>
        <w:t xml:space="preserve">Normative instruments set out the broad objectives of gender equality, identify obstacles which need to be overcome and advocate for a systemic approach to tackling gender discrimination. In the world of work, the principal instruments of this kind are ILO conventions and recommendations. Although addressed principally to governments, these conventions and recommendations are also useful in formulating corporate policies, and they are referenced in other normative instruments and initiatives, serving to standardize and coordinate approaches. </w:t>
      </w:r>
    </w:p>
    <w:p w14:paraId="17EC3AAB" w14:textId="77777777" w:rsidR="005758B6" w:rsidRPr="00DB0C40" w:rsidRDefault="005758B6" w:rsidP="005758B6">
      <w:pPr>
        <w:jc w:val="both"/>
        <w:rPr>
          <w:rFonts w:asciiTheme="minorHAnsi" w:eastAsiaTheme="minorHAnsi" w:hAnsiTheme="minorHAnsi" w:cstheme="minorHAnsi"/>
          <w:sz w:val="22"/>
          <w:szCs w:val="22"/>
        </w:rPr>
      </w:pPr>
    </w:p>
    <w:p w14:paraId="5C936346" w14:textId="77777777" w:rsidR="005758B6" w:rsidRPr="00DB0C40" w:rsidRDefault="005758B6" w:rsidP="005758B6">
      <w:pPr>
        <w:jc w:val="both"/>
        <w:rPr>
          <w:rFonts w:asciiTheme="minorHAnsi" w:eastAsiaTheme="minorHAnsi" w:hAnsiTheme="minorHAnsi" w:cstheme="minorHAnsi"/>
          <w:sz w:val="22"/>
          <w:szCs w:val="22"/>
        </w:rPr>
      </w:pPr>
      <w:r w:rsidRPr="00DB0C40">
        <w:rPr>
          <w:rFonts w:asciiTheme="minorHAnsi" w:eastAsiaTheme="minorHAnsi" w:hAnsiTheme="minorHAnsi" w:cstheme="minorHAnsi"/>
          <w:sz w:val="22"/>
          <w:szCs w:val="22"/>
        </w:rPr>
        <w:t>Between the ILO conventions and recommendations on gender equality at work, we can consider:</w:t>
      </w:r>
    </w:p>
    <w:p w14:paraId="16DCE470" w14:textId="77777777" w:rsidR="00F23644" w:rsidRDefault="00F23644" w:rsidP="005758B6">
      <w:pPr>
        <w:jc w:val="both"/>
        <w:rPr>
          <w:rFonts w:asciiTheme="minorHAnsi" w:eastAsiaTheme="minorHAnsi" w:hAnsiTheme="minorHAnsi" w:cstheme="minorHAnsi"/>
          <w:sz w:val="22"/>
          <w:szCs w:val="22"/>
        </w:rPr>
      </w:pPr>
    </w:p>
    <w:p w14:paraId="1D545444" w14:textId="69AFC31B" w:rsidR="005758B6" w:rsidRPr="00DB0C40" w:rsidRDefault="005758B6" w:rsidP="005758B6">
      <w:pPr>
        <w:jc w:val="both"/>
        <w:rPr>
          <w:rFonts w:asciiTheme="minorHAnsi" w:eastAsiaTheme="minorHAnsi" w:hAnsiTheme="minorHAnsi" w:cstheme="minorHAnsi"/>
          <w:sz w:val="22"/>
          <w:szCs w:val="22"/>
        </w:rPr>
      </w:pPr>
      <w:r w:rsidRPr="00DB0C40">
        <w:rPr>
          <w:rFonts w:asciiTheme="minorHAnsi" w:eastAsiaTheme="minorHAnsi" w:hAnsiTheme="minorHAnsi" w:cstheme="minorHAnsi"/>
          <w:sz w:val="22"/>
          <w:szCs w:val="22"/>
        </w:rPr>
        <w:t xml:space="preserve">The Equal Remuneration Convention, 1951 (No. 100) and Recommendation No. 90; the Discrimination (Employment and Occupation) Convention, 1958 (No. 111) and Recommendation No. 111; the Workers with Family Responsibilities Convention, 1981, (No. 156) and Recommendation No. 165; the Maternity Protection Convention, 2000 (No. 183), and Recommendation No. 191; the Domestic Workers Convention, 2011 (No. 189) and Recommendation No. 201; and, more recently, the Violence and Harassment Convention, 2019 (No. 190) and Recommendation No. 206. The gender perspective is mainstreamed through many other ILO instruments on working time, part-time work, home-based work, social security, and occupational safety and health. </w:t>
      </w:r>
      <w:r w:rsidRPr="00DB0C40">
        <w:rPr>
          <w:rFonts w:asciiTheme="minorHAnsi" w:eastAsiaTheme="minorHAnsi" w:hAnsiTheme="minorHAnsi" w:cstheme="minorHAnsi"/>
          <w:position w:val="6"/>
          <w:sz w:val="22"/>
          <w:szCs w:val="22"/>
        </w:rPr>
        <w:footnoteReference w:id="2"/>
      </w:r>
      <w:r w:rsidRPr="00DB0C40">
        <w:rPr>
          <w:rFonts w:asciiTheme="minorHAnsi" w:eastAsiaTheme="minorHAnsi" w:hAnsiTheme="minorHAnsi" w:cstheme="minorHAnsi"/>
          <w:sz w:val="22"/>
          <w:szCs w:val="22"/>
        </w:rPr>
        <w:t xml:space="preserve"> The content of the conventions is described in the various sections below. </w:t>
      </w:r>
      <w:r w:rsidR="00AC20EA">
        <w:rPr>
          <w:rFonts w:asciiTheme="minorHAnsi" w:eastAsiaTheme="minorHAnsi" w:hAnsiTheme="minorHAnsi" w:cstheme="minorHAnsi"/>
          <w:sz w:val="22"/>
          <w:szCs w:val="22"/>
        </w:rPr>
        <w:t>Türkiye</w:t>
      </w:r>
      <w:r w:rsidRPr="00DB0C40">
        <w:rPr>
          <w:rFonts w:asciiTheme="minorHAnsi" w:eastAsiaTheme="minorHAnsi" w:hAnsiTheme="minorHAnsi" w:cstheme="minorHAnsi"/>
          <w:sz w:val="22"/>
          <w:szCs w:val="22"/>
        </w:rPr>
        <w:t xml:space="preserve"> has ratified most of the conventions (including the Fundamental, Governance and Technical Conventions), except the ones in red. </w:t>
      </w:r>
      <w:r w:rsidRPr="00DB0C40">
        <w:rPr>
          <w:rFonts w:asciiTheme="minorHAnsi" w:eastAsiaTheme="minorHAnsi" w:hAnsiTheme="minorHAnsi" w:cstheme="minorHAnsi"/>
          <w:position w:val="6"/>
          <w:sz w:val="22"/>
          <w:szCs w:val="22"/>
        </w:rPr>
        <w:footnoteReference w:id="3"/>
      </w:r>
      <w:r w:rsidRPr="00DB0C40">
        <w:rPr>
          <w:rFonts w:asciiTheme="minorHAnsi" w:eastAsiaTheme="minorHAnsi" w:hAnsiTheme="minorHAnsi" w:cstheme="minorHAnsi"/>
          <w:sz w:val="22"/>
          <w:szCs w:val="22"/>
        </w:rPr>
        <w:t xml:space="preserve"> </w:t>
      </w:r>
    </w:p>
    <w:p w14:paraId="47317464" w14:textId="77777777" w:rsidR="005758B6" w:rsidRPr="00DB0C40" w:rsidRDefault="005758B6" w:rsidP="005758B6">
      <w:pPr>
        <w:jc w:val="both"/>
        <w:rPr>
          <w:rFonts w:asciiTheme="minorHAnsi" w:eastAsiaTheme="minorHAnsi" w:hAnsiTheme="minorHAnsi" w:cstheme="minorHAnsi"/>
          <w:sz w:val="22"/>
          <w:szCs w:val="22"/>
        </w:rPr>
      </w:pPr>
    </w:p>
    <w:p w14:paraId="4F4B094D" w14:textId="59F3F208" w:rsidR="005758B6" w:rsidRPr="00F23644" w:rsidRDefault="005758B6" w:rsidP="00F23644">
      <w:pPr>
        <w:pStyle w:val="ListParagraph"/>
        <w:keepNext/>
        <w:keepLines/>
        <w:numPr>
          <w:ilvl w:val="3"/>
          <w:numId w:val="57"/>
        </w:numPr>
        <w:spacing w:before="40"/>
        <w:outlineLvl w:val="2"/>
        <w:rPr>
          <w:rFonts w:asciiTheme="majorHAnsi" w:eastAsiaTheme="majorEastAsia" w:hAnsiTheme="majorHAnsi" w:cstheme="majorBidi"/>
          <w:color w:val="1F3763" w:themeColor="accent1" w:themeShade="7F"/>
        </w:rPr>
      </w:pPr>
      <w:bookmarkStart w:id="9" w:name="_Toc92359046"/>
      <w:r w:rsidRPr="00F23644">
        <w:rPr>
          <w:rFonts w:asciiTheme="majorHAnsi" w:eastAsiaTheme="majorEastAsia" w:hAnsiTheme="majorHAnsi" w:cstheme="majorBidi"/>
          <w:color w:val="1F3763" w:themeColor="accent1" w:themeShade="7F"/>
        </w:rPr>
        <w:t>Convention on the Elimination of all Forms of Discrimination against Women (CEDAW)</w:t>
      </w:r>
      <w:bookmarkEnd w:id="9"/>
    </w:p>
    <w:p w14:paraId="0CB0BB2C" w14:textId="77777777" w:rsidR="005758B6" w:rsidRPr="00DB0C40" w:rsidRDefault="005758B6" w:rsidP="005758B6">
      <w:pPr>
        <w:jc w:val="both"/>
        <w:rPr>
          <w:rFonts w:asciiTheme="minorHAnsi" w:eastAsiaTheme="minorHAnsi" w:hAnsiTheme="minorHAnsi" w:cstheme="minorHAnsi"/>
          <w:sz w:val="22"/>
          <w:szCs w:val="22"/>
        </w:rPr>
      </w:pPr>
      <w:r w:rsidRPr="00DB0C40">
        <w:rPr>
          <w:rFonts w:asciiTheme="minorHAnsi" w:eastAsiaTheme="minorHAnsi" w:hAnsiTheme="minorHAnsi" w:cstheme="minorHAnsi"/>
          <w:sz w:val="22"/>
          <w:szCs w:val="22"/>
        </w:rPr>
        <w:t>Adopted in 1979, the CEDAW is the most important human-rights treaty for women, adopted by 189 States parties. It lays out obligations to eliminate discrimination and achieve substantive equality. Importantly, CEDAW covers not only discriminatory laws, but also practices and customs, and it applies not only to government action, but also government responsibility for addressing discrimination against women by private actors.</w:t>
      </w:r>
    </w:p>
    <w:p w14:paraId="7309458C" w14:textId="77777777" w:rsidR="005758B6" w:rsidRPr="00DB0C40" w:rsidRDefault="005758B6" w:rsidP="005758B6">
      <w:pPr>
        <w:jc w:val="both"/>
        <w:rPr>
          <w:rFonts w:asciiTheme="minorHAnsi" w:eastAsiaTheme="minorHAnsi" w:hAnsiTheme="minorHAnsi" w:cstheme="minorHAnsi"/>
          <w:sz w:val="22"/>
          <w:szCs w:val="22"/>
        </w:rPr>
      </w:pPr>
      <w:r w:rsidRPr="00DB0C40">
        <w:rPr>
          <w:rFonts w:asciiTheme="minorHAnsi" w:eastAsiaTheme="minorHAnsi" w:hAnsiTheme="minorHAnsi" w:cstheme="minorHAnsi"/>
          <w:sz w:val="22"/>
          <w:szCs w:val="22"/>
        </w:rPr>
        <w:t>The Convention covers both civil and political rights (rights to vote, to participate in public life, and to acquire, change or retain one’s nationality, equality before the law and freedom of movement) and economic, social, and cultural rights (rights to education, work, health, property, and financial credit).</w:t>
      </w:r>
    </w:p>
    <w:p w14:paraId="45BDFF66" w14:textId="77777777" w:rsidR="005758B6" w:rsidRPr="00DB0C40" w:rsidRDefault="005758B6" w:rsidP="005758B6">
      <w:pPr>
        <w:jc w:val="both"/>
        <w:rPr>
          <w:rFonts w:asciiTheme="minorHAnsi" w:eastAsiaTheme="minorHAnsi" w:hAnsiTheme="minorHAnsi" w:cstheme="minorHAnsi"/>
          <w:sz w:val="22"/>
          <w:szCs w:val="22"/>
        </w:rPr>
      </w:pPr>
    </w:p>
    <w:p w14:paraId="24FBC97E" w14:textId="502B8268" w:rsidR="005758B6" w:rsidRPr="00DB0C40" w:rsidRDefault="00BD23D7" w:rsidP="00F23644">
      <w:pPr>
        <w:pStyle w:val="ListParagraph"/>
        <w:keepNext/>
        <w:keepLines/>
        <w:spacing w:before="40"/>
        <w:ind w:left="0"/>
        <w:outlineLvl w:val="2"/>
        <w:rPr>
          <w:rFonts w:asciiTheme="majorHAnsi" w:eastAsiaTheme="majorEastAsia" w:hAnsiTheme="majorHAnsi" w:cstheme="majorBidi"/>
          <w:color w:val="1F3763" w:themeColor="accent1" w:themeShade="7F"/>
        </w:rPr>
      </w:pPr>
      <w:bookmarkStart w:id="10" w:name="_Toc92359047"/>
      <w:r w:rsidRPr="00DB0C40">
        <w:rPr>
          <w:rFonts w:asciiTheme="majorHAnsi" w:eastAsiaTheme="majorEastAsia" w:hAnsiTheme="majorHAnsi" w:cstheme="majorBidi"/>
          <w:color w:val="1F3763" w:themeColor="accent1" w:themeShade="7F"/>
        </w:rPr>
        <w:t>3.</w:t>
      </w:r>
      <w:r w:rsidR="005758B6" w:rsidRPr="00DB0C40">
        <w:rPr>
          <w:rFonts w:asciiTheme="majorHAnsi" w:eastAsiaTheme="majorEastAsia" w:hAnsiTheme="majorHAnsi" w:cstheme="majorBidi"/>
          <w:color w:val="1F3763" w:themeColor="accent1" w:themeShade="7F"/>
        </w:rPr>
        <w:t>1.1.</w:t>
      </w:r>
      <w:r w:rsidR="00F23644">
        <w:rPr>
          <w:rFonts w:asciiTheme="majorHAnsi" w:eastAsiaTheme="majorEastAsia" w:hAnsiTheme="majorHAnsi" w:cstheme="majorBidi"/>
          <w:color w:val="1F3763" w:themeColor="accent1" w:themeShade="7F"/>
        </w:rPr>
        <w:t>3</w:t>
      </w:r>
      <w:r w:rsidR="005758B6" w:rsidRPr="00DB0C40">
        <w:rPr>
          <w:rFonts w:asciiTheme="majorHAnsi" w:eastAsiaTheme="majorEastAsia" w:hAnsiTheme="majorHAnsi" w:cstheme="majorBidi"/>
          <w:color w:val="1F3763" w:themeColor="accent1" w:themeShade="7F"/>
        </w:rPr>
        <w:t>. ILO Declaration for the Future of Work</w:t>
      </w:r>
      <w:bookmarkEnd w:id="10"/>
    </w:p>
    <w:p w14:paraId="6A6DADA7" w14:textId="77777777" w:rsidR="005758B6" w:rsidRPr="00DB0C40" w:rsidRDefault="005758B6" w:rsidP="005758B6">
      <w:pPr>
        <w:jc w:val="both"/>
        <w:rPr>
          <w:rFonts w:asciiTheme="minorHAnsi" w:eastAsiaTheme="minorHAnsi" w:hAnsiTheme="minorHAnsi" w:cstheme="minorHAnsi"/>
          <w:b/>
          <w:bCs/>
          <w:sz w:val="22"/>
          <w:szCs w:val="22"/>
        </w:rPr>
      </w:pPr>
    </w:p>
    <w:p w14:paraId="0CABD96E" w14:textId="77777777" w:rsidR="005758B6" w:rsidRPr="00DB0C40" w:rsidRDefault="005758B6" w:rsidP="005758B6">
      <w:pPr>
        <w:jc w:val="both"/>
        <w:rPr>
          <w:rFonts w:asciiTheme="minorHAnsi" w:eastAsiaTheme="minorHAnsi" w:hAnsiTheme="minorHAnsi" w:cstheme="minorHAnsi"/>
          <w:sz w:val="22"/>
          <w:szCs w:val="22"/>
        </w:rPr>
      </w:pPr>
      <w:r w:rsidRPr="00DB0C40">
        <w:rPr>
          <w:rFonts w:asciiTheme="minorHAnsi" w:eastAsiaTheme="minorHAnsi" w:hAnsiTheme="minorHAnsi" w:cstheme="minorHAnsi"/>
          <w:sz w:val="22"/>
          <w:szCs w:val="22"/>
        </w:rPr>
        <w:t>In June 2019, the International Labour Conference adopted the ILO Centenary Declaration for the Future of Work. The Declaration calls for the achievement of “gender equality at work through a transformative agenda, with regular evaluation of progress made, which:</w:t>
      </w:r>
    </w:p>
    <w:p w14:paraId="37C10ACE" w14:textId="77777777" w:rsidR="005758B6" w:rsidRPr="00DB0C40" w:rsidRDefault="005758B6">
      <w:pPr>
        <w:numPr>
          <w:ilvl w:val="1"/>
          <w:numId w:val="24"/>
        </w:numPr>
        <w:spacing w:after="200"/>
        <w:contextualSpacing/>
        <w:jc w:val="both"/>
        <w:rPr>
          <w:rFonts w:asciiTheme="minorHAnsi" w:hAnsiTheme="minorHAnsi" w:cstheme="minorHAnsi"/>
          <w:sz w:val="22"/>
          <w:szCs w:val="22"/>
        </w:rPr>
      </w:pPr>
      <w:r w:rsidRPr="00DB0C40">
        <w:rPr>
          <w:rFonts w:asciiTheme="minorHAnsi" w:hAnsiTheme="minorHAnsi" w:cstheme="minorHAnsi"/>
          <w:sz w:val="22"/>
          <w:szCs w:val="22"/>
        </w:rPr>
        <w:t>ensures equal opportunities, equal participation, and equal treatment, including equal remuneration for people for work of equal value.</w:t>
      </w:r>
    </w:p>
    <w:p w14:paraId="03C8635F" w14:textId="77777777" w:rsidR="005758B6" w:rsidRPr="00DB0C40" w:rsidRDefault="005758B6">
      <w:pPr>
        <w:numPr>
          <w:ilvl w:val="1"/>
          <w:numId w:val="24"/>
        </w:numPr>
        <w:spacing w:after="200"/>
        <w:contextualSpacing/>
        <w:jc w:val="both"/>
        <w:rPr>
          <w:rFonts w:asciiTheme="minorHAnsi" w:hAnsiTheme="minorHAnsi" w:cstheme="minorHAnsi"/>
          <w:sz w:val="22"/>
          <w:szCs w:val="22"/>
        </w:rPr>
      </w:pPr>
      <w:r w:rsidRPr="00DB0C40">
        <w:rPr>
          <w:rFonts w:asciiTheme="minorHAnsi" w:hAnsiTheme="minorHAnsi" w:cstheme="minorHAnsi"/>
          <w:sz w:val="22"/>
          <w:szCs w:val="22"/>
        </w:rPr>
        <w:t>enables a more balanced sharing of family responsibilities.</w:t>
      </w:r>
    </w:p>
    <w:p w14:paraId="3998E185" w14:textId="77777777" w:rsidR="005758B6" w:rsidRPr="00DB0C40" w:rsidRDefault="005758B6">
      <w:pPr>
        <w:numPr>
          <w:ilvl w:val="1"/>
          <w:numId w:val="24"/>
        </w:numPr>
        <w:spacing w:after="200"/>
        <w:contextualSpacing/>
        <w:jc w:val="both"/>
        <w:rPr>
          <w:rFonts w:asciiTheme="minorHAnsi" w:hAnsiTheme="minorHAnsi" w:cstheme="minorHAnsi"/>
          <w:sz w:val="22"/>
          <w:szCs w:val="22"/>
        </w:rPr>
      </w:pPr>
      <w:r w:rsidRPr="00DB0C40">
        <w:rPr>
          <w:rFonts w:asciiTheme="minorHAnsi" w:hAnsiTheme="minorHAnsi" w:cstheme="minorHAnsi"/>
          <w:sz w:val="22"/>
          <w:szCs w:val="22"/>
        </w:rPr>
        <w:t>provides scope for achieving better work–life balance by enabling workers and employers to agree on solutions, including on working time, which consider their respective needs and benefits; and</w:t>
      </w:r>
    </w:p>
    <w:p w14:paraId="39107306" w14:textId="77777777" w:rsidR="005758B6" w:rsidRPr="00DB0C40" w:rsidRDefault="005758B6">
      <w:pPr>
        <w:numPr>
          <w:ilvl w:val="1"/>
          <w:numId w:val="24"/>
        </w:numPr>
        <w:spacing w:after="200"/>
        <w:contextualSpacing/>
        <w:jc w:val="both"/>
        <w:rPr>
          <w:rFonts w:asciiTheme="minorHAnsi" w:hAnsiTheme="minorHAnsi" w:cstheme="minorHAnsi"/>
          <w:sz w:val="22"/>
          <w:szCs w:val="22"/>
        </w:rPr>
      </w:pPr>
      <w:r w:rsidRPr="00DB0C40">
        <w:rPr>
          <w:rFonts w:asciiTheme="minorHAnsi" w:hAnsiTheme="minorHAnsi" w:cstheme="minorHAnsi"/>
          <w:sz w:val="22"/>
          <w:szCs w:val="22"/>
        </w:rPr>
        <w:t>promotes investment in the care economy.”</w:t>
      </w:r>
    </w:p>
    <w:p w14:paraId="47198080" w14:textId="77777777" w:rsidR="005758B6" w:rsidRPr="00DB0C40" w:rsidRDefault="005758B6" w:rsidP="005758B6">
      <w:pPr>
        <w:spacing w:after="200"/>
        <w:ind w:left="1440"/>
        <w:contextualSpacing/>
        <w:jc w:val="both"/>
        <w:rPr>
          <w:rFonts w:asciiTheme="minorHAnsi" w:hAnsiTheme="minorHAnsi" w:cstheme="minorHAnsi"/>
          <w:sz w:val="22"/>
          <w:szCs w:val="22"/>
        </w:rPr>
      </w:pPr>
    </w:p>
    <w:p w14:paraId="386387BE" w14:textId="3FB3A0CA" w:rsidR="005758B6" w:rsidRPr="00DB0C40" w:rsidRDefault="00BD23D7" w:rsidP="00F23644">
      <w:pPr>
        <w:pStyle w:val="ListParagraph"/>
        <w:keepNext/>
        <w:keepLines/>
        <w:spacing w:before="40"/>
        <w:ind w:left="0"/>
        <w:outlineLvl w:val="2"/>
        <w:rPr>
          <w:rFonts w:asciiTheme="majorHAnsi" w:eastAsiaTheme="majorEastAsia" w:hAnsiTheme="majorHAnsi" w:cstheme="majorBidi"/>
          <w:color w:val="1F3763" w:themeColor="accent1" w:themeShade="7F"/>
        </w:rPr>
      </w:pPr>
      <w:bookmarkStart w:id="11" w:name="_Toc92359048"/>
      <w:r w:rsidRPr="00DB0C40">
        <w:rPr>
          <w:rFonts w:asciiTheme="majorHAnsi" w:eastAsiaTheme="majorEastAsia" w:hAnsiTheme="majorHAnsi" w:cstheme="majorBidi"/>
          <w:color w:val="1F3763" w:themeColor="accent1" w:themeShade="7F"/>
        </w:rPr>
        <w:t>3.</w:t>
      </w:r>
      <w:r w:rsidR="005758B6" w:rsidRPr="00DB0C40">
        <w:rPr>
          <w:rFonts w:asciiTheme="majorHAnsi" w:eastAsiaTheme="majorEastAsia" w:hAnsiTheme="majorHAnsi" w:cstheme="majorBidi"/>
          <w:color w:val="1F3763" w:themeColor="accent1" w:themeShade="7F"/>
        </w:rPr>
        <w:t>1.1.</w:t>
      </w:r>
      <w:r w:rsidR="00F23644">
        <w:rPr>
          <w:rFonts w:asciiTheme="majorHAnsi" w:eastAsiaTheme="majorEastAsia" w:hAnsiTheme="majorHAnsi" w:cstheme="majorBidi"/>
          <w:color w:val="1F3763" w:themeColor="accent1" w:themeShade="7F"/>
        </w:rPr>
        <w:t>4</w:t>
      </w:r>
      <w:r w:rsidR="005758B6" w:rsidRPr="00DB0C40">
        <w:rPr>
          <w:rFonts w:asciiTheme="majorHAnsi" w:eastAsiaTheme="majorEastAsia" w:hAnsiTheme="majorHAnsi" w:cstheme="majorBidi"/>
          <w:color w:val="1F3763" w:themeColor="accent1" w:themeShade="7F"/>
        </w:rPr>
        <w:t>. ILO Declaration on Fundamental Principles and Rights at Work</w:t>
      </w:r>
      <w:bookmarkEnd w:id="11"/>
    </w:p>
    <w:p w14:paraId="5E39E914" w14:textId="77777777" w:rsidR="00F23644" w:rsidRDefault="00F23644" w:rsidP="005758B6">
      <w:pPr>
        <w:jc w:val="both"/>
        <w:rPr>
          <w:rFonts w:asciiTheme="minorHAnsi" w:eastAsiaTheme="minorHAnsi" w:hAnsiTheme="minorHAnsi" w:cstheme="minorHAnsi"/>
          <w:sz w:val="22"/>
          <w:szCs w:val="22"/>
        </w:rPr>
      </w:pPr>
    </w:p>
    <w:p w14:paraId="5D5B444F" w14:textId="3CE2A753" w:rsidR="005758B6" w:rsidRPr="00DB0C40" w:rsidRDefault="005758B6" w:rsidP="005758B6">
      <w:pPr>
        <w:jc w:val="both"/>
        <w:rPr>
          <w:rFonts w:asciiTheme="minorHAnsi" w:eastAsiaTheme="minorHAnsi" w:hAnsiTheme="minorHAnsi" w:cstheme="minorHAnsi"/>
          <w:sz w:val="22"/>
          <w:szCs w:val="22"/>
        </w:rPr>
      </w:pPr>
      <w:r w:rsidRPr="00DB0C40">
        <w:rPr>
          <w:rFonts w:asciiTheme="minorHAnsi" w:eastAsiaTheme="minorHAnsi" w:hAnsiTheme="minorHAnsi" w:cstheme="minorHAnsi"/>
          <w:sz w:val="22"/>
          <w:szCs w:val="22"/>
        </w:rPr>
        <w:t xml:space="preserve">Adopted in 1998, the Declaration on Fundamental Principles and Rights at Work commits Member States to respect and promote principles and rights in four categories, whether they have ratified the relevant Conventions. These categories are: </w:t>
      </w:r>
    </w:p>
    <w:p w14:paraId="1158850F" w14:textId="77777777" w:rsidR="005758B6" w:rsidRPr="00DB0C40" w:rsidRDefault="005758B6">
      <w:pPr>
        <w:numPr>
          <w:ilvl w:val="0"/>
          <w:numId w:val="25"/>
        </w:numPr>
        <w:spacing w:after="200"/>
        <w:contextualSpacing/>
        <w:jc w:val="both"/>
        <w:rPr>
          <w:rFonts w:asciiTheme="minorHAnsi" w:hAnsiTheme="minorHAnsi" w:cstheme="minorHAnsi"/>
          <w:sz w:val="22"/>
          <w:szCs w:val="22"/>
        </w:rPr>
      </w:pPr>
      <w:r w:rsidRPr="00DB0C40">
        <w:rPr>
          <w:rFonts w:asciiTheme="minorHAnsi" w:hAnsiTheme="minorHAnsi" w:cstheme="minorHAnsi"/>
          <w:sz w:val="22"/>
          <w:szCs w:val="22"/>
        </w:rPr>
        <w:t xml:space="preserve">freedom of association and the effective recognition of the right to collective bargaining. </w:t>
      </w:r>
    </w:p>
    <w:p w14:paraId="0BF55BAE" w14:textId="77777777" w:rsidR="005758B6" w:rsidRPr="00DB0C40" w:rsidRDefault="005758B6">
      <w:pPr>
        <w:numPr>
          <w:ilvl w:val="0"/>
          <w:numId w:val="25"/>
        </w:numPr>
        <w:spacing w:after="200"/>
        <w:contextualSpacing/>
        <w:jc w:val="both"/>
        <w:rPr>
          <w:rFonts w:asciiTheme="minorHAnsi" w:hAnsiTheme="minorHAnsi" w:cstheme="minorHAnsi"/>
          <w:sz w:val="22"/>
          <w:szCs w:val="22"/>
        </w:rPr>
      </w:pPr>
      <w:r w:rsidRPr="00DB0C40">
        <w:rPr>
          <w:rFonts w:asciiTheme="minorHAnsi" w:hAnsiTheme="minorHAnsi" w:cstheme="minorHAnsi"/>
          <w:sz w:val="22"/>
          <w:szCs w:val="22"/>
        </w:rPr>
        <w:t xml:space="preserve">the elimination of forced or compulsory labour, and the abolition of child labour. </w:t>
      </w:r>
    </w:p>
    <w:p w14:paraId="5ECAE3C6" w14:textId="77777777" w:rsidR="005758B6" w:rsidRPr="00DB0C40" w:rsidRDefault="005758B6">
      <w:pPr>
        <w:numPr>
          <w:ilvl w:val="0"/>
          <w:numId w:val="25"/>
        </w:numPr>
        <w:spacing w:after="200"/>
        <w:contextualSpacing/>
        <w:jc w:val="both"/>
        <w:rPr>
          <w:rFonts w:asciiTheme="minorHAnsi" w:hAnsiTheme="minorHAnsi" w:cstheme="minorHAnsi"/>
          <w:sz w:val="22"/>
          <w:szCs w:val="22"/>
        </w:rPr>
      </w:pPr>
      <w:r w:rsidRPr="00DB0C40">
        <w:rPr>
          <w:rFonts w:asciiTheme="minorHAnsi" w:hAnsiTheme="minorHAnsi" w:cstheme="minorHAnsi"/>
          <w:sz w:val="22"/>
          <w:szCs w:val="22"/>
        </w:rPr>
        <w:t xml:space="preserve">equal remuneration of people for work of equal value. </w:t>
      </w:r>
    </w:p>
    <w:p w14:paraId="2890FA4C" w14:textId="77777777" w:rsidR="005758B6" w:rsidRPr="00DB0C40" w:rsidRDefault="005758B6">
      <w:pPr>
        <w:numPr>
          <w:ilvl w:val="0"/>
          <w:numId w:val="25"/>
        </w:numPr>
        <w:spacing w:after="200"/>
        <w:contextualSpacing/>
        <w:jc w:val="both"/>
        <w:rPr>
          <w:rFonts w:asciiTheme="minorHAnsi" w:hAnsiTheme="minorHAnsi" w:cstheme="minorHAnsi"/>
          <w:sz w:val="22"/>
          <w:szCs w:val="22"/>
        </w:rPr>
      </w:pPr>
      <w:r w:rsidRPr="00DB0C40">
        <w:rPr>
          <w:rFonts w:asciiTheme="minorHAnsi" w:hAnsiTheme="minorHAnsi" w:cstheme="minorHAnsi"/>
          <w:sz w:val="22"/>
          <w:szCs w:val="22"/>
        </w:rPr>
        <w:t>and the elimination of discrimination in respect of employment and occupation.</w:t>
      </w:r>
    </w:p>
    <w:p w14:paraId="5CDF0781" w14:textId="77777777" w:rsidR="005758B6" w:rsidRPr="00DB0C40" w:rsidRDefault="005758B6" w:rsidP="005758B6">
      <w:pPr>
        <w:spacing w:after="200"/>
        <w:ind w:left="1440"/>
        <w:contextualSpacing/>
        <w:jc w:val="both"/>
        <w:rPr>
          <w:rFonts w:asciiTheme="minorHAnsi" w:hAnsiTheme="minorHAnsi" w:cstheme="minorHAnsi"/>
          <w:sz w:val="22"/>
          <w:szCs w:val="22"/>
        </w:rPr>
      </w:pPr>
    </w:p>
    <w:p w14:paraId="732FCE28" w14:textId="63CCA4FF" w:rsidR="005758B6" w:rsidRPr="00DB0C40" w:rsidRDefault="00BD23D7" w:rsidP="005758B6">
      <w:pPr>
        <w:keepNext/>
        <w:keepLines/>
        <w:spacing w:before="40"/>
        <w:outlineLvl w:val="2"/>
        <w:rPr>
          <w:rFonts w:asciiTheme="majorHAnsi" w:eastAsiaTheme="majorEastAsia" w:hAnsiTheme="majorHAnsi" w:cstheme="majorBidi"/>
          <w:color w:val="1F3763" w:themeColor="accent1" w:themeShade="7F"/>
        </w:rPr>
      </w:pPr>
      <w:bookmarkStart w:id="12" w:name="_Toc92359049"/>
      <w:r w:rsidRPr="00DB0C40">
        <w:rPr>
          <w:rFonts w:asciiTheme="majorHAnsi" w:eastAsiaTheme="majorEastAsia" w:hAnsiTheme="majorHAnsi" w:cstheme="majorBidi"/>
          <w:color w:val="1F3763" w:themeColor="accent1" w:themeShade="7F"/>
        </w:rPr>
        <w:t xml:space="preserve"> 3.</w:t>
      </w:r>
      <w:r w:rsidR="005758B6" w:rsidRPr="00DB0C40">
        <w:rPr>
          <w:rFonts w:asciiTheme="majorHAnsi" w:eastAsiaTheme="majorEastAsia" w:hAnsiTheme="majorHAnsi" w:cstheme="majorBidi"/>
          <w:color w:val="1F3763" w:themeColor="accent1" w:themeShade="7F"/>
        </w:rPr>
        <w:t>1.1.</w:t>
      </w:r>
      <w:r w:rsidR="00F23644">
        <w:rPr>
          <w:rFonts w:asciiTheme="majorHAnsi" w:eastAsiaTheme="majorEastAsia" w:hAnsiTheme="majorHAnsi" w:cstheme="majorBidi"/>
          <w:color w:val="1F3763" w:themeColor="accent1" w:themeShade="7F"/>
        </w:rPr>
        <w:t>5</w:t>
      </w:r>
      <w:r w:rsidR="005758B6" w:rsidRPr="00DB0C40">
        <w:rPr>
          <w:rFonts w:asciiTheme="majorHAnsi" w:eastAsiaTheme="majorEastAsia" w:hAnsiTheme="majorHAnsi" w:cstheme="majorBidi"/>
          <w:color w:val="1F3763" w:themeColor="accent1" w:themeShade="7F"/>
        </w:rPr>
        <w:t>. ILO Tripartite Declaration of Principles concerning Multinational Enterprises and Social Policy (MNE Declaration)</w:t>
      </w:r>
      <w:bookmarkEnd w:id="12"/>
    </w:p>
    <w:p w14:paraId="5CFBA9B0" w14:textId="77777777" w:rsidR="00F23644" w:rsidRDefault="00F23644" w:rsidP="005758B6">
      <w:pPr>
        <w:jc w:val="both"/>
        <w:rPr>
          <w:rFonts w:asciiTheme="minorHAnsi" w:eastAsiaTheme="minorHAnsi" w:hAnsiTheme="minorHAnsi" w:cstheme="minorHAnsi"/>
          <w:sz w:val="22"/>
          <w:szCs w:val="22"/>
        </w:rPr>
      </w:pPr>
    </w:p>
    <w:p w14:paraId="0C04BCC3" w14:textId="6EAF7A81" w:rsidR="005758B6" w:rsidRPr="00DB0C40" w:rsidRDefault="005758B6" w:rsidP="005758B6">
      <w:pPr>
        <w:jc w:val="both"/>
        <w:rPr>
          <w:rFonts w:asciiTheme="minorHAnsi" w:eastAsiaTheme="minorHAnsi" w:hAnsiTheme="minorHAnsi" w:cstheme="minorHAnsi"/>
          <w:sz w:val="22"/>
          <w:szCs w:val="22"/>
        </w:rPr>
      </w:pPr>
      <w:r w:rsidRPr="00DB0C40">
        <w:rPr>
          <w:rFonts w:asciiTheme="minorHAnsi" w:eastAsiaTheme="minorHAnsi" w:hAnsiTheme="minorHAnsi" w:cstheme="minorHAnsi"/>
          <w:sz w:val="22"/>
          <w:szCs w:val="22"/>
        </w:rPr>
        <w:t xml:space="preserve">Adopted in 1977 and updated several times, most recently in 2017, it is the only global instrument in this area that has been </w:t>
      </w:r>
      <w:r w:rsidR="00F37BC3" w:rsidRPr="00DB0C40">
        <w:rPr>
          <w:rFonts w:asciiTheme="minorHAnsi" w:eastAsiaTheme="minorHAnsi" w:hAnsiTheme="minorHAnsi" w:cstheme="minorHAnsi"/>
          <w:sz w:val="22"/>
          <w:szCs w:val="22"/>
        </w:rPr>
        <w:t>e</w:t>
      </w:r>
      <w:r w:rsidR="00F37BC3">
        <w:rPr>
          <w:rFonts w:asciiTheme="minorHAnsi" w:eastAsiaTheme="minorHAnsi" w:hAnsiTheme="minorHAnsi" w:cstheme="minorHAnsi"/>
          <w:sz w:val="22"/>
          <w:szCs w:val="22"/>
        </w:rPr>
        <w:t>labora</w:t>
      </w:r>
      <w:r w:rsidR="00F37BC3" w:rsidRPr="00DB0C40">
        <w:rPr>
          <w:rFonts w:asciiTheme="minorHAnsi" w:eastAsiaTheme="minorHAnsi" w:hAnsiTheme="minorHAnsi" w:cstheme="minorHAnsi"/>
          <w:sz w:val="22"/>
          <w:szCs w:val="22"/>
        </w:rPr>
        <w:t>ted</w:t>
      </w:r>
      <w:r w:rsidRPr="00DB0C40">
        <w:rPr>
          <w:rFonts w:asciiTheme="minorHAnsi" w:eastAsiaTheme="minorHAnsi" w:hAnsiTheme="minorHAnsi" w:cstheme="minorHAnsi"/>
          <w:sz w:val="22"/>
          <w:szCs w:val="22"/>
        </w:rPr>
        <w:t xml:space="preserve"> and adopted by governments, employers, and workers around the world. The areas covered include employment, training, living, and working conditions, industrial relations, and general policies. All its principles build on international labour standards and, as such, include several recommendations that are directly or indirectly related to gender equality.</w:t>
      </w:r>
    </w:p>
    <w:p w14:paraId="2CCA2B6E" w14:textId="77777777" w:rsidR="005758B6" w:rsidRPr="00DB0C40" w:rsidRDefault="005758B6" w:rsidP="005758B6">
      <w:pPr>
        <w:jc w:val="both"/>
        <w:rPr>
          <w:rFonts w:asciiTheme="minorHAnsi" w:eastAsiaTheme="minorHAnsi" w:hAnsiTheme="minorHAnsi" w:cstheme="minorHAnsi"/>
          <w:sz w:val="22"/>
          <w:szCs w:val="22"/>
        </w:rPr>
      </w:pPr>
    </w:p>
    <w:p w14:paraId="62F0E357" w14:textId="064667E0" w:rsidR="005758B6" w:rsidRPr="00DB0C40" w:rsidRDefault="00BD23D7" w:rsidP="005758B6">
      <w:pPr>
        <w:keepNext/>
        <w:keepLines/>
        <w:spacing w:before="40"/>
        <w:outlineLvl w:val="1"/>
        <w:rPr>
          <w:rFonts w:asciiTheme="majorHAnsi" w:eastAsiaTheme="majorEastAsia" w:hAnsiTheme="majorHAnsi" w:cstheme="majorBidi"/>
          <w:color w:val="2F5496" w:themeColor="accent1" w:themeShade="BF"/>
          <w:sz w:val="26"/>
          <w:szCs w:val="26"/>
        </w:rPr>
      </w:pPr>
      <w:bookmarkStart w:id="13" w:name="_Toc92359050"/>
      <w:r w:rsidRPr="00DB0C40">
        <w:rPr>
          <w:rFonts w:asciiTheme="majorHAnsi" w:eastAsiaTheme="majorEastAsia" w:hAnsiTheme="majorHAnsi" w:cstheme="majorBidi"/>
          <w:color w:val="2F5496" w:themeColor="accent1" w:themeShade="BF"/>
          <w:sz w:val="26"/>
          <w:szCs w:val="26"/>
        </w:rPr>
        <w:lastRenderedPageBreak/>
        <w:t>3</w:t>
      </w:r>
      <w:r w:rsidR="005758B6" w:rsidRPr="00DB0C40">
        <w:rPr>
          <w:rFonts w:asciiTheme="majorHAnsi" w:eastAsiaTheme="majorEastAsia" w:hAnsiTheme="majorHAnsi" w:cstheme="majorBidi"/>
          <w:color w:val="2F5496" w:themeColor="accent1" w:themeShade="BF"/>
          <w:sz w:val="26"/>
          <w:szCs w:val="26"/>
        </w:rPr>
        <w:t>.2. Oher International initiatives</w:t>
      </w:r>
      <w:bookmarkEnd w:id="13"/>
      <w:r w:rsidR="005758B6" w:rsidRPr="00DB0C40">
        <w:rPr>
          <w:rFonts w:asciiTheme="majorHAnsi" w:eastAsiaTheme="majorEastAsia" w:hAnsiTheme="majorHAnsi" w:cstheme="majorBidi"/>
          <w:color w:val="2F5496" w:themeColor="accent1" w:themeShade="BF"/>
          <w:sz w:val="26"/>
          <w:szCs w:val="26"/>
        </w:rPr>
        <w:t xml:space="preserve"> </w:t>
      </w:r>
    </w:p>
    <w:p w14:paraId="4E4E6C47" w14:textId="19F5C967" w:rsidR="005758B6" w:rsidRPr="00DB0C40" w:rsidRDefault="00BD23D7" w:rsidP="005758B6">
      <w:pPr>
        <w:keepNext/>
        <w:keepLines/>
        <w:spacing w:before="40"/>
        <w:outlineLvl w:val="2"/>
        <w:rPr>
          <w:rFonts w:asciiTheme="majorHAnsi" w:eastAsiaTheme="majorEastAsia" w:hAnsiTheme="majorHAnsi" w:cstheme="majorBidi"/>
          <w:color w:val="1F3763" w:themeColor="accent1" w:themeShade="7F"/>
        </w:rPr>
      </w:pPr>
      <w:bookmarkStart w:id="14" w:name="_Toc92359051"/>
      <w:r w:rsidRPr="00DB0C40">
        <w:rPr>
          <w:rFonts w:asciiTheme="majorHAnsi" w:eastAsiaTheme="majorEastAsia" w:hAnsiTheme="majorHAnsi" w:cstheme="majorBidi"/>
          <w:color w:val="1F3763" w:themeColor="accent1" w:themeShade="7F"/>
        </w:rPr>
        <w:t>3</w:t>
      </w:r>
      <w:r w:rsidR="005758B6" w:rsidRPr="00DB0C40">
        <w:rPr>
          <w:rFonts w:asciiTheme="majorHAnsi" w:eastAsiaTheme="majorEastAsia" w:hAnsiTheme="majorHAnsi" w:cstheme="majorBidi"/>
          <w:color w:val="1F3763" w:themeColor="accent1" w:themeShade="7F"/>
        </w:rPr>
        <w:t>.2.1. The 2030 Agenda for Sustainable Development (SDGs)</w:t>
      </w:r>
      <w:bookmarkEnd w:id="14"/>
    </w:p>
    <w:p w14:paraId="319CBA4F" w14:textId="77777777" w:rsidR="005758B6" w:rsidRPr="00DB0C40" w:rsidRDefault="005758B6" w:rsidP="005758B6">
      <w:pPr>
        <w:jc w:val="both"/>
        <w:rPr>
          <w:rFonts w:asciiTheme="minorHAnsi" w:eastAsiaTheme="minorHAnsi" w:hAnsiTheme="minorHAnsi" w:cstheme="minorHAnsi"/>
          <w:sz w:val="22"/>
          <w:szCs w:val="22"/>
        </w:rPr>
      </w:pPr>
    </w:p>
    <w:p w14:paraId="64A42C5C" w14:textId="77777777" w:rsidR="005758B6" w:rsidRPr="00DB0C40" w:rsidRDefault="005758B6" w:rsidP="005758B6">
      <w:pPr>
        <w:jc w:val="both"/>
        <w:rPr>
          <w:rFonts w:asciiTheme="minorHAnsi" w:eastAsiaTheme="minorHAnsi" w:hAnsiTheme="minorHAnsi" w:cstheme="minorHAnsi"/>
          <w:sz w:val="22"/>
          <w:szCs w:val="22"/>
        </w:rPr>
      </w:pPr>
      <w:r w:rsidRPr="00DB0C40">
        <w:rPr>
          <w:rFonts w:asciiTheme="minorHAnsi" w:eastAsiaTheme="minorHAnsi" w:hAnsiTheme="minorHAnsi" w:cstheme="minorHAnsi"/>
          <w:sz w:val="22"/>
          <w:szCs w:val="22"/>
        </w:rPr>
        <w:t>The 2030 Agenda for Sustainable Development sets out goals (SDGs) for lifting generous portions of humanity out of poverty, while protecting human rights and the planet. Gender equality and women’s empowerment are integral to the achievement of all 17 Goals. The SDGs “seek to realize the human rights of all and to achieve gender equality and the empowerment of all women and girls.” Some SDGs are particularly relevant to achieving women’s economic empowerment and gender equality at work:</w:t>
      </w:r>
    </w:p>
    <w:p w14:paraId="0946A017" w14:textId="77777777" w:rsidR="005758B6" w:rsidRPr="00DB0C40" w:rsidRDefault="005758B6">
      <w:pPr>
        <w:numPr>
          <w:ilvl w:val="0"/>
          <w:numId w:val="17"/>
        </w:numPr>
        <w:spacing w:after="200"/>
        <w:contextualSpacing/>
        <w:jc w:val="both"/>
        <w:rPr>
          <w:rFonts w:asciiTheme="minorHAnsi" w:hAnsiTheme="minorHAnsi" w:cstheme="minorHAnsi"/>
          <w:sz w:val="22"/>
          <w:szCs w:val="22"/>
        </w:rPr>
      </w:pPr>
      <w:r w:rsidRPr="00DB0C40">
        <w:rPr>
          <w:rFonts w:asciiTheme="minorHAnsi" w:hAnsiTheme="minorHAnsi" w:cstheme="minorHAnsi"/>
          <w:sz w:val="22"/>
          <w:szCs w:val="22"/>
        </w:rPr>
        <w:t>SDG 3 on ensuring healthy lives and promoting wellbeing for all at all ages.</w:t>
      </w:r>
    </w:p>
    <w:p w14:paraId="75783D96" w14:textId="77777777" w:rsidR="005758B6" w:rsidRPr="00DB0C40" w:rsidRDefault="005758B6">
      <w:pPr>
        <w:numPr>
          <w:ilvl w:val="0"/>
          <w:numId w:val="17"/>
        </w:numPr>
        <w:spacing w:after="200"/>
        <w:contextualSpacing/>
        <w:jc w:val="both"/>
        <w:rPr>
          <w:rFonts w:asciiTheme="minorHAnsi" w:hAnsiTheme="minorHAnsi" w:cstheme="minorHAnsi"/>
          <w:sz w:val="22"/>
          <w:szCs w:val="22"/>
        </w:rPr>
      </w:pPr>
      <w:r w:rsidRPr="00DB0C40">
        <w:rPr>
          <w:rFonts w:asciiTheme="minorHAnsi" w:hAnsiTheme="minorHAnsi" w:cstheme="minorHAnsi"/>
          <w:sz w:val="22"/>
          <w:szCs w:val="22"/>
        </w:rPr>
        <w:t>SDG 4 on ensuring inclusive and equitable quality education and promoting lifelong learning opportunities for all.</w:t>
      </w:r>
    </w:p>
    <w:p w14:paraId="20DF9C47" w14:textId="77777777" w:rsidR="005758B6" w:rsidRPr="00DB0C40" w:rsidRDefault="005758B6">
      <w:pPr>
        <w:numPr>
          <w:ilvl w:val="0"/>
          <w:numId w:val="17"/>
        </w:numPr>
        <w:spacing w:after="200"/>
        <w:contextualSpacing/>
        <w:jc w:val="both"/>
        <w:rPr>
          <w:rFonts w:asciiTheme="minorHAnsi" w:hAnsiTheme="minorHAnsi" w:cstheme="minorHAnsi"/>
          <w:sz w:val="22"/>
          <w:szCs w:val="22"/>
        </w:rPr>
      </w:pPr>
      <w:r w:rsidRPr="00DB0C40">
        <w:rPr>
          <w:rFonts w:asciiTheme="minorHAnsi" w:hAnsiTheme="minorHAnsi" w:cstheme="minorHAnsi"/>
          <w:sz w:val="22"/>
          <w:szCs w:val="22"/>
        </w:rPr>
        <w:t>SDG 5 on achieving gender equality and empowering all women and girls.</w:t>
      </w:r>
    </w:p>
    <w:p w14:paraId="3D7B2224" w14:textId="77777777" w:rsidR="005758B6" w:rsidRPr="00DB0C40" w:rsidRDefault="005758B6">
      <w:pPr>
        <w:numPr>
          <w:ilvl w:val="0"/>
          <w:numId w:val="17"/>
        </w:numPr>
        <w:spacing w:after="200"/>
        <w:contextualSpacing/>
        <w:jc w:val="both"/>
        <w:rPr>
          <w:rFonts w:asciiTheme="minorHAnsi" w:hAnsiTheme="minorHAnsi" w:cstheme="minorHAnsi"/>
          <w:sz w:val="22"/>
          <w:szCs w:val="22"/>
        </w:rPr>
      </w:pPr>
      <w:r w:rsidRPr="00DB0C40">
        <w:rPr>
          <w:rFonts w:asciiTheme="minorHAnsi" w:hAnsiTheme="minorHAnsi" w:cstheme="minorHAnsi"/>
          <w:sz w:val="22"/>
          <w:szCs w:val="22"/>
        </w:rPr>
        <w:t>SDG 8 on promoting sustained, inclusive, and sustainable economic growth, full and productive employment, and decent work for all.</w:t>
      </w:r>
    </w:p>
    <w:p w14:paraId="37D98A75" w14:textId="77777777" w:rsidR="005758B6" w:rsidRPr="00DB0C40" w:rsidRDefault="005758B6">
      <w:pPr>
        <w:numPr>
          <w:ilvl w:val="0"/>
          <w:numId w:val="17"/>
        </w:numPr>
        <w:spacing w:after="200"/>
        <w:contextualSpacing/>
        <w:jc w:val="both"/>
        <w:rPr>
          <w:rFonts w:asciiTheme="minorHAnsi" w:hAnsiTheme="minorHAnsi" w:cstheme="minorHAnsi"/>
          <w:sz w:val="22"/>
          <w:szCs w:val="22"/>
        </w:rPr>
      </w:pPr>
      <w:r w:rsidRPr="00DB0C40">
        <w:rPr>
          <w:rFonts w:asciiTheme="minorHAnsi" w:hAnsiTheme="minorHAnsi" w:cstheme="minorHAnsi"/>
          <w:sz w:val="22"/>
          <w:szCs w:val="22"/>
        </w:rPr>
        <w:t>SDG 10 on reducing inequalities within and among countries.</w:t>
      </w:r>
    </w:p>
    <w:p w14:paraId="2FA17A01" w14:textId="34F7DA09" w:rsidR="005758B6" w:rsidRDefault="005758B6">
      <w:pPr>
        <w:numPr>
          <w:ilvl w:val="0"/>
          <w:numId w:val="17"/>
        </w:numPr>
        <w:spacing w:after="200"/>
        <w:contextualSpacing/>
        <w:jc w:val="both"/>
        <w:rPr>
          <w:rFonts w:asciiTheme="minorHAnsi" w:hAnsiTheme="minorHAnsi" w:cstheme="minorHAnsi"/>
          <w:sz w:val="22"/>
          <w:szCs w:val="22"/>
        </w:rPr>
      </w:pPr>
      <w:r w:rsidRPr="00DB0C40">
        <w:rPr>
          <w:rFonts w:asciiTheme="minorHAnsi" w:hAnsiTheme="minorHAnsi" w:cstheme="minorHAnsi"/>
          <w:sz w:val="22"/>
          <w:szCs w:val="22"/>
        </w:rPr>
        <w:t>SDG 17 on promoting justice and peace in implementing the SDGs.</w:t>
      </w:r>
    </w:p>
    <w:p w14:paraId="23744E55" w14:textId="77777777" w:rsidR="00775318" w:rsidRPr="00DB0C40" w:rsidRDefault="00775318">
      <w:pPr>
        <w:numPr>
          <w:ilvl w:val="0"/>
          <w:numId w:val="17"/>
        </w:numPr>
        <w:spacing w:after="200"/>
        <w:contextualSpacing/>
        <w:jc w:val="both"/>
        <w:rPr>
          <w:rFonts w:asciiTheme="minorHAnsi" w:hAnsiTheme="minorHAnsi" w:cstheme="minorHAnsi"/>
          <w:sz w:val="22"/>
          <w:szCs w:val="22"/>
        </w:rPr>
      </w:pPr>
    </w:p>
    <w:p w14:paraId="60D2477C" w14:textId="735FA4FE" w:rsidR="005758B6" w:rsidRPr="00DB0C40" w:rsidRDefault="00BD23D7" w:rsidP="005758B6">
      <w:pPr>
        <w:keepNext/>
        <w:keepLines/>
        <w:spacing w:before="40"/>
        <w:outlineLvl w:val="2"/>
        <w:rPr>
          <w:rFonts w:asciiTheme="majorHAnsi" w:eastAsiaTheme="majorEastAsia" w:hAnsiTheme="majorHAnsi" w:cstheme="majorBidi"/>
          <w:color w:val="1F3763" w:themeColor="accent1" w:themeShade="7F"/>
        </w:rPr>
      </w:pPr>
      <w:bookmarkStart w:id="15" w:name="_Toc92359052"/>
      <w:r w:rsidRPr="00DB0C40">
        <w:rPr>
          <w:rFonts w:asciiTheme="majorHAnsi" w:eastAsiaTheme="majorEastAsia" w:hAnsiTheme="majorHAnsi" w:cstheme="majorBidi"/>
          <w:color w:val="1F3763" w:themeColor="accent1" w:themeShade="7F"/>
        </w:rPr>
        <w:t>3</w:t>
      </w:r>
      <w:r w:rsidR="005758B6" w:rsidRPr="00DB0C40">
        <w:rPr>
          <w:rFonts w:asciiTheme="majorHAnsi" w:eastAsiaTheme="majorEastAsia" w:hAnsiTheme="majorHAnsi" w:cstheme="majorBidi"/>
          <w:color w:val="1F3763" w:themeColor="accent1" w:themeShade="7F"/>
        </w:rPr>
        <w:t>.2.2. The Beijing Declaration and Platform for Action for Equality, Development and Peace (BDPfA)</w:t>
      </w:r>
      <w:bookmarkEnd w:id="15"/>
    </w:p>
    <w:p w14:paraId="30178023" w14:textId="77777777" w:rsidR="00F23644" w:rsidRDefault="00F23644" w:rsidP="005758B6">
      <w:pPr>
        <w:jc w:val="both"/>
        <w:rPr>
          <w:rFonts w:asciiTheme="minorHAnsi" w:eastAsiaTheme="minorHAnsi" w:hAnsiTheme="minorHAnsi" w:cstheme="minorHAnsi"/>
          <w:sz w:val="22"/>
          <w:szCs w:val="22"/>
        </w:rPr>
      </w:pPr>
    </w:p>
    <w:p w14:paraId="7E0D590D" w14:textId="3DA9A479" w:rsidR="005758B6" w:rsidRPr="00DB0C40" w:rsidRDefault="005758B6" w:rsidP="005758B6">
      <w:pPr>
        <w:jc w:val="both"/>
        <w:rPr>
          <w:rFonts w:asciiTheme="minorHAnsi" w:eastAsiaTheme="minorHAnsi" w:hAnsiTheme="minorHAnsi" w:cstheme="minorHAnsi"/>
          <w:sz w:val="22"/>
          <w:szCs w:val="22"/>
        </w:rPr>
      </w:pPr>
      <w:r w:rsidRPr="00DB0C40">
        <w:rPr>
          <w:rFonts w:asciiTheme="minorHAnsi" w:eastAsiaTheme="minorHAnsi" w:hAnsiTheme="minorHAnsi" w:cstheme="minorHAnsi"/>
          <w:sz w:val="22"/>
          <w:szCs w:val="22"/>
        </w:rPr>
        <w:t xml:space="preserve">In 1995, the Fourth World Conference on Women adopted the BDPfA, a comprehensive and visionary international agenda for women’s empowerment. It reaffirms the fundamental principle whereby the human rights of women and girls’ children are an inalienable, integral, and indivisible part of universal human rights. As an agenda for action, the BDPfA seeks to promote and protect women’s full enjoyment of all human rights and fundamental freedoms throughout their lives. </w:t>
      </w:r>
    </w:p>
    <w:p w14:paraId="611E5556" w14:textId="77777777" w:rsidR="005758B6" w:rsidRPr="00DB0C40" w:rsidRDefault="005758B6" w:rsidP="005758B6">
      <w:pPr>
        <w:jc w:val="both"/>
        <w:rPr>
          <w:rFonts w:asciiTheme="minorHAnsi" w:eastAsiaTheme="minorHAnsi" w:hAnsiTheme="minorHAnsi" w:cstheme="minorHAnsi"/>
          <w:sz w:val="22"/>
          <w:szCs w:val="22"/>
        </w:rPr>
      </w:pPr>
    </w:p>
    <w:p w14:paraId="63BCA9C5" w14:textId="1F76EB39" w:rsidR="005758B6" w:rsidRPr="00DB0C40" w:rsidRDefault="00BD23D7" w:rsidP="005758B6">
      <w:pPr>
        <w:keepNext/>
        <w:keepLines/>
        <w:spacing w:before="40"/>
        <w:outlineLvl w:val="2"/>
        <w:rPr>
          <w:rFonts w:asciiTheme="majorHAnsi" w:eastAsiaTheme="majorEastAsia" w:hAnsiTheme="majorHAnsi" w:cstheme="majorBidi"/>
          <w:color w:val="1F3763" w:themeColor="accent1" w:themeShade="7F"/>
        </w:rPr>
      </w:pPr>
      <w:bookmarkStart w:id="16" w:name="_Toc92359053"/>
      <w:r w:rsidRPr="00DB0C40">
        <w:rPr>
          <w:rFonts w:asciiTheme="majorHAnsi" w:eastAsiaTheme="majorEastAsia" w:hAnsiTheme="majorHAnsi" w:cstheme="majorBidi"/>
          <w:color w:val="1F3763" w:themeColor="accent1" w:themeShade="7F"/>
        </w:rPr>
        <w:t>3</w:t>
      </w:r>
      <w:r w:rsidR="005758B6" w:rsidRPr="00DB0C40">
        <w:rPr>
          <w:rFonts w:asciiTheme="majorHAnsi" w:eastAsiaTheme="majorEastAsia" w:hAnsiTheme="majorHAnsi" w:cstheme="majorBidi"/>
          <w:color w:val="1F3763" w:themeColor="accent1" w:themeShade="7F"/>
        </w:rPr>
        <w:t>.2.3. 61st Commission on the Status of Women</w:t>
      </w:r>
      <w:bookmarkEnd w:id="16"/>
      <w:r w:rsidR="005758B6" w:rsidRPr="00DB0C40">
        <w:rPr>
          <w:rFonts w:asciiTheme="majorHAnsi" w:eastAsiaTheme="majorEastAsia" w:hAnsiTheme="majorHAnsi" w:cstheme="majorBidi"/>
          <w:color w:val="1F3763" w:themeColor="accent1" w:themeShade="7F"/>
        </w:rPr>
        <w:t xml:space="preserve"> </w:t>
      </w:r>
    </w:p>
    <w:p w14:paraId="3B359CE6" w14:textId="77777777" w:rsidR="00F23644" w:rsidRDefault="00F23644" w:rsidP="005758B6">
      <w:pPr>
        <w:jc w:val="both"/>
        <w:rPr>
          <w:rFonts w:asciiTheme="minorHAnsi" w:eastAsiaTheme="minorHAnsi" w:hAnsiTheme="minorHAnsi" w:cstheme="minorHAnsi"/>
          <w:sz w:val="22"/>
          <w:szCs w:val="22"/>
        </w:rPr>
      </w:pPr>
    </w:p>
    <w:p w14:paraId="57C9C920" w14:textId="109B91D0" w:rsidR="005758B6" w:rsidRPr="00DB0C40" w:rsidRDefault="005758B6" w:rsidP="005758B6">
      <w:pPr>
        <w:jc w:val="both"/>
        <w:rPr>
          <w:rFonts w:asciiTheme="minorHAnsi" w:eastAsiaTheme="minorHAnsi" w:hAnsiTheme="minorHAnsi" w:cstheme="minorHAnsi"/>
          <w:sz w:val="22"/>
          <w:szCs w:val="22"/>
        </w:rPr>
      </w:pPr>
      <w:r w:rsidRPr="00DB0C40">
        <w:rPr>
          <w:rFonts w:asciiTheme="minorHAnsi" w:eastAsiaTheme="minorHAnsi" w:hAnsiTheme="minorHAnsi" w:cstheme="minorHAnsi"/>
          <w:sz w:val="22"/>
          <w:szCs w:val="22"/>
        </w:rPr>
        <w:t xml:space="preserve">The Commission on the Status of Women (CSW) was established as a functional commission of the UN Economic and Social Council (ECOSOC) in 1946. Representatives of UN Member States, UN entities, women’s rights organisations, gender experts and other interested organisations meet annually at the UN Headquarters in New York to discuss progress and the gaps in implementation of the BPfA and 2030 Agenda for Sustainable Development, including the SDGs. Session outcomes and recommendations are referred to ECOSOC for follow-up. The 61st CSW session (CSW 61) took place from 13 to 24 March 2017, with the priority theme of ‘Women’s economic empowerment in the changing world of work’. It will therefore be an important opportunity to further develop consensus on the critical actions needed to further progress on WEE. Agreed Conclusions will be developed, and a range of sessions focusing on sub-topics including gender pay gaps, technology and work, informal and nonstandard work, the care economy, and the economic empowerment of indigenous women will form part of the official agenda. </w:t>
      </w:r>
    </w:p>
    <w:p w14:paraId="7335B34E" w14:textId="77777777" w:rsidR="005758B6" w:rsidRPr="00DB0C40" w:rsidRDefault="005758B6" w:rsidP="005758B6">
      <w:pPr>
        <w:jc w:val="both"/>
        <w:rPr>
          <w:rFonts w:asciiTheme="minorHAnsi" w:eastAsiaTheme="minorHAnsi" w:hAnsiTheme="minorHAnsi" w:cstheme="minorHAnsi"/>
          <w:sz w:val="22"/>
          <w:szCs w:val="22"/>
        </w:rPr>
      </w:pPr>
    </w:p>
    <w:p w14:paraId="6E2C99A4" w14:textId="72801055" w:rsidR="005758B6" w:rsidRPr="00DB0C40" w:rsidRDefault="00BD23D7" w:rsidP="005758B6">
      <w:pPr>
        <w:keepNext/>
        <w:keepLines/>
        <w:spacing w:before="40"/>
        <w:outlineLvl w:val="2"/>
        <w:rPr>
          <w:rFonts w:asciiTheme="majorHAnsi" w:eastAsiaTheme="majorEastAsia" w:hAnsiTheme="majorHAnsi" w:cstheme="majorBidi"/>
          <w:color w:val="1F3763" w:themeColor="accent1" w:themeShade="7F"/>
        </w:rPr>
      </w:pPr>
      <w:bookmarkStart w:id="17" w:name="_Toc92359054"/>
      <w:r w:rsidRPr="00DB0C40">
        <w:rPr>
          <w:rFonts w:asciiTheme="majorHAnsi" w:eastAsiaTheme="majorEastAsia" w:hAnsiTheme="majorHAnsi" w:cstheme="majorBidi"/>
          <w:color w:val="1F3763" w:themeColor="accent1" w:themeShade="7F"/>
        </w:rPr>
        <w:t>3</w:t>
      </w:r>
      <w:r w:rsidR="005758B6" w:rsidRPr="00DB0C40">
        <w:rPr>
          <w:rFonts w:asciiTheme="majorHAnsi" w:eastAsiaTheme="majorEastAsia" w:hAnsiTheme="majorHAnsi" w:cstheme="majorBidi"/>
          <w:color w:val="1F3763" w:themeColor="accent1" w:themeShade="7F"/>
        </w:rPr>
        <w:t>.2.4. UN Secretary-General’s High-Level Panel on Women’s Economic Empowerment</w:t>
      </w:r>
      <w:bookmarkEnd w:id="17"/>
      <w:r w:rsidR="005758B6" w:rsidRPr="00DB0C40">
        <w:rPr>
          <w:rFonts w:asciiTheme="majorHAnsi" w:eastAsiaTheme="majorEastAsia" w:hAnsiTheme="majorHAnsi" w:cstheme="majorBidi"/>
          <w:color w:val="1F3763" w:themeColor="accent1" w:themeShade="7F"/>
        </w:rPr>
        <w:t xml:space="preserve"> </w:t>
      </w:r>
    </w:p>
    <w:p w14:paraId="749BF41F" w14:textId="77777777" w:rsidR="00F23644" w:rsidRDefault="00F23644" w:rsidP="005758B6">
      <w:pPr>
        <w:jc w:val="both"/>
        <w:rPr>
          <w:rFonts w:asciiTheme="minorHAnsi" w:eastAsiaTheme="minorHAnsi" w:hAnsiTheme="minorHAnsi" w:cstheme="minorHAnsi"/>
          <w:sz w:val="22"/>
          <w:szCs w:val="22"/>
        </w:rPr>
      </w:pPr>
    </w:p>
    <w:p w14:paraId="400F0E68" w14:textId="12D0F036" w:rsidR="005758B6" w:rsidRPr="00DB0C40" w:rsidRDefault="005758B6" w:rsidP="005758B6">
      <w:pPr>
        <w:jc w:val="both"/>
        <w:rPr>
          <w:rFonts w:asciiTheme="minorHAnsi" w:eastAsiaTheme="minorHAnsi" w:hAnsiTheme="minorHAnsi" w:cstheme="minorHAnsi"/>
          <w:sz w:val="22"/>
          <w:szCs w:val="22"/>
        </w:rPr>
      </w:pPr>
      <w:r w:rsidRPr="00DB0C40">
        <w:rPr>
          <w:rFonts w:asciiTheme="minorHAnsi" w:eastAsiaTheme="minorHAnsi" w:hAnsiTheme="minorHAnsi" w:cstheme="minorHAnsi"/>
          <w:sz w:val="22"/>
          <w:szCs w:val="22"/>
        </w:rPr>
        <w:t xml:space="preserve">In January 2016, the UN Secretary-General appointed a High-Level Panel on Women’s Economic Empowerment, aimed at galvanising progress on WEE under the broader 2030 Agenda and SDGs. Membership includes the heads of UN Women, World Bank, IMF, ILO and other private sector, academic, civil society leaders, and government leaders, including the Secretary of State for Education and Minister for Women and Equalities, United Kingdom. Following evidence collection and global consultation, the </w:t>
      </w:r>
      <w:r w:rsidRPr="00DB0C40">
        <w:rPr>
          <w:rFonts w:asciiTheme="minorHAnsi" w:eastAsiaTheme="minorHAnsi" w:hAnsiTheme="minorHAnsi" w:cstheme="minorHAnsi"/>
          <w:sz w:val="22"/>
          <w:szCs w:val="22"/>
        </w:rPr>
        <w:lastRenderedPageBreak/>
        <w:t>Panel published its first report in September 2016. The report identifies challenges to achieving WEE and presents an Agenda for Action. The Panel plans to launch a new series of briefings at CSW and be engaged in extensive outreach and advocacy with diverse groups, including governments and governance institutions, private sector, international organisations and until the Panel’s formal mandate ends in mid-2017.</w:t>
      </w:r>
    </w:p>
    <w:p w14:paraId="1CA87FEE" w14:textId="77777777" w:rsidR="005758B6" w:rsidRPr="00DB0C40" w:rsidRDefault="005758B6" w:rsidP="005758B6">
      <w:pPr>
        <w:jc w:val="both"/>
        <w:rPr>
          <w:rFonts w:asciiTheme="minorHAnsi" w:eastAsiaTheme="minorHAnsi" w:hAnsiTheme="minorHAnsi" w:cstheme="minorHAnsi"/>
          <w:sz w:val="22"/>
          <w:szCs w:val="22"/>
        </w:rPr>
      </w:pPr>
    </w:p>
    <w:p w14:paraId="07408044" w14:textId="25A9696A" w:rsidR="005758B6" w:rsidRPr="00DB0C40" w:rsidRDefault="00BD23D7" w:rsidP="005758B6">
      <w:pPr>
        <w:keepNext/>
        <w:keepLines/>
        <w:spacing w:before="40"/>
        <w:outlineLvl w:val="2"/>
        <w:rPr>
          <w:rFonts w:asciiTheme="majorHAnsi" w:eastAsiaTheme="majorEastAsia" w:hAnsiTheme="majorHAnsi" w:cstheme="majorBidi"/>
          <w:color w:val="1F3763" w:themeColor="accent1" w:themeShade="7F"/>
        </w:rPr>
      </w:pPr>
      <w:bookmarkStart w:id="18" w:name="_Toc92359055"/>
      <w:r w:rsidRPr="00DB0C40">
        <w:rPr>
          <w:rFonts w:asciiTheme="majorHAnsi" w:eastAsiaTheme="majorEastAsia" w:hAnsiTheme="majorHAnsi" w:cstheme="majorBidi"/>
          <w:color w:val="1F3763" w:themeColor="accent1" w:themeShade="7F"/>
        </w:rPr>
        <w:t>3</w:t>
      </w:r>
      <w:r w:rsidR="005758B6" w:rsidRPr="00DB0C40">
        <w:rPr>
          <w:rFonts w:asciiTheme="majorHAnsi" w:eastAsiaTheme="majorEastAsia" w:hAnsiTheme="majorHAnsi" w:cstheme="majorBidi"/>
          <w:color w:val="1F3763" w:themeColor="accent1" w:themeShade="7F"/>
        </w:rPr>
        <w:t>.2.5. UN Women’s Empowerment Principles (WEPs)</w:t>
      </w:r>
      <w:bookmarkEnd w:id="18"/>
      <w:r w:rsidR="005758B6" w:rsidRPr="00DB0C40">
        <w:rPr>
          <w:rFonts w:asciiTheme="majorHAnsi" w:eastAsiaTheme="majorEastAsia" w:hAnsiTheme="majorHAnsi" w:cstheme="majorBidi"/>
          <w:color w:val="1F3763" w:themeColor="accent1" w:themeShade="7F"/>
        </w:rPr>
        <w:t xml:space="preserve"> </w:t>
      </w:r>
    </w:p>
    <w:p w14:paraId="4C00F2F6" w14:textId="77777777" w:rsidR="00F23644" w:rsidRDefault="00F23644" w:rsidP="005758B6">
      <w:pPr>
        <w:jc w:val="both"/>
        <w:rPr>
          <w:rFonts w:asciiTheme="minorHAnsi" w:eastAsiaTheme="minorHAnsi" w:hAnsiTheme="minorHAnsi" w:cstheme="minorHAnsi"/>
          <w:sz w:val="22"/>
          <w:szCs w:val="22"/>
        </w:rPr>
      </w:pPr>
    </w:p>
    <w:p w14:paraId="50856A06" w14:textId="1DF1456C" w:rsidR="005758B6" w:rsidRPr="00DB0C40" w:rsidRDefault="005758B6" w:rsidP="005758B6">
      <w:pPr>
        <w:jc w:val="both"/>
        <w:rPr>
          <w:rFonts w:asciiTheme="minorHAnsi" w:eastAsiaTheme="minorHAnsi" w:hAnsiTheme="minorHAnsi" w:cstheme="minorHAnsi"/>
          <w:sz w:val="22"/>
          <w:szCs w:val="22"/>
        </w:rPr>
      </w:pPr>
      <w:r w:rsidRPr="00DB0C40">
        <w:rPr>
          <w:rFonts w:asciiTheme="minorHAnsi" w:eastAsiaTheme="minorHAnsi" w:hAnsiTheme="minorHAnsi" w:cstheme="minorHAnsi"/>
          <w:sz w:val="22"/>
          <w:szCs w:val="22"/>
        </w:rPr>
        <w:t xml:space="preserve">The Women's Empowerment Principles, launched in 2010, are the result of a </w:t>
      </w:r>
      <w:r w:rsidR="00F37BC3" w:rsidRPr="00DB0C40">
        <w:rPr>
          <w:rFonts w:asciiTheme="minorHAnsi" w:eastAsiaTheme="minorHAnsi" w:hAnsiTheme="minorHAnsi" w:cstheme="minorHAnsi"/>
          <w:sz w:val="22"/>
          <w:szCs w:val="22"/>
        </w:rPr>
        <w:t>col</w:t>
      </w:r>
      <w:r w:rsidR="00F37BC3">
        <w:rPr>
          <w:rFonts w:asciiTheme="minorHAnsi" w:eastAsiaTheme="minorHAnsi" w:hAnsiTheme="minorHAnsi" w:cstheme="minorHAnsi"/>
          <w:sz w:val="22"/>
          <w:szCs w:val="22"/>
        </w:rPr>
        <w:t>labora</w:t>
      </w:r>
      <w:r w:rsidR="00F37BC3" w:rsidRPr="00DB0C40">
        <w:rPr>
          <w:rFonts w:asciiTheme="minorHAnsi" w:eastAsiaTheme="minorHAnsi" w:hAnsiTheme="minorHAnsi" w:cstheme="minorHAnsi"/>
          <w:sz w:val="22"/>
          <w:szCs w:val="22"/>
        </w:rPr>
        <w:t>tion</w:t>
      </w:r>
      <w:r w:rsidRPr="00DB0C40">
        <w:rPr>
          <w:rFonts w:asciiTheme="minorHAnsi" w:eastAsiaTheme="minorHAnsi" w:hAnsiTheme="minorHAnsi" w:cstheme="minorHAnsi"/>
          <w:sz w:val="22"/>
          <w:szCs w:val="22"/>
        </w:rPr>
        <w:t xml:space="preserve"> between the United Nations Entity for Gender Equality and the Empowerment of Women (UN Women) and the United Nations Global Compact. These are adapted from the Calvert Women's Principles which provide guidance on how to empower women in the workplace, marketplace, and community by emphasising the business case for the promotion of gender equality by corporate actors. </w:t>
      </w:r>
    </w:p>
    <w:p w14:paraId="2941404C" w14:textId="77777777" w:rsidR="005758B6" w:rsidRPr="00DB0C40" w:rsidRDefault="005758B6" w:rsidP="005758B6">
      <w:pPr>
        <w:jc w:val="both"/>
        <w:rPr>
          <w:rFonts w:asciiTheme="minorHAnsi" w:eastAsiaTheme="minorHAnsi" w:hAnsiTheme="minorHAnsi" w:cstheme="minorHAnsi"/>
          <w:sz w:val="22"/>
          <w:szCs w:val="22"/>
        </w:rPr>
      </w:pPr>
    </w:p>
    <w:p w14:paraId="474C6E76" w14:textId="77777777" w:rsidR="005758B6" w:rsidRPr="00DB0C40" w:rsidRDefault="005758B6" w:rsidP="005758B6">
      <w:pPr>
        <w:jc w:val="both"/>
        <w:rPr>
          <w:rFonts w:asciiTheme="minorHAnsi" w:eastAsiaTheme="minorHAnsi" w:hAnsiTheme="minorHAnsi" w:cstheme="minorHAnsi"/>
          <w:sz w:val="22"/>
          <w:szCs w:val="22"/>
        </w:rPr>
      </w:pPr>
      <w:r w:rsidRPr="00DB0C40">
        <w:rPr>
          <w:rFonts w:asciiTheme="minorHAnsi" w:eastAsiaTheme="minorHAnsi" w:hAnsiTheme="minorHAnsi" w:cstheme="minorHAnsi"/>
          <w:sz w:val="22"/>
          <w:szCs w:val="22"/>
        </w:rPr>
        <w:t xml:space="preserve">The WEPs are: Treat all women and men fairly at work - respect and support human rights and non-discrimination; Ensure the health, safety and well-being of all women and men workers; Promote education, training, and professional development for women; Implement enterprise development, supply chain and marketing practices that empower women; Promote equality through community initiatives and advocacy and Measure and publicly report on progress to achieve gender equality. </w:t>
      </w:r>
    </w:p>
    <w:p w14:paraId="5A369050" w14:textId="77777777" w:rsidR="005758B6" w:rsidRPr="00DB0C40" w:rsidRDefault="005758B6" w:rsidP="005758B6">
      <w:pPr>
        <w:jc w:val="both"/>
        <w:rPr>
          <w:rFonts w:asciiTheme="minorHAnsi" w:eastAsiaTheme="minorHAnsi" w:hAnsiTheme="minorHAnsi" w:cstheme="minorHAnsi"/>
          <w:sz w:val="22"/>
          <w:szCs w:val="22"/>
        </w:rPr>
      </w:pPr>
    </w:p>
    <w:p w14:paraId="7A4B3908" w14:textId="2EB6C1A9" w:rsidR="005758B6" w:rsidRPr="00DB0C40" w:rsidRDefault="00BD23D7" w:rsidP="005758B6">
      <w:pPr>
        <w:keepNext/>
        <w:keepLines/>
        <w:spacing w:before="40"/>
        <w:outlineLvl w:val="2"/>
        <w:rPr>
          <w:rFonts w:asciiTheme="majorHAnsi" w:eastAsiaTheme="majorEastAsia" w:hAnsiTheme="majorHAnsi" w:cstheme="majorBidi"/>
          <w:color w:val="1F3763" w:themeColor="accent1" w:themeShade="7F"/>
        </w:rPr>
      </w:pPr>
      <w:bookmarkStart w:id="19" w:name="_Toc92359056"/>
      <w:r w:rsidRPr="00DB0C40">
        <w:rPr>
          <w:rFonts w:asciiTheme="majorHAnsi" w:eastAsiaTheme="majorEastAsia" w:hAnsiTheme="majorHAnsi" w:cstheme="majorBidi"/>
          <w:color w:val="1F3763" w:themeColor="accent1" w:themeShade="7F"/>
        </w:rPr>
        <w:t>3</w:t>
      </w:r>
      <w:r w:rsidR="005758B6" w:rsidRPr="00DB0C40">
        <w:rPr>
          <w:rFonts w:asciiTheme="majorHAnsi" w:eastAsiaTheme="majorEastAsia" w:hAnsiTheme="majorHAnsi" w:cstheme="majorBidi"/>
          <w:color w:val="1F3763" w:themeColor="accent1" w:themeShade="7F"/>
        </w:rPr>
        <w:t>.2.6. The Equal Pay International Coalition (EPIC)</w:t>
      </w:r>
      <w:bookmarkEnd w:id="19"/>
    </w:p>
    <w:p w14:paraId="4A8B21DE" w14:textId="77777777" w:rsidR="00F23644" w:rsidRDefault="00F23644" w:rsidP="005758B6">
      <w:pPr>
        <w:jc w:val="both"/>
        <w:rPr>
          <w:rFonts w:asciiTheme="minorHAnsi" w:eastAsiaTheme="minorHAnsi" w:hAnsiTheme="minorHAnsi" w:cstheme="minorHAnsi"/>
          <w:sz w:val="22"/>
          <w:szCs w:val="22"/>
        </w:rPr>
      </w:pPr>
    </w:p>
    <w:p w14:paraId="32D7DE4B" w14:textId="5B75A015" w:rsidR="005758B6" w:rsidRPr="00DB0C40" w:rsidRDefault="005758B6" w:rsidP="005758B6">
      <w:pPr>
        <w:jc w:val="both"/>
        <w:rPr>
          <w:rFonts w:asciiTheme="minorHAnsi" w:eastAsiaTheme="minorHAnsi" w:hAnsiTheme="minorHAnsi" w:cstheme="minorHAnsi"/>
          <w:sz w:val="22"/>
          <w:szCs w:val="22"/>
        </w:rPr>
      </w:pPr>
      <w:r w:rsidRPr="00DB0C40">
        <w:rPr>
          <w:rFonts w:asciiTheme="minorHAnsi" w:eastAsiaTheme="minorHAnsi" w:hAnsiTheme="minorHAnsi" w:cstheme="minorHAnsi"/>
          <w:sz w:val="22"/>
          <w:szCs w:val="22"/>
        </w:rPr>
        <w:t>The Equal Pay International Coalition (EPIC) is an initiative driven by stakeholders committed to reducing the gender pay gap and making equal pay for work of equal value a reality across all countries and sectors. Led by the ILO, UN Women and the Organisation for Economic Cooperation and Development (OECD), the Coalition engages with governments, employers, workers and their organi</w:t>
      </w:r>
      <w:r w:rsidR="00110030">
        <w:rPr>
          <w:rFonts w:asciiTheme="minorHAnsi" w:eastAsiaTheme="minorHAnsi" w:hAnsiTheme="minorHAnsi" w:cstheme="minorHAnsi"/>
          <w:sz w:val="22"/>
          <w:szCs w:val="22"/>
        </w:rPr>
        <w:t>s</w:t>
      </w:r>
      <w:r w:rsidRPr="00DB0C40">
        <w:rPr>
          <w:rFonts w:asciiTheme="minorHAnsi" w:eastAsiaTheme="minorHAnsi" w:hAnsiTheme="minorHAnsi" w:cstheme="minorHAnsi"/>
          <w:sz w:val="22"/>
          <w:szCs w:val="22"/>
        </w:rPr>
        <w:t>ations, the private sector, civil society, and academia to accelerate the closing of the gender pay gap and the achievement of pay equity.</w:t>
      </w:r>
    </w:p>
    <w:p w14:paraId="1E77BCCA" w14:textId="77777777" w:rsidR="005758B6" w:rsidRPr="00DB0C40" w:rsidRDefault="005758B6" w:rsidP="005758B6">
      <w:pPr>
        <w:jc w:val="both"/>
        <w:rPr>
          <w:rFonts w:asciiTheme="minorHAnsi" w:eastAsiaTheme="minorHAnsi" w:hAnsiTheme="minorHAnsi" w:cstheme="minorHAnsi"/>
          <w:sz w:val="22"/>
          <w:szCs w:val="22"/>
        </w:rPr>
      </w:pPr>
    </w:p>
    <w:p w14:paraId="7292472E" w14:textId="6392E9F4" w:rsidR="005758B6" w:rsidRPr="00DB0C40" w:rsidRDefault="005758B6">
      <w:pPr>
        <w:pStyle w:val="ListParagraph"/>
        <w:keepNext/>
        <w:keepLines/>
        <w:numPr>
          <w:ilvl w:val="1"/>
          <w:numId w:val="27"/>
        </w:numPr>
        <w:spacing w:before="40"/>
        <w:outlineLvl w:val="1"/>
        <w:rPr>
          <w:rFonts w:asciiTheme="majorHAnsi" w:eastAsiaTheme="majorEastAsia" w:hAnsiTheme="majorHAnsi" w:cstheme="majorBidi"/>
          <w:color w:val="2F5496" w:themeColor="accent1" w:themeShade="BF"/>
          <w:sz w:val="26"/>
          <w:szCs w:val="26"/>
        </w:rPr>
      </w:pPr>
      <w:bookmarkStart w:id="20" w:name="_Toc92359057"/>
      <w:r w:rsidRPr="00DB0C40">
        <w:rPr>
          <w:rFonts w:asciiTheme="majorHAnsi" w:eastAsiaTheme="majorEastAsia" w:hAnsiTheme="majorHAnsi" w:cstheme="majorBidi"/>
          <w:color w:val="2F5496" w:themeColor="accent1" w:themeShade="BF"/>
          <w:sz w:val="26"/>
          <w:szCs w:val="26"/>
        </w:rPr>
        <w:t>G7 and EU policy frameworks</w:t>
      </w:r>
      <w:bookmarkEnd w:id="20"/>
    </w:p>
    <w:p w14:paraId="2EA11698" w14:textId="77777777" w:rsidR="00F23644" w:rsidRDefault="00F23644" w:rsidP="005758B6">
      <w:pPr>
        <w:jc w:val="both"/>
        <w:rPr>
          <w:rFonts w:asciiTheme="minorHAnsi" w:eastAsiaTheme="minorHAnsi" w:hAnsiTheme="minorHAnsi" w:cstheme="minorHAnsi"/>
          <w:sz w:val="22"/>
          <w:szCs w:val="22"/>
        </w:rPr>
      </w:pPr>
    </w:p>
    <w:p w14:paraId="70C19995" w14:textId="569F0C20" w:rsidR="005758B6" w:rsidRPr="00DB0C40" w:rsidRDefault="005758B6" w:rsidP="005758B6">
      <w:pPr>
        <w:jc w:val="both"/>
        <w:rPr>
          <w:rFonts w:asciiTheme="minorHAnsi" w:eastAsiaTheme="minorHAnsi" w:hAnsiTheme="minorHAnsi" w:cstheme="minorHAnsi"/>
          <w:sz w:val="22"/>
          <w:szCs w:val="22"/>
        </w:rPr>
      </w:pPr>
      <w:r w:rsidRPr="00DB0C40">
        <w:rPr>
          <w:rFonts w:asciiTheme="minorHAnsi" w:eastAsiaTheme="minorHAnsi" w:hAnsiTheme="minorHAnsi" w:cstheme="minorHAnsi"/>
          <w:sz w:val="22"/>
          <w:szCs w:val="22"/>
        </w:rPr>
        <w:t>The G7 and the EU have both fostered ongoing dialogue, often tripartite, adopted policy frameworks and issued calls to action to accelerate progress towards gender equality in the world of work.</w:t>
      </w:r>
    </w:p>
    <w:p w14:paraId="4E2DDC4B" w14:textId="77777777" w:rsidR="005758B6" w:rsidRPr="00DB0C40" w:rsidRDefault="005758B6" w:rsidP="005758B6">
      <w:pPr>
        <w:jc w:val="both"/>
        <w:rPr>
          <w:rFonts w:asciiTheme="minorHAnsi" w:eastAsiaTheme="minorHAnsi" w:hAnsiTheme="minorHAnsi" w:cstheme="minorHAnsi"/>
          <w:sz w:val="22"/>
          <w:szCs w:val="22"/>
        </w:rPr>
      </w:pPr>
    </w:p>
    <w:p w14:paraId="50690A21" w14:textId="77777777" w:rsidR="005758B6" w:rsidRPr="00DB0C40" w:rsidRDefault="005758B6">
      <w:pPr>
        <w:keepNext/>
        <w:keepLines/>
        <w:numPr>
          <w:ilvl w:val="2"/>
          <w:numId w:val="27"/>
        </w:numPr>
        <w:spacing w:before="40"/>
        <w:outlineLvl w:val="2"/>
        <w:rPr>
          <w:rFonts w:asciiTheme="majorHAnsi" w:eastAsiaTheme="majorEastAsia" w:hAnsiTheme="majorHAnsi" w:cstheme="majorBidi"/>
          <w:color w:val="1F3763" w:themeColor="accent1" w:themeShade="7F"/>
        </w:rPr>
      </w:pPr>
      <w:bookmarkStart w:id="21" w:name="_Toc92359058"/>
      <w:r w:rsidRPr="00DB0C40">
        <w:rPr>
          <w:rFonts w:asciiTheme="majorHAnsi" w:eastAsiaTheme="majorEastAsia" w:hAnsiTheme="majorHAnsi" w:cstheme="majorBidi"/>
          <w:color w:val="1F3763" w:themeColor="accent1" w:themeShade="7F"/>
        </w:rPr>
        <w:t>G7 recommendations on gender equality at work</w:t>
      </w:r>
      <w:bookmarkEnd w:id="21"/>
    </w:p>
    <w:p w14:paraId="34AD337A" w14:textId="77777777" w:rsidR="00F23644" w:rsidRDefault="00F23644" w:rsidP="005758B6">
      <w:pPr>
        <w:jc w:val="both"/>
        <w:rPr>
          <w:rFonts w:asciiTheme="minorHAnsi" w:eastAsiaTheme="minorHAnsi" w:hAnsiTheme="minorHAnsi" w:cstheme="minorHAnsi"/>
          <w:sz w:val="22"/>
          <w:szCs w:val="22"/>
        </w:rPr>
      </w:pPr>
    </w:p>
    <w:p w14:paraId="68B66881" w14:textId="58ED7FC7" w:rsidR="005758B6" w:rsidRPr="00DB0C40" w:rsidRDefault="005758B6" w:rsidP="005758B6">
      <w:pPr>
        <w:jc w:val="both"/>
        <w:rPr>
          <w:rFonts w:asciiTheme="minorHAnsi" w:eastAsiaTheme="minorHAnsi" w:hAnsiTheme="minorHAnsi" w:cstheme="minorHAnsi"/>
          <w:sz w:val="22"/>
          <w:szCs w:val="22"/>
        </w:rPr>
      </w:pPr>
      <w:r w:rsidRPr="00DB0C40">
        <w:rPr>
          <w:rFonts w:asciiTheme="minorHAnsi" w:eastAsiaTheme="minorHAnsi" w:hAnsiTheme="minorHAnsi" w:cstheme="minorHAnsi"/>
          <w:sz w:val="22"/>
          <w:szCs w:val="22"/>
        </w:rPr>
        <w:t>Combining international standards and goals with social and economic dialogue, the Group of 7 (G7) emphasi</w:t>
      </w:r>
      <w:r w:rsidR="00F23644">
        <w:rPr>
          <w:rFonts w:asciiTheme="minorHAnsi" w:eastAsiaTheme="minorHAnsi" w:hAnsiTheme="minorHAnsi" w:cstheme="minorHAnsi"/>
          <w:sz w:val="22"/>
          <w:szCs w:val="22"/>
        </w:rPr>
        <w:t>s</w:t>
      </w:r>
      <w:r w:rsidRPr="00DB0C40">
        <w:rPr>
          <w:rFonts w:asciiTheme="minorHAnsi" w:eastAsiaTheme="minorHAnsi" w:hAnsiTheme="minorHAnsi" w:cstheme="minorHAnsi"/>
          <w:sz w:val="22"/>
          <w:szCs w:val="22"/>
        </w:rPr>
        <w:t>es the connection between gender equality and increased prosperity. At Taormina in 2017, the G7, along with Women 7 (W7), put forward a series of recommendations for different parties – effectively action plans for full recognition of the beneficial effects of women’s activity in the workplace – drawing attention to the negative effects of unpaid care work, violence, stereotyping and the lack of women’s representation in leadership on gender equality at work.</w:t>
      </w:r>
    </w:p>
    <w:p w14:paraId="38D418DF" w14:textId="77777777" w:rsidR="005758B6" w:rsidRPr="00DB0C40" w:rsidRDefault="005758B6" w:rsidP="005758B6">
      <w:pPr>
        <w:jc w:val="both"/>
        <w:rPr>
          <w:rFonts w:asciiTheme="minorHAnsi" w:eastAsiaTheme="minorHAnsi" w:hAnsiTheme="minorHAnsi" w:cstheme="minorHAnsi"/>
          <w:sz w:val="22"/>
          <w:szCs w:val="22"/>
        </w:rPr>
      </w:pPr>
    </w:p>
    <w:p w14:paraId="3BCAEE17" w14:textId="77777777" w:rsidR="005758B6" w:rsidRPr="00DB0C40" w:rsidRDefault="005758B6" w:rsidP="005758B6">
      <w:pPr>
        <w:jc w:val="both"/>
        <w:rPr>
          <w:rFonts w:asciiTheme="minorHAnsi" w:eastAsiaTheme="minorHAnsi" w:hAnsiTheme="minorHAnsi" w:cstheme="minorHAnsi"/>
          <w:sz w:val="22"/>
          <w:szCs w:val="22"/>
        </w:rPr>
      </w:pPr>
      <w:r w:rsidRPr="00DB0C40">
        <w:rPr>
          <w:rFonts w:asciiTheme="minorHAnsi" w:eastAsiaTheme="minorHAnsi" w:hAnsiTheme="minorHAnsi" w:cstheme="minorHAnsi"/>
          <w:sz w:val="22"/>
          <w:szCs w:val="22"/>
        </w:rPr>
        <w:t xml:space="preserve">The G7 Social Communiqué of June 2019 called for a tripartite approach (engaging governments and employers’ and workers’ organizations) to identifying market barriers that cause gender-based labour segregation; increasing women’s representation on boards, in management and in entrepreneurship; investing in skills development and education in all fields (especially science, technology, engineering and </w:t>
      </w:r>
      <w:r w:rsidRPr="00DB0C40">
        <w:rPr>
          <w:rFonts w:asciiTheme="minorHAnsi" w:eastAsiaTheme="minorHAnsi" w:hAnsiTheme="minorHAnsi" w:cstheme="minorHAnsi"/>
          <w:sz w:val="22"/>
          <w:szCs w:val="22"/>
        </w:rPr>
        <w:lastRenderedPageBreak/>
        <w:t xml:space="preserve">mathematics – STEM); formulating a gender-balanced care system; and closing gender gaps in employment, pay (especially after leave) and workplace participation. </w:t>
      </w:r>
    </w:p>
    <w:p w14:paraId="731CC257" w14:textId="77777777" w:rsidR="005758B6" w:rsidRPr="00DB0C40" w:rsidRDefault="005758B6" w:rsidP="005758B6">
      <w:pPr>
        <w:jc w:val="both"/>
        <w:rPr>
          <w:rFonts w:asciiTheme="minorHAnsi" w:eastAsiaTheme="minorHAnsi" w:hAnsiTheme="minorHAnsi" w:cstheme="minorHAnsi"/>
          <w:sz w:val="22"/>
          <w:szCs w:val="22"/>
        </w:rPr>
      </w:pPr>
      <w:r w:rsidRPr="00DB0C40">
        <w:rPr>
          <w:rFonts w:asciiTheme="minorHAnsi" w:eastAsiaTheme="minorHAnsi" w:hAnsiTheme="minorHAnsi" w:cstheme="minorHAnsi"/>
          <w:sz w:val="22"/>
          <w:szCs w:val="22"/>
        </w:rPr>
        <w:t xml:space="preserve"> </w:t>
      </w:r>
    </w:p>
    <w:p w14:paraId="31588994" w14:textId="77777777" w:rsidR="005758B6" w:rsidRPr="00DB0C40" w:rsidRDefault="005758B6">
      <w:pPr>
        <w:keepNext/>
        <w:keepLines/>
        <w:numPr>
          <w:ilvl w:val="2"/>
          <w:numId w:val="27"/>
        </w:numPr>
        <w:spacing w:before="40"/>
        <w:outlineLvl w:val="2"/>
        <w:rPr>
          <w:rFonts w:asciiTheme="majorHAnsi" w:eastAsiaTheme="majorEastAsia" w:hAnsiTheme="majorHAnsi" w:cstheme="majorBidi"/>
          <w:color w:val="1F3763" w:themeColor="accent1" w:themeShade="7F"/>
        </w:rPr>
      </w:pPr>
      <w:bookmarkStart w:id="22" w:name="_Toc92359059"/>
      <w:r w:rsidRPr="00DB0C40">
        <w:rPr>
          <w:rFonts w:asciiTheme="majorHAnsi" w:eastAsiaTheme="majorEastAsia" w:hAnsiTheme="majorHAnsi" w:cstheme="majorBidi"/>
          <w:color w:val="1F3763" w:themeColor="accent1" w:themeShade="7F"/>
        </w:rPr>
        <w:t>European Union frameworks</w:t>
      </w:r>
      <w:bookmarkEnd w:id="22"/>
    </w:p>
    <w:p w14:paraId="39BD985E" w14:textId="77777777" w:rsidR="00F23644" w:rsidRDefault="00F23644" w:rsidP="005758B6">
      <w:pPr>
        <w:jc w:val="both"/>
        <w:rPr>
          <w:rFonts w:asciiTheme="minorHAnsi" w:eastAsiaTheme="minorHAnsi" w:hAnsiTheme="minorHAnsi" w:cstheme="minorHAnsi"/>
          <w:sz w:val="22"/>
          <w:szCs w:val="22"/>
        </w:rPr>
      </w:pPr>
    </w:p>
    <w:p w14:paraId="2CA2C3EA" w14:textId="2A4BD1D5" w:rsidR="005758B6" w:rsidRPr="00DB0C40" w:rsidRDefault="005758B6" w:rsidP="005758B6">
      <w:pPr>
        <w:jc w:val="both"/>
        <w:rPr>
          <w:rFonts w:asciiTheme="minorHAnsi" w:eastAsiaTheme="minorHAnsi" w:hAnsiTheme="minorHAnsi" w:cstheme="minorHAnsi"/>
          <w:sz w:val="22"/>
          <w:szCs w:val="22"/>
        </w:rPr>
      </w:pPr>
      <w:r w:rsidRPr="00DB0C40">
        <w:rPr>
          <w:rFonts w:asciiTheme="minorHAnsi" w:eastAsiaTheme="minorHAnsi" w:hAnsiTheme="minorHAnsi" w:cstheme="minorHAnsi"/>
          <w:sz w:val="22"/>
          <w:szCs w:val="22"/>
        </w:rPr>
        <w:t xml:space="preserve">Gender equality is one of the core values of EU legal frameworks, embedded in the Treaties, the Charter of Fundamental Rights of the European Union, and the European Pillar of Social Rights. There is extensive EU legislation related to gender equality, particularly in the workplace, touching on issues such as maternity and parental leave; equal opportunities and equal treatment of people in employment and occupation, including equal pay, social security, working conditions and harassment; and equal opportunities for workers in self-employment, including access to maternity leave benefits. </w:t>
      </w:r>
    </w:p>
    <w:p w14:paraId="7B42B6FB" w14:textId="77777777" w:rsidR="005758B6" w:rsidRPr="00DB0C40" w:rsidRDefault="005758B6" w:rsidP="005758B6">
      <w:pPr>
        <w:jc w:val="both"/>
        <w:rPr>
          <w:rFonts w:asciiTheme="minorHAnsi" w:eastAsiaTheme="minorHAnsi" w:hAnsiTheme="minorHAnsi" w:cstheme="minorHAnsi"/>
          <w:sz w:val="22"/>
          <w:szCs w:val="22"/>
        </w:rPr>
      </w:pPr>
    </w:p>
    <w:p w14:paraId="4972A642" w14:textId="3785CFB0" w:rsidR="005758B6" w:rsidRPr="00CD2A61" w:rsidRDefault="00BD23D7" w:rsidP="005758B6">
      <w:pPr>
        <w:keepNext/>
        <w:keepLines/>
        <w:spacing w:before="40"/>
        <w:outlineLvl w:val="3"/>
        <w:rPr>
          <w:rFonts w:asciiTheme="majorHAnsi" w:eastAsiaTheme="majorEastAsia" w:hAnsiTheme="majorHAnsi" w:cstheme="majorBidi"/>
          <w:color w:val="2F5496" w:themeColor="accent1" w:themeShade="BF"/>
        </w:rPr>
      </w:pPr>
      <w:r w:rsidRPr="00CD2A61">
        <w:rPr>
          <w:rFonts w:asciiTheme="majorHAnsi" w:eastAsiaTheme="majorEastAsia" w:hAnsiTheme="majorHAnsi" w:cstheme="majorBidi"/>
          <w:color w:val="2F5496" w:themeColor="accent1" w:themeShade="BF"/>
        </w:rPr>
        <w:t>3</w:t>
      </w:r>
      <w:r w:rsidR="005758B6" w:rsidRPr="00CD2A61">
        <w:rPr>
          <w:rFonts w:asciiTheme="majorHAnsi" w:eastAsiaTheme="majorEastAsia" w:hAnsiTheme="majorHAnsi" w:cstheme="majorBidi"/>
          <w:color w:val="2F5496" w:themeColor="accent1" w:themeShade="BF"/>
        </w:rPr>
        <w:t xml:space="preserve">.3.2.1. Main European legislation </w:t>
      </w:r>
    </w:p>
    <w:p w14:paraId="2B3C1E91" w14:textId="77777777" w:rsidR="00F23644" w:rsidRDefault="00F23644" w:rsidP="005758B6">
      <w:pPr>
        <w:ind w:left="720"/>
        <w:jc w:val="both"/>
        <w:rPr>
          <w:rFonts w:asciiTheme="minorHAnsi" w:eastAsiaTheme="minorHAnsi" w:hAnsiTheme="minorHAnsi" w:cstheme="minorHAnsi"/>
          <w:sz w:val="22"/>
          <w:szCs w:val="22"/>
        </w:rPr>
      </w:pPr>
    </w:p>
    <w:p w14:paraId="4E60FB2E" w14:textId="398B2CA2" w:rsidR="005758B6" w:rsidRPr="00DB0C40" w:rsidRDefault="005758B6" w:rsidP="005758B6">
      <w:pPr>
        <w:ind w:left="720"/>
        <w:jc w:val="both"/>
        <w:rPr>
          <w:rFonts w:asciiTheme="minorHAnsi" w:eastAsiaTheme="minorHAnsi" w:hAnsiTheme="minorHAnsi" w:cstheme="minorHAnsi"/>
          <w:sz w:val="22"/>
          <w:szCs w:val="22"/>
        </w:rPr>
      </w:pPr>
      <w:r w:rsidRPr="00DB0C40">
        <w:rPr>
          <w:rFonts w:asciiTheme="minorHAnsi" w:eastAsiaTheme="minorHAnsi" w:hAnsiTheme="minorHAnsi" w:cstheme="minorHAnsi"/>
          <w:sz w:val="22"/>
          <w:szCs w:val="22"/>
        </w:rPr>
        <w:t xml:space="preserve">EU legislation, mostly adopted by the ordinary legislative procedure, includes: </w:t>
      </w:r>
    </w:p>
    <w:p w14:paraId="7990FF4E" w14:textId="77777777" w:rsidR="005758B6" w:rsidRPr="00DB0C40" w:rsidRDefault="005758B6" w:rsidP="005758B6">
      <w:pPr>
        <w:ind w:left="720"/>
        <w:jc w:val="both"/>
        <w:rPr>
          <w:rFonts w:asciiTheme="minorHAnsi" w:eastAsiaTheme="minorHAnsi" w:hAnsiTheme="minorHAnsi" w:cstheme="minorHAnsi"/>
          <w:sz w:val="22"/>
          <w:szCs w:val="22"/>
        </w:rPr>
      </w:pPr>
      <w:r w:rsidRPr="00DB0C40">
        <w:rPr>
          <w:rFonts w:asciiTheme="minorHAnsi" w:eastAsiaTheme="minorHAnsi" w:hAnsiTheme="minorHAnsi" w:cstheme="minorHAnsi"/>
          <w:sz w:val="22"/>
          <w:szCs w:val="22"/>
        </w:rPr>
        <w:t xml:space="preserve">— Directive 79/7/EEC of 19 December 1978 obliging Member States to progressively implement the principle of equal treatment for people in matters of social security. </w:t>
      </w:r>
    </w:p>
    <w:p w14:paraId="4A9F4D3E" w14:textId="77777777" w:rsidR="005758B6" w:rsidRPr="00DB0C40" w:rsidRDefault="005758B6" w:rsidP="005758B6">
      <w:pPr>
        <w:ind w:left="720"/>
        <w:jc w:val="both"/>
        <w:rPr>
          <w:rFonts w:asciiTheme="minorHAnsi" w:eastAsiaTheme="minorHAnsi" w:hAnsiTheme="minorHAnsi" w:cstheme="minorHAnsi"/>
          <w:sz w:val="22"/>
          <w:szCs w:val="22"/>
        </w:rPr>
      </w:pPr>
      <w:r w:rsidRPr="00DB0C40">
        <w:rPr>
          <w:rFonts w:asciiTheme="minorHAnsi" w:eastAsiaTheme="minorHAnsi" w:hAnsiTheme="minorHAnsi" w:cstheme="minorHAnsi"/>
          <w:sz w:val="22"/>
          <w:szCs w:val="22"/>
        </w:rPr>
        <w:t xml:space="preserve">— Directive 92/85/EEC of 19 October 1992 introducing measures to improve the safety and health at work of pregnant workers and workers who have recently given birth or are breastfeeding. </w:t>
      </w:r>
    </w:p>
    <w:p w14:paraId="5C6331BE" w14:textId="77777777" w:rsidR="005758B6" w:rsidRPr="00DB0C40" w:rsidRDefault="005758B6" w:rsidP="005758B6">
      <w:pPr>
        <w:ind w:left="720"/>
        <w:jc w:val="both"/>
        <w:rPr>
          <w:rFonts w:asciiTheme="minorHAnsi" w:eastAsiaTheme="minorHAnsi" w:hAnsiTheme="minorHAnsi" w:cstheme="minorHAnsi"/>
          <w:sz w:val="22"/>
          <w:szCs w:val="22"/>
        </w:rPr>
      </w:pPr>
      <w:r w:rsidRPr="00DB0C40">
        <w:rPr>
          <w:rFonts w:asciiTheme="minorHAnsi" w:eastAsiaTheme="minorHAnsi" w:hAnsiTheme="minorHAnsi" w:cstheme="minorHAnsi"/>
          <w:sz w:val="22"/>
          <w:szCs w:val="22"/>
        </w:rPr>
        <w:t xml:space="preserve">— Directive 2004/113/EC of 13 December 2004 implementing the principle of equal treatment between women and men in the access to and supply of goods and services. </w:t>
      </w:r>
    </w:p>
    <w:p w14:paraId="64782747" w14:textId="77777777" w:rsidR="005758B6" w:rsidRPr="00DB0C40" w:rsidRDefault="005758B6" w:rsidP="005758B6">
      <w:pPr>
        <w:ind w:left="720"/>
        <w:jc w:val="both"/>
        <w:rPr>
          <w:rFonts w:asciiTheme="minorHAnsi" w:eastAsiaTheme="minorHAnsi" w:hAnsiTheme="minorHAnsi" w:cstheme="minorHAnsi"/>
          <w:sz w:val="22"/>
          <w:szCs w:val="22"/>
        </w:rPr>
      </w:pPr>
      <w:r w:rsidRPr="00DB0C40">
        <w:rPr>
          <w:rFonts w:asciiTheme="minorHAnsi" w:eastAsiaTheme="minorHAnsi" w:hAnsiTheme="minorHAnsi" w:cstheme="minorHAnsi"/>
          <w:sz w:val="22"/>
          <w:szCs w:val="22"/>
        </w:rPr>
        <w:t xml:space="preserve">— Council Directive 2010/18/EU of 8 March 2010 implementing the revised Framework Agreement on parental leave concluded by BUSINESSEUROPE, UEAPME, CEEP and ETUC and repealing Directive 96/34/EC. </w:t>
      </w:r>
    </w:p>
    <w:p w14:paraId="7087C627" w14:textId="77777777" w:rsidR="005758B6" w:rsidRPr="00DB0C40" w:rsidRDefault="005758B6" w:rsidP="005758B6">
      <w:pPr>
        <w:ind w:left="720"/>
        <w:jc w:val="both"/>
        <w:rPr>
          <w:rFonts w:asciiTheme="minorHAnsi" w:eastAsiaTheme="minorHAnsi" w:hAnsiTheme="minorHAnsi" w:cstheme="minorHAnsi"/>
          <w:sz w:val="22"/>
          <w:szCs w:val="22"/>
        </w:rPr>
      </w:pPr>
      <w:r w:rsidRPr="00DB0C40">
        <w:rPr>
          <w:rFonts w:asciiTheme="minorHAnsi" w:eastAsiaTheme="minorHAnsi" w:hAnsiTheme="minorHAnsi" w:cstheme="minorHAnsi"/>
          <w:sz w:val="22"/>
          <w:szCs w:val="22"/>
        </w:rPr>
        <w:t xml:space="preserve">— Directive 2010/41/EC of 7 July 2010 laying down objectives for the application of the principle of equal treatment between men and women engaged in an activity, including agriculture, in a self-employed capacity, and on the protection of self-employed women during pregnancy and motherhood, and repealing Council Directive 86/613/EEC. </w:t>
      </w:r>
    </w:p>
    <w:p w14:paraId="23C9AD92" w14:textId="77777777" w:rsidR="005758B6" w:rsidRPr="00DB0C40" w:rsidRDefault="005758B6" w:rsidP="005758B6">
      <w:pPr>
        <w:ind w:left="720"/>
        <w:jc w:val="both"/>
        <w:rPr>
          <w:rFonts w:asciiTheme="minorHAnsi" w:eastAsiaTheme="minorHAnsi" w:hAnsiTheme="minorHAnsi" w:cstheme="minorHAnsi"/>
          <w:sz w:val="22"/>
          <w:szCs w:val="22"/>
        </w:rPr>
      </w:pPr>
      <w:r w:rsidRPr="00DB0C40">
        <w:rPr>
          <w:rFonts w:asciiTheme="minorHAnsi" w:eastAsiaTheme="minorHAnsi" w:hAnsiTheme="minorHAnsi" w:cstheme="minorHAnsi"/>
          <w:sz w:val="22"/>
          <w:szCs w:val="22"/>
        </w:rPr>
        <w:t xml:space="preserve">— Directive 2011/36/EU of 5 April 2011 on preventing and combating trafficking in human beings and protecting its victims. This directive replaces Council Framework Decision 2002/629/JHA and provides for the approximation of sanctions for trafficking in human beings across Member States and of support measures for victims, and calls upon the Member States to ‘consider taking measures to establish as a criminal offence the use of services which are the objects of exploitation […] with the knowledge that the person is a victim [of trafficking]’ in order to discourage demand; it also establishes the office of the European anti-trafficking coordinator; the Committee on Women’s Rights and Gender Equality (FEMM) will prepare an implementation report on the directive later in 2015; </w:t>
      </w:r>
    </w:p>
    <w:p w14:paraId="0B1486FE" w14:textId="77777777" w:rsidR="005758B6" w:rsidRPr="00DB0C40" w:rsidRDefault="005758B6" w:rsidP="005758B6">
      <w:pPr>
        <w:ind w:left="720"/>
        <w:jc w:val="both"/>
        <w:rPr>
          <w:rFonts w:asciiTheme="minorHAnsi" w:eastAsiaTheme="minorHAnsi" w:hAnsiTheme="minorHAnsi" w:cstheme="minorHAnsi"/>
          <w:sz w:val="22"/>
          <w:szCs w:val="22"/>
        </w:rPr>
      </w:pPr>
      <w:r w:rsidRPr="00DB0C40">
        <w:rPr>
          <w:rFonts w:asciiTheme="minorHAnsi" w:eastAsiaTheme="minorHAnsi" w:hAnsiTheme="minorHAnsi" w:cstheme="minorHAnsi"/>
          <w:sz w:val="22"/>
          <w:szCs w:val="22"/>
        </w:rPr>
        <w:t xml:space="preserve">— Directive 2011/99/EU of 13 December 2011 establishing the European Protection Order with the aim of protecting a person ‘against a criminal act by another person which may endanger his/her life, physical or psychological integrity, dignity, personal liberty or sexual integrity’ and enabling a competent authority in another Member State to continue the protection of the person in the territory of that other Member State; this directive is reinforced by Regulation (EU) No 606/2013 of 12 June 2013 on mutual recognition of protection measures in civil matters, which ensures that civil protection measures are recognised all over the EU; </w:t>
      </w:r>
    </w:p>
    <w:p w14:paraId="2D8B86A8" w14:textId="77777777" w:rsidR="005758B6" w:rsidRPr="00DB0C40" w:rsidRDefault="005758B6" w:rsidP="005758B6">
      <w:pPr>
        <w:ind w:left="720"/>
        <w:jc w:val="both"/>
        <w:rPr>
          <w:rFonts w:asciiTheme="minorHAnsi" w:eastAsiaTheme="minorHAnsi" w:hAnsiTheme="minorHAnsi" w:cstheme="minorHAnsi"/>
          <w:sz w:val="22"/>
          <w:szCs w:val="22"/>
        </w:rPr>
      </w:pPr>
      <w:r w:rsidRPr="00DB0C40">
        <w:rPr>
          <w:rFonts w:asciiTheme="minorHAnsi" w:eastAsiaTheme="minorHAnsi" w:hAnsiTheme="minorHAnsi" w:cstheme="minorHAnsi"/>
          <w:sz w:val="22"/>
          <w:szCs w:val="22"/>
        </w:rPr>
        <w:t xml:space="preserve">— Directive 2012/29/EU of 25 October 2012 establishing minimum standards on the rights, support, and protection of victims of crime, and replacing Council Framework Decision 2001/220/JHA. </w:t>
      </w:r>
    </w:p>
    <w:p w14:paraId="5CB9A057" w14:textId="77777777" w:rsidR="005758B6" w:rsidRPr="00DB0C40" w:rsidRDefault="005758B6" w:rsidP="005758B6">
      <w:pPr>
        <w:ind w:left="720"/>
        <w:jc w:val="both"/>
        <w:rPr>
          <w:rFonts w:asciiTheme="minorHAnsi" w:eastAsiaTheme="minorHAnsi" w:hAnsiTheme="minorHAnsi" w:cstheme="minorHAnsi"/>
          <w:sz w:val="22"/>
          <w:szCs w:val="22"/>
        </w:rPr>
      </w:pPr>
    </w:p>
    <w:p w14:paraId="5849041E" w14:textId="1D83A2D0" w:rsidR="005758B6" w:rsidRPr="00DB0C40" w:rsidRDefault="00BD23D7" w:rsidP="005758B6">
      <w:pPr>
        <w:keepNext/>
        <w:keepLines/>
        <w:spacing w:before="40"/>
        <w:outlineLvl w:val="3"/>
        <w:rPr>
          <w:rFonts w:asciiTheme="majorHAnsi" w:eastAsiaTheme="majorEastAsia" w:hAnsiTheme="majorHAnsi" w:cstheme="majorBidi"/>
          <w:i/>
          <w:iCs/>
          <w:color w:val="2F5496" w:themeColor="accent1" w:themeShade="BF"/>
        </w:rPr>
      </w:pPr>
      <w:r w:rsidRPr="00CD2A61">
        <w:rPr>
          <w:rFonts w:asciiTheme="majorHAnsi" w:eastAsiaTheme="majorEastAsia" w:hAnsiTheme="majorHAnsi" w:cstheme="majorBidi"/>
          <w:color w:val="2F5496" w:themeColor="accent1" w:themeShade="BF"/>
        </w:rPr>
        <w:t>3</w:t>
      </w:r>
      <w:r w:rsidR="005758B6" w:rsidRPr="00CD2A61">
        <w:rPr>
          <w:rFonts w:asciiTheme="majorHAnsi" w:eastAsiaTheme="majorEastAsia" w:hAnsiTheme="majorHAnsi" w:cstheme="majorBidi"/>
          <w:color w:val="2F5496" w:themeColor="accent1" w:themeShade="BF"/>
        </w:rPr>
        <w:t>.3.2.2. Progress in case-law of the European Court of Justice (ECJ</w:t>
      </w:r>
      <w:r w:rsidR="005758B6" w:rsidRPr="00DB0C40">
        <w:rPr>
          <w:rFonts w:asciiTheme="majorHAnsi" w:eastAsiaTheme="majorEastAsia" w:hAnsiTheme="majorHAnsi" w:cstheme="majorBidi"/>
          <w:i/>
          <w:iCs/>
          <w:color w:val="2F5496" w:themeColor="accent1" w:themeShade="BF"/>
        </w:rPr>
        <w:t xml:space="preserve">) </w:t>
      </w:r>
    </w:p>
    <w:p w14:paraId="4B25181D" w14:textId="77777777" w:rsidR="00F23644" w:rsidRDefault="00F23644" w:rsidP="005758B6">
      <w:pPr>
        <w:ind w:left="720"/>
        <w:jc w:val="both"/>
        <w:rPr>
          <w:rFonts w:asciiTheme="minorHAnsi" w:eastAsiaTheme="minorHAnsi" w:hAnsiTheme="minorHAnsi" w:cstheme="minorHAnsi"/>
          <w:sz w:val="22"/>
          <w:szCs w:val="22"/>
        </w:rPr>
      </w:pPr>
    </w:p>
    <w:p w14:paraId="042FDCED" w14:textId="3C6D60BD" w:rsidR="005758B6" w:rsidRPr="00DB0C40" w:rsidRDefault="005758B6" w:rsidP="005758B6">
      <w:pPr>
        <w:ind w:left="720"/>
        <w:jc w:val="both"/>
        <w:rPr>
          <w:rFonts w:asciiTheme="minorHAnsi" w:eastAsiaTheme="minorHAnsi" w:hAnsiTheme="minorHAnsi" w:cstheme="minorHAnsi"/>
          <w:sz w:val="22"/>
          <w:szCs w:val="22"/>
        </w:rPr>
      </w:pPr>
      <w:r w:rsidRPr="00DB0C40">
        <w:rPr>
          <w:rFonts w:asciiTheme="minorHAnsi" w:eastAsiaTheme="minorHAnsi" w:hAnsiTheme="minorHAnsi" w:cstheme="minorHAnsi"/>
          <w:sz w:val="22"/>
          <w:szCs w:val="22"/>
        </w:rPr>
        <w:t xml:space="preserve">The ECJ has played a significant role in promoting equality between men and women. The most notable judgments have been: </w:t>
      </w:r>
    </w:p>
    <w:p w14:paraId="3B3B2466" w14:textId="77777777" w:rsidR="005758B6" w:rsidRPr="00DB0C40" w:rsidRDefault="005758B6" w:rsidP="005758B6">
      <w:pPr>
        <w:ind w:left="720"/>
        <w:jc w:val="both"/>
        <w:rPr>
          <w:rFonts w:asciiTheme="minorHAnsi" w:eastAsiaTheme="minorHAnsi" w:hAnsiTheme="minorHAnsi" w:cstheme="minorHAnsi"/>
          <w:sz w:val="22"/>
          <w:szCs w:val="22"/>
        </w:rPr>
      </w:pPr>
      <w:r w:rsidRPr="00DB0C40">
        <w:rPr>
          <w:rFonts w:asciiTheme="minorHAnsi" w:eastAsiaTheme="minorHAnsi" w:hAnsiTheme="minorHAnsi" w:cstheme="minorHAnsi"/>
          <w:sz w:val="22"/>
          <w:szCs w:val="22"/>
        </w:rPr>
        <w:t>— Defrenne II judgment of 8 April 1976 (Case 43/75): the Court recognised the direct effect of the principle of equal pay for people and ruled that the principle not only applied to the action of public authorities but also extended to all agreements which are intended to regulate paid labour collectively</w:t>
      </w:r>
    </w:p>
    <w:p w14:paraId="66F02EA6" w14:textId="77777777" w:rsidR="005758B6" w:rsidRPr="00DB0C40" w:rsidRDefault="005758B6" w:rsidP="005758B6">
      <w:pPr>
        <w:ind w:left="720"/>
        <w:jc w:val="both"/>
        <w:rPr>
          <w:rFonts w:asciiTheme="minorHAnsi" w:eastAsiaTheme="minorHAnsi" w:hAnsiTheme="minorHAnsi" w:cstheme="minorHAnsi"/>
          <w:sz w:val="22"/>
          <w:szCs w:val="22"/>
        </w:rPr>
      </w:pPr>
      <w:r w:rsidRPr="00DB0C40">
        <w:rPr>
          <w:rFonts w:asciiTheme="minorHAnsi" w:eastAsiaTheme="minorHAnsi" w:hAnsiTheme="minorHAnsi" w:cstheme="minorHAnsi"/>
          <w:sz w:val="22"/>
          <w:szCs w:val="22"/>
        </w:rPr>
        <w:t>— Bilka judgment of 13 May 1986 (Case 170/84): the Court ruled that a measure excluding part-time employees from an occupational pension scheme constituted ‘indirect discrimination’ and was therefore contrary to former Article 119 if it affected a far greater number of women than men, unless it could be shown that the exclusion was based on objectively justified factors unrelated to any discrimination on grounds of sex</w:t>
      </w:r>
    </w:p>
    <w:p w14:paraId="273A8F17" w14:textId="77777777" w:rsidR="005758B6" w:rsidRPr="00DB0C40" w:rsidRDefault="005758B6" w:rsidP="005758B6">
      <w:pPr>
        <w:ind w:left="720"/>
        <w:jc w:val="both"/>
        <w:rPr>
          <w:rFonts w:asciiTheme="minorHAnsi" w:eastAsiaTheme="minorHAnsi" w:hAnsiTheme="minorHAnsi" w:cstheme="minorHAnsi"/>
          <w:sz w:val="22"/>
          <w:szCs w:val="22"/>
        </w:rPr>
      </w:pPr>
      <w:r w:rsidRPr="00DB0C40">
        <w:rPr>
          <w:rFonts w:asciiTheme="minorHAnsi" w:eastAsiaTheme="minorHAnsi" w:hAnsiTheme="minorHAnsi" w:cstheme="minorHAnsi"/>
          <w:sz w:val="22"/>
          <w:szCs w:val="22"/>
        </w:rPr>
        <w:t>— Barber judgment of 17 May 1990 (Case 262/88): the Court decided that all forms of occupational pension constituted pay for the purposes of Article 119 and the principle of equal treatment therefore applied to them. The Court ruled that men should be able to exercise their pension rights or survivor’s pension rights at the same age as their female colleagues</w:t>
      </w:r>
    </w:p>
    <w:p w14:paraId="0C9037B5" w14:textId="77777777" w:rsidR="005758B6" w:rsidRPr="00DB0C40" w:rsidRDefault="005758B6" w:rsidP="005758B6">
      <w:pPr>
        <w:ind w:left="720"/>
        <w:jc w:val="both"/>
        <w:rPr>
          <w:rFonts w:asciiTheme="minorHAnsi" w:eastAsiaTheme="minorHAnsi" w:hAnsiTheme="minorHAnsi" w:cstheme="minorHAnsi"/>
          <w:sz w:val="22"/>
          <w:szCs w:val="22"/>
        </w:rPr>
      </w:pPr>
      <w:r w:rsidRPr="00DB0C40">
        <w:rPr>
          <w:rFonts w:asciiTheme="minorHAnsi" w:eastAsiaTheme="minorHAnsi" w:hAnsiTheme="minorHAnsi" w:cstheme="minorHAnsi"/>
          <w:sz w:val="22"/>
          <w:szCs w:val="22"/>
        </w:rPr>
        <w:t xml:space="preserve">— Marschall judgment of 11 November 1997 (Case C-409/95): the Court declared that a national rule which, in a case where there were fewer women than men in a sector, required that priority be given to the promotion of female candidates (‘positive discrimination’) was not precluded by Community legislation, provided that the advantage was not automatic and that male applicants were guaranteed consideration and not excluded a priori from applying; </w:t>
      </w:r>
    </w:p>
    <w:p w14:paraId="13B5BFC6" w14:textId="77777777" w:rsidR="005758B6" w:rsidRPr="00DB0C40" w:rsidRDefault="005758B6" w:rsidP="005758B6">
      <w:pPr>
        <w:ind w:left="720"/>
        <w:jc w:val="both"/>
        <w:rPr>
          <w:rFonts w:asciiTheme="minorHAnsi" w:eastAsiaTheme="minorHAnsi" w:hAnsiTheme="minorHAnsi" w:cstheme="minorHAnsi"/>
          <w:sz w:val="22"/>
          <w:szCs w:val="22"/>
        </w:rPr>
      </w:pPr>
      <w:r w:rsidRPr="00DB0C40">
        <w:rPr>
          <w:rFonts w:asciiTheme="minorHAnsi" w:eastAsiaTheme="minorHAnsi" w:hAnsiTheme="minorHAnsi" w:cstheme="minorHAnsi"/>
          <w:sz w:val="22"/>
          <w:szCs w:val="22"/>
        </w:rPr>
        <w:t xml:space="preserve">— Test Achats judgment of 1 March 2011 (Case C-236/09): the Court declared the invalidity of Article 5(2) of Directive 2004/113/EC as being contrary to the principle of equal treatment between men and women in the access to and supply of goods and services. Consequently, for people, the same system of actuarial calculation must be applied to determine premiums and benefits for the purposes of insurance. </w:t>
      </w:r>
    </w:p>
    <w:p w14:paraId="3E8AB811" w14:textId="77777777" w:rsidR="005758B6" w:rsidRPr="00DB0C40" w:rsidRDefault="005758B6" w:rsidP="005758B6">
      <w:pPr>
        <w:ind w:left="1080"/>
        <w:jc w:val="both"/>
        <w:rPr>
          <w:rFonts w:asciiTheme="minorHAnsi" w:eastAsiaTheme="minorHAnsi" w:hAnsiTheme="minorHAnsi" w:cstheme="minorHAnsi"/>
          <w:sz w:val="22"/>
          <w:szCs w:val="22"/>
        </w:rPr>
      </w:pPr>
    </w:p>
    <w:p w14:paraId="6AC4334C" w14:textId="3811EF07" w:rsidR="005758B6" w:rsidRPr="00B258C4" w:rsidRDefault="00BD23D7" w:rsidP="005758B6">
      <w:pPr>
        <w:keepNext/>
        <w:keepLines/>
        <w:spacing w:before="40"/>
        <w:outlineLvl w:val="3"/>
        <w:rPr>
          <w:rFonts w:asciiTheme="majorHAnsi" w:eastAsiaTheme="majorEastAsia" w:hAnsiTheme="majorHAnsi" w:cstheme="majorBidi"/>
          <w:color w:val="2F5496" w:themeColor="accent1" w:themeShade="BF"/>
        </w:rPr>
      </w:pPr>
      <w:r w:rsidRPr="00B258C4">
        <w:rPr>
          <w:rFonts w:asciiTheme="majorHAnsi" w:eastAsiaTheme="majorEastAsia" w:hAnsiTheme="majorHAnsi" w:cstheme="majorBidi"/>
          <w:color w:val="2F5496" w:themeColor="accent1" w:themeShade="BF"/>
        </w:rPr>
        <w:t>3</w:t>
      </w:r>
      <w:r w:rsidR="005758B6" w:rsidRPr="00B258C4">
        <w:rPr>
          <w:rFonts w:asciiTheme="majorHAnsi" w:eastAsiaTheme="majorEastAsia" w:hAnsiTheme="majorHAnsi" w:cstheme="majorBidi"/>
          <w:color w:val="2F5496" w:themeColor="accent1" w:themeShade="BF"/>
        </w:rPr>
        <w:t xml:space="preserve">.3.2.3. Latest developments </w:t>
      </w:r>
    </w:p>
    <w:p w14:paraId="4847FA6D" w14:textId="77777777" w:rsidR="00F23644" w:rsidRDefault="00F23644" w:rsidP="005758B6">
      <w:pPr>
        <w:ind w:left="720"/>
        <w:jc w:val="both"/>
        <w:rPr>
          <w:rFonts w:asciiTheme="minorHAnsi" w:eastAsiaTheme="minorHAnsi" w:hAnsiTheme="minorHAnsi" w:cstheme="minorHAnsi"/>
          <w:sz w:val="22"/>
          <w:szCs w:val="22"/>
        </w:rPr>
      </w:pPr>
    </w:p>
    <w:p w14:paraId="03F0E39F" w14:textId="691AE820" w:rsidR="005758B6" w:rsidRPr="00DB0C40" w:rsidRDefault="005758B6" w:rsidP="005758B6">
      <w:pPr>
        <w:ind w:left="720"/>
        <w:jc w:val="both"/>
        <w:rPr>
          <w:rFonts w:asciiTheme="minorHAnsi" w:eastAsiaTheme="minorHAnsi" w:hAnsiTheme="minorHAnsi" w:cstheme="minorHAnsi"/>
          <w:sz w:val="22"/>
          <w:szCs w:val="22"/>
        </w:rPr>
      </w:pPr>
      <w:r w:rsidRPr="00DB0C40">
        <w:rPr>
          <w:rFonts w:asciiTheme="minorHAnsi" w:eastAsiaTheme="minorHAnsi" w:hAnsiTheme="minorHAnsi" w:cstheme="minorHAnsi"/>
          <w:sz w:val="22"/>
          <w:szCs w:val="22"/>
        </w:rPr>
        <w:t xml:space="preserve">Below is an overview of the most recent action taken by the EU in the field of equality between men and women: </w:t>
      </w:r>
    </w:p>
    <w:p w14:paraId="4B590BB9" w14:textId="77777777" w:rsidR="005758B6" w:rsidRPr="00DB0C40" w:rsidRDefault="005758B6">
      <w:pPr>
        <w:numPr>
          <w:ilvl w:val="0"/>
          <w:numId w:val="26"/>
        </w:numPr>
        <w:spacing w:after="200"/>
        <w:ind w:left="1800"/>
        <w:contextualSpacing/>
        <w:jc w:val="both"/>
        <w:rPr>
          <w:rFonts w:asciiTheme="minorHAnsi" w:hAnsiTheme="minorHAnsi" w:cstheme="minorHAnsi"/>
          <w:sz w:val="22"/>
          <w:szCs w:val="22"/>
        </w:rPr>
      </w:pPr>
      <w:r w:rsidRPr="00DB0C40">
        <w:rPr>
          <w:rFonts w:asciiTheme="minorHAnsi" w:hAnsiTheme="minorHAnsi" w:cstheme="minorHAnsi"/>
          <w:sz w:val="22"/>
          <w:szCs w:val="22"/>
        </w:rPr>
        <w:t xml:space="preserve">The multiannual financial framework (MFF 2014-2020) and the Rights, Equality and Citizenship programme. The programme Rights, Equality and Citizenship finances projects aimed at achieving gender equality and ending violence against women (Article 4). </w:t>
      </w:r>
    </w:p>
    <w:p w14:paraId="3223A48E" w14:textId="77777777" w:rsidR="005758B6" w:rsidRPr="00DB0C40" w:rsidRDefault="005758B6">
      <w:pPr>
        <w:numPr>
          <w:ilvl w:val="0"/>
          <w:numId w:val="26"/>
        </w:numPr>
        <w:spacing w:after="200"/>
        <w:ind w:left="1800"/>
        <w:contextualSpacing/>
        <w:jc w:val="both"/>
        <w:rPr>
          <w:rFonts w:asciiTheme="minorHAnsi" w:hAnsiTheme="minorHAnsi" w:cstheme="minorHAnsi"/>
          <w:sz w:val="22"/>
          <w:szCs w:val="22"/>
        </w:rPr>
      </w:pPr>
      <w:r w:rsidRPr="00DB0C40">
        <w:rPr>
          <w:rFonts w:asciiTheme="minorHAnsi" w:hAnsiTheme="minorHAnsi" w:cstheme="minorHAnsi"/>
          <w:sz w:val="22"/>
          <w:szCs w:val="22"/>
        </w:rPr>
        <w:t xml:space="preserve">The European Institute for Gender Equality (EIGE) In December 2006, the European Parliament and the Council established a European Institute for Gender Equality, based in Vilnius, Lithuania, with the overall objective of contributing to and boosting the promotion of gender equality, including gender mainstreaming in all EU and national policies. It also combats discrimination based on sex and raises awareness on gender equality by providing technical assistance to the European institutions through collecting, analysing, and disseminating data and methodological tools. </w:t>
      </w:r>
    </w:p>
    <w:p w14:paraId="1C6CA817" w14:textId="77777777" w:rsidR="005758B6" w:rsidRPr="00DB0C40" w:rsidRDefault="005758B6">
      <w:pPr>
        <w:numPr>
          <w:ilvl w:val="0"/>
          <w:numId w:val="26"/>
        </w:numPr>
        <w:spacing w:after="200"/>
        <w:ind w:left="1800"/>
        <w:contextualSpacing/>
        <w:jc w:val="both"/>
        <w:rPr>
          <w:rFonts w:asciiTheme="minorHAnsi" w:hAnsiTheme="minorHAnsi" w:cstheme="minorHAnsi"/>
          <w:sz w:val="22"/>
          <w:szCs w:val="22"/>
        </w:rPr>
      </w:pPr>
      <w:r w:rsidRPr="00DB0C40">
        <w:rPr>
          <w:rFonts w:asciiTheme="minorHAnsi" w:hAnsiTheme="minorHAnsi" w:cstheme="minorHAnsi"/>
          <w:sz w:val="22"/>
          <w:szCs w:val="22"/>
        </w:rPr>
        <w:t xml:space="preserve">The Women’s Charter and the Strategic engagement for gender equality 2016-2019. On 5 March 2010, the Commission adopted the Women’s Charter with a view to </w:t>
      </w:r>
      <w:r w:rsidRPr="00DB0C40">
        <w:rPr>
          <w:rFonts w:asciiTheme="minorHAnsi" w:hAnsiTheme="minorHAnsi" w:cstheme="minorHAnsi"/>
          <w:sz w:val="22"/>
          <w:szCs w:val="22"/>
        </w:rPr>
        <w:lastRenderedPageBreak/>
        <w:t xml:space="preserve">improving the promotion of equality between women and men in Europe and throughout the world. </w:t>
      </w:r>
    </w:p>
    <w:p w14:paraId="0F793F4B" w14:textId="77777777" w:rsidR="005758B6" w:rsidRPr="00DB0C40" w:rsidRDefault="005758B6">
      <w:pPr>
        <w:numPr>
          <w:ilvl w:val="0"/>
          <w:numId w:val="26"/>
        </w:numPr>
        <w:spacing w:after="200"/>
        <w:ind w:left="1800"/>
        <w:contextualSpacing/>
        <w:jc w:val="both"/>
        <w:rPr>
          <w:rFonts w:asciiTheme="minorHAnsi" w:hAnsiTheme="minorHAnsi" w:cstheme="minorHAnsi"/>
          <w:sz w:val="22"/>
          <w:szCs w:val="22"/>
        </w:rPr>
      </w:pPr>
      <w:r w:rsidRPr="00DB0C40">
        <w:rPr>
          <w:rFonts w:asciiTheme="minorHAnsi" w:hAnsiTheme="minorHAnsi" w:cstheme="minorHAnsi"/>
          <w:sz w:val="22"/>
          <w:szCs w:val="22"/>
        </w:rPr>
        <w:t xml:space="preserve">Based on the Commission and the European External Action Service (EEAS) Joint Staff Working Document on ‘Gender Equality and Women’s Empowerment: Transforming the Lives of Girls and Women through EU External Relations 2016-2020’ [8]. The new Gender Action Plan stresses ‘the need for the full realisation of women’s and girls’ full and equal enjoyment of all human rights and fundamental freedoms and the achievement of gender equality and the empowerment of women and girls. </w:t>
      </w:r>
    </w:p>
    <w:p w14:paraId="397DD7EB" w14:textId="77777777" w:rsidR="005758B6" w:rsidRPr="00DB0C40" w:rsidRDefault="005758B6">
      <w:pPr>
        <w:numPr>
          <w:ilvl w:val="0"/>
          <w:numId w:val="26"/>
        </w:numPr>
        <w:spacing w:after="200"/>
        <w:ind w:left="1800"/>
        <w:contextualSpacing/>
        <w:jc w:val="both"/>
        <w:rPr>
          <w:rFonts w:asciiTheme="minorHAnsi" w:hAnsiTheme="minorHAnsi" w:cstheme="minorHAnsi"/>
          <w:sz w:val="22"/>
          <w:szCs w:val="22"/>
        </w:rPr>
      </w:pPr>
      <w:r w:rsidRPr="00DB0C40">
        <w:rPr>
          <w:rFonts w:asciiTheme="minorHAnsi" w:hAnsiTheme="minorHAnsi" w:cstheme="minorHAnsi"/>
          <w:sz w:val="22"/>
          <w:szCs w:val="22"/>
        </w:rPr>
        <w:t>In the area of equal treatment on the labour market, Parliament acts on the basis of the ordinary legislative procedure (co-decision), for example in June 2019, the European Parliament adopted a Directive on work–life balance for parents and carers, which sets out the conditions for paternity, parental and carers’ leave, and extends current provisions on flexible working arrangements to workers with young children and other carers.</w:t>
      </w:r>
    </w:p>
    <w:p w14:paraId="2BD12AA3" w14:textId="77777777" w:rsidR="005758B6" w:rsidRPr="00DB0C40" w:rsidRDefault="005758B6">
      <w:pPr>
        <w:numPr>
          <w:ilvl w:val="0"/>
          <w:numId w:val="26"/>
        </w:numPr>
        <w:spacing w:after="200"/>
        <w:ind w:left="1800"/>
        <w:contextualSpacing/>
        <w:jc w:val="both"/>
        <w:rPr>
          <w:rFonts w:asciiTheme="minorHAnsi" w:hAnsiTheme="minorHAnsi" w:cstheme="minorHAnsi"/>
          <w:sz w:val="22"/>
          <w:szCs w:val="22"/>
        </w:rPr>
      </w:pPr>
      <w:r w:rsidRPr="00DB0C40">
        <w:rPr>
          <w:rFonts w:asciiTheme="minorHAnsi" w:hAnsiTheme="minorHAnsi" w:cstheme="minorHAnsi"/>
          <w:sz w:val="22"/>
          <w:szCs w:val="22"/>
        </w:rPr>
        <w:t xml:space="preserve">The European Commission (EC) has made bold commitments and ambitious plans to promote equality between women and men, as well as mainstreaming the gender perspective throughout all policy spheres. Its Gender Equality Strategy 2020-25 focuses on ending gender-based violence; challenging gender stereotypes; closing gender gaps in the labour market; achieving equal participation across different sectors of the economy; addressing the gender pay and pension gaps; closing the gender care gap; and achieving gender balance in decision-making and politics. As one of the first deliverables of the Strategy, the EC has prioritized mandatory pay transparency measures. </w:t>
      </w:r>
    </w:p>
    <w:p w14:paraId="125D8802" w14:textId="77777777" w:rsidR="005758B6" w:rsidRPr="00DB0C40" w:rsidRDefault="005758B6">
      <w:pPr>
        <w:numPr>
          <w:ilvl w:val="0"/>
          <w:numId w:val="26"/>
        </w:numPr>
        <w:spacing w:after="200"/>
        <w:ind w:left="1800"/>
        <w:contextualSpacing/>
        <w:jc w:val="both"/>
        <w:rPr>
          <w:rFonts w:asciiTheme="minorHAnsi" w:hAnsiTheme="minorHAnsi" w:cstheme="minorHAnsi"/>
          <w:sz w:val="22"/>
          <w:szCs w:val="22"/>
        </w:rPr>
      </w:pPr>
      <w:r w:rsidRPr="00DB0C40">
        <w:rPr>
          <w:rFonts w:asciiTheme="minorHAnsi" w:hAnsiTheme="minorHAnsi" w:cstheme="minorHAnsi"/>
          <w:sz w:val="22"/>
          <w:szCs w:val="22"/>
        </w:rPr>
        <w:t>In November 2020, the European Commission and the High Representative of the Union for Foreign Affairs and Security Policy put forward the EU’s new Action Plan on Gender Equality and Women’s Empowerment in External Action 2021–2025 (GAP III). The plan aims to promote gender equality and women’s empowerment through all external action of the EU. The Gender Action Plan III provides the EU with a policy framework with five pillars of action for accelerating progress towards meeting international commitments and creating a world in which everyone has space to thrive. It makes the promotion of gender equality a priority of all external policies and actions; offers a roadmap for working together with stakeholders at national, regional, and multilateral levels; steps up action in strategic thematic areas; calls for EU institutions to lead by example; and ensures the transparency of the results.</w:t>
      </w:r>
    </w:p>
    <w:p w14:paraId="29377192" w14:textId="77777777" w:rsidR="005758B6" w:rsidRPr="00DB0C40" w:rsidRDefault="005758B6" w:rsidP="005758B6">
      <w:pPr>
        <w:ind w:left="360"/>
        <w:jc w:val="both"/>
        <w:rPr>
          <w:rFonts w:asciiTheme="minorHAnsi" w:eastAsiaTheme="minorHAnsi" w:hAnsiTheme="minorHAnsi" w:cstheme="minorHAnsi"/>
          <w:sz w:val="22"/>
          <w:szCs w:val="22"/>
        </w:rPr>
      </w:pPr>
      <w:r w:rsidRPr="00DB0C40">
        <w:rPr>
          <w:rFonts w:asciiTheme="minorHAnsi" w:eastAsiaTheme="minorHAnsi" w:hAnsiTheme="minorHAnsi" w:cstheme="minorHAnsi"/>
          <w:sz w:val="22"/>
          <w:szCs w:val="22"/>
        </w:rPr>
        <w:t xml:space="preserve"> </w:t>
      </w:r>
    </w:p>
    <w:p w14:paraId="4F0CB465" w14:textId="217A738C" w:rsidR="005758B6" w:rsidRPr="00DB0C40" w:rsidRDefault="005758B6">
      <w:pPr>
        <w:pStyle w:val="ListParagraph"/>
        <w:keepNext/>
        <w:keepLines/>
        <w:numPr>
          <w:ilvl w:val="1"/>
          <w:numId w:val="27"/>
        </w:numPr>
        <w:spacing w:before="240" w:after="120"/>
        <w:outlineLvl w:val="0"/>
        <w:rPr>
          <w:rFonts w:asciiTheme="majorHAnsi" w:eastAsiaTheme="majorEastAsia" w:hAnsiTheme="majorHAnsi" w:cstheme="majorBidi"/>
          <w:color w:val="2F5496" w:themeColor="accent1" w:themeShade="BF"/>
          <w:sz w:val="32"/>
          <w:szCs w:val="32"/>
        </w:rPr>
      </w:pPr>
      <w:bookmarkStart w:id="23" w:name="_Toc92359060"/>
      <w:r w:rsidRPr="00DB0C40">
        <w:rPr>
          <w:rFonts w:asciiTheme="majorHAnsi" w:eastAsiaTheme="majorEastAsia" w:hAnsiTheme="majorHAnsi" w:cstheme="majorBidi"/>
          <w:color w:val="2F5496" w:themeColor="accent1" w:themeShade="BF"/>
          <w:sz w:val="32"/>
          <w:szCs w:val="32"/>
        </w:rPr>
        <w:t>MAIN ACTIONS FOR GENDER EQUALITY IN THE WORLD OF WORK</w:t>
      </w:r>
      <w:r w:rsidRPr="00DB0C40">
        <w:rPr>
          <w:rFonts w:asciiTheme="minorHAnsi" w:hAnsiTheme="minorHAnsi" w:cstheme="minorHAnsi"/>
          <w:b/>
          <w:bCs/>
          <w:position w:val="6"/>
          <w:sz w:val="22"/>
        </w:rPr>
        <w:footnoteReference w:id="4"/>
      </w:r>
      <w:bookmarkEnd w:id="23"/>
    </w:p>
    <w:p w14:paraId="35717609" w14:textId="77777777" w:rsidR="005758B6" w:rsidRPr="00DB0C40" w:rsidRDefault="005758B6" w:rsidP="005758B6">
      <w:pPr>
        <w:rPr>
          <w:rFonts w:asciiTheme="minorHAnsi" w:hAnsiTheme="minorHAnsi" w:cstheme="minorHAnsi"/>
          <w:sz w:val="22"/>
          <w:szCs w:val="22"/>
        </w:rPr>
      </w:pPr>
      <w:r w:rsidRPr="00DB0C40">
        <w:rPr>
          <w:rFonts w:asciiTheme="minorHAnsi" w:hAnsiTheme="minorHAnsi" w:cstheme="minorHAnsi"/>
          <w:sz w:val="22"/>
          <w:szCs w:val="22"/>
        </w:rPr>
        <w:t xml:space="preserve">International instruments and frameworks, together with national laws, are crucial to the realisation of gender equality at work and women’s economic empowerment. </w:t>
      </w:r>
    </w:p>
    <w:p w14:paraId="5CCA0DF6" w14:textId="77777777" w:rsidR="005758B6" w:rsidRPr="00DB0C40" w:rsidRDefault="005758B6" w:rsidP="005758B6">
      <w:pPr>
        <w:rPr>
          <w:rFonts w:asciiTheme="minorHAnsi" w:hAnsiTheme="minorHAnsi" w:cstheme="minorHAnsi"/>
          <w:sz w:val="22"/>
          <w:szCs w:val="22"/>
        </w:rPr>
      </w:pPr>
    </w:p>
    <w:p w14:paraId="4E867646" w14:textId="7DB7593B" w:rsidR="005758B6" w:rsidRPr="00DB0C40" w:rsidRDefault="00E6222D" w:rsidP="005758B6">
      <w:pPr>
        <w:keepNext/>
        <w:keepLines/>
        <w:spacing w:before="40"/>
        <w:outlineLvl w:val="1"/>
        <w:rPr>
          <w:rFonts w:asciiTheme="majorHAnsi" w:eastAsiaTheme="majorEastAsia" w:hAnsiTheme="majorHAnsi" w:cstheme="majorBidi"/>
          <w:color w:val="2F5496" w:themeColor="accent1" w:themeShade="BF"/>
          <w:sz w:val="26"/>
          <w:szCs w:val="26"/>
        </w:rPr>
      </w:pPr>
      <w:bookmarkStart w:id="24" w:name="_Toc92359061"/>
      <w:r w:rsidRPr="00DB0C40">
        <w:rPr>
          <w:rFonts w:asciiTheme="majorHAnsi" w:eastAsiaTheme="majorEastAsia" w:hAnsiTheme="majorHAnsi" w:cstheme="majorBidi"/>
          <w:color w:val="2F5496" w:themeColor="accent1" w:themeShade="BF"/>
          <w:sz w:val="26"/>
          <w:szCs w:val="26"/>
        </w:rPr>
        <w:t>3.</w:t>
      </w:r>
      <w:r w:rsidR="00BD23D7" w:rsidRPr="00DB0C40">
        <w:rPr>
          <w:rFonts w:asciiTheme="majorHAnsi" w:eastAsiaTheme="majorEastAsia" w:hAnsiTheme="majorHAnsi" w:cstheme="majorBidi"/>
          <w:color w:val="2F5496" w:themeColor="accent1" w:themeShade="BF"/>
          <w:sz w:val="26"/>
          <w:szCs w:val="26"/>
        </w:rPr>
        <w:t>4</w:t>
      </w:r>
      <w:r w:rsidR="005758B6" w:rsidRPr="00DB0C40">
        <w:rPr>
          <w:rFonts w:asciiTheme="majorHAnsi" w:eastAsiaTheme="majorEastAsia" w:hAnsiTheme="majorHAnsi" w:cstheme="majorBidi"/>
          <w:color w:val="2F5496" w:themeColor="accent1" w:themeShade="BF"/>
          <w:sz w:val="26"/>
          <w:szCs w:val="26"/>
        </w:rPr>
        <w:t>.1. Achieving equal pay for work of equal value</w:t>
      </w:r>
      <w:bookmarkEnd w:id="24"/>
    </w:p>
    <w:p w14:paraId="1A7081D4" w14:textId="77777777" w:rsidR="00AE67F2" w:rsidRDefault="00AE67F2" w:rsidP="005758B6">
      <w:pPr>
        <w:jc w:val="both"/>
        <w:rPr>
          <w:rFonts w:asciiTheme="minorHAnsi" w:hAnsiTheme="minorHAnsi" w:cstheme="minorHAnsi"/>
          <w:sz w:val="22"/>
          <w:szCs w:val="22"/>
        </w:rPr>
      </w:pPr>
    </w:p>
    <w:p w14:paraId="17744874" w14:textId="01A7B8FD" w:rsidR="005758B6" w:rsidRPr="00DB0C40" w:rsidRDefault="005758B6" w:rsidP="005758B6">
      <w:pPr>
        <w:jc w:val="both"/>
        <w:rPr>
          <w:rFonts w:asciiTheme="minorHAnsi" w:hAnsiTheme="minorHAnsi" w:cstheme="minorHAnsi"/>
          <w:sz w:val="22"/>
          <w:szCs w:val="22"/>
        </w:rPr>
      </w:pPr>
      <w:r w:rsidRPr="00DB0C40">
        <w:rPr>
          <w:rFonts w:asciiTheme="minorHAnsi" w:hAnsiTheme="minorHAnsi" w:cstheme="minorHAnsi"/>
          <w:sz w:val="22"/>
          <w:szCs w:val="22"/>
        </w:rPr>
        <w:t xml:space="preserve">Achieving gender equality and the economic empowerment of women at work will not be possible without ensuring that the work done by people is valued equally. </w:t>
      </w:r>
    </w:p>
    <w:p w14:paraId="630C48A1" w14:textId="77777777" w:rsidR="005758B6" w:rsidRPr="00DB0C40" w:rsidRDefault="005758B6" w:rsidP="005758B6">
      <w:pPr>
        <w:jc w:val="both"/>
        <w:rPr>
          <w:rFonts w:asciiTheme="minorHAnsi" w:hAnsiTheme="minorHAnsi" w:cstheme="minorHAnsi"/>
          <w:sz w:val="22"/>
          <w:szCs w:val="22"/>
        </w:rPr>
      </w:pPr>
    </w:p>
    <w:p w14:paraId="49751351" w14:textId="16050FDC" w:rsidR="005758B6" w:rsidRPr="00DB0C40" w:rsidRDefault="005758B6" w:rsidP="00F23644">
      <w:pPr>
        <w:jc w:val="both"/>
        <w:rPr>
          <w:rFonts w:asciiTheme="minorHAnsi" w:hAnsiTheme="minorHAnsi" w:cstheme="minorHAnsi"/>
          <w:sz w:val="22"/>
          <w:szCs w:val="22"/>
        </w:rPr>
      </w:pPr>
      <w:r w:rsidRPr="00DB0C40">
        <w:rPr>
          <w:rFonts w:asciiTheme="minorHAnsi" w:hAnsiTheme="minorHAnsi" w:cstheme="minorHAnsi"/>
          <w:sz w:val="22"/>
          <w:szCs w:val="22"/>
        </w:rPr>
        <w:t>The overall gender gap performance</w:t>
      </w:r>
      <w:r w:rsidRPr="00DB0C40">
        <w:rPr>
          <w:rFonts w:asciiTheme="minorHAnsi" w:hAnsiTheme="minorHAnsi" w:cstheme="minorHAnsi"/>
          <w:position w:val="6"/>
          <w:sz w:val="22"/>
          <w:szCs w:val="22"/>
        </w:rPr>
        <w:footnoteReference w:id="5"/>
      </w:r>
      <w:r w:rsidRPr="00DB0C40">
        <w:rPr>
          <w:rFonts w:asciiTheme="minorHAnsi" w:hAnsiTheme="minorHAnsi" w:cstheme="minorHAnsi"/>
          <w:sz w:val="22"/>
          <w:szCs w:val="22"/>
        </w:rPr>
        <w:t xml:space="preserve"> is a synthesis of performances across the four dimensions composing the index—the Economic Participation, Educational Attainment, Health and Survival and Political Empowerment sub</w:t>
      </w:r>
      <w:r w:rsidR="00F23644">
        <w:rPr>
          <w:rFonts w:asciiTheme="minorHAnsi" w:hAnsiTheme="minorHAnsi" w:cstheme="minorHAnsi"/>
          <w:sz w:val="22"/>
          <w:szCs w:val="22"/>
        </w:rPr>
        <w:t>-</w:t>
      </w:r>
      <w:r w:rsidRPr="00DB0C40">
        <w:rPr>
          <w:rFonts w:asciiTheme="minorHAnsi" w:hAnsiTheme="minorHAnsi" w:cstheme="minorHAnsi"/>
          <w:sz w:val="22"/>
          <w:szCs w:val="22"/>
        </w:rPr>
        <w:t xml:space="preserve">indexes. As such it masks significant differences in gender gaps across dimensions. Overall, this year’s positive result has been driven by a progress on the </w:t>
      </w:r>
      <w:r w:rsidRPr="00DB0C40">
        <w:rPr>
          <w:rFonts w:asciiTheme="minorHAnsi" w:hAnsiTheme="minorHAnsi" w:cstheme="minorHAnsi"/>
          <w:i/>
          <w:iCs/>
          <w:sz w:val="22"/>
          <w:szCs w:val="22"/>
        </w:rPr>
        <w:t>Political Empowerment</w:t>
      </w:r>
      <w:r w:rsidRPr="00DB0C40">
        <w:rPr>
          <w:rFonts w:asciiTheme="minorHAnsi" w:hAnsiTheme="minorHAnsi" w:cstheme="minorHAnsi"/>
          <w:sz w:val="22"/>
          <w:szCs w:val="22"/>
        </w:rPr>
        <w:t xml:space="preserve"> sub</w:t>
      </w:r>
      <w:r w:rsidR="00F23644">
        <w:rPr>
          <w:rFonts w:asciiTheme="minorHAnsi" w:hAnsiTheme="minorHAnsi" w:cstheme="minorHAnsi"/>
          <w:sz w:val="22"/>
          <w:szCs w:val="22"/>
        </w:rPr>
        <w:t>-</w:t>
      </w:r>
      <w:r w:rsidRPr="00DB0C40">
        <w:rPr>
          <w:rFonts w:asciiTheme="minorHAnsi" w:hAnsiTheme="minorHAnsi" w:cstheme="minorHAnsi"/>
          <w:sz w:val="22"/>
          <w:szCs w:val="22"/>
        </w:rPr>
        <w:t>index, as well as by marginal improvements on the Health and Survival and Educational Attainment sub</w:t>
      </w:r>
      <w:r w:rsidR="00F23644">
        <w:rPr>
          <w:rFonts w:asciiTheme="minorHAnsi" w:hAnsiTheme="minorHAnsi" w:cstheme="minorHAnsi"/>
          <w:sz w:val="22"/>
          <w:szCs w:val="22"/>
        </w:rPr>
        <w:t>-</w:t>
      </w:r>
      <w:r w:rsidRPr="00DB0C40">
        <w:rPr>
          <w:rFonts w:asciiTheme="minorHAnsi" w:hAnsiTheme="minorHAnsi" w:cstheme="minorHAnsi"/>
          <w:sz w:val="22"/>
          <w:szCs w:val="22"/>
        </w:rPr>
        <w:t>inde</w:t>
      </w:r>
      <w:r w:rsidR="00F23644">
        <w:rPr>
          <w:rFonts w:asciiTheme="minorHAnsi" w:hAnsiTheme="minorHAnsi" w:cstheme="minorHAnsi"/>
          <w:sz w:val="22"/>
          <w:szCs w:val="22"/>
        </w:rPr>
        <w:t>x</w:t>
      </w:r>
      <w:r w:rsidRPr="00DB0C40">
        <w:rPr>
          <w:rFonts w:asciiTheme="minorHAnsi" w:hAnsiTheme="minorHAnsi" w:cstheme="minorHAnsi"/>
          <w:sz w:val="22"/>
          <w:szCs w:val="22"/>
        </w:rPr>
        <w:t xml:space="preserve">es. Conversely, </w:t>
      </w:r>
      <w:r w:rsidRPr="00DB0C40">
        <w:rPr>
          <w:rFonts w:asciiTheme="minorHAnsi" w:hAnsiTheme="minorHAnsi" w:cstheme="minorHAnsi"/>
          <w:i/>
          <w:iCs/>
          <w:sz w:val="22"/>
          <w:szCs w:val="22"/>
        </w:rPr>
        <w:t>the progress towards gender parity in terms of Economic Participation and Opportunity registers a retraction</w:t>
      </w:r>
      <w:r w:rsidRPr="00DB0C40">
        <w:rPr>
          <w:rFonts w:asciiTheme="minorHAnsi" w:hAnsiTheme="minorHAnsi" w:cstheme="minorHAnsi"/>
          <w:sz w:val="22"/>
          <w:szCs w:val="22"/>
        </w:rPr>
        <w:t>. As shown in Figure 1, global gender gaps vary significantly across these four dimensions. In two sub</w:t>
      </w:r>
      <w:r w:rsidR="00F23644">
        <w:rPr>
          <w:rFonts w:asciiTheme="minorHAnsi" w:hAnsiTheme="minorHAnsi" w:cstheme="minorHAnsi"/>
          <w:sz w:val="22"/>
          <w:szCs w:val="22"/>
        </w:rPr>
        <w:t>-</w:t>
      </w:r>
      <w:r w:rsidRPr="00DB0C40">
        <w:rPr>
          <w:rFonts w:asciiTheme="minorHAnsi" w:hAnsiTheme="minorHAnsi" w:cstheme="minorHAnsi"/>
          <w:sz w:val="22"/>
          <w:szCs w:val="22"/>
        </w:rPr>
        <w:t>inde</w:t>
      </w:r>
      <w:r w:rsidR="00F23644">
        <w:rPr>
          <w:rFonts w:asciiTheme="minorHAnsi" w:hAnsiTheme="minorHAnsi" w:cstheme="minorHAnsi"/>
          <w:sz w:val="22"/>
          <w:szCs w:val="22"/>
        </w:rPr>
        <w:t>x</w:t>
      </w:r>
      <w:r w:rsidRPr="00DB0C40">
        <w:rPr>
          <w:rFonts w:asciiTheme="minorHAnsi" w:hAnsiTheme="minorHAnsi" w:cstheme="minorHAnsi"/>
          <w:sz w:val="22"/>
          <w:szCs w:val="22"/>
        </w:rPr>
        <w:t xml:space="preserve">es—Educational Attainment and Health and Survival—96.1% and 95.7% of the gap (respectively) have already been closed so far. By contrast, </w:t>
      </w:r>
      <w:r w:rsidRPr="00DB0C40">
        <w:rPr>
          <w:rFonts w:asciiTheme="minorHAnsi" w:hAnsiTheme="minorHAnsi" w:cstheme="minorHAnsi"/>
          <w:i/>
          <w:iCs/>
          <w:sz w:val="22"/>
          <w:szCs w:val="22"/>
        </w:rPr>
        <w:t>differences between women and men remain significantly larger on Political Empowerment</w:t>
      </w:r>
      <w:r w:rsidRPr="00DB0C40">
        <w:rPr>
          <w:rFonts w:asciiTheme="minorHAnsi" w:hAnsiTheme="minorHAnsi" w:cstheme="minorHAnsi"/>
          <w:sz w:val="22"/>
          <w:szCs w:val="22"/>
        </w:rPr>
        <w:t xml:space="preserve">, where only 24.7% of the gap has been closed to date, and </w:t>
      </w:r>
      <w:r w:rsidRPr="00DB0C40">
        <w:rPr>
          <w:rFonts w:asciiTheme="minorHAnsi" w:hAnsiTheme="minorHAnsi" w:cstheme="minorHAnsi"/>
          <w:i/>
          <w:iCs/>
          <w:sz w:val="22"/>
          <w:szCs w:val="22"/>
        </w:rPr>
        <w:t>on Economic Participation and Opportunity,</w:t>
      </w:r>
      <w:r w:rsidRPr="00DB0C40">
        <w:rPr>
          <w:rFonts w:asciiTheme="minorHAnsi" w:hAnsiTheme="minorHAnsi" w:cstheme="minorHAnsi"/>
          <w:sz w:val="22"/>
          <w:szCs w:val="22"/>
        </w:rPr>
        <w:t xml:space="preserve"> where 58.8% of the gap has been closed. In</w:t>
      </w:r>
      <w:r w:rsidRPr="00DB0C40">
        <w:rPr>
          <w:rFonts w:asciiTheme="minorHAnsi" w:eastAsiaTheme="minorHAnsi" w:hAnsiTheme="minorHAnsi" w:cstheme="minorHAnsi"/>
          <w:sz w:val="22"/>
          <w:szCs w:val="22"/>
        </w:rPr>
        <w:t xml:space="preserve"> </w:t>
      </w:r>
      <w:r w:rsidRPr="00DB0C40">
        <w:rPr>
          <w:rFonts w:asciiTheme="minorHAnsi" w:hAnsiTheme="minorHAnsi" w:cstheme="minorHAnsi"/>
          <w:sz w:val="22"/>
          <w:szCs w:val="22"/>
        </w:rPr>
        <w:t>order of gender gap size, Political Empowerment is the area where women are severely under-represented. Despite a significant improvement from the last edition (see section below for more details), so far only 25% of the gap has been closed on this sub</w:t>
      </w:r>
      <w:r w:rsidR="00F23644">
        <w:rPr>
          <w:rFonts w:asciiTheme="minorHAnsi" w:hAnsiTheme="minorHAnsi" w:cstheme="minorHAnsi"/>
          <w:sz w:val="22"/>
          <w:szCs w:val="22"/>
        </w:rPr>
        <w:t>-</w:t>
      </w:r>
      <w:r w:rsidRPr="00DB0C40">
        <w:rPr>
          <w:rFonts w:asciiTheme="minorHAnsi" w:hAnsiTheme="minorHAnsi" w:cstheme="minorHAnsi"/>
          <w:sz w:val="22"/>
          <w:szCs w:val="22"/>
        </w:rPr>
        <w:t>index, and no country has fully closed this gap yet.</w:t>
      </w:r>
    </w:p>
    <w:p w14:paraId="2B72F7F9" w14:textId="77777777" w:rsidR="005758B6" w:rsidRPr="00DB0C40" w:rsidRDefault="005758B6" w:rsidP="005758B6">
      <w:pPr>
        <w:rPr>
          <w:rFonts w:asciiTheme="minorHAnsi" w:hAnsiTheme="minorHAnsi" w:cstheme="minorHAnsi"/>
          <w:sz w:val="22"/>
          <w:szCs w:val="22"/>
        </w:rPr>
      </w:pPr>
    </w:p>
    <w:p w14:paraId="749FD45C" w14:textId="77777777" w:rsidR="005758B6" w:rsidRPr="00DB0C40" w:rsidRDefault="005758B6" w:rsidP="005758B6">
      <w:pPr>
        <w:rPr>
          <w:rFonts w:asciiTheme="minorHAnsi" w:hAnsiTheme="minorHAnsi" w:cstheme="minorHAnsi"/>
          <w:sz w:val="22"/>
          <w:szCs w:val="22"/>
        </w:rPr>
      </w:pPr>
    </w:p>
    <w:p w14:paraId="32A2C383" w14:textId="29B78311" w:rsidR="005758B6" w:rsidRPr="00DB0C40" w:rsidRDefault="005758B6" w:rsidP="005758B6">
      <w:pPr>
        <w:jc w:val="center"/>
        <w:rPr>
          <w:rFonts w:asciiTheme="minorHAnsi" w:hAnsiTheme="minorHAnsi" w:cstheme="minorHAnsi"/>
          <w:b/>
          <w:bCs/>
          <w:sz w:val="22"/>
          <w:szCs w:val="22"/>
        </w:rPr>
      </w:pPr>
      <w:r w:rsidRPr="00DB0C40">
        <w:rPr>
          <w:rFonts w:asciiTheme="minorHAnsi" w:hAnsiTheme="minorHAnsi" w:cstheme="minorHAnsi"/>
          <w:b/>
          <w:bCs/>
          <w:sz w:val="22"/>
          <w:szCs w:val="22"/>
        </w:rPr>
        <w:t>Figure 1. The state of the gender gap</w:t>
      </w:r>
      <w:r w:rsidR="00044DE2" w:rsidRPr="00DB0C40">
        <w:rPr>
          <w:rFonts w:asciiTheme="minorHAnsi" w:hAnsiTheme="minorHAnsi" w:cstheme="minorHAnsi"/>
          <w:b/>
          <w:bCs/>
          <w:sz w:val="22"/>
          <w:szCs w:val="22"/>
        </w:rPr>
        <w:t xml:space="preserve"> in the world</w:t>
      </w:r>
    </w:p>
    <w:p w14:paraId="29333642" w14:textId="77777777" w:rsidR="005758B6" w:rsidRPr="00DB0C40" w:rsidRDefault="005758B6" w:rsidP="005758B6">
      <w:pPr>
        <w:rPr>
          <w:rFonts w:asciiTheme="minorHAnsi" w:hAnsiTheme="minorHAnsi" w:cstheme="minorHAnsi"/>
          <w:sz w:val="22"/>
          <w:szCs w:val="22"/>
        </w:rPr>
      </w:pPr>
    </w:p>
    <w:p w14:paraId="2CB54843" w14:textId="77777777" w:rsidR="005758B6" w:rsidRPr="00DB0C40" w:rsidRDefault="005758B6" w:rsidP="005758B6">
      <w:pPr>
        <w:rPr>
          <w:rFonts w:asciiTheme="minorHAnsi" w:hAnsiTheme="minorHAnsi" w:cstheme="minorHAnsi"/>
          <w:sz w:val="22"/>
          <w:szCs w:val="22"/>
        </w:rPr>
      </w:pPr>
      <w:r w:rsidRPr="00DB0C40">
        <w:rPr>
          <w:rFonts w:asciiTheme="minorHAnsi" w:hAnsiTheme="minorHAnsi" w:cstheme="minorHAnsi"/>
          <w:noProof/>
          <w:sz w:val="22"/>
          <w:szCs w:val="22"/>
          <w:lang w:eastAsia="en-GB"/>
        </w:rPr>
        <w:drawing>
          <wp:inline distT="0" distB="0" distL="0" distR="0" wp14:anchorId="3D24FFCC" wp14:editId="4F75F8C5">
            <wp:extent cx="5727700" cy="2477135"/>
            <wp:effectExtent l="19050" t="19050" r="25400" b="18415"/>
            <wp:docPr id="1"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 Aplicación&#10;&#10;Descripción generada automáticamente"/>
                    <pic:cNvPicPr/>
                  </pic:nvPicPr>
                  <pic:blipFill>
                    <a:blip r:embed="rId13"/>
                    <a:stretch>
                      <a:fillRect/>
                    </a:stretch>
                  </pic:blipFill>
                  <pic:spPr>
                    <a:xfrm>
                      <a:off x="0" y="0"/>
                      <a:ext cx="5727700" cy="2477135"/>
                    </a:xfrm>
                    <a:prstGeom prst="rect">
                      <a:avLst/>
                    </a:prstGeom>
                    <a:ln>
                      <a:solidFill>
                        <a:sysClr val="windowText" lastClr="000000"/>
                      </a:solidFill>
                    </a:ln>
                  </pic:spPr>
                </pic:pic>
              </a:graphicData>
            </a:graphic>
          </wp:inline>
        </w:drawing>
      </w:r>
    </w:p>
    <w:p w14:paraId="41A1F45A" w14:textId="77777777" w:rsidR="005758B6" w:rsidRPr="00DB0C40" w:rsidRDefault="005758B6" w:rsidP="005758B6">
      <w:pPr>
        <w:rPr>
          <w:rFonts w:asciiTheme="minorHAnsi" w:hAnsiTheme="minorHAnsi" w:cstheme="minorHAnsi"/>
          <w:sz w:val="22"/>
          <w:szCs w:val="22"/>
        </w:rPr>
      </w:pPr>
      <w:r w:rsidRPr="00DB0C40">
        <w:rPr>
          <w:rFonts w:asciiTheme="minorHAnsi" w:hAnsiTheme="minorHAnsi" w:cstheme="minorHAnsi"/>
          <w:sz w:val="22"/>
          <w:szCs w:val="22"/>
        </w:rPr>
        <w:t xml:space="preserve"> </w:t>
      </w:r>
    </w:p>
    <w:p w14:paraId="7D27FB81" w14:textId="77777777" w:rsidR="005758B6" w:rsidRPr="00A45334" w:rsidRDefault="005758B6" w:rsidP="005758B6">
      <w:pPr>
        <w:jc w:val="center"/>
        <w:rPr>
          <w:rFonts w:asciiTheme="minorHAnsi" w:hAnsiTheme="minorHAnsi" w:cstheme="minorHAnsi"/>
          <w:sz w:val="18"/>
          <w:szCs w:val="18"/>
        </w:rPr>
      </w:pPr>
      <w:r w:rsidRPr="00A45334">
        <w:rPr>
          <w:rFonts w:asciiTheme="minorHAnsi" w:hAnsiTheme="minorHAnsi" w:cstheme="minorHAnsi"/>
          <w:sz w:val="18"/>
          <w:szCs w:val="18"/>
        </w:rPr>
        <w:t>Source: World Economic Forum, 2020</w:t>
      </w:r>
    </w:p>
    <w:p w14:paraId="01E889C4" w14:textId="77777777" w:rsidR="005758B6" w:rsidRPr="00DB0C40" w:rsidRDefault="005758B6" w:rsidP="005758B6">
      <w:pPr>
        <w:rPr>
          <w:rFonts w:asciiTheme="minorHAnsi" w:hAnsiTheme="minorHAnsi" w:cstheme="minorHAnsi"/>
          <w:sz w:val="22"/>
          <w:szCs w:val="22"/>
        </w:rPr>
      </w:pPr>
    </w:p>
    <w:p w14:paraId="50F9C818" w14:textId="77777777" w:rsidR="005758B6" w:rsidRPr="00DB0C40" w:rsidRDefault="005758B6" w:rsidP="005758B6">
      <w:pPr>
        <w:jc w:val="both"/>
        <w:rPr>
          <w:rFonts w:asciiTheme="minorHAnsi" w:hAnsiTheme="minorHAnsi" w:cstheme="minorHAnsi"/>
          <w:sz w:val="22"/>
          <w:szCs w:val="22"/>
        </w:rPr>
      </w:pPr>
      <w:r w:rsidRPr="00DB0C40">
        <w:rPr>
          <w:rFonts w:asciiTheme="minorHAnsi" w:hAnsiTheme="minorHAnsi" w:cstheme="minorHAnsi"/>
          <w:sz w:val="22"/>
          <w:szCs w:val="22"/>
        </w:rPr>
        <w:t>Gender-pay continues been influenced by distinct factors as occupational segregation (including gender imbalances in leadership positions, or vertical segregation), the undervaluation of feminized industries, the “motherhood penalty” versus the “fatherhood premium” (which refers to the differential impact of having children on women and men’s wages), and differences in wage employment participation. Discrimination, as well as conscious and unconscious biases about the role of women in society, can begin to be rectified through education, communication, and appropriate legislation and public policy that permeates into the private sector.</w:t>
      </w:r>
    </w:p>
    <w:p w14:paraId="197E1ACA" w14:textId="77777777" w:rsidR="005758B6" w:rsidRPr="00DB0C40" w:rsidRDefault="005758B6" w:rsidP="005758B6">
      <w:pPr>
        <w:rPr>
          <w:rFonts w:asciiTheme="minorHAnsi" w:hAnsiTheme="minorHAnsi" w:cstheme="minorHAnsi"/>
          <w:sz w:val="22"/>
          <w:szCs w:val="22"/>
        </w:rPr>
      </w:pPr>
    </w:p>
    <w:p w14:paraId="15D6683D" w14:textId="77777777" w:rsidR="005758B6" w:rsidRPr="00DB0C40" w:rsidRDefault="005758B6" w:rsidP="005758B6">
      <w:pPr>
        <w:jc w:val="both"/>
        <w:rPr>
          <w:rFonts w:asciiTheme="minorHAnsi" w:hAnsiTheme="minorHAnsi" w:cstheme="minorHAnsi"/>
          <w:sz w:val="22"/>
          <w:szCs w:val="22"/>
        </w:rPr>
      </w:pPr>
      <w:r w:rsidRPr="00DB0C40">
        <w:rPr>
          <w:rFonts w:asciiTheme="minorHAnsi" w:hAnsiTheme="minorHAnsi" w:cstheme="minorHAnsi"/>
          <w:sz w:val="22"/>
          <w:szCs w:val="22"/>
        </w:rPr>
        <w:lastRenderedPageBreak/>
        <w:t xml:space="preserve">The undervaluation of paid care work also plays a significant role in the perpetuation of gender pay gaps. Women make up two-thirds of the workforce in the global care industry, in which other groups at risk of discrimination are also disproportionately represented. </w:t>
      </w:r>
    </w:p>
    <w:p w14:paraId="5D69B01E" w14:textId="77777777" w:rsidR="005758B6" w:rsidRPr="00DB0C40" w:rsidRDefault="005758B6" w:rsidP="005758B6">
      <w:pPr>
        <w:jc w:val="both"/>
        <w:rPr>
          <w:rFonts w:asciiTheme="minorHAnsi" w:hAnsiTheme="minorHAnsi" w:cstheme="minorHAnsi"/>
          <w:sz w:val="22"/>
          <w:szCs w:val="22"/>
        </w:rPr>
      </w:pPr>
    </w:p>
    <w:p w14:paraId="3A966570" w14:textId="77777777" w:rsidR="005758B6" w:rsidRPr="00DB0C40" w:rsidRDefault="005758B6" w:rsidP="005758B6">
      <w:pPr>
        <w:jc w:val="both"/>
        <w:rPr>
          <w:rFonts w:asciiTheme="minorHAnsi" w:hAnsiTheme="minorHAnsi" w:cstheme="minorHAnsi"/>
          <w:sz w:val="22"/>
          <w:szCs w:val="22"/>
        </w:rPr>
      </w:pPr>
      <w:r w:rsidRPr="00DB0C40">
        <w:rPr>
          <w:rFonts w:asciiTheme="minorHAnsi" w:hAnsiTheme="minorHAnsi" w:cstheme="minorHAnsi"/>
          <w:sz w:val="22"/>
          <w:szCs w:val="22"/>
        </w:rPr>
        <w:t xml:space="preserve">Closing the gender pay gap has important economic and social benefits, including “increased female participation in the labour market, entrepreneurship and women moving into higher- paid and higher-skilled jobs.” </w:t>
      </w:r>
      <w:r w:rsidRPr="00DB0C40">
        <w:rPr>
          <w:rFonts w:asciiTheme="minorHAnsi" w:hAnsiTheme="minorHAnsi" w:cstheme="minorHAnsi"/>
          <w:position w:val="6"/>
          <w:sz w:val="22"/>
          <w:szCs w:val="22"/>
        </w:rPr>
        <w:footnoteReference w:id="6"/>
      </w:r>
      <w:r w:rsidRPr="00DB0C40">
        <w:rPr>
          <w:rFonts w:asciiTheme="minorHAnsi" w:hAnsiTheme="minorHAnsi" w:cstheme="minorHAnsi"/>
          <w:sz w:val="22"/>
          <w:szCs w:val="22"/>
        </w:rPr>
        <w:t xml:space="preserve"> Equal pay for work of equal value also has positive inter- generational effects, given the importance of women’s incomes in supporting households’ wellbeing. </w:t>
      </w:r>
    </w:p>
    <w:p w14:paraId="36BE3ACD" w14:textId="77777777" w:rsidR="005758B6" w:rsidRPr="00DB0C40" w:rsidRDefault="005758B6" w:rsidP="005758B6">
      <w:pPr>
        <w:jc w:val="both"/>
        <w:rPr>
          <w:rFonts w:asciiTheme="minorHAnsi" w:hAnsiTheme="minorHAnsi" w:cstheme="minorHAnsi"/>
          <w:sz w:val="22"/>
          <w:szCs w:val="22"/>
        </w:rPr>
      </w:pPr>
    </w:p>
    <w:p w14:paraId="365C3125" w14:textId="2A524FC8" w:rsidR="005758B6" w:rsidRPr="00DB0C40" w:rsidRDefault="00E6222D" w:rsidP="00E6222D">
      <w:pPr>
        <w:keepNext/>
        <w:keepLines/>
        <w:spacing w:before="40"/>
        <w:outlineLvl w:val="2"/>
        <w:rPr>
          <w:rFonts w:asciiTheme="majorHAnsi" w:eastAsiaTheme="majorEastAsia" w:hAnsiTheme="majorHAnsi" w:cstheme="majorBidi"/>
          <w:color w:val="1F3763" w:themeColor="accent1" w:themeShade="7F"/>
        </w:rPr>
      </w:pPr>
      <w:bookmarkStart w:id="25" w:name="_Toc92359062"/>
      <w:r w:rsidRPr="00DB0C40">
        <w:rPr>
          <w:rFonts w:asciiTheme="majorHAnsi" w:eastAsiaTheme="majorEastAsia" w:hAnsiTheme="majorHAnsi" w:cstheme="majorBidi"/>
          <w:color w:val="1F3763" w:themeColor="accent1" w:themeShade="7F"/>
        </w:rPr>
        <w:t>3.</w:t>
      </w:r>
      <w:r w:rsidR="00BD23D7" w:rsidRPr="00DB0C40">
        <w:rPr>
          <w:rFonts w:asciiTheme="majorHAnsi" w:eastAsiaTheme="majorEastAsia" w:hAnsiTheme="majorHAnsi" w:cstheme="majorBidi"/>
          <w:color w:val="1F3763" w:themeColor="accent1" w:themeShade="7F"/>
        </w:rPr>
        <w:t>4</w:t>
      </w:r>
      <w:r w:rsidR="005758B6" w:rsidRPr="00DB0C40">
        <w:rPr>
          <w:rFonts w:asciiTheme="majorHAnsi" w:eastAsiaTheme="majorEastAsia" w:hAnsiTheme="majorHAnsi" w:cstheme="majorBidi"/>
          <w:color w:val="1F3763" w:themeColor="accent1" w:themeShade="7F"/>
        </w:rPr>
        <w:t>.1.1. International Labour Standards and other key instruments</w:t>
      </w:r>
      <w:bookmarkEnd w:id="25"/>
    </w:p>
    <w:p w14:paraId="09D62DDD" w14:textId="77777777" w:rsidR="005758B6" w:rsidRPr="00DB0C40" w:rsidRDefault="005758B6" w:rsidP="005758B6">
      <w:pPr>
        <w:rPr>
          <w:rFonts w:asciiTheme="minorHAnsi" w:eastAsiaTheme="minorHAnsi" w:hAnsiTheme="minorHAnsi" w:cstheme="minorHAnsi"/>
          <w:b/>
          <w:bCs/>
          <w:sz w:val="22"/>
          <w:szCs w:val="22"/>
        </w:rPr>
      </w:pPr>
    </w:p>
    <w:p w14:paraId="78AA2D75" w14:textId="40609DC3" w:rsidR="005758B6" w:rsidRPr="00DB0C40" w:rsidRDefault="00E6222D" w:rsidP="005758B6">
      <w:pPr>
        <w:jc w:val="both"/>
        <w:rPr>
          <w:rFonts w:asciiTheme="minorHAnsi" w:eastAsiaTheme="minorHAnsi" w:hAnsiTheme="minorHAnsi" w:cstheme="minorHAnsi"/>
          <w:sz w:val="22"/>
          <w:szCs w:val="22"/>
        </w:rPr>
      </w:pPr>
      <w:r w:rsidRPr="00CD2A61">
        <w:rPr>
          <w:rFonts w:asciiTheme="majorHAnsi" w:eastAsiaTheme="majorEastAsia" w:hAnsiTheme="majorHAnsi" w:cstheme="majorBidi"/>
          <w:color w:val="1F3763" w:themeColor="accent1" w:themeShade="7F"/>
        </w:rPr>
        <w:t>3.</w:t>
      </w:r>
      <w:r w:rsidR="00BD23D7" w:rsidRPr="00CD2A61">
        <w:rPr>
          <w:rFonts w:asciiTheme="majorHAnsi" w:eastAsiaTheme="majorEastAsia" w:hAnsiTheme="majorHAnsi" w:cstheme="majorBidi"/>
          <w:color w:val="1F3763" w:themeColor="accent1" w:themeShade="7F"/>
        </w:rPr>
        <w:t>4</w:t>
      </w:r>
      <w:r w:rsidR="005758B6" w:rsidRPr="00CD2A61">
        <w:rPr>
          <w:rFonts w:asciiTheme="majorHAnsi" w:eastAsiaTheme="majorEastAsia" w:hAnsiTheme="majorHAnsi" w:cstheme="majorBidi"/>
          <w:color w:val="1F3763" w:themeColor="accent1" w:themeShade="7F"/>
        </w:rPr>
        <w:t>.1.1.1.</w:t>
      </w:r>
      <w:r w:rsidR="005758B6" w:rsidRPr="00DB0C40">
        <w:rPr>
          <w:rFonts w:asciiTheme="minorHAnsi" w:eastAsiaTheme="minorHAnsi" w:hAnsiTheme="minorHAnsi" w:cstheme="minorHAnsi"/>
          <w:sz w:val="22"/>
          <w:szCs w:val="22"/>
        </w:rPr>
        <w:t>ILO Equal Remuneration Convention, 1951 (No. 100). The right to equal remuneration applies not only in cases where people do the same or similar jobs, but also when they perform work which, though different, is of equal value based on objective criteria, such as skills, working conditions, responsibilities, and effort. As per the Convention, remuneration is not limited to the basic pay or wage that the worker receives, but also includes any other compensation, such as bonuses, stock options and overtime pay.</w:t>
      </w:r>
    </w:p>
    <w:p w14:paraId="339EC7DB" w14:textId="77777777" w:rsidR="005758B6" w:rsidRPr="00DB0C40" w:rsidRDefault="005758B6" w:rsidP="005758B6">
      <w:pPr>
        <w:jc w:val="both"/>
        <w:rPr>
          <w:rFonts w:asciiTheme="minorHAnsi" w:eastAsiaTheme="minorHAnsi" w:hAnsiTheme="minorHAnsi" w:cstheme="minorHAnsi"/>
          <w:sz w:val="22"/>
          <w:szCs w:val="22"/>
        </w:rPr>
      </w:pPr>
    </w:p>
    <w:p w14:paraId="6D65FB31" w14:textId="3CAB9F31" w:rsidR="005758B6" w:rsidRPr="00DB0C40" w:rsidRDefault="00E6222D" w:rsidP="005758B6">
      <w:pPr>
        <w:jc w:val="both"/>
        <w:rPr>
          <w:rFonts w:asciiTheme="minorHAnsi" w:eastAsiaTheme="minorHAnsi" w:hAnsiTheme="minorHAnsi" w:cstheme="minorHAnsi"/>
          <w:sz w:val="22"/>
          <w:szCs w:val="22"/>
        </w:rPr>
      </w:pPr>
      <w:r w:rsidRPr="00CD2A61">
        <w:rPr>
          <w:rFonts w:asciiTheme="majorHAnsi" w:eastAsiaTheme="majorEastAsia" w:hAnsiTheme="majorHAnsi" w:cstheme="majorBidi"/>
          <w:color w:val="1F3763" w:themeColor="accent1" w:themeShade="7F"/>
        </w:rPr>
        <w:t>3.</w:t>
      </w:r>
      <w:r w:rsidR="00BD23D7" w:rsidRPr="00CD2A61">
        <w:rPr>
          <w:rFonts w:asciiTheme="majorHAnsi" w:eastAsiaTheme="majorEastAsia" w:hAnsiTheme="majorHAnsi" w:cstheme="majorBidi"/>
          <w:color w:val="1F3763" w:themeColor="accent1" w:themeShade="7F"/>
        </w:rPr>
        <w:t>4</w:t>
      </w:r>
      <w:r w:rsidR="005758B6" w:rsidRPr="00CD2A61">
        <w:rPr>
          <w:rFonts w:asciiTheme="majorHAnsi" w:eastAsiaTheme="majorEastAsia" w:hAnsiTheme="majorHAnsi" w:cstheme="majorBidi"/>
          <w:color w:val="1F3763" w:themeColor="accent1" w:themeShade="7F"/>
        </w:rPr>
        <w:t>.1.1.2.</w:t>
      </w:r>
      <w:r w:rsidR="005758B6" w:rsidRPr="00DB0C40">
        <w:rPr>
          <w:rFonts w:asciiTheme="minorHAnsi" w:eastAsiaTheme="minorHAnsi" w:hAnsiTheme="minorHAnsi" w:cstheme="minorHAnsi"/>
          <w:sz w:val="22"/>
          <w:szCs w:val="22"/>
        </w:rPr>
        <w:t xml:space="preserve"> The Discrimination (Employment and Occupation) Convention, 1958 (No. 111) and its accompanying Recommendation No. 111, also set forth principles of equality of opportunity and treatment in the world of work, including in relation to remuneration for work of equal value.</w:t>
      </w:r>
    </w:p>
    <w:p w14:paraId="7C627072" w14:textId="77777777" w:rsidR="005758B6" w:rsidRPr="00DB0C40" w:rsidRDefault="005758B6" w:rsidP="005758B6">
      <w:pPr>
        <w:jc w:val="both"/>
        <w:rPr>
          <w:rFonts w:asciiTheme="minorHAnsi" w:eastAsiaTheme="minorHAnsi" w:hAnsiTheme="minorHAnsi" w:cstheme="minorHAnsi"/>
          <w:sz w:val="22"/>
          <w:szCs w:val="22"/>
        </w:rPr>
      </w:pPr>
    </w:p>
    <w:p w14:paraId="6780CA1C" w14:textId="67BED670" w:rsidR="005758B6" w:rsidRPr="00DB0C40" w:rsidRDefault="00E6222D" w:rsidP="005758B6">
      <w:pPr>
        <w:jc w:val="both"/>
        <w:rPr>
          <w:rFonts w:asciiTheme="minorHAnsi" w:eastAsiaTheme="minorHAnsi" w:hAnsiTheme="minorHAnsi" w:cstheme="minorHAnsi"/>
          <w:sz w:val="22"/>
          <w:szCs w:val="22"/>
        </w:rPr>
      </w:pPr>
      <w:r w:rsidRPr="00CD2A61">
        <w:rPr>
          <w:rFonts w:asciiTheme="majorHAnsi" w:eastAsiaTheme="majorEastAsia" w:hAnsiTheme="majorHAnsi" w:cstheme="majorBidi"/>
          <w:color w:val="1F3763" w:themeColor="accent1" w:themeShade="7F"/>
        </w:rPr>
        <w:t>3.</w:t>
      </w:r>
      <w:r w:rsidR="00BD23D7" w:rsidRPr="00CD2A61">
        <w:rPr>
          <w:rFonts w:asciiTheme="majorHAnsi" w:eastAsiaTheme="majorEastAsia" w:hAnsiTheme="majorHAnsi" w:cstheme="majorBidi"/>
          <w:color w:val="1F3763" w:themeColor="accent1" w:themeShade="7F"/>
        </w:rPr>
        <w:t>4</w:t>
      </w:r>
      <w:r w:rsidR="005758B6" w:rsidRPr="00CD2A61">
        <w:rPr>
          <w:rFonts w:asciiTheme="majorHAnsi" w:eastAsiaTheme="majorEastAsia" w:hAnsiTheme="majorHAnsi" w:cstheme="majorBidi"/>
          <w:color w:val="1F3763" w:themeColor="accent1" w:themeShade="7F"/>
        </w:rPr>
        <w:t>.1.1.3.</w:t>
      </w:r>
      <w:r w:rsidR="005758B6" w:rsidRPr="00DB0C40">
        <w:rPr>
          <w:rFonts w:asciiTheme="minorHAnsi" w:eastAsiaTheme="minorHAnsi" w:hAnsiTheme="minorHAnsi" w:cstheme="minorHAnsi"/>
          <w:sz w:val="22"/>
          <w:szCs w:val="22"/>
        </w:rPr>
        <w:t xml:space="preserve"> Equal pay is recognized as a human right in such international instruments as the International Covenant on Economic, Social and Cultural Rights (ICESCR), 1966, and the CEDAW, 1979. Equal pay is also a key component of the 2030 Agenda as a key feature of SDG 8, particularly Target 8.5, which aims “by 2030, [to] achieve full and productive employment and decent work for all women and men, including for young people and persons with disabilities, and equal pay for work of equal value”.</w:t>
      </w:r>
    </w:p>
    <w:p w14:paraId="52D68863" w14:textId="77777777" w:rsidR="005758B6" w:rsidRPr="00DB0C40" w:rsidRDefault="005758B6" w:rsidP="005758B6">
      <w:pPr>
        <w:jc w:val="both"/>
        <w:rPr>
          <w:rFonts w:asciiTheme="minorHAnsi" w:eastAsiaTheme="minorHAnsi" w:hAnsiTheme="minorHAnsi" w:cstheme="minorHAnsi"/>
          <w:sz w:val="22"/>
          <w:szCs w:val="22"/>
        </w:rPr>
      </w:pPr>
    </w:p>
    <w:p w14:paraId="0B3B0D3E" w14:textId="452E3860" w:rsidR="005758B6" w:rsidRPr="00DB0C40" w:rsidRDefault="00E6222D" w:rsidP="005758B6">
      <w:pPr>
        <w:jc w:val="both"/>
        <w:rPr>
          <w:rFonts w:asciiTheme="minorHAnsi" w:eastAsiaTheme="minorHAnsi" w:hAnsiTheme="minorHAnsi" w:cstheme="minorHAnsi"/>
          <w:sz w:val="22"/>
          <w:szCs w:val="22"/>
        </w:rPr>
      </w:pPr>
      <w:r w:rsidRPr="00CD2A61">
        <w:rPr>
          <w:rFonts w:asciiTheme="majorHAnsi" w:eastAsiaTheme="majorEastAsia" w:hAnsiTheme="majorHAnsi" w:cstheme="majorBidi"/>
          <w:color w:val="1F3763" w:themeColor="accent1" w:themeShade="7F"/>
        </w:rPr>
        <w:t>3.</w:t>
      </w:r>
      <w:r w:rsidR="00BD23D7" w:rsidRPr="00CD2A61">
        <w:rPr>
          <w:rFonts w:asciiTheme="majorHAnsi" w:eastAsiaTheme="majorEastAsia" w:hAnsiTheme="majorHAnsi" w:cstheme="majorBidi"/>
          <w:color w:val="1F3763" w:themeColor="accent1" w:themeShade="7F"/>
        </w:rPr>
        <w:t>4</w:t>
      </w:r>
      <w:r w:rsidR="005758B6" w:rsidRPr="00CD2A61">
        <w:rPr>
          <w:rFonts w:asciiTheme="majorHAnsi" w:eastAsiaTheme="majorEastAsia" w:hAnsiTheme="majorHAnsi" w:cstheme="majorBidi"/>
          <w:color w:val="1F3763" w:themeColor="accent1" w:themeShade="7F"/>
        </w:rPr>
        <w:t>.1.1.4.</w:t>
      </w:r>
      <w:r w:rsidR="005758B6" w:rsidRPr="00DB0C40">
        <w:rPr>
          <w:rFonts w:asciiTheme="minorHAnsi" w:eastAsiaTheme="minorHAnsi" w:hAnsiTheme="minorHAnsi" w:cstheme="minorHAnsi"/>
          <w:sz w:val="22"/>
          <w:szCs w:val="22"/>
        </w:rPr>
        <w:t xml:space="preserve"> The principle of equal pay for the same work or work of equal value is a foundational principle of the EU and was laid down in the original EEC Treaty of 1957. The principle was implemented in the Equal Pay Directive 75/117/EEC, later replaced by Directive 2006/54/EC (recast). Additionally, legal standards in respect of equal pay have been established by case law of the Court of Justice of the European Union (CJEU).</w:t>
      </w:r>
    </w:p>
    <w:p w14:paraId="7377BDBD" w14:textId="77777777" w:rsidR="005758B6" w:rsidRPr="00DB0C40" w:rsidRDefault="005758B6" w:rsidP="005758B6">
      <w:pPr>
        <w:rPr>
          <w:rFonts w:asciiTheme="minorHAnsi" w:hAnsiTheme="minorHAnsi" w:cstheme="minorHAnsi"/>
          <w:sz w:val="22"/>
          <w:szCs w:val="22"/>
        </w:rPr>
      </w:pPr>
    </w:p>
    <w:p w14:paraId="53B70108" w14:textId="77777777" w:rsidR="005758B6" w:rsidRPr="00DB0C40" w:rsidRDefault="005758B6" w:rsidP="005758B6">
      <w:pPr>
        <w:rPr>
          <w:rFonts w:asciiTheme="minorHAnsi" w:hAnsiTheme="minorHAnsi" w:cstheme="minorHAnsi"/>
          <w:sz w:val="22"/>
          <w:szCs w:val="22"/>
        </w:rPr>
      </w:pPr>
      <w:r w:rsidRPr="00DB0C40">
        <w:rPr>
          <w:rFonts w:asciiTheme="minorHAnsi" w:hAnsiTheme="minorHAnsi" w:cstheme="minorHAnsi"/>
          <w:sz w:val="22"/>
          <w:szCs w:val="22"/>
        </w:rPr>
        <w:t xml:space="preserve">According to ILO, the main guiding principles for governments in this issue are: </w:t>
      </w:r>
    </w:p>
    <w:p w14:paraId="2EAF7609" w14:textId="77777777" w:rsidR="005758B6" w:rsidRPr="00DB0C40" w:rsidRDefault="005758B6">
      <w:pPr>
        <w:numPr>
          <w:ilvl w:val="0"/>
          <w:numId w:val="18"/>
        </w:numPr>
        <w:spacing w:after="200"/>
        <w:contextualSpacing/>
        <w:rPr>
          <w:rFonts w:asciiTheme="minorHAnsi" w:hAnsiTheme="minorHAnsi" w:cstheme="minorHAnsi"/>
          <w:sz w:val="22"/>
          <w:szCs w:val="22"/>
        </w:rPr>
      </w:pPr>
      <w:r w:rsidRPr="00DB0C40">
        <w:rPr>
          <w:rFonts w:asciiTheme="minorHAnsi" w:hAnsiTheme="minorHAnsi" w:cstheme="minorHAnsi"/>
          <w:sz w:val="22"/>
          <w:szCs w:val="22"/>
        </w:rPr>
        <w:t>a comprehensive and effective legislative approach, by fostering an inclusive and transparent labour market and creating “a driving force for gender equality standards”</w:t>
      </w:r>
    </w:p>
    <w:p w14:paraId="1C5000DA" w14:textId="77777777" w:rsidR="005758B6" w:rsidRPr="00DB0C40" w:rsidRDefault="005758B6">
      <w:pPr>
        <w:numPr>
          <w:ilvl w:val="0"/>
          <w:numId w:val="18"/>
        </w:numPr>
        <w:spacing w:after="200"/>
        <w:contextualSpacing/>
        <w:rPr>
          <w:rFonts w:asciiTheme="minorHAnsi" w:hAnsiTheme="minorHAnsi" w:cstheme="minorHAnsi"/>
          <w:sz w:val="22"/>
          <w:szCs w:val="22"/>
        </w:rPr>
      </w:pPr>
      <w:r w:rsidRPr="00DB0C40">
        <w:rPr>
          <w:rFonts w:asciiTheme="minorHAnsi" w:hAnsiTheme="minorHAnsi" w:cstheme="minorHAnsi"/>
          <w:sz w:val="22"/>
          <w:szCs w:val="22"/>
        </w:rPr>
        <w:t>ensuring equal opportunity and treatment at work for all</w:t>
      </w:r>
    </w:p>
    <w:p w14:paraId="443D6CE8" w14:textId="77777777" w:rsidR="005758B6" w:rsidRPr="00DB0C40" w:rsidRDefault="005758B6">
      <w:pPr>
        <w:numPr>
          <w:ilvl w:val="0"/>
          <w:numId w:val="18"/>
        </w:numPr>
        <w:spacing w:after="200"/>
        <w:contextualSpacing/>
        <w:rPr>
          <w:rFonts w:asciiTheme="minorHAnsi" w:hAnsiTheme="minorHAnsi" w:cstheme="minorHAnsi"/>
          <w:sz w:val="22"/>
          <w:szCs w:val="22"/>
        </w:rPr>
      </w:pPr>
      <w:r w:rsidRPr="00DB0C40">
        <w:rPr>
          <w:rFonts w:asciiTheme="minorHAnsi" w:hAnsiTheme="minorHAnsi" w:cstheme="minorHAnsi"/>
          <w:sz w:val="22"/>
          <w:szCs w:val="22"/>
        </w:rPr>
        <w:t>establishing and applying the right to “equal pay for work of equal value”</w:t>
      </w:r>
    </w:p>
    <w:p w14:paraId="0387E597" w14:textId="77777777" w:rsidR="005758B6" w:rsidRPr="00DB0C40" w:rsidRDefault="005758B6">
      <w:pPr>
        <w:numPr>
          <w:ilvl w:val="0"/>
          <w:numId w:val="18"/>
        </w:numPr>
        <w:spacing w:after="200"/>
        <w:contextualSpacing/>
        <w:rPr>
          <w:rFonts w:asciiTheme="minorHAnsi" w:hAnsiTheme="minorHAnsi" w:cstheme="minorHAnsi"/>
          <w:sz w:val="22"/>
          <w:szCs w:val="22"/>
        </w:rPr>
      </w:pPr>
      <w:r w:rsidRPr="00DB0C40">
        <w:rPr>
          <w:rFonts w:asciiTheme="minorHAnsi" w:hAnsiTheme="minorHAnsi" w:cstheme="minorHAnsi"/>
          <w:sz w:val="22"/>
          <w:szCs w:val="22"/>
        </w:rPr>
        <w:t>promoting social dialogue and collective bargaining</w:t>
      </w:r>
    </w:p>
    <w:p w14:paraId="0F7F7526" w14:textId="77777777" w:rsidR="005758B6" w:rsidRPr="00DB0C40" w:rsidRDefault="005758B6">
      <w:pPr>
        <w:numPr>
          <w:ilvl w:val="0"/>
          <w:numId w:val="18"/>
        </w:numPr>
        <w:spacing w:after="200"/>
        <w:contextualSpacing/>
        <w:rPr>
          <w:rFonts w:asciiTheme="minorHAnsi" w:hAnsiTheme="minorHAnsi" w:cstheme="minorHAnsi"/>
          <w:sz w:val="22"/>
          <w:szCs w:val="22"/>
        </w:rPr>
      </w:pPr>
      <w:r w:rsidRPr="00DB0C40">
        <w:rPr>
          <w:rFonts w:asciiTheme="minorHAnsi" w:hAnsiTheme="minorHAnsi" w:cstheme="minorHAnsi"/>
          <w:sz w:val="22"/>
          <w:szCs w:val="22"/>
        </w:rPr>
        <w:t>establishing and implementing wage transparency</w:t>
      </w:r>
    </w:p>
    <w:p w14:paraId="27BDFB7D" w14:textId="77777777" w:rsidR="005758B6" w:rsidRPr="00DB0C40" w:rsidRDefault="005758B6">
      <w:pPr>
        <w:numPr>
          <w:ilvl w:val="0"/>
          <w:numId w:val="18"/>
        </w:numPr>
        <w:spacing w:after="200"/>
        <w:contextualSpacing/>
        <w:rPr>
          <w:rFonts w:asciiTheme="minorHAnsi" w:hAnsiTheme="minorHAnsi" w:cstheme="minorHAnsi"/>
          <w:sz w:val="22"/>
          <w:szCs w:val="22"/>
        </w:rPr>
      </w:pPr>
      <w:r w:rsidRPr="00DB0C40">
        <w:rPr>
          <w:rFonts w:asciiTheme="minorHAnsi" w:hAnsiTheme="minorHAnsi" w:cstheme="minorHAnsi"/>
          <w:sz w:val="22"/>
          <w:szCs w:val="22"/>
        </w:rPr>
        <w:t>setting adequate and inclusive minimum wages.</w:t>
      </w:r>
    </w:p>
    <w:p w14:paraId="3E65A53B" w14:textId="77777777" w:rsidR="005758B6" w:rsidRPr="00DB0C40" w:rsidRDefault="005758B6" w:rsidP="005758B6">
      <w:pPr>
        <w:rPr>
          <w:rFonts w:asciiTheme="minorHAnsi" w:hAnsiTheme="minorHAnsi" w:cstheme="minorHAnsi"/>
          <w:sz w:val="22"/>
          <w:szCs w:val="22"/>
        </w:rPr>
      </w:pPr>
    </w:p>
    <w:p w14:paraId="5C809276" w14:textId="77777777" w:rsidR="005758B6" w:rsidRPr="00DB0C40" w:rsidRDefault="005758B6" w:rsidP="005758B6">
      <w:pPr>
        <w:rPr>
          <w:rFonts w:asciiTheme="minorHAnsi" w:hAnsiTheme="minorHAnsi" w:cstheme="minorHAnsi"/>
          <w:sz w:val="22"/>
          <w:szCs w:val="22"/>
        </w:rPr>
      </w:pPr>
    </w:p>
    <w:p w14:paraId="0F3B2A57" w14:textId="30C5903C" w:rsidR="005758B6" w:rsidRDefault="00E6222D" w:rsidP="005758B6">
      <w:pPr>
        <w:keepNext/>
        <w:keepLines/>
        <w:spacing w:before="40"/>
        <w:outlineLvl w:val="2"/>
        <w:rPr>
          <w:rFonts w:asciiTheme="majorHAnsi" w:eastAsiaTheme="majorEastAsia" w:hAnsiTheme="majorHAnsi" w:cstheme="majorBidi"/>
          <w:color w:val="1F3763" w:themeColor="accent1" w:themeShade="7F"/>
        </w:rPr>
      </w:pPr>
      <w:bookmarkStart w:id="26" w:name="_Hlk104987086"/>
      <w:bookmarkStart w:id="27" w:name="_Hlk82616905"/>
      <w:bookmarkStart w:id="28" w:name="_Toc92359063"/>
      <w:r w:rsidRPr="00DB0C40">
        <w:rPr>
          <w:rFonts w:asciiTheme="majorHAnsi" w:eastAsiaTheme="majorEastAsia" w:hAnsiTheme="majorHAnsi" w:cstheme="majorBidi"/>
          <w:color w:val="1F3763" w:themeColor="accent1" w:themeShade="7F"/>
        </w:rPr>
        <w:lastRenderedPageBreak/>
        <w:t>3.</w:t>
      </w:r>
      <w:r w:rsidR="00BD23D7" w:rsidRPr="00DB0C40">
        <w:rPr>
          <w:rFonts w:asciiTheme="majorHAnsi" w:eastAsiaTheme="majorEastAsia" w:hAnsiTheme="majorHAnsi" w:cstheme="majorBidi"/>
          <w:color w:val="1F3763" w:themeColor="accent1" w:themeShade="7F"/>
        </w:rPr>
        <w:t>4</w:t>
      </w:r>
      <w:r w:rsidR="005758B6" w:rsidRPr="00DB0C40">
        <w:rPr>
          <w:rFonts w:asciiTheme="majorHAnsi" w:eastAsiaTheme="majorEastAsia" w:hAnsiTheme="majorHAnsi" w:cstheme="majorBidi"/>
          <w:color w:val="1F3763" w:themeColor="accent1" w:themeShade="7F"/>
        </w:rPr>
        <w:t xml:space="preserve">.1.2. </w:t>
      </w:r>
      <w:bookmarkEnd w:id="26"/>
      <w:r w:rsidR="005758B6" w:rsidRPr="00DB0C40">
        <w:rPr>
          <w:rFonts w:asciiTheme="majorHAnsi" w:eastAsiaTheme="majorEastAsia" w:hAnsiTheme="majorHAnsi" w:cstheme="majorBidi"/>
          <w:color w:val="1F3763" w:themeColor="accent1" w:themeShade="7F"/>
        </w:rPr>
        <w:t>Some examples of national legal framework in European countries</w:t>
      </w:r>
      <w:bookmarkEnd w:id="27"/>
      <w:r w:rsidR="005758B6" w:rsidRPr="00AE67F2">
        <w:rPr>
          <w:rFonts w:asciiTheme="minorHAnsi" w:eastAsiaTheme="majorEastAsia" w:hAnsiTheme="minorHAnsi" w:cstheme="minorHAnsi"/>
          <w:b/>
          <w:bCs/>
          <w:color w:val="1F3763" w:themeColor="accent1" w:themeShade="7F"/>
          <w:position w:val="6"/>
          <w:sz w:val="16"/>
          <w:szCs w:val="16"/>
        </w:rPr>
        <w:footnoteReference w:id="7"/>
      </w:r>
      <w:r w:rsidR="005758B6" w:rsidRPr="00AE67F2">
        <w:rPr>
          <w:rFonts w:asciiTheme="majorHAnsi" w:eastAsiaTheme="majorEastAsia" w:hAnsiTheme="majorHAnsi" w:cstheme="majorBidi"/>
          <w:color w:val="1F3763" w:themeColor="accent1" w:themeShade="7F"/>
          <w:sz w:val="16"/>
          <w:szCs w:val="16"/>
        </w:rPr>
        <w:t xml:space="preserve"> </w:t>
      </w:r>
      <w:r w:rsidR="005758B6" w:rsidRPr="00DB0C40">
        <w:rPr>
          <w:rFonts w:asciiTheme="majorHAnsi" w:eastAsiaTheme="majorEastAsia" w:hAnsiTheme="majorHAnsi" w:cstheme="majorBidi"/>
          <w:color w:val="1F3763" w:themeColor="accent1" w:themeShade="7F"/>
        </w:rPr>
        <w:t>(France and Spain)</w:t>
      </w:r>
      <w:bookmarkEnd w:id="28"/>
    </w:p>
    <w:p w14:paraId="263B258A" w14:textId="77777777" w:rsidR="00A45334" w:rsidRPr="00DB0C40" w:rsidRDefault="00A45334" w:rsidP="005758B6">
      <w:pPr>
        <w:keepNext/>
        <w:keepLines/>
        <w:spacing w:before="40"/>
        <w:outlineLvl w:val="2"/>
        <w:rPr>
          <w:rFonts w:asciiTheme="majorHAnsi" w:eastAsiaTheme="majorEastAsia" w:hAnsiTheme="majorHAnsi" w:cstheme="majorBidi"/>
          <w:color w:val="1F3763" w:themeColor="accent1" w:themeShade="7F"/>
        </w:rPr>
      </w:pPr>
    </w:p>
    <w:p w14:paraId="6BD40C91" w14:textId="77777777" w:rsidR="005758B6" w:rsidRPr="00DB0C40" w:rsidRDefault="005758B6" w:rsidP="005758B6">
      <w:pPr>
        <w:rPr>
          <w:rFonts w:asciiTheme="minorHAnsi" w:eastAsiaTheme="minorHAnsi" w:hAnsiTheme="minorHAnsi" w:cstheme="minorHAnsi"/>
          <w:sz w:val="22"/>
          <w:szCs w:val="22"/>
        </w:rPr>
      </w:pPr>
    </w:p>
    <w:p w14:paraId="40F30306" w14:textId="77777777" w:rsidR="005758B6" w:rsidRPr="00DB0C40" w:rsidRDefault="005758B6" w:rsidP="005758B6">
      <w:pPr>
        <w:pBdr>
          <w:top w:val="single" w:sz="4" w:space="1" w:color="auto"/>
          <w:left w:val="single" w:sz="4" w:space="4" w:color="auto"/>
          <w:bottom w:val="single" w:sz="4" w:space="1" w:color="auto"/>
          <w:right w:val="single" w:sz="4" w:space="4" w:color="auto"/>
        </w:pBdr>
        <w:jc w:val="both"/>
        <w:rPr>
          <w:rFonts w:asciiTheme="minorHAnsi" w:eastAsiaTheme="minorHAnsi" w:hAnsiTheme="minorHAnsi" w:cstheme="minorHAnsi"/>
          <w:b/>
          <w:bCs/>
          <w:sz w:val="22"/>
          <w:szCs w:val="22"/>
        </w:rPr>
      </w:pPr>
      <w:r w:rsidRPr="00DB0C40">
        <w:rPr>
          <w:rFonts w:asciiTheme="minorHAnsi" w:eastAsiaTheme="minorHAnsi" w:hAnsiTheme="minorHAnsi" w:cstheme="minorHAnsi"/>
          <w:b/>
          <w:bCs/>
          <w:sz w:val="22"/>
          <w:szCs w:val="22"/>
        </w:rPr>
        <w:t>Pay transparency and collective bargaining on equal-pay laws (France)</w:t>
      </w:r>
      <w:r w:rsidRPr="00DB0C40">
        <w:rPr>
          <w:rFonts w:asciiTheme="minorHAnsi" w:eastAsiaTheme="minorHAnsi" w:hAnsiTheme="minorHAnsi" w:cstheme="minorHAnsi"/>
          <w:b/>
          <w:bCs/>
          <w:sz w:val="22"/>
          <w:szCs w:val="22"/>
        </w:rPr>
        <w:tab/>
      </w:r>
    </w:p>
    <w:p w14:paraId="45C7C9D5" w14:textId="77777777" w:rsidR="005758B6" w:rsidRPr="00DB0C40" w:rsidRDefault="005758B6" w:rsidP="005758B6">
      <w:pPr>
        <w:pBdr>
          <w:top w:val="single" w:sz="4" w:space="1" w:color="auto"/>
          <w:left w:val="single" w:sz="4" w:space="4" w:color="auto"/>
          <w:bottom w:val="single" w:sz="4" w:space="1" w:color="auto"/>
          <w:right w:val="single" w:sz="4" w:space="4" w:color="auto"/>
        </w:pBdr>
        <w:jc w:val="both"/>
        <w:rPr>
          <w:rFonts w:asciiTheme="minorHAnsi" w:eastAsiaTheme="minorHAnsi" w:hAnsiTheme="minorHAnsi" w:cstheme="minorHAnsi"/>
          <w:sz w:val="22"/>
          <w:szCs w:val="22"/>
        </w:rPr>
      </w:pPr>
      <w:r w:rsidRPr="00DB0C40">
        <w:rPr>
          <w:rFonts w:asciiTheme="minorHAnsi" w:eastAsiaTheme="minorHAnsi" w:hAnsiTheme="minorHAnsi" w:cstheme="minorHAnsi"/>
          <w:sz w:val="22"/>
          <w:szCs w:val="22"/>
        </w:rPr>
        <w:t>French law requires companies with fifty employees or more to report annually on their performance in respect of gender equality and equal pay, as applied to recruitment, training, working conditions, and work–family balance, by job category. In 2018, France adopted a new labour law requiring companies to publicize their progress on women’s economic empowerment in five key areas: closing the gender wage gap; opportunities for raises; opportunities for promotion; no penalties when returning from parental leave; and women occupying 40 per cent of the ten highest-paid positions in the company. The French Government set deadlines for the publication of these results by large enterprises (more than 250 employees) and by SMEs (50-250 employees). Financial penalties (up to 1 per cent of the wage bill) can be imposed if a company refuses to report its score or if a company’s score is still below 75 out of 100 by March 2022 (or 2023 for SMEs).</w:t>
      </w:r>
    </w:p>
    <w:p w14:paraId="1C96C341" w14:textId="77777777" w:rsidR="005758B6" w:rsidRPr="00DB0C40" w:rsidRDefault="005758B6" w:rsidP="005758B6">
      <w:pPr>
        <w:pBdr>
          <w:top w:val="single" w:sz="4" w:space="1" w:color="auto"/>
          <w:left w:val="single" w:sz="4" w:space="4" w:color="auto"/>
          <w:bottom w:val="single" w:sz="4" w:space="1" w:color="auto"/>
          <w:right w:val="single" w:sz="4" w:space="4" w:color="auto"/>
        </w:pBdr>
        <w:jc w:val="both"/>
        <w:rPr>
          <w:rFonts w:asciiTheme="minorHAnsi" w:eastAsiaTheme="minorHAnsi" w:hAnsiTheme="minorHAnsi" w:cstheme="minorHAnsi"/>
          <w:sz w:val="22"/>
          <w:szCs w:val="22"/>
        </w:rPr>
      </w:pPr>
    </w:p>
    <w:p w14:paraId="5ECD440B" w14:textId="77777777" w:rsidR="005758B6" w:rsidRPr="00DB0C40" w:rsidRDefault="005758B6" w:rsidP="005758B6">
      <w:pPr>
        <w:pBdr>
          <w:top w:val="single" w:sz="4" w:space="1" w:color="auto"/>
          <w:left w:val="single" w:sz="4" w:space="4" w:color="auto"/>
          <w:bottom w:val="single" w:sz="4" w:space="1" w:color="auto"/>
          <w:right w:val="single" w:sz="4" w:space="4" w:color="auto"/>
        </w:pBdr>
        <w:jc w:val="both"/>
        <w:rPr>
          <w:rFonts w:asciiTheme="minorHAnsi" w:eastAsiaTheme="minorHAnsi" w:hAnsiTheme="minorHAnsi" w:cstheme="minorHAnsi"/>
          <w:sz w:val="22"/>
          <w:szCs w:val="22"/>
        </w:rPr>
      </w:pPr>
      <w:r w:rsidRPr="00DB0C40">
        <w:rPr>
          <w:rFonts w:asciiTheme="minorHAnsi" w:eastAsiaTheme="minorHAnsi" w:hAnsiTheme="minorHAnsi" w:cstheme="minorHAnsi"/>
          <w:sz w:val="22"/>
          <w:szCs w:val="22"/>
        </w:rPr>
        <w:t>Additionally, in 2006 France passed legislation, amended in 2010, that requires collective bargaining with the aim of defining and planning steps to eliminate the gender pay gap. This compulsory collective bargaining takes place every year during salary negotiations, or less often if an agreement is in place, and the employer must provide a report on gender equality for consideration. While a collective agreement on the issue does not have to be reached, the negotiations must be conducted seriously and in good faith. Failure to do so can result in sanctions imposed by the Higher Council for Professional Equality.</w:t>
      </w:r>
    </w:p>
    <w:p w14:paraId="03B83304" w14:textId="77777777" w:rsidR="005758B6" w:rsidRPr="00DB0C40" w:rsidRDefault="005758B6" w:rsidP="005758B6">
      <w:pPr>
        <w:pBdr>
          <w:top w:val="single" w:sz="4" w:space="1" w:color="auto"/>
          <w:left w:val="single" w:sz="4" w:space="4" w:color="auto"/>
          <w:bottom w:val="single" w:sz="4" w:space="1" w:color="auto"/>
          <w:right w:val="single" w:sz="4" w:space="4" w:color="auto"/>
        </w:pBdr>
        <w:jc w:val="both"/>
        <w:rPr>
          <w:rFonts w:asciiTheme="minorHAnsi" w:eastAsiaTheme="minorHAnsi" w:hAnsiTheme="minorHAnsi" w:cstheme="minorHAnsi"/>
          <w:sz w:val="22"/>
          <w:szCs w:val="22"/>
        </w:rPr>
      </w:pPr>
    </w:p>
    <w:p w14:paraId="4C89CBD6" w14:textId="77777777" w:rsidR="005758B6" w:rsidRPr="00DB0C40" w:rsidRDefault="005758B6" w:rsidP="005758B6">
      <w:pPr>
        <w:pBdr>
          <w:top w:val="single" w:sz="4" w:space="1" w:color="auto"/>
          <w:left w:val="single" w:sz="4" w:space="4" w:color="auto"/>
          <w:bottom w:val="single" w:sz="4" w:space="1" w:color="auto"/>
          <w:right w:val="single" w:sz="4" w:space="4" w:color="auto"/>
        </w:pBdr>
        <w:jc w:val="both"/>
        <w:rPr>
          <w:rFonts w:asciiTheme="minorHAnsi" w:eastAsiaTheme="minorHAnsi" w:hAnsiTheme="minorHAnsi" w:cstheme="minorHAnsi"/>
          <w:sz w:val="22"/>
          <w:szCs w:val="22"/>
        </w:rPr>
      </w:pPr>
      <w:r w:rsidRPr="00DB0C40">
        <w:rPr>
          <w:rFonts w:asciiTheme="minorHAnsi" w:eastAsiaTheme="minorHAnsi" w:hAnsiTheme="minorHAnsi" w:cstheme="minorHAnsi"/>
          <w:sz w:val="22"/>
          <w:szCs w:val="22"/>
        </w:rPr>
        <w:t>An analysis by the European Commission’s network of legal experts on gender equality and pay transparency legislation in the EU highlighted France’s pay reporting and pay equity collective bargaining obligations as an example of “best practice.”</w:t>
      </w:r>
    </w:p>
    <w:p w14:paraId="5D5DB119" w14:textId="77777777" w:rsidR="005758B6" w:rsidRPr="00DB0C40" w:rsidRDefault="005758B6" w:rsidP="005758B6">
      <w:pPr>
        <w:rPr>
          <w:rFonts w:asciiTheme="minorHAnsi" w:eastAsiaTheme="minorHAnsi" w:hAnsiTheme="minorHAnsi" w:cstheme="minorHAnsi"/>
          <w:sz w:val="22"/>
          <w:szCs w:val="22"/>
        </w:rPr>
      </w:pPr>
    </w:p>
    <w:p w14:paraId="6E5FFC8C" w14:textId="77777777" w:rsidR="005758B6" w:rsidRPr="00DB0C40" w:rsidRDefault="005758B6" w:rsidP="005758B6">
      <w:pPr>
        <w:rPr>
          <w:rFonts w:asciiTheme="minorHAnsi" w:eastAsiaTheme="minorHAnsi" w:hAnsiTheme="minorHAnsi" w:cstheme="minorHAnsi"/>
          <w:sz w:val="22"/>
          <w:szCs w:val="22"/>
        </w:rPr>
      </w:pPr>
    </w:p>
    <w:p w14:paraId="73687959" w14:textId="77777777" w:rsidR="005758B6" w:rsidRPr="00DB0C40" w:rsidRDefault="005758B6" w:rsidP="005758B6">
      <w:pPr>
        <w:rPr>
          <w:rFonts w:asciiTheme="minorHAnsi" w:eastAsiaTheme="minorHAnsi" w:hAnsiTheme="minorHAnsi" w:cstheme="minorHAnsi"/>
          <w:sz w:val="22"/>
          <w:szCs w:val="22"/>
        </w:rPr>
      </w:pPr>
    </w:p>
    <w:p w14:paraId="0A043A28" w14:textId="77777777" w:rsidR="005758B6" w:rsidRPr="00DB0C40" w:rsidRDefault="005758B6" w:rsidP="005758B6">
      <w:pPr>
        <w:pBdr>
          <w:top w:val="single" w:sz="4" w:space="1" w:color="auto"/>
          <w:left w:val="single" w:sz="4" w:space="4" w:color="auto"/>
          <w:bottom w:val="single" w:sz="4" w:space="1" w:color="auto"/>
          <w:right w:val="single" w:sz="4" w:space="4" w:color="auto"/>
        </w:pBdr>
        <w:rPr>
          <w:rFonts w:asciiTheme="minorHAnsi" w:eastAsiaTheme="minorHAnsi" w:hAnsiTheme="minorHAnsi" w:cstheme="minorHAnsi"/>
          <w:b/>
          <w:bCs/>
          <w:sz w:val="22"/>
          <w:szCs w:val="22"/>
        </w:rPr>
      </w:pPr>
      <w:r w:rsidRPr="00DB0C40">
        <w:rPr>
          <w:rFonts w:asciiTheme="minorHAnsi" w:eastAsiaTheme="minorHAnsi" w:hAnsiTheme="minorHAnsi" w:cstheme="minorHAnsi"/>
          <w:b/>
          <w:bCs/>
          <w:sz w:val="22"/>
          <w:szCs w:val="22"/>
        </w:rPr>
        <w:t>Improving pay transparency and working conditions (Spain)</w:t>
      </w:r>
      <w:r w:rsidRPr="00DB0C40">
        <w:rPr>
          <w:rFonts w:asciiTheme="minorHAnsi" w:eastAsiaTheme="minorHAnsi" w:hAnsiTheme="minorHAnsi" w:cstheme="minorHAnsi"/>
          <w:b/>
          <w:bCs/>
          <w:position w:val="6"/>
          <w:sz w:val="22"/>
          <w:szCs w:val="22"/>
        </w:rPr>
        <w:footnoteReference w:id="8"/>
      </w:r>
      <w:r w:rsidRPr="00DB0C40">
        <w:rPr>
          <w:rFonts w:asciiTheme="minorHAnsi" w:eastAsiaTheme="minorHAnsi" w:hAnsiTheme="minorHAnsi" w:cstheme="minorHAnsi"/>
          <w:b/>
          <w:bCs/>
          <w:sz w:val="22"/>
          <w:szCs w:val="22"/>
        </w:rPr>
        <w:tab/>
      </w:r>
    </w:p>
    <w:p w14:paraId="5F37B685" w14:textId="77777777" w:rsidR="005758B6" w:rsidRPr="00DB0C40" w:rsidRDefault="005758B6" w:rsidP="005758B6">
      <w:pPr>
        <w:pBdr>
          <w:top w:val="single" w:sz="4" w:space="1" w:color="auto"/>
          <w:left w:val="single" w:sz="4" w:space="4" w:color="auto"/>
          <w:bottom w:val="single" w:sz="4" w:space="1" w:color="auto"/>
          <w:right w:val="single" w:sz="4" w:space="4" w:color="auto"/>
        </w:pBdr>
        <w:rPr>
          <w:rFonts w:asciiTheme="minorHAnsi" w:eastAsiaTheme="minorHAnsi" w:hAnsiTheme="minorHAnsi" w:cstheme="minorHAnsi"/>
          <w:sz w:val="22"/>
          <w:szCs w:val="22"/>
        </w:rPr>
      </w:pPr>
    </w:p>
    <w:p w14:paraId="7761E9AD" w14:textId="77777777" w:rsidR="005758B6" w:rsidRPr="00DB0C40" w:rsidRDefault="005758B6" w:rsidP="005758B6">
      <w:pPr>
        <w:pBdr>
          <w:top w:val="single" w:sz="4" w:space="1" w:color="auto"/>
          <w:left w:val="single" w:sz="4" w:space="4" w:color="auto"/>
          <w:bottom w:val="single" w:sz="4" w:space="1" w:color="auto"/>
          <w:right w:val="single" w:sz="4" w:space="4" w:color="auto"/>
        </w:pBdr>
        <w:jc w:val="both"/>
        <w:rPr>
          <w:rFonts w:asciiTheme="minorHAnsi" w:eastAsiaTheme="minorHAnsi" w:hAnsiTheme="minorHAnsi" w:cstheme="minorHAnsi"/>
          <w:sz w:val="22"/>
          <w:szCs w:val="22"/>
        </w:rPr>
      </w:pPr>
      <w:r w:rsidRPr="00DB0C40">
        <w:rPr>
          <w:rFonts w:asciiTheme="minorHAnsi" w:eastAsiaTheme="minorHAnsi" w:hAnsiTheme="minorHAnsi" w:cstheme="minorHAnsi"/>
          <w:sz w:val="22"/>
          <w:szCs w:val="22"/>
        </w:rPr>
        <w:t>Spain revised its Workers Statute Law in 2011 to include domestic workers. This law regulates key aspects of decent work, such as establishing a minimum wage and maximum weekly working hours. Domestic workers, under the revised Spanish law, are also now eligible for social security coverage, health care benefits, parental leave, and contractual benefits.</w:t>
      </w:r>
    </w:p>
    <w:p w14:paraId="024E7821" w14:textId="77777777" w:rsidR="005758B6" w:rsidRPr="00DB0C40" w:rsidRDefault="005758B6" w:rsidP="005758B6">
      <w:pPr>
        <w:pBdr>
          <w:top w:val="single" w:sz="4" w:space="1" w:color="auto"/>
          <w:left w:val="single" w:sz="4" w:space="4" w:color="auto"/>
          <w:bottom w:val="single" w:sz="4" w:space="1" w:color="auto"/>
          <w:right w:val="single" w:sz="4" w:space="4" w:color="auto"/>
        </w:pBdr>
        <w:jc w:val="both"/>
        <w:rPr>
          <w:rFonts w:asciiTheme="minorHAnsi" w:eastAsiaTheme="minorHAnsi" w:hAnsiTheme="minorHAnsi" w:cstheme="minorHAnsi"/>
          <w:sz w:val="22"/>
          <w:szCs w:val="22"/>
        </w:rPr>
      </w:pPr>
    </w:p>
    <w:p w14:paraId="17633B38" w14:textId="77777777" w:rsidR="005758B6" w:rsidRPr="00DB0C40" w:rsidRDefault="005758B6" w:rsidP="005758B6">
      <w:pPr>
        <w:pBdr>
          <w:top w:val="single" w:sz="4" w:space="1" w:color="auto"/>
          <w:left w:val="single" w:sz="4" w:space="4" w:color="auto"/>
          <w:bottom w:val="single" w:sz="4" w:space="1" w:color="auto"/>
          <w:right w:val="single" w:sz="4" w:space="4" w:color="auto"/>
        </w:pBdr>
        <w:jc w:val="both"/>
        <w:rPr>
          <w:rFonts w:asciiTheme="minorHAnsi" w:eastAsiaTheme="minorHAnsi" w:hAnsiTheme="minorHAnsi" w:cstheme="minorHAnsi"/>
          <w:sz w:val="22"/>
          <w:szCs w:val="22"/>
        </w:rPr>
      </w:pPr>
      <w:r w:rsidRPr="00DB0C40">
        <w:rPr>
          <w:rFonts w:asciiTheme="minorHAnsi" w:eastAsiaTheme="minorHAnsi" w:hAnsiTheme="minorHAnsi" w:cstheme="minorHAnsi"/>
          <w:sz w:val="22"/>
          <w:szCs w:val="22"/>
        </w:rPr>
        <w:t>To increase compliance, the Labour and Social Security Inspectorate enforces the law and investigates grievances. Employers receive a government incentive for complying with this labour legislation, while the General Treasury of the Social Security Scheme has been tasked with disseminating information concerning the law. The Law also calls for impact analyses on a tripartite basis.</w:t>
      </w:r>
    </w:p>
    <w:p w14:paraId="54E393C9" w14:textId="77777777" w:rsidR="005758B6" w:rsidRPr="00DB0C40" w:rsidRDefault="005758B6" w:rsidP="005758B6">
      <w:pPr>
        <w:pBdr>
          <w:top w:val="single" w:sz="4" w:space="1" w:color="auto"/>
          <w:left w:val="single" w:sz="4" w:space="4" w:color="auto"/>
          <w:bottom w:val="single" w:sz="4" w:space="1" w:color="auto"/>
          <w:right w:val="single" w:sz="4" w:space="4" w:color="auto"/>
        </w:pBdr>
        <w:jc w:val="both"/>
        <w:rPr>
          <w:rFonts w:asciiTheme="minorHAnsi" w:eastAsiaTheme="minorHAnsi" w:hAnsiTheme="minorHAnsi" w:cstheme="minorHAnsi"/>
          <w:sz w:val="22"/>
          <w:szCs w:val="22"/>
        </w:rPr>
      </w:pPr>
    </w:p>
    <w:p w14:paraId="39A95897" w14:textId="77777777" w:rsidR="005758B6" w:rsidRPr="00DB0C40" w:rsidRDefault="005758B6" w:rsidP="005758B6">
      <w:pPr>
        <w:pBdr>
          <w:top w:val="single" w:sz="4" w:space="1" w:color="auto"/>
          <w:left w:val="single" w:sz="4" w:space="4" w:color="auto"/>
          <w:bottom w:val="single" w:sz="4" w:space="1" w:color="auto"/>
          <w:right w:val="single" w:sz="4" w:space="4" w:color="auto"/>
        </w:pBdr>
        <w:jc w:val="both"/>
        <w:rPr>
          <w:rFonts w:asciiTheme="minorHAnsi" w:eastAsiaTheme="minorHAnsi" w:hAnsiTheme="minorHAnsi" w:cstheme="minorHAnsi"/>
          <w:sz w:val="22"/>
          <w:szCs w:val="22"/>
        </w:rPr>
      </w:pPr>
      <w:r w:rsidRPr="00DB0C40">
        <w:rPr>
          <w:rFonts w:asciiTheme="minorHAnsi" w:eastAsiaTheme="minorHAnsi" w:hAnsiTheme="minorHAnsi" w:cstheme="minorHAnsi"/>
          <w:sz w:val="22"/>
          <w:szCs w:val="22"/>
        </w:rPr>
        <w:lastRenderedPageBreak/>
        <w:t>In addition, in October 2020 the Spanish Government enacted a new pay transparency law. It requires companies to release employee salary information, explaining how they decide on basic salaries and other benefits. Non-compliant companies may face fines of up to €187,000 (USD220,000). Companies with more than fifty employees will also have to file a four- year strategy for balancing the number of male and female employees in their workforce. For the Government, tackling the gender pay gap will be crucial to economic recovery and will help prevent the gap from widening because of the COVID-19 pandemic.</w:t>
      </w:r>
    </w:p>
    <w:p w14:paraId="30B87924" w14:textId="77777777" w:rsidR="005758B6" w:rsidRPr="00DB0C40" w:rsidRDefault="005758B6" w:rsidP="005758B6">
      <w:pPr>
        <w:rPr>
          <w:rFonts w:asciiTheme="minorHAnsi" w:eastAsiaTheme="minorHAnsi" w:hAnsiTheme="minorHAnsi" w:cstheme="minorHAnsi"/>
          <w:sz w:val="22"/>
          <w:szCs w:val="22"/>
        </w:rPr>
      </w:pPr>
    </w:p>
    <w:p w14:paraId="300C1D37" w14:textId="77777777" w:rsidR="005758B6" w:rsidRPr="00DB0C40" w:rsidRDefault="005758B6" w:rsidP="005758B6">
      <w:pPr>
        <w:rPr>
          <w:rFonts w:asciiTheme="minorHAnsi" w:eastAsiaTheme="minorHAnsi" w:hAnsiTheme="minorHAnsi" w:cstheme="minorHAnsi"/>
          <w:sz w:val="22"/>
          <w:szCs w:val="22"/>
        </w:rPr>
      </w:pPr>
    </w:p>
    <w:p w14:paraId="5BC9973A" w14:textId="07EFAB60" w:rsidR="005758B6" w:rsidRPr="008C01B9" w:rsidRDefault="00E6222D" w:rsidP="005758B6">
      <w:pPr>
        <w:keepNext/>
        <w:keepLines/>
        <w:spacing w:before="40"/>
        <w:outlineLvl w:val="2"/>
        <w:rPr>
          <w:rFonts w:asciiTheme="majorHAnsi" w:eastAsiaTheme="majorEastAsia" w:hAnsiTheme="majorHAnsi" w:cstheme="majorBidi"/>
          <w:color w:val="4472C4" w:themeColor="accent1"/>
        </w:rPr>
      </w:pPr>
      <w:bookmarkStart w:id="30" w:name="_Toc92359064"/>
      <w:r w:rsidRPr="00DB0C40">
        <w:rPr>
          <w:rFonts w:asciiTheme="majorHAnsi" w:eastAsiaTheme="majorEastAsia" w:hAnsiTheme="majorHAnsi" w:cstheme="majorBidi"/>
          <w:color w:val="1F3763" w:themeColor="accent1" w:themeShade="7F"/>
        </w:rPr>
        <w:t>3.4.1.</w:t>
      </w:r>
      <w:r w:rsidR="005758B6" w:rsidRPr="00DB0C40">
        <w:rPr>
          <w:rFonts w:asciiTheme="majorHAnsi" w:eastAsiaTheme="majorEastAsia" w:hAnsiTheme="majorHAnsi" w:cstheme="majorBidi"/>
          <w:color w:val="1F3763" w:themeColor="accent1" w:themeShade="7F"/>
        </w:rPr>
        <w:t xml:space="preserve">3. Laws and </w:t>
      </w:r>
      <w:r w:rsidR="00AE67F2">
        <w:rPr>
          <w:rFonts w:asciiTheme="majorHAnsi" w:eastAsiaTheme="majorEastAsia" w:hAnsiTheme="majorHAnsi" w:cstheme="majorBidi"/>
          <w:color w:val="1F3763" w:themeColor="accent1" w:themeShade="7F"/>
        </w:rPr>
        <w:t>P</w:t>
      </w:r>
      <w:r w:rsidR="005758B6" w:rsidRPr="00DB0C40">
        <w:rPr>
          <w:rFonts w:asciiTheme="majorHAnsi" w:eastAsiaTheme="majorEastAsia" w:hAnsiTheme="majorHAnsi" w:cstheme="majorBidi"/>
          <w:color w:val="1F3763" w:themeColor="accent1" w:themeShade="7F"/>
        </w:rPr>
        <w:t>olicies during COVID</w:t>
      </w:r>
      <w:bookmarkEnd w:id="30"/>
      <w:r w:rsidR="006667C7">
        <w:rPr>
          <w:rFonts w:asciiTheme="majorHAnsi" w:eastAsiaTheme="majorEastAsia" w:hAnsiTheme="majorHAnsi" w:cstheme="majorBidi"/>
          <w:color w:val="1F3763" w:themeColor="accent1" w:themeShade="7F"/>
        </w:rPr>
        <w:t xml:space="preserve"> </w:t>
      </w:r>
      <w:r w:rsidR="006667C7" w:rsidRPr="008C01B9">
        <w:rPr>
          <w:rFonts w:asciiTheme="majorHAnsi" w:eastAsiaTheme="majorEastAsia" w:hAnsiTheme="majorHAnsi" w:cstheme="majorBidi"/>
          <w:color w:val="4472C4" w:themeColor="accent1"/>
        </w:rPr>
        <w:t xml:space="preserve">related to </w:t>
      </w:r>
      <w:r w:rsidR="00F23644">
        <w:rPr>
          <w:rFonts w:asciiTheme="majorHAnsi" w:eastAsiaTheme="majorEastAsia" w:hAnsiTheme="majorHAnsi" w:cstheme="majorBidi"/>
          <w:color w:val="4472C4" w:themeColor="accent1"/>
        </w:rPr>
        <w:t>e</w:t>
      </w:r>
      <w:r w:rsidR="006667C7" w:rsidRPr="008C01B9">
        <w:rPr>
          <w:rFonts w:asciiTheme="majorHAnsi" w:eastAsiaTheme="majorEastAsia" w:hAnsiTheme="majorHAnsi" w:cstheme="majorBidi"/>
          <w:color w:val="4472C4" w:themeColor="accent1"/>
        </w:rPr>
        <w:t xml:space="preserve">qual </w:t>
      </w:r>
      <w:r w:rsidR="00F23644">
        <w:rPr>
          <w:rFonts w:asciiTheme="majorHAnsi" w:eastAsiaTheme="majorEastAsia" w:hAnsiTheme="majorHAnsi" w:cstheme="majorBidi"/>
          <w:color w:val="4472C4" w:themeColor="accent1"/>
        </w:rPr>
        <w:t>p</w:t>
      </w:r>
      <w:r w:rsidR="006667C7" w:rsidRPr="008C01B9">
        <w:rPr>
          <w:rFonts w:asciiTheme="majorHAnsi" w:eastAsiaTheme="majorEastAsia" w:hAnsiTheme="majorHAnsi" w:cstheme="majorBidi"/>
          <w:color w:val="4472C4" w:themeColor="accent1"/>
        </w:rPr>
        <w:t>ay</w:t>
      </w:r>
    </w:p>
    <w:p w14:paraId="661A38D6" w14:textId="77777777" w:rsidR="00AE67F2" w:rsidRPr="008C01B9" w:rsidRDefault="00AE67F2" w:rsidP="005758B6">
      <w:pPr>
        <w:jc w:val="both"/>
        <w:rPr>
          <w:rFonts w:asciiTheme="minorHAnsi" w:hAnsiTheme="minorHAnsi" w:cstheme="minorHAnsi"/>
          <w:color w:val="4472C4" w:themeColor="accent1"/>
          <w:sz w:val="22"/>
          <w:szCs w:val="22"/>
        </w:rPr>
      </w:pPr>
    </w:p>
    <w:p w14:paraId="5FBB7A83" w14:textId="432463EC" w:rsidR="005758B6" w:rsidRPr="00DB0C40" w:rsidRDefault="005758B6" w:rsidP="005758B6">
      <w:pPr>
        <w:jc w:val="both"/>
        <w:rPr>
          <w:rFonts w:asciiTheme="minorHAnsi" w:hAnsiTheme="minorHAnsi" w:cstheme="minorHAnsi"/>
          <w:sz w:val="22"/>
          <w:szCs w:val="22"/>
        </w:rPr>
      </w:pPr>
      <w:r w:rsidRPr="00DB0C40">
        <w:rPr>
          <w:rFonts w:asciiTheme="minorHAnsi" w:hAnsiTheme="minorHAnsi" w:cstheme="minorHAnsi"/>
          <w:sz w:val="22"/>
          <w:szCs w:val="22"/>
        </w:rPr>
        <w:t>The COVID-19 pandemic is worsening the social and economic situation of women, and threatening the recent progress made in reducing the gender pay gap in some countries. In 2021, 435 million women and girls around the world will be living in extreme poverty (on less than USD1.90 a day), including forty-seven million impoverished because of the COVID-19 pandemic.</w:t>
      </w:r>
      <w:r w:rsidRPr="00DB0C40">
        <w:rPr>
          <w:rFonts w:asciiTheme="minorHAnsi" w:hAnsiTheme="minorHAnsi" w:cstheme="minorHAnsi"/>
          <w:position w:val="6"/>
          <w:sz w:val="22"/>
          <w:szCs w:val="22"/>
        </w:rPr>
        <w:footnoteReference w:id="9"/>
      </w:r>
    </w:p>
    <w:p w14:paraId="3657E9C1" w14:textId="77777777" w:rsidR="005758B6" w:rsidRPr="00DB0C40" w:rsidRDefault="005758B6" w:rsidP="005758B6">
      <w:pPr>
        <w:jc w:val="both"/>
        <w:rPr>
          <w:rFonts w:asciiTheme="minorHAnsi" w:hAnsiTheme="minorHAnsi" w:cstheme="minorHAnsi"/>
          <w:sz w:val="22"/>
          <w:szCs w:val="22"/>
        </w:rPr>
      </w:pPr>
    </w:p>
    <w:p w14:paraId="65AF55BF" w14:textId="77777777" w:rsidR="005758B6" w:rsidRPr="00DB0C40" w:rsidRDefault="005758B6" w:rsidP="005758B6">
      <w:pPr>
        <w:rPr>
          <w:rFonts w:asciiTheme="minorHAnsi" w:hAnsiTheme="minorHAnsi" w:cstheme="minorHAnsi"/>
          <w:sz w:val="22"/>
          <w:szCs w:val="22"/>
        </w:rPr>
      </w:pPr>
      <w:r w:rsidRPr="00DB0C40">
        <w:rPr>
          <w:rFonts w:asciiTheme="minorHAnsi" w:hAnsiTheme="minorHAnsi" w:cstheme="minorHAnsi"/>
          <w:sz w:val="22"/>
          <w:szCs w:val="22"/>
        </w:rPr>
        <w:t>Governments are taking action to support workers and families during the pandemic, including some of these crisis-response measures to support women’s jobs and income:</w:t>
      </w:r>
    </w:p>
    <w:p w14:paraId="127968EA" w14:textId="77777777" w:rsidR="005758B6" w:rsidRPr="00DB0C40" w:rsidRDefault="005758B6" w:rsidP="005758B6">
      <w:pPr>
        <w:rPr>
          <w:rFonts w:asciiTheme="minorHAnsi" w:hAnsiTheme="minorHAnsi" w:cstheme="minorHAnsi"/>
          <w:sz w:val="22"/>
          <w:szCs w:val="22"/>
        </w:rPr>
      </w:pPr>
    </w:p>
    <w:p w14:paraId="56BA9B65" w14:textId="77777777" w:rsidR="005758B6" w:rsidRPr="00DB0C40" w:rsidRDefault="005758B6" w:rsidP="005758B6">
      <w:pPr>
        <w:pBdr>
          <w:top w:val="single" w:sz="4" w:space="1" w:color="auto"/>
          <w:left w:val="single" w:sz="4" w:space="4" w:color="auto"/>
          <w:bottom w:val="single" w:sz="4" w:space="1" w:color="auto"/>
          <w:right w:val="single" w:sz="4" w:space="4" w:color="auto"/>
        </w:pBdr>
        <w:jc w:val="both"/>
        <w:rPr>
          <w:rFonts w:asciiTheme="minorHAnsi" w:hAnsiTheme="minorHAnsi" w:cstheme="minorHAnsi"/>
          <w:sz w:val="22"/>
          <w:szCs w:val="22"/>
        </w:rPr>
      </w:pPr>
      <w:r w:rsidRPr="00DB0C40">
        <w:rPr>
          <w:rFonts w:asciiTheme="minorHAnsi" w:hAnsiTheme="minorHAnsi" w:cstheme="minorHAnsi"/>
          <w:sz w:val="22"/>
          <w:szCs w:val="22"/>
        </w:rPr>
        <w:t>•</w:t>
      </w:r>
      <w:r w:rsidRPr="00DB0C40">
        <w:rPr>
          <w:rFonts w:asciiTheme="minorHAnsi" w:hAnsiTheme="minorHAnsi" w:cstheme="minorHAnsi"/>
          <w:sz w:val="22"/>
          <w:szCs w:val="22"/>
        </w:rPr>
        <w:tab/>
        <w:t>Austria, Belgium, Denmark, France, Germany, Ireland, Italy, Spain, the United Kingdom, and the United States (26 states) are among those that have introduced new allowances or expanded access to pre-existing schemes, to compensate for the reduction in working hours in companies affected by the pandemic.</w:t>
      </w:r>
    </w:p>
    <w:p w14:paraId="4FE848FB" w14:textId="77777777" w:rsidR="005758B6" w:rsidRPr="00DB0C40" w:rsidRDefault="005758B6" w:rsidP="005758B6">
      <w:pPr>
        <w:pBdr>
          <w:top w:val="single" w:sz="4" w:space="1" w:color="auto"/>
          <w:left w:val="single" w:sz="4" w:space="4" w:color="auto"/>
          <w:bottom w:val="single" w:sz="4" w:space="1" w:color="auto"/>
          <w:right w:val="single" w:sz="4" w:space="4" w:color="auto"/>
        </w:pBdr>
        <w:jc w:val="both"/>
        <w:rPr>
          <w:rFonts w:asciiTheme="minorHAnsi" w:hAnsiTheme="minorHAnsi" w:cstheme="minorHAnsi"/>
          <w:sz w:val="22"/>
          <w:szCs w:val="22"/>
        </w:rPr>
      </w:pPr>
      <w:r w:rsidRPr="00DB0C40">
        <w:rPr>
          <w:rFonts w:asciiTheme="minorHAnsi" w:hAnsiTheme="minorHAnsi" w:cstheme="minorHAnsi"/>
          <w:sz w:val="22"/>
          <w:szCs w:val="22"/>
        </w:rPr>
        <w:t>•</w:t>
      </w:r>
      <w:r w:rsidRPr="00DB0C40">
        <w:rPr>
          <w:rFonts w:asciiTheme="minorHAnsi" w:hAnsiTheme="minorHAnsi" w:cstheme="minorHAnsi"/>
          <w:sz w:val="22"/>
          <w:szCs w:val="22"/>
        </w:rPr>
        <w:tab/>
        <w:t>In Australia, 6.5 million lower-income workers with benefit entitlements received a one-off lump-sum payment of AUD 750.66 Ireland made provisions for a new social welfare payment programme to support employees and self-employed people facing unemployment due to the COVID-19 emergency.</w:t>
      </w:r>
    </w:p>
    <w:p w14:paraId="1D44B67A" w14:textId="77777777" w:rsidR="005758B6" w:rsidRPr="00DB0C40" w:rsidRDefault="005758B6" w:rsidP="005758B6">
      <w:pPr>
        <w:pBdr>
          <w:top w:val="single" w:sz="4" w:space="1" w:color="auto"/>
          <w:left w:val="single" w:sz="4" w:space="4" w:color="auto"/>
          <w:bottom w:val="single" w:sz="4" w:space="1" w:color="auto"/>
          <w:right w:val="single" w:sz="4" w:space="4" w:color="auto"/>
        </w:pBdr>
        <w:jc w:val="both"/>
        <w:rPr>
          <w:rFonts w:asciiTheme="minorHAnsi" w:hAnsiTheme="minorHAnsi" w:cstheme="minorHAnsi"/>
          <w:sz w:val="22"/>
          <w:szCs w:val="22"/>
        </w:rPr>
      </w:pPr>
      <w:r w:rsidRPr="00DB0C40">
        <w:rPr>
          <w:rFonts w:asciiTheme="minorHAnsi" w:hAnsiTheme="minorHAnsi" w:cstheme="minorHAnsi"/>
          <w:sz w:val="22"/>
          <w:szCs w:val="22"/>
        </w:rPr>
        <w:t>•</w:t>
      </w:r>
      <w:r w:rsidRPr="00DB0C40">
        <w:rPr>
          <w:rFonts w:asciiTheme="minorHAnsi" w:hAnsiTheme="minorHAnsi" w:cstheme="minorHAnsi"/>
          <w:sz w:val="22"/>
          <w:szCs w:val="22"/>
        </w:rPr>
        <w:tab/>
        <w:t>In France and Italy, self-employed workers benefited from a tax-free lump-sum payment of</w:t>
      </w:r>
    </w:p>
    <w:p w14:paraId="7019325F" w14:textId="77777777" w:rsidR="005758B6" w:rsidRPr="00DB0C40" w:rsidRDefault="005758B6" w:rsidP="005758B6">
      <w:pPr>
        <w:pBdr>
          <w:top w:val="single" w:sz="4" w:space="1" w:color="auto"/>
          <w:left w:val="single" w:sz="4" w:space="4" w:color="auto"/>
          <w:bottom w:val="single" w:sz="4" w:space="1" w:color="auto"/>
          <w:right w:val="single" w:sz="4" w:space="4" w:color="auto"/>
        </w:pBdr>
        <w:jc w:val="both"/>
        <w:rPr>
          <w:rFonts w:asciiTheme="minorHAnsi" w:hAnsiTheme="minorHAnsi" w:cstheme="minorHAnsi"/>
          <w:sz w:val="22"/>
          <w:szCs w:val="22"/>
        </w:rPr>
      </w:pPr>
      <w:r w:rsidRPr="00DB0C40">
        <w:rPr>
          <w:rFonts w:asciiTheme="minorHAnsi" w:hAnsiTheme="minorHAnsi" w:cstheme="minorHAnsi"/>
          <w:sz w:val="22"/>
          <w:szCs w:val="22"/>
        </w:rPr>
        <w:t>€1,500 and €600, respectively. In the United Kingdom, the allowance for low-income self-employed workers covers 80 per cent of their average monthly earnings (up to £2,500).</w:t>
      </w:r>
    </w:p>
    <w:p w14:paraId="11AE4E5E" w14:textId="77777777" w:rsidR="005758B6" w:rsidRPr="00DB0C40" w:rsidRDefault="005758B6" w:rsidP="005758B6">
      <w:pPr>
        <w:pBdr>
          <w:top w:val="single" w:sz="4" w:space="1" w:color="auto"/>
          <w:left w:val="single" w:sz="4" w:space="4" w:color="auto"/>
          <w:bottom w:val="single" w:sz="4" w:space="1" w:color="auto"/>
          <w:right w:val="single" w:sz="4" w:space="4" w:color="auto"/>
        </w:pBdr>
        <w:jc w:val="both"/>
        <w:rPr>
          <w:rFonts w:asciiTheme="minorHAnsi" w:hAnsiTheme="minorHAnsi" w:cstheme="minorHAnsi"/>
          <w:sz w:val="22"/>
          <w:szCs w:val="22"/>
        </w:rPr>
      </w:pPr>
      <w:r w:rsidRPr="00DB0C40">
        <w:rPr>
          <w:rFonts w:asciiTheme="minorHAnsi" w:hAnsiTheme="minorHAnsi" w:cstheme="minorHAnsi"/>
          <w:sz w:val="22"/>
          <w:szCs w:val="22"/>
        </w:rPr>
        <w:t>•</w:t>
      </w:r>
      <w:r w:rsidRPr="00DB0C40">
        <w:rPr>
          <w:rFonts w:asciiTheme="minorHAnsi" w:hAnsiTheme="minorHAnsi" w:cstheme="minorHAnsi"/>
          <w:sz w:val="22"/>
          <w:szCs w:val="22"/>
        </w:rPr>
        <w:tab/>
        <w:t>In France, a temporary lump-sum payment of €500 was paid directly by the public employment service to workers who lost their jobs but were not eligible for unemployment insurance. Financial aid was also provided to 800,000 low-income young people under the age of twenty-five experiencing unemployment and financial hardship during the pandemic.</w:t>
      </w:r>
    </w:p>
    <w:p w14:paraId="67011655" w14:textId="77777777" w:rsidR="005758B6" w:rsidRPr="00DB0C40" w:rsidRDefault="005758B6" w:rsidP="005758B6">
      <w:pPr>
        <w:pBdr>
          <w:top w:val="single" w:sz="4" w:space="1" w:color="auto"/>
          <w:left w:val="single" w:sz="4" w:space="4" w:color="auto"/>
          <w:bottom w:val="single" w:sz="4" w:space="1" w:color="auto"/>
          <w:right w:val="single" w:sz="4" w:space="4" w:color="auto"/>
        </w:pBdr>
        <w:jc w:val="both"/>
        <w:rPr>
          <w:rFonts w:asciiTheme="minorHAnsi" w:hAnsiTheme="minorHAnsi" w:cstheme="minorHAnsi"/>
          <w:sz w:val="22"/>
          <w:szCs w:val="22"/>
        </w:rPr>
      </w:pPr>
      <w:r w:rsidRPr="00DB0C40">
        <w:rPr>
          <w:rFonts w:asciiTheme="minorHAnsi" w:hAnsiTheme="minorHAnsi" w:cstheme="minorHAnsi"/>
          <w:sz w:val="22"/>
          <w:szCs w:val="22"/>
        </w:rPr>
        <w:t>•</w:t>
      </w:r>
      <w:r w:rsidRPr="00DB0C40">
        <w:rPr>
          <w:rFonts w:asciiTheme="minorHAnsi" w:hAnsiTheme="minorHAnsi" w:cstheme="minorHAnsi"/>
          <w:sz w:val="22"/>
          <w:szCs w:val="22"/>
        </w:rPr>
        <w:tab/>
        <w:t>In France, healthcare staff in the departments most affected by the COVID-19 epidemic received a tax-free bonus payment of €1,500 and an increased overtime payment.</w:t>
      </w:r>
    </w:p>
    <w:p w14:paraId="2FC29ED6" w14:textId="77777777" w:rsidR="005758B6" w:rsidRPr="00DB0C40" w:rsidRDefault="005758B6" w:rsidP="005758B6">
      <w:pPr>
        <w:pBdr>
          <w:top w:val="single" w:sz="4" w:space="1" w:color="auto"/>
          <w:left w:val="single" w:sz="4" w:space="4" w:color="auto"/>
          <w:bottom w:val="single" w:sz="4" w:space="1" w:color="auto"/>
          <w:right w:val="single" w:sz="4" w:space="4" w:color="auto"/>
        </w:pBdr>
        <w:jc w:val="both"/>
        <w:rPr>
          <w:rFonts w:asciiTheme="minorHAnsi" w:hAnsiTheme="minorHAnsi" w:cstheme="minorHAnsi"/>
          <w:sz w:val="22"/>
          <w:szCs w:val="22"/>
        </w:rPr>
      </w:pPr>
      <w:r w:rsidRPr="00DB0C40">
        <w:rPr>
          <w:rFonts w:asciiTheme="minorHAnsi" w:hAnsiTheme="minorHAnsi" w:cstheme="minorHAnsi"/>
          <w:sz w:val="22"/>
          <w:szCs w:val="22"/>
        </w:rPr>
        <w:t>•</w:t>
      </w:r>
      <w:r w:rsidRPr="00DB0C40">
        <w:rPr>
          <w:rFonts w:asciiTheme="minorHAnsi" w:hAnsiTheme="minorHAnsi" w:cstheme="minorHAnsi"/>
          <w:sz w:val="22"/>
          <w:szCs w:val="22"/>
        </w:rPr>
        <w:tab/>
        <w:t xml:space="preserve">Most European Union countries and the United States have introduced measures to support companies, including the extension of deadlines for income tax declarations, suspension of social insurance contributions, and the granting of interest- and collateral-free loans. </w:t>
      </w:r>
      <w:r w:rsidRPr="00DB0C40">
        <w:rPr>
          <w:rFonts w:asciiTheme="minorHAnsi" w:hAnsiTheme="minorHAnsi" w:cstheme="minorHAnsi"/>
          <w:position w:val="6"/>
          <w:sz w:val="22"/>
          <w:szCs w:val="22"/>
        </w:rPr>
        <w:footnoteReference w:id="10"/>
      </w:r>
    </w:p>
    <w:p w14:paraId="5854370E" w14:textId="77777777" w:rsidR="005758B6" w:rsidRPr="00DB0C40" w:rsidRDefault="005758B6" w:rsidP="005758B6">
      <w:pPr>
        <w:rPr>
          <w:rFonts w:asciiTheme="minorHAnsi" w:eastAsiaTheme="minorHAnsi" w:hAnsiTheme="minorHAnsi" w:cstheme="minorHAnsi"/>
          <w:sz w:val="22"/>
          <w:szCs w:val="22"/>
        </w:rPr>
      </w:pPr>
    </w:p>
    <w:p w14:paraId="31D10095" w14:textId="4DEB8DE3" w:rsidR="005758B6" w:rsidRPr="00DB0C40" w:rsidRDefault="00E6222D" w:rsidP="005758B6">
      <w:pPr>
        <w:keepNext/>
        <w:keepLines/>
        <w:spacing w:before="40"/>
        <w:outlineLvl w:val="1"/>
        <w:rPr>
          <w:rFonts w:asciiTheme="majorHAnsi" w:eastAsiaTheme="majorEastAsia" w:hAnsiTheme="majorHAnsi" w:cstheme="majorBidi"/>
          <w:color w:val="2F5496" w:themeColor="accent1" w:themeShade="BF"/>
          <w:sz w:val="26"/>
          <w:szCs w:val="26"/>
        </w:rPr>
      </w:pPr>
      <w:bookmarkStart w:id="31" w:name="_Hlk104987125"/>
      <w:bookmarkStart w:id="32" w:name="_Toc92359065"/>
      <w:r w:rsidRPr="00DB0C40">
        <w:rPr>
          <w:rFonts w:asciiTheme="majorHAnsi" w:eastAsiaTheme="majorEastAsia" w:hAnsiTheme="majorHAnsi" w:cstheme="majorBidi"/>
          <w:color w:val="2F5496" w:themeColor="accent1" w:themeShade="BF"/>
          <w:sz w:val="26"/>
          <w:szCs w:val="26"/>
        </w:rPr>
        <w:t>3.4.</w:t>
      </w:r>
      <w:r w:rsidR="004977F9" w:rsidRPr="00DB0C40">
        <w:rPr>
          <w:rFonts w:asciiTheme="majorHAnsi" w:eastAsiaTheme="majorEastAsia" w:hAnsiTheme="majorHAnsi" w:cstheme="majorBidi"/>
          <w:color w:val="2F5496" w:themeColor="accent1" w:themeShade="BF"/>
          <w:sz w:val="26"/>
          <w:szCs w:val="26"/>
        </w:rPr>
        <w:t>2</w:t>
      </w:r>
      <w:r w:rsidRPr="00DB0C40">
        <w:rPr>
          <w:rFonts w:asciiTheme="majorHAnsi" w:eastAsiaTheme="majorEastAsia" w:hAnsiTheme="majorHAnsi" w:cstheme="majorBidi"/>
          <w:color w:val="2F5496" w:themeColor="accent1" w:themeShade="BF"/>
          <w:sz w:val="26"/>
          <w:szCs w:val="26"/>
        </w:rPr>
        <w:t>.</w:t>
      </w:r>
      <w:r w:rsidR="005758B6" w:rsidRPr="00DB0C40">
        <w:rPr>
          <w:rFonts w:asciiTheme="majorHAnsi" w:eastAsiaTheme="majorEastAsia" w:hAnsiTheme="majorHAnsi" w:cstheme="majorBidi"/>
          <w:color w:val="2F5496" w:themeColor="accent1" w:themeShade="BF"/>
          <w:sz w:val="26"/>
          <w:szCs w:val="26"/>
        </w:rPr>
        <w:t xml:space="preserve"> </w:t>
      </w:r>
      <w:bookmarkEnd w:id="31"/>
      <w:r w:rsidR="005758B6" w:rsidRPr="00DB0C40">
        <w:rPr>
          <w:rFonts w:asciiTheme="majorHAnsi" w:eastAsiaTheme="majorEastAsia" w:hAnsiTheme="majorHAnsi" w:cstheme="majorBidi"/>
          <w:color w:val="2F5496" w:themeColor="accent1" w:themeShade="BF"/>
          <w:sz w:val="26"/>
          <w:szCs w:val="26"/>
        </w:rPr>
        <w:t>Preventing and ending mobbing, gender-based violence and harassment in the world of work</w:t>
      </w:r>
      <w:bookmarkEnd w:id="32"/>
    </w:p>
    <w:p w14:paraId="3A102E91" w14:textId="77777777" w:rsidR="005758B6" w:rsidRPr="00DB0C40" w:rsidRDefault="005758B6" w:rsidP="005758B6">
      <w:pPr>
        <w:rPr>
          <w:rFonts w:asciiTheme="minorHAnsi" w:eastAsiaTheme="minorHAnsi" w:hAnsiTheme="minorHAnsi" w:cstheme="minorHAnsi"/>
          <w:sz w:val="22"/>
          <w:szCs w:val="22"/>
        </w:rPr>
      </w:pPr>
    </w:p>
    <w:p w14:paraId="19D753BC" w14:textId="77777777" w:rsidR="005758B6" w:rsidRPr="00DB0C40" w:rsidRDefault="005758B6" w:rsidP="005758B6">
      <w:pPr>
        <w:jc w:val="both"/>
        <w:rPr>
          <w:rFonts w:asciiTheme="minorHAnsi" w:eastAsiaTheme="minorHAnsi" w:hAnsiTheme="minorHAnsi" w:cstheme="minorHAnsi"/>
          <w:sz w:val="22"/>
          <w:szCs w:val="22"/>
        </w:rPr>
      </w:pPr>
      <w:r w:rsidRPr="00DB0C40">
        <w:rPr>
          <w:rFonts w:asciiTheme="minorHAnsi" w:eastAsiaTheme="minorHAnsi" w:hAnsiTheme="minorHAnsi" w:cstheme="minorHAnsi"/>
          <w:sz w:val="22"/>
          <w:szCs w:val="22"/>
        </w:rPr>
        <w:lastRenderedPageBreak/>
        <w:t xml:space="preserve">Many Reports have been written on the prevalence of mobbing or other types of violence in work. According to ILO, UN Women and other international organisations, </w:t>
      </w:r>
      <w:r w:rsidRPr="00DB0C40">
        <w:rPr>
          <w:rFonts w:asciiTheme="minorHAnsi" w:eastAsiaTheme="minorHAnsi" w:hAnsiTheme="minorHAnsi" w:cstheme="minorHAnsi"/>
          <w:b/>
          <w:bCs/>
          <w:i/>
          <w:iCs/>
          <w:sz w:val="22"/>
          <w:szCs w:val="22"/>
        </w:rPr>
        <w:t>Gender-based violence and harassment (GBVH), including sexual harassment</w:t>
      </w:r>
      <w:r w:rsidRPr="00DB0C40">
        <w:rPr>
          <w:rFonts w:asciiTheme="minorHAnsi" w:eastAsiaTheme="minorHAnsi" w:hAnsiTheme="minorHAnsi" w:cstheme="minorHAnsi"/>
          <w:sz w:val="22"/>
          <w:szCs w:val="22"/>
        </w:rPr>
        <w:t>, is incompatible with decent work yet remains pervasive around the world, irrespective of sector or level of income. Globally, more than 30 per cent of women over the age of fifteen have experienced physical and/or sexual violence, 50 per cent have experienced sexual harassment, and 10 per cent have experienced harassment online (cyber harassment).</w:t>
      </w:r>
      <w:r w:rsidRPr="00DB0C40">
        <w:rPr>
          <w:rFonts w:asciiTheme="minorHAnsi" w:eastAsiaTheme="minorHAnsi" w:hAnsiTheme="minorHAnsi" w:cstheme="minorHAnsi"/>
          <w:position w:val="6"/>
          <w:sz w:val="22"/>
          <w:szCs w:val="22"/>
        </w:rPr>
        <w:footnoteReference w:id="11"/>
      </w:r>
    </w:p>
    <w:p w14:paraId="74B40BB7" w14:textId="77777777" w:rsidR="005758B6" w:rsidRPr="00DB0C40" w:rsidRDefault="005758B6" w:rsidP="005758B6">
      <w:pPr>
        <w:jc w:val="both"/>
        <w:rPr>
          <w:rFonts w:asciiTheme="minorHAnsi" w:eastAsiaTheme="minorHAnsi" w:hAnsiTheme="minorHAnsi" w:cstheme="minorHAnsi"/>
          <w:sz w:val="22"/>
          <w:szCs w:val="22"/>
        </w:rPr>
      </w:pPr>
    </w:p>
    <w:p w14:paraId="3A326311" w14:textId="77777777" w:rsidR="005758B6" w:rsidRPr="00DB0C40" w:rsidRDefault="005758B6" w:rsidP="005758B6">
      <w:pPr>
        <w:jc w:val="both"/>
        <w:rPr>
          <w:rFonts w:asciiTheme="minorHAnsi" w:eastAsiaTheme="minorHAnsi" w:hAnsiTheme="minorHAnsi" w:cstheme="minorHAnsi"/>
          <w:sz w:val="22"/>
          <w:szCs w:val="22"/>
        </w:rPr>
      </w:pPr>
      <w:r w:rsidRPr="00DB0C40">
        <w:rPr>
          <w:rFonts w:asciiTheme="minorHAnsi" w:eastAsiaTheme="minorHAnsi" w:hAnsiTheme="minorHAnsi" w:cstheme="minorHAnsi"/>
          <w:sz w:val="22"/>
          <w:szCs w:val="22"/>
        </w:rPr>
        <w:t>The occurrence of mobbing or any kind of violence, entails excessive financial and psychological costs for victims, companies, and the national economy. Those experiencing mobbing, violence and harassment at work can suffer harm to their psychological, physical, and sexual health, including physical injuries, anxiety, depression, stress, and other lasting impacts of trauma, including harm to their dignity and to their family and social environment.</w:t>
      </w:r>
    </w:p>
    <w:p w14:paraId="3A0F591F" w14:textId="77777777" w:rsidR="005758B6" w:rsidRPr="00DB0C40" w:rsidRDefault="005758B6" w:rsidP="005758B6">
      <w:pPr>
        <w:jc w:val="both"/>
        <w:rPr>
          <w:rFonts w:asciiTheme="minorHAnsi" w:eastAsiaTheme="minorHAnsi" w:hAnsiTheme="minorHAnsi" w:cstheme="minorHAnsi"/>
          <w:sz w:val="22"/>
          <w:szCs w:val="22"/>
        </w:rPr>
      </w:pPr>
    </w:p>
    <w:p w14:paraId="79DABAD9" w14:textId="77777777" w:rsidR="005758B6" w:rsidRPr="00DB0C40" w:rsidRDefault="005758B6" w:rsidP="005758B6">
      <w:pPr>
        <w:jc w:val="both"/>
        <w:rPr>
          <w:rFonts w:asciiTheme="minorHAnsi" w:eastAsiaTheme="minorHAnsi" w:hAnsiTheme="minorHAnsi" w:cstheme="minorHAnsi"/>
          <w:sz w:val="22"/>
          <w:szCs w:val="22"/>
        </w:rPr>
      </w:pPr>
      <w:r w:rsidRPr="00DB0C40">
        <w:rPr>
          <w:rFonts w:asciiTheme="minorHAnsi" w:eastAsiaTheme="minorHAnsi" w:hAnsiTheme="minorHAnsi" w:cstheme="minorHAnsi"/>
          <w:sz w:val="22"/>
          <w:szCs w:val="22"/>
        </w:rPr>
        <w:t xml:space="preserve">Mobbing or violence negatively impacts women’s economic empowerment. Women are more likely to leave the workplace or change jobs, resulting in financial stress. </w:t>
      </w:r>
    </w:p>
    <w:p w14:paraId="573F06B3" w14:textId="77777777" w:rsidR="005758B6" w:rsidRPr="00DB0C40" w:rsidRDefault="005758B6" w:rsidP="005758B6">
      <w:pPr>
        <w:jc w:val="both"/>
        <w:rPr>
          <w:rFonts w:asciiTheme="minorHAnsi" w:eastAsiaTheme="minorHAnsi" w:hAnsiTheme="minorHAnsi" w:cstheme="minorHAnsi"/>
          <w:sz w:val="22"/>
          <w:szCs w:val="22"/>
        </w:rPr>
      </w:pPr>
    </w:p>
    <w:p w14:paraId="27F0E236" w14:textId="38E3A5C9" w:rsidR="005758B6" w:rsidRPr="00DB0C40" w:rsidRDefault="00E6222D" w:rsidP="005758B6">
      <w:pPr>
        <w:keepNext/>
        <w:keepLines/>
        <w:spacing w:before="40"/>
        <w:outlineLvl w:val="2"/>
        <w:rPr>
          <w:rFonts w:asciiTheme="majorHAnsi" w:eastAsiaTheme="majorEastAsia" w:hAnsiTheme="majorHAnsi" w:cstheme="majorBidi"/>
          <w:color w:val="1F3763" w:themeColor="accent1" w:themeShade="7F"/>
        </w:rPr>
      </w:pPr>
      <w:bookmarkStart w:id="33" w:name="_Toc92359066"/>
      <w:r w:rsidRPr="00DB0C40">
        <w:rPr>
          <w:rFonts w:asciiTheme="majorHAnsi" w:eastAsiaTheme="majorEastAsia" w:hAnsiTheme="majorHAnsi" w:cstheme="majorBidi"/>
          <w:color w:val="1F3763" w:themeColor="accent1" w:themeShade="7F"/>
        </w:rPr>
        <w:t>3.4.</w:t>
      </w:r>
      <w:r w:rsidR="004977F9" w:rsidRPr="00DB0C40">
        <w:rPr>
          <w:rFonts w:asciiTheme="majorHAnsi" w:eastAsiaTheme="majorEastAsia" w:hAnsiTheme="majorHAnsi" w:cstheme="majorBidi"/>
          <w:color w:val="1F3763" w:themeColor="accent1" w:themeShade="7F"/>
        </w:rPr>
        <w:t>2</w:t>
      </w:r>
      <w:r w:rsidRPr="00DB0C40">
        <w:rPr>
          <w:rFonts w:asciiTheme="majorHAnsi" w:eastAsiaTheme="majorEastAsia" w:hAnsiTheme="majorHAnsi" w:cstheme="majorBidi"/>
          <w:color w:val="1F3763" w:themeColor="accent1" w:themeShade="7F"/>
        </w:rPr>
        <w:t>.</w:t>
      </w:r>
      <w:r w:rsidR="004977F9" w:rsidRPr="00DB0C40">
        <w:rPr>
          <w:rFonts w:asciiTheme="majorHAnsi" w:eastAsiaTheme="majorEastAsia" w:hAnsiTheme="majorHAnsi" w:cstheme="majorBidi"/>
          <w:color w:val="1F3763" w:themeColor="accent1" w:themeShade="7F"/>
        </w:rPr>
        <w:t>1</w:t>
      </w:r>
      <w:r w:rsidR="005758B6" w:rsidRPr="00DB0C40">
        <w:rPr>
          <w:rFonts w:asciiTheme="majorHAnsi" w:eastAsiaTheme="majorEastAsia" w:hAnsiTheme="majorHAnsi" w:cstheme="majorBidi"/>
          <w:color w:val="1F3763" w:themeColor="accent1" w:themeShade="7F"/>
        </w:rPr>
        <w:t xml:space="preserve">. </w:t>
      </w:r>
      <w:bookmarkStart w:id="34" w:name="_Hlk107135955"/>
      <w:r w:rsidR="005758B6" w:rsidRPr="00DB0C40">
        <w:rPr>
          <w:rFonts w:asciiTheme="majorHAnsi" w:eastAsiaTheme="majorEastAsia" w:hAnsiTheme="majorHAnsi" w:cstheme="majorBidi"/>
          <w:color w:val="1F3763" w:themeColor="accent1" w:themeShade="7F"/>
        </w:rPr>
        <w:t>International Labour Standards and other key instruments</w:t>
      </w:r>
      <w:bookmarkEnd w:id="33"/>
    </w:p>
    <w:bookmarkEnd w:id="34"/>
    <w:p w14:paraId="5F22FBA5" w14:textId="5524380D" w:rsidR="005758B6" w:rsidRPr="00DB0C40" w:rsidRDefault="00E6222D" w:rsidP="005758B6">
      <w:pPr>
        <w:jc w:val="both"/>
        <w:rPr>
          <w:rFonts w:asciiTheme="minorHAnsi" w:eastAsiaTheme="minorHAnsi" w:hAnsiTheme="minorHAnsi" w:cstheme="minorHAnsi"/>
          <w:sz w:val="22"/>
          <w:szCs w:val="22"/>
        </w:rPr>
      </w:pPr>
      <w:r w:rsidRPr="00CD2A61">
        <w:rPr>
          <w:rFonts w:asciiTheme="majorHAnsi" w:eastAsiaTheme="majorEastAsia" w:hAnsiTheme="majorHAnsi" w:cstheme="majorBidi"/>
          <w:color w:val="1F3763" w:themeColor="accent1" w:themeShade="7F"/>
        </w:rPr>
        <w:t>3.</w:t>
      </w:r>
      <w:r w:rsidR="00BD23D7" w:rsidRPr="00CD2A61">
        <w:rPr>
          <w:rFonts w:asciiTheme="majorHAnsi" w:eastAsiaTheme="majorEastAsia" w:hAnsiTheme="majorHAnsi" w:cstheme="majorBidi"/>
          <w:color w:val="1F3763" w:themeColor="accent1" w:themeShade="7F"/>
        </w:rPr>
        <w:t>4</w:t>
      </w:r>
      <w:r w:rsidR="005758B6" w:rsidRPr="00CD2A61">
        <w:rPr>
          <w:rFonts w:asciiTheme="majorHAnsi" w:eastAsiaTheme="majorEastAsia" w:hAnsiTheme="majorHAnsi" w:cstheme="majorBidi"/>
          <w:color w:val="1F3763" w:themeColor="accent1" w:themeShade="7F"/>
        </w:rPr>
        <w:t>.2.1.1.</w:t>
      </w:r>
      <w:r w:rsidR="005758B6" w:rsidRPr="00DB0C40">
        <w:rPr>
          <w:rFonts w:asciiTheme="minorHAnsi" w:eastAsiaTheme="minorHAnsi" w:hAnsiTheme="minorHAnsi" w:cstheme="minorHAnsi"/>
          <w:sz w:val="22"/>
          <w:szCs w:val="22"/>
        </w:rPr>
        <w:t xml:space="preserve"> The ILO Violence and Harassment Convention, 2019 (No. 190) and its accompanying Recommendation No. 206 recognize the right of everyone to a world of work free from violence and harassment, including gender-based violence and harassment. The Convention calls on governments to promote a general environment of zero tolerance to violence</w:t>
      </w:r>
      <w:r w:rsidR="005758B6" w:rsidRPr="00DB0C40">
        <w:rPr>
          <w:rFonts w:asciiTheme="minorHAnsi" w:eastAsiaTheme="minorHAnsi" w:hAnsiTheme="minorHAnsi" w:cstheme="minorHAnsi"/>
          <w:position w:val="6"/>
          <w:sz w:val="22"/>
          <w:szCs w:val="22"/>
        </w:rPr>
        <w:footnoteReference w:id="12"/>
      </w:r>
      <w:r w:rsidR="005758B6" w:rsidRPr="00DB0C40">
        <w:rPr>
          <w:rFonts w:asciiTheme="minorHAnsi" w:eastAsiaTheme="minorHAnsi" w:hAnsiTheme="minorHAnsi" w:cstheme="minorHAnsi"/>
          <w:sz w:val="22"/>
          <w:szCs w:val="22"/>
        </w:rPr>
        <w:t xml:space="preserve"> and harassment and provides a clear framework for addressing and preventing violence and harassment in the world of work.</w:t>
      </w:r>
    </w:p>
    <w:p w14:paraId="5C1CD476" w14:textId="77777777" w:rsidR="005758B6" w:rsidRPr="00DB0C40" w:rsidRDefault="005758B6" w:rsidP="005758B6">
      <w:pPr>
        <w:jc w:val="both"/>
        <w:rPr>
          <w:rFonts w:asciiTheme="minorHAnsi" w:eastAsiaTheme="minorHAnsi" w:hAnsiTheme="minorHAnsi" w:cstheme="minorHAnsi"/>
          <w:sz w:val="22"/>
          <w:szCs w:val="22"/>
        </w:rPr>
      </w:pPr>
    </w:p>
    <w:p w14:paraId="590FA5CE" w14:textId="005EBC51" w:rsidR="005758B6" w:rsidRPr="00DB0C40" w:rsidRDefault="00E6222D" w:rsidP="005758B6">
      <w:pPr>
        <w:jc w:val="both"/>
        <w:rPr>
          <w:rFonts w:asciiTheme="minorHAnsi" w:eastAsiaTheme="minorHAnsi" w:hAnsiTheme="minorHAnsi" w:cstheme="minorHAnsi"/>
          <w:sz w:val="22"/>
          <w:szCs w:val="22"/>
        </w:rPr>
      </w:pPr>
      <w:r w:rsidRPr="00CD2A61">
        <w:rPr>
          <w:rFonts w:asciiTheme="majorHAnsi" w:eastAsiaTheme="majorEastAsia" w:hAnsiTheme="majorHAnsi" w:cstheme="majorBidi"/>
          <w:color w:val="1F3763" w:themeColor="accent1" w:themeShade="7F"/>
        </w:rPr>
        <w:t>3.</w:t>
      </w:r>
      <w:r w:rsidR="00BD23D7" w:rsidRPr="00CD2A61">
        <w:rPr>
          <w:rFonts w:asciiTheme="majorHAnsi" w:eastAsiaTheme="majorEastAsia" w:hAnsiTheme="majorHAnsi" w:cstheme="majorBidi"/>
          <w:color w:val="1F3763" w:themeColor="accent1" w:themeShade="7F"/>
        </w:rPr>
        <w:t>4</w:t>
      </w:r>
      <w:r w:rsidR="005758B6" w:rsidRPr="00CD2A61">
        <w:rPr>
          <w:rFonts w:asciiTheme="majorHAnsi" w:eastAsiaTheme="majorEastAsia" w:hAnsiTheme="majorHAnsi" w:cstheme="majorBidi"/>
          <w:color w:val="1F3763" w:themeColor="accent1" w:themeShade="7F"/>
        </w:rPr>
        <w:t>.2.1.2.</w:t>
      </w:r>
      <w:r w:rsidR="005758B6" w:rsidRPr="00DB0C40">
        <w:rPr>
          <w:rFonts w:asciiTheme="minorHAnsi" w:eastAsiaTheme="minorHAnsi" w:hAnsiTheme="minorHAnsi" w:cstheme="minorHAnsi"/>
          <w:sz w:val="22"/>
          <w:szCs w:val="22"/>
        </w:rPr>
        <w:t xml:space="preserve"> In interpreting the Convention on the Elimination of All Forms of Discrimination (CEDAW), the CEDAW Committee considers workplace sexual harassment as a form of gender-based violence that can reduce gender equality in the workplace and result in health and safety issues. Based on ILO Convention No. 111, relevant comments developed by the ILO Committee of Experts on the Application of ILO Conventions and Recommendations consider sexual harassment as a severe form of sex discrimination.</w:t>
      </w:r>
    </w:p>
    <w:p w14:paraId="4858C21A" w14:textId="77777777" w:rsidR="005758B6" w:rsidRPr="00DB0C40" w:rsidRDefault="005758B6" w:rsidP="005758B6">
      <w:pPr>
        <w:jc w:val="both"/>
        <w:rPr>
          <w:rFonts w:asciiTheme="minorHAnsi" w:eastAsiaTheme="minorHAnsi" w:hAnsiTheme="minorHAnsi" w:cstheme="minorHAnsi"/>
        </w:rPr>
      </w:pPr>
    </w:p>
    <w:p w14:paraId="101B395D" w14:textId="21B3CEC4" w:rsidR="005758B6" w:rsidRPr="00DB0C40" w:rsidRDefault="00E6222D" w:rsidP="005758B6">
      <w:pPr>
        <w:jc w:val="both"/>
        <w:rPr>
          <w:rFonts w:asciiTheme="minorHAnsi" w:eastAsiaTheme="minorHAnsi" w:hAnsiTheme="minorHAnsi" w:cstheme="minorHAnsi"/>
          <w:sz w:val="22"/>
          <w:szCs w:val="22"/>
        </w:rPr>
      </w:pPr>
      <w:r w:rsidRPr="00CD2A61">
        <w:rPr>
          <w:rFonts w:asciiTheme="majorHAnsi" w:eastAsiaTheme="majorEastAsia" w:hAnsiTheme="majorHAnsi" w:cstheme="majorBidi"/>
          <w:color w:val="1F3763" w:themeColor="accent1" w:themeShade="7F"/>
        </w:rPr>
        <w:t>3.</w:t>
      </w:r>
      <w:r w:rsidR="00BD23D7" w:rsidRPr="00CD2A61">
        <w:rPr>
          <w:rFonts w:asciiTheme="majorHAnsi" w:eastAsiaTheme="majorEastAsia" w:hAnsiTheme="majorHAnsi" w:cstheme="majorBidi"/>
          <w:color w:val="1F3763" w:themeColor="accent1" w:themeShade="7F"/>
        </w:rPr>
        <w:t>4</w:t>
      </w:r>
      <w:r w:rsidR="005758B6" w:rsidRPr="00CD2A61">
        <w:rPr>
          <w:rFonts w:asciiTheme="majorHAnsi" w:eastAsiaTheme="majorEastAsia" w:hAnsiTheme="majorHAnsi" w:cstheme="majorBidi"/>
          <w:color w:val="1F3763" w:themeColor="accent1" w:themeShade="7F"/>
        </w:rPr>
        <w:t>.2.1.3.</w:t>
      </w:r>
      <w:r w:rsidR="005758B6" w:rsidRPr="00DB0C40">
        <w:rPr>
          <w:rFonts w:asciiTheme="minorHAnsi" w:eastAsiaTheme="minorHAnsi" w:hAnsiTheme="minorHAnsi" w:cstheme="minorHAnsi"/>
          <w:sz w:val="22"/>
          <w:szCs w:val="22"/>
        </w:rPr>
        <w:t xml:space="preserve"> The EU provides some of the most comprehensive and enforceable regional regulations on workplace violence and harassment. The European Social Charter (Revised), 1996, the Convention on preventing and combating violence against women and domestic violence (known as the Istanbul Convention), 2011, and several EU Directives also seek to prevent and prohibit various forms of violence and harassment. As Europe’s leading human rights organisation, the Council of Europe has undertaken a series of initiatives to promote the protection of women against violence since the 1990s. These initiatives have resulted in the adoption, in 2002, of the Council of Europe Recommendation Rec (2002) of the Committee of Ministers to member states on the protection of women against violence, and the running of a Europe-wide campaign, from 2006-2008, to combat violence against women, including domestic violence. The Parliamentary Assembly has also taken a firm political stance against all forms of violence against women. It has adopted a number of resolutions and recommendations calling for legally binding </w:t>
      </w:r>
      <w:r w:rsidR="005758B6" w:rsidRPr="00DB0C40">
        <w:rPr>
          <w:rFonts w:asciiTheme="minorHAnsi" w:eastAsiaTheme="minorHAnsi" w:hAnsiTheme="minorHAnsi" w:cstheme="minorHAnsi"/>
          <w:sz w:val="22"/>
          <w:szCs w:val="22"/>
        </w:rPr>
        <w:lastRenderedPageBreak/>
        <w:t>standards on preventing, protecting against, and prosecuting the most severe and widespread forms of gender-based violence.</w:t>
      </w:r>
    </w:p>
    <w:p w14:paraId="7F74570F" w14:textId="77777777" w:rsidR="005758B6" w:rsidRPr="00DB0C40" w:rsidRDefault="005758B6" w:rsidP="005758B6">
      <w:pPr>
        <w:jc w:val="both"/>
        <w:rPr>
          <w:rFonts w:asciiTheme="minorHAnsi" w:eastAsiaTheme="minorHAnsi" w:hAnsiTheme="minorHAnsi" w:cstheme="minorHAnsi"/>
          <w:sz w:val="22"/>
          <w:szCs w:val="22"/>
        </w:rPr>
      </w:pPr>
    </w:p>
    <w:p w14:paraId="2D3CD615" w14:textId="77777777" w:rsidR="005758B6" w:rsidRPr="00DB0C40" w:rsidRDefault="005758B6" w:rsidP="005758B6">
      <w:pPr>
        <w:jc w:val="both"/>
        <w:rPr>
          <w:rFonts w:asciiTheme="minorHAnsi" w:eastAsiaTheme="minorHAnsi" w:hAnsiTheme="minorHAnsi" w:cstheme="minorHAnsi"/>
          <w:sz w:val="22"/>
          <w:szCs w:val="22"/>
        </w:rPr>
      </w:pPr>
      <w:r w:rsidRPr="00DB0C40">
        <w:rPr>
          <w:rFonts w:asciiTheme="minorHAnsi" w:eastAsiaTheme="minorHAnsi" w:hAnsiTheme="minorHAnsi" w:cstheme="minorHAnsi"/>
          <w:sz w:val="22"/>
          <w:szCs w:val="22"/>
        </w:rPr>
        <w:t>Assuming its leading role in human rights protection, the Council of Europe decided it was necessary to set comprehensive standards to prevent and combat violence against women and domestic violence. In December 2008, the Committee of Ministers set up an expert group mandated to prepare a draft convention in this field. Over the course of just over two years, this group, called the </w:t>
      </w:r>
      <w:hyperlink r:id="rId14" w:history="1">
        <w:r w:rsidRPr="00DB0C40">
          <w:rPr>
            <w:rFonts w:asciiTheme="minorHAnsi" w:eastAsiaTheme="minorHAnsi" w:hAnsiTheme="minorHAnsi" w:cstheme="minorHAnsi"/>
            <w:sz w:val="22"/>
            <w:szCs w:val="22"/>
            <w:u w:val="single"/>
          </w:rPr>
          <w:t>CAHVIO</w:t>
        </w:r>
      </w:hyperlink>
      <w:r w:rsidRPr="00DB0C40">
        <w:rPr>
          <w:rFonts w:asciiTheme="minorHAnsi" w:eastAsiaTheme="minorHAnsi" w:hAnsiTheme="minorHAnsi" w:cstheme="minorHAnsi"/>
          <w:sz w:val="22"/>
          <w:szCs w:val="22"/>
        </w:rPr>
        <w:t> (Ad Hoc Committee for preventing and combating violence against women and domestic violence), worked out a draft text. It finalised the draft of the Convention in December 2010.</w:t>
      </w:r>
    </w:p>
    <w:p w14:paraId="11EDB262" w14:textId="77777777" w:rsidR="005758B6" w:rsidRPr="00DB0C40" w:rsidRDefault="005758B6" w:rsidP="005758B6">
      <w:pPr>
        <w:jc w:val="both"/>
        <w:rPr>
          <w:rFonts w:asciiTheme="minorHAnsi" w:eastAsiaTheme="minorHAnsi" w:hAnsiTheme="minorHAnsi" w:cstheme="minorHAnsi"/>
          <w:sz w:val="22"/>
          <w:szCs w:val="22"/>
        </w:rPr>
      </w:pPr>
    </w:p>
    <w:p w14:paraId="66E10967" w14:textId="77777777" w:rsidR="005758B6" w:rsidRPr="00DB0C40" w:rsidRDefault="005758B6" w:rsidP="005758B6">
      <w:pPr>
        <w:jc w:val="both"/>
        <w:rPr>
          <w:rFonts w:asciiTheme="minorHAnsi" w:eastAsiaTheme="minorHAnsi" w:hAnsiTheme="minorHAnsi" w:cstheme="minorHAnsi"/>
          <w:sz w:val="22"/>
          <w:szCs w:val="22"/>
        </w:rPr>
      </w:pPr>
      <w:r w:rsidRPr="00DB0C40">
        <w:rPr>
          <w:rFonts w:asciiTheme="minorHAnsi" w:eastAsiaTheme="minorHAnsi" w:hAnsiTheme="minorHAnsi" w:cstheme="minorHAnsi"/>
          <w:sz w:val="22"/>
          <w:szCs w:val="22"/>
        </w:rPr>
        <w:t xml:space="preserve">The Convention on preventing and combating violence against women and domestic violence was adopted by the Council of Europe Committee of Ministers on 7 April 2011. It was opened for signature on 11 May 2011 on the 121st Session of the Committee of Ministers in Istanbul. Following its 10th ratification by Andorra on 22 April 2014, it entered into force on 1 August 2014. The four pillars of Istanbul Convention are: prevention, protection, prosecution, and co-ordinated policies. </w:t>
      </w:r>
      <w:r w:rsidRPr="00DB0C40">
        <w:rPr>
          <w:rFonts w:asciiTheme="minorHAnsi" w:eastAsiaTheme="minorHAnsi" w:hAnsiTheme="minorHAnsi" w:cstheme="minorHAnsi"/>
          <w:position w:val="6"/>
          <w:sz w:val="22"/>
          <w:szCs w:val="22"/>
        </w:rPr>
        <w:footnoteReference w:id="13"/>
      </w:r>
    </w:p>
    <w:p w14:paraId="6232B046" w14:textId="77777777" w:rsidR="005758B6" w:rsidRPr="00DB0C40" w:rsidRDefault="005758B6" w:rsidP="005758B6">
      <w:pPr>
        <w:jc w:val="both"/>
        <w:rPr>
          <w:rFonts w:asciiTheme="minorHAnsi" w:eastAsiaTheme="minorHAnsi" w:hAnsiTheme="minorHAnsi" w:cstheme="minorHAnsi"/>
          <w:b/>
          <w:bCs/>
          <w:sz w:val="22"/>
          <w:szCs w:val="22"/>
        </w:rPr>
      </w:pPr>
      <w:bookmarkStart w:id="35" w:name="_Hlk82616557"/>
    </w:p>
    <w:p w14:paraId="4DA150EF" w14:textId="2329C12C" w:rsidR="005758B6" w:rsidRPr="00DB0C40" w:rsidRDefault="00E6222D" w:rsidP="005758B6">
      <w:pPr>
        <w:keepNext/>
        <w:keepLines/>
        <w:spacing w:before="40"/>
        <w:outlineLvl w:val="2"/>
        <w:rPr>
          <w:rFonts w:asciiTheme="majorHAnsi" w:eastAsiaTheme="majorEastAsia" w:hAnsiTheme="majorHAnsi" w:cstheme="majorBidi"/>
          <w:color w:val="1F3763" w:themeColor="accent1" w:themeShade="7F"/>
        </w:rPr>
      </w:pPr>
      <w:bookmarkStart w:id="36" w:name="_Toc92359067"/>
      <w:r w:rsidRPr="00DB0C40">
        <w:rPr>
          <w:rFonts w:asciiTheme="majorHAnsi" w:eastAsiaTheme="majorEastAsia" w:hAnsiTheme="majorHAnsi" w:cstheme="majorBidi"/>
          <w:color w:val="1F3763" w:themeColor="accent1" w:themeShade="7F"/>
        </w:rPr>
        <w:t>3.</w:t>
      </w:r>
      <w:r w:rsidR="00BD23D7" w:rsidRPr="00DB0C40">
        <w:rPr>
          <w:rFonts w:asciiTheme="majorHAnsi" w:eastAsiaTheme="majorEastAsia" w:hAnsiTheme="majorHAnsi" w:cstheme="majorBidi"/>
          <w:color w:val="1F3763" w:themeColor="accent1" w:themeShade="7F"/>
        </w:rPr>
        <w:t>4</w:t>
      </w:r>
      <w:r w:rsidR="005758B6" w:rsidRPr="00DB0C40">
        <w:rPr>
          <w:rFonts w:asciiTheme="majorHAnsi" w:eastAsiaTheme="majorEastAsia" w:hAnsiTheme="majorHAnsi" w:cstheme="majorBidi"/>
          <w:color w:val="1F3763" w:themeColor="accent1" w:themeShade="7F"/>
        </w:rPr>
        <w:t xml:space="preserve">.2.2. </w:t>
      </w:r>
      <w:bookmarkStart w:id="37" w:name="_Hlk107136083"/>
      <w:r w:rsidR="005758B6" w:rsidRPr="00DB0C40">
        <w:rPr>
          <w:rFonts w:asciiTheme="majorHAnsi" w:eastAsiaTheme="majorEastAsia" w:hAnsiTheme="majorHAnsi" w:cstheme="majorBidi"/>
          <w:color w:val="1F3763" w:themeColor="accent1" w:themeShade="7F"/>
        </w:rPr>
        <w:t xml:space="preserve">Some examples of national legal framework in European countries </w:t>
      </w:r>
      <w:bookmarkEnd w:id="35"/>
      <w:r w:rsidR="005758B6" w:rsidRPr="00DB0C40">
        <w:rPr>
          <w:rFonts w:asciiTheme="majorHAnsi" w:eastAsiaTheme="majorEastAsia" w:hAnsiTheme="majorHAnsi" w:cstheme="majorBidi"/>
          <w:color w:val="1F3763" w:themeColor="accent1" w:themeShade="7F"/>
        </w:rPr>
        <w:t>(EU and Finland)</w:t>
      </w:r>
      <w:bookmarkEnd w:id="36"/>
    </w:p>
    <w:bookmarkEnd w:id="37"/>
    <w:p w14:paraId="40AAC30E" w14:textId="77777777" w:rsidR="005758B6" w:rsidRPr="00DB0C40" w:rsidRDefault="005758B6" w:rsidP="005758B6">
      <w:pPr>
        <w:jc w:val="both"/>
        <w:rPr>
          <w:rFonts w:asciiTheme="minorHAnsi" w:eastAsiaTheme="minorHAnsi" w:hAnsiTheme="minorHAnsi" w:cstheme="minorHAnsi"/>
          <w:sz w:val="22"/>
          <w:szCs w:val="22"/>
        </w:rPr>
      </w:pPr>
      <w:r w:rsidRPr="00DB0C40">
        <w:rPr>
          <w:rFonts w:asciiTheme="minorHAnsi" w:eastAsiaTheme="minorHAnsi" w:hAnsiTheme="minorHAnsi" w:cstheme="minorHAnsi"/>
          <w:sz w:val="22"/>
          <w:szCs w:val="22"/>
        </w:rPr>
        <w:t>National legal frameworks must recognize the right of workers to an environment that is free from violence and harassment. In adopting an inclusive, integrated and gender- responsive approach to this topic, ILO standards encourage governments to prevent and address violence and harassment in the areas of labour and employment, occupational safety and health, equality, and non-discrimination law – and, where appropriate, criminal law – to give victims a range of remedies best suited for their situation.</w:t>
      </w:r>
    </w:p>
    <w:p w14:paraId="7209CEF1" w14:textId="77777777" w:rsidR="005758B6" w:rsidRPr="00DB0C40" w:rsidRDefault="005758B6" w:rsidP="005758B6">
      <w:pPr>
        <w:jc w:val="both"/>
        <w:rPr>
          <w:rFonts w:asciiTheme="minorHAnsi" w:eastAsiaTheme="minorHAnsi" w:hAnsiTheme="minorHAnsi" w:cstheme="minorHAnsi"/>
          <w:sz w:val="22"/>
          <w:szCs w:val="22"/>
        </w:rPr>
      </w:pPr>
    </w:p>
    <w:p w14:paraId="7D54F21A" w14:textId="77777777" w:rsidR="005758B6" w:rsidRPr="00DB0C40" w:rsidRDefault="005758B6" w:rsidP="005758B6">
      <w:pPr>
        <w:jc w:val="both"/>
        <w:rPr>
          <w:rFonts w:asciiTheme="minorHAnsi" w:eastAsiaTheme="minorHAnsi" w:hAnsiTheme="minorHAnsi" w:cstheme="minorHAnsi"/>
          <w:sz w:val="22"/>
          <w:szCs w:val="22"/>
        </w:rPr>
      </w:pPr>
      <w:r w:rsidRPr="00DB0C40">
        <w:rPr>
          <w:rFonts w:asciiTheme="minorHAnsi" w:eastAsiaTheme="minorHAnsi" w:hAnsiTheme="minorHAnsi" w:cstheme="minorHAnsi"/>
          <w:sz w:val="22"/>
          <w:szCs w:val="22"/>
        </w:rPr>
        <w:t>Legal frameworks should also provide a broad scope of protection from violence and harassment in the world of work. Legal protection should therefore extend beyond the traditional employment relationship and encompass hiring, training, access to employment, conditions of employment and third parties with whom workers may come into contact.</w:t>
      </w:r>
    </w:p>
    <w:p w14:paraId="3ED8C7B5" w14:textId="77777777" w:rsidR="005758B6" w:rsidRPr="00DB0C40" w:rsidRDefault="005758B6" w:rsidP="005758B6">
      <w:pPr>
        <w:jc w:val="both"/>
        <w:rPr>
          <w:rFonts w:asciiTheme="minorHAnsi" w:eastAsiaTheme="minorHAnsi" w:hAnsiTheme="minorHAnsi" w:cstheme="minorHAnsi"/>
          <w:sz w:val="22"/>
          <w:szCs w:val="22"/>
        </w:rPr>
      </w:pPr>
    </w:p>
    <w:p w14:paraId="1D7232C3" w14:textId="77777777" w:rsidR="005758B6" w:rsidRPr="00DB0C40" w:rsidRDefault="005758B6" w:rsidP="005758B6">
      <w:pPr>
        <w:jc w:val="both"/>
        <w:rPr>
          <w:rFonts w:asciiTheme="minorHAnsi" w:eastAsiaTheme="minorHAnsi" w:hAnsiTheme="minorHAnsi" w:cstheme="minorHAnsi"/>
          <w:sz w:val="22"/>
          <w:szCs w:val="22"/>
        </w:rPr>
      </w:pPr>
      <w:r w:rsidRPr="00DB0C40">
        <w:rPr>
          <w:rFonts w:asciiTheme="minorHAnsi" w:eastAsiaTheme="minorHAnsi" w:hAnsiTheme="minorHAnsi" w:cstheme="minorHAnsi"/>
          <w:sz w:val="22"/>
          <w:szCs w:val="22"/>
        </w:rPr>
        <w:t>In line with Convention No. 190, coverage should include “all sectors, public or private, in the formal or informal economy, in urban or rural areas” and “workers and other persons in the world of work, including employees as defined by national law and practice, as well as persons who work, whatever their contractual status, persons in training, including trainees and apprentices, laid-off workers, volunteers, job seekers, job applicants and individuals exercising the authority, duties or responsibilities of an employer”.</w:t>
      </w:r>
    </w:p>
    <w:p w14:paraId="41122BAC" w14:textId="77777777" w:rsidR="005758B6" w:rsidRPr="00DB0C40" w:rsidRDefault="005758B6" w:rsidP="005758B6">
      <w:pPr>
        <w:jc w:val="both"/>
        <w:rPr>
          <w:rFonts w:asciiTheme="minorHAnsi" w:eastAsiaTheme="minorHAnsi" w:hAnsiTheme="minorHAnsi" w:cstheme="minorHAnsi"/>
          <w:sz w:val="22"/>
          <w:szCs w:val="22"/>
        </w:rPr>
      </w:pPr>
    </w:p>
    <w:p w14:paraId="71222E3D" w14:textId="77777777" w:rsidR="005758B6" w:rsidRPr="00DB0C40" w:rsidRDefault="005758B6" w:rsidP="005758B6">
      <w:pPr>
        <w:jc w:val="both"/>
        <w:rPr>
          <w:rFonts w:asciiTheme="minorHAnsi" w:eastAsiaTheme="minorHAnsi" w:hAnsiTheme="minorHAnsi" w:cstheme="minorHAnsi"/>
          <w:sz w:val="22"/>
          <w:szCs w:val="22"/>
        </w:rPr>
      </w:pPr>
      <w:r w:rsidRPr="00DB0C40">
        <w:rPr>
          <w:rFonts w:asciiTheme="minorHAnsi" w:eastAsiaTheme="minorHAnsi" w:hAnsiTheme="minorHAnsi" w:cstheme="minorHAnsi"/>
          <w:sz w:val="22"/>
          <w:szCs w:val="22"/>
        </w:rPr>
        <w:t>Finally, it is necessary to address violence and harassment in the full range of places where it may occur “on occasion, in connection with or as a result of work,” in addition to the traditional physical workplace. This includes work-related travel, social events and training activities, commuting to and from work, and work-related communications (including email, texting, and online platforms) in private homes when they are places of work.</w:t>
      </w:r>
    </w:p>
    <w:p w14:paraId="4754C24F" w14:textId="77777777" w:rsidR="005758B6" w:rsidRPr="00DB0C40" w:rsidRDefault="005758B6" w:rsidP="005758B6">
      <w:pPr>
        <w:jc w:val="both"/>
        <w:rPr>
          <w:rFonts w:asciiTheme="minorHAnsi" w:eastAsiaTheme="minorHAnsi" w:hAnsiTheme="minorHAnsi" w:cstheme="minorHAnsi"/>
          <w:sz w:val="22"/>
          <w:szCs w:val="22"/>
        </w:rPr>
      </w:pPr>
    </w:p>
    <w:p w14:paraId="19AF3D20" w14:textId="77777777" w:rsidR="005758B6" w:rsidRPr="00DB0C40" w:rsidRDefault="005758B6" w:rsidP="005758B6">
      <w:pPr>
        <w:pBdr>
          <w:top w:val="single" w:sz="4" w:space="1" w:color="auto"/>
          <w:left w:val="single" w:sz="4" w:space="4" w:color="auto"/>
          <w:bottom w:val="single" w:sz="4" w:space="1" w:color="auto"/>
          <w:right w:val="single" w:sz="4" w:space="4" w:color="auto"/>
        </w:pBdr>
        <w:jc w:val="both"/>
        <w:rPr>
          <w:rFonts w:asciiTheme="minorHAnsi" w:eastAsiaTheme="minorHAnsi" w:hAnsiTheme="minorHAnsi" w:cstheme="minorHAnsi"/>
          <w:b/>
          <w:bCs/>
          <w:sz w:val="22"/>
          <w:szCs w:val="22"/>
        </w:rPr>
      </w:pPr>
      <w:r w:rsidRPr="00DB0C40">
        <w:rPr>
          <w:rFonts w:asciiTheme="minorHAnsi" w:eastAsiaTheme="minorHAnsi" w:hAnsiTheme="minorHAnsi" w:cstheme="minorHAnsi"/>
          <w:b/>
          <w:bCs/>
          <w:sz w:val="22"/>
          <w:szCs w:val="22"/>
        </w:rPr>
        <w:t>European Union</w:t>
      </w:r>
    </w:p>
    <w:p w14:paraId="72C8A1BB" w14:textId="77777777" w:rsidR="005758B6" w:rsidRPr="00DB0C40" w:rsidRDefault="005758B6" w:rsidP="005758B6">
      <w:pPr>
        <w:pBdr>
          <w:top w:val="single" w:sz="4" w:space="1" w:color="auto"/>
          <w:left w:val="single" w:sz="4" w:space="4" w:color="auto"/>
          <w:bottom w:val="single" w:sz="4" w:space="1" w:color="auto"/>
          <w:right w:val="single" w:sz="4" w:space="4" w:color="auto"/>
        </w:pBdr>
        <w:jc w:val="both"/>
        <w:rPr>
          <w:rFonts w:asciiTheme="minorHAnsi" w:eastAsiaTheme="minorHAnsi" w:hAnsiTheme="minorHAnsi" w:cstheme="minorHAnsi"/>
          <w:sz w:val="22"/>
          <w:szCs w:val="22"/>
        </w:rPr>
      </w:pPr>
      <w:r w:rsidRPr="00DB0C40">
        <w:rPr>
          <w:rFonts w:asciiTheme="minorHAnsi" w:eastAsiaTheme="minorHAnsi" w:hAnsiTheme="minorHAnsi" w:cstheme="minorHAnsi"/>
          <w:sz w:val="22"/>
          <w:szCs w:val="22"/>
        </w:rPr>
        <w:t xml:space="preserve">In its objective to combat GBVH, the European Commission (EC) has been working on a pilot project launched by Eurostat to measure the prevalence of violence against women in the EU. The initiative is </w:t>
      </w:r>
      <w:r w:rsidRPr="00DB0C40">
        <w:rPr>
          <w:rFonts w:asciiTheme="minorHAnsi" w:eastAsiaTheme="minorHAnsi" w:hAnsiTheme="minorHAnsi" w:cstheme="minorHAnsi"/>
          <w:sz w:val="22"/>
          <w:szCs w:val="22"/>
        </w:rPr>
        <w:lastRenderedPageBreak/>
        <w:t>developing an EU-wide survey built on the methodology used for the EU Agency for Fundamental Rights’ 2014 survey, which included information on whether violence occurred in the workplace. The project is being conducted in cooperation with over a dozen countries, which will pilot the instrument. The survey task force includes national statistical institutes, the European Union Agency for Fundamental Rights (FRA), EIGE, Eurostat, and the EC, which will be finalizing the survey and implementing full-scale fieldwork in late 2019.</w:t>
      </w:r>
      <w:r w:rsidRPr="00DB0C40">
        <w:rPr>
          <w:rFonts w:asciiTheme="minorHAnsi" w:eastAsiaTheme="minorHAnsi" w:hAnsiTheme="minorHAnsi" w:cstheme="minorHAnsi"/>
          <w:position w:val="6"/>
          <w:sz w:val="22"/>
          <w:szCs w:val="22"/>
        </w:rPr>
        <w:footnoteReference w:id="14"/>
      </w:r>
    </w:p>
    <w:p w14:paraId="15F16A1D" w14:textId="77777777" w:rsidR="005758B6" w:rsidRPr="00DB0C40" w:rsidRDefault="005758B6" w:rsidP="005758B6">
      <w:pPr>
        <w:pBdr>
          <w:top w:val="single" w:sz="4" w:space="1" w:color="auto"/>
          <w:left w:val="single" w:sz="4" w:space="4" w:color="auto"/>
          <w:bottom w:val="single" w:sz="4" w:space="1" w:color="auto"/>
          <w:right w:val="single" w:sz="4" w:space="4" w:color="auto"/>
        </w:pBdr>
        <w:jc w:val="both"/>
        <w:rPr>
          <w:rFonts w:asciiTheme="minorHAnsi" w:eastAsiaTheme="minorHAnsi" w:hAnsiTheme="minorHAnsi" w:cstheme="minorHAnsi"/>
          <w:sz w:val="22"/>
          <w:szCs w:val="22"/>
        </w:rPr>
      </w:pPr>
      <w:r w:rsidRPr="00DB0C40">
        <w:rPr>
          <w:rFonts w:asciiTheme="minorHAnsi" w:eastAsiaTheme="minorHAnsi" w:hAnsiTheme="minorHAnsi" w:cstheme="minorHAnsi"/>
          <w:sz w:val="22"/>
          <w:szCs w:val="22"/>
        </w:rPr>
        <w:t xml:space="preserve"> </w:t>
      </w:r>
    </w:p>
    <w:p w14:paraId="698092A7" w14:textId="77777777" w:rsidR="005758B6" w:rsidRPr="00DB0C40" w:rsidRDefault="005758B6" w:rsidP="005758B6">
      <w:pPr>
        <w:jc w:val="both"/>
        <w:rPr>
          <w:rFonts w:asciiTheme="minorHAnsi" w:eastAsiaTheme="minorHAnsi" w:hAnsiTheme="minorHAnsi" w:cstheme="minorHAnsi"/>
          <w:sz w:val="22"/>
          <w:szCs w:val="22"/>
        </w:rPr>
      </w:pPr>
    </w:p>
    <w:p w14:paraId="048712BF" w14:textId="77777777" w:rsidR="005758B6" w:rsidRPr="00DB0C40" w:rsidRDefault="005758B6" w:rsidP="005758B6">
      <w:pPr>
        <w:pBdr>
          <w:top w:val="single" w:sz="4" w:space="1" w:color="auto"/>
          <w:left w:val="single" w:sz="4" w:space="4" w:color="auto"/>
          <w:bottom w:val="single" w:sz="4" w:space="1" w:color="auto"/>
          <w:right w:val="single" w:sz="4" w:space="4" w:color="auto"/>
        </w:pBdr>
        <w:jc w:val="both"/>
        <w:rPr>
          <w:rFonts w:asciiTheme="minorHAnsi" w:eastAsiaTheme="minorHAnsi" w:hAnsiTheme="minorHAnsi" w:cstheme="minorHAnsi"/>
          <w:b/>
          <w:bCs/>
          <w:sz w:val="22"/>
          <w:szCs w:val="22"/>
        </w:rPr>
      </w:pPr>
      <w:r w:rsidRPr="00DB0C40">
        <w:rPr>
          <w:rFonts w:asciiTheme="minorHAnsi" w:eastAsiaTheme="minorHAnsi" w:hAnsiTheme="minorHAnsi" w:cstheme="minorHAnsi"/>
          <w:b/>
          <w:bCs/>
          <w:sz w:val="22"/>
          <w:szCs w:val="22"/>
        </w:rPr>
        <w:t>Guidance and assistance through OSH policies and awareness-raising (Finland)</w:t>
      </w:r>
      <w:r w:rsidRPr="00DB0C40">
        <w:rPr>
          <w:rFonts w:ascii="TimesNewRomanPS" w:eastAsiaTheme="minorHAnsi" w:hAnsi="TimesNewRomanPS" w:cstheme="minorHAnsi"/>
          <w:b/>
          <w:bCs/>
          <w:position w:val="6"/>
          <w:sz w:val="16"/>
          <w:szCs w:val="22"/>
        </w:rPr>
        <w:footnoteReference w:id="15"/>
      </w:r>
    </w:p>
    <w:p w14:paraId="4CE6E973" w14:textId="77777777" w:rsidR="005758B6" w:rsidRPr="00DB0C40" w:rsidRDefault="005758B6" w:rsidP="005758B6">
      <w:pPr>
        <w:pBdr>
          <w:top w:val="single" w:sz="4" w:space="1" w:color="auto"/>
          <w:left w:val="single" w:sz="4" w:space="4" w:color="auto"/>
          <w:bottom w:val="single" w:sz="4" w:space="1" w:color="auto"/>
          <w:right w:val="single" w:sz="4" w:space="4" w:color="auto"/>
        </w:pBdr>
        <w:jc w:val="both"/>
        <w:rPr>
          <w:rFonts w:asciiTheme="minorHAnsi" w:eastAsiaTheme="minorHAnsi" w:hAnsiTheme="minorHAnsi" w:cstheme="minorHAnsi"/>
          <w:sz w:val="22"/>
          <w:szCs w:val="22"/>
        </w:rPr>
      </w:pPr>
      <w:r w:rsidRPr="00DB0C40">
        <w:rPr>
          <w:rFonts w:asciiTheme="minorHAnsi" w:eastAsiaTheme="minorHAnsi" w:hAnsiTheme="minorHAnsi" w:cstheme="minorHAnsi"/>
          <w:sz w:val="22"/>
          <w:szCs w:val="22"/>
        </w:rPr>
        <w:t>Finland has ratified the Occupational Safety and Health Convention, 1981 (No. 155) and has implemented a national OSH policy, which includes training, the adaptation of work to the physical and mental capacities of workers, and protection from reprisals against complainants. The implementation of these provisions has included protective and compensation measures in respect of third-party violence, night work and work in isolated areas.</w:t>
      </w:r>
    </w:p>
    <w:p w14:paraId="5196C63B" w14:textId="77777777" w:rsidR="005758B6" w:rsidRPr="00DB0C40" w:rsidRDefault="005758B6" w:rsidP="005758B6">
      <w:pPr>
        <w:pBdr>
          <w:top w:val="single" w:sz="4" w:space="1" w:color="auto"/>
          <w:left w:val="single" w:sz="4" w:space="4" w:color="auto"/>
          <w:bottom w:val="single" w:sz="4" w:space="1" w:color="auto"/>
          <w:right w:val="single" w:sz="4" w:space="4" w:color="auto"/>
        </w:pBdr>
        <w:jc w:val="both"/>
        <w:rPr>
          <w:rFonts w:asciiTheme="minorHAnsi" w:eastAsiaTheme="minorHAnsi" w:hAnsiTheme="minorHAnsi" w:cstheme="minorHAnsi"/>
          <w:sz w:val="22"/>
          <w:szCs w:val="22"/>
        </w:rPr>
      </w:pPr>
      <w:r w:rsidRPr="00DB0C40">
        <w:rPr>
          <w:rFonts w:asciiTheme="minorHAnsi" w:eastAsiaTheme="minorHAnsi" w:hAnsiTheme="minorHAnsi" w:cstheme="minorHAnsi"/>
          <w:sz w:val="22"/>
          <w:szCs w:val="22"/>
        </w:rPr>
        <w:t>In Finland, labour inspections cover violence and harassment in the world of work as part of their remit, in line with Recommendation No. 206 (Paragraph 21). Labour inspectors submit a questionnaire to workers before they visit a company, asking whether their health and safety is endangered by violence or the threat of violence at work. The answers to this questionnaire help the inspectors to focus their visit and enable them to offer the employer guidance on ways to address workplace issues.</w:t>
      </w:r>
    </w:p>
    <w:p w14:paraId="203F9D07" w14:textId="77777777" w:rsidR="005758B6" w:rsidRPr="00DB0C40" w:rsidRDefault="005758B6" w:rsidP="005758B6">
      <w:pPr>
        <w:pBdr>
          <w:top w:val="single" w:sz="4" w:space="1" w:color="auto"/>
          <w:left w:val="single" w:sz="4" w:space="4" w:color="auto"/>
          <w:bottom w:val="single" w:sz="4" w:space="1" w:color="auto"/>
          <w:right w:val="single" w:sz="4" w:space="4" w:color="auto"/>
        </w:pBdr>
        <w:jc w:val="both"/>
        <w:rPr>
          <w:rFonts w:asciiTheme="minorHAnsi" w:eastAsiaTheme="minorHAnsi" w:hAnsiTheme="minorHAnsi" w:cstheme="minorHAnsi"/>
          <w:sz w:val="22"/>
          <w:szCs w:val="22"/>
        </w:rPr>
      </w:pPr>
      <w:r w:rsidRPr="00DB0C40">
        <w:rPr>
          <w:rFonts w:asciiTheme="minorHAnsi" w:eastAsiaTheme="minorHAnsi" w:hAnsiTheme="minorHAnsi" w:cstheme="minorHAnsi"/>
          <w:sz w:val="22"/>
          <w:szCs w:val="22"/>
        </w:rPr>
        <w:t>The Ministry of Justice has also launched a “Discrimination-free zone” campaign as part of its “Equality is Priority” project. It brings together over six hundred workplace communities in the fight against discrimination, bullying, and harassment. The programme gives participating communities a “discrimination-free zone” sign to display in their workplace, once they have completed an online form providing information on combating discrimination, including harassment. By completing the online form and displaying the sign, employers declare their workplaces to be “discrimination-free zones.”</w:t>
      </w:r>
    </w:p>
    <w:p w14:paraId="4377D5FB" w14:textId="77777777" w:rsidR="005758B6" w:rsidRPr="00DB0C40" w:rsidRDefault="005758B6" w:rsidP="005758B6">
      <w:pPr>
        <w:jc w:val="both"/>
        <w:rPr>
          <w:rFonts w:asciiTheme="minorHAnsi" w:eastAsiaTheme="minorHAnsi" w:hAnsiTheme="minorHAnsi" w:cstheme="minorHAnsi"/>
          <w:sz w:val="22"/>
          <w:szCs w:val="22"/>
        </w:rPr>
      </w:pPr>
      <w:r w:rsidRPr="00DB0C40">
        <w:rPr>
          <w:rFonts w:asciiTheme="minorHAnsi" w:eastAsiaTheme="minorHAnsi" w:hAnsiTheme="minorHAnsi" w:cstheme="minorHAnsi"/>
          <w:sz w:val="22"/>
          <w:szCs w:val="22"/>
        </w:rPr>
        <w:t xml:space="preserve"> </w:t>
      </w:r>
    </w:p>
    <w:p w14:paraId="6758E01D" w14:textId="13CE5FD0" w:rsidR="005758B6" w:rsidRPr="006667C7" w:rsidRDefault="00E6222D" w:rsidP="005758B6">
      <w:pPr>
        <w:keepNext/>
        <w:keepLines/>
        <w:spacing w:before="40"/>
        <w:outlineLvl w:val="2"/>
        <w:rPr>
          <w:rFonts w:asciiTheme="majorHAnsi" w:eastAsiaTheme="majorEastAsia" w:hAnsiTheme="majorHAnsi" w:cstheme="majorBidi"/>
          <w:color w:val="FF0000"/>
          <w:sz w:val="26"/>
          <w:szCs w:val="26"/>
        </w:rPr>
      </w:pPr>
      <w:bookmarkStart w:id="38" w:name="_Toc92359068"/>
      <w:r w:rsidRPr="00AE67F2">
        <w:rPr>
          <w:rFonts w:asciiTheme="majorHAnsi" w:eastAsiaTheme="majorEastAsia" w:hAnsiTheme="majorHAnsi" w:cstheme="majorBidi"/>
          <w:color w:val="2F5496" w:themeColor="accent1" w:themeShade="BF"/>
          <w:sz w:val="26"/>
          <w:szCs w:val="26"/>
        </w:rPr>
        <w:t>3.</w:t>
      </w:r>
      <w:r w:rsidR="00BD23D7" w:rsidRPr="00AE67F2">
        <w:rPr>
          <w:rFonts w:asciiTheme="majorHAnsi" w:eastAsiaTheme="majorEastAsia" w:hAnsiTheme="majorHAnsi" w:cstheme="majorBidi"/>
          <w:color w:val="2F5496" w:themeColor="accent1" w:themeShade="BF"/>
          <w:sz w:val="26"/>
          <w:szCs w:val="26"/>
        </w:rPr>
        <w:t>4</w:t>
      </w:r>
      <w:r w:rsidR="005758B6" w:rsidRPr="00AE67F2">
        <w:rPr>
          <w:rFonts w:asciiTheme="majorHAnsi" w:eastAsiaTheme="majorEastAsia" w:hAnsiTheme="majorHAnsi" w:cstheme="majorBidi"/>
          <w:color w:val="2F5496" w:themeColor="accent1" w:themeShade="BF"/>
          <w:sz w:val="26"/>
          <w:szCs w:val="26"/>
        </w:rPr>
        <w:t xml:space="preserve">.2.3 </w:t>
      </w:r>
      <w:bookmarkStart w:id="39" w:name="_Hlk107136109"/>
      <w:r w:rsidR="005758B6" w:rsidRPr="00AE67F2">
        <w:rPr>
          <w:rFonts w:asciiTheme="majorHAnsi" w:eastAsiaTheme="majorEastAsia" w:hAnsiTheme="majorHAnsi" w:cstheme="majorBidi"/>
          <w:color w:val="2F5496" w:themeColor="accent1" w:themeShade="BF"/>
          <w:sz w:val="26"/>
          <w:szCs w:val="26"/>
        </w:rPr>
        <w:t xml:space="preserve">Laws and </w:t>
      </w:r>
      <w:r w:rsidR="00AE67F2" w:rsidRPr="00AE67F2">
        <w:rPr>
          <w:rFonts w:asciiTheme="majorHAnsi" w:eastAsiaTheme="majorEastAsia" w:hAnsiTheme="majorHAnsi" w:cstheme="majorBidi"/>
          <w:color w:val="2F5496" w:themeColor="accent1" w:themeShade="BF"/>
          <w:sz w:val="26"/>
          <w:szCs w:val="26"/>
        </w:rPr>
        <w:t>P</w:t>
      </w:r>
      <w:r w:rsidR="005758B6" w:rsidRPr="00AE67F2">
        <w:rPr>
          <w:rFonts w:asciiTheme="majorHAnsi" w:eastAsiaTheme="majorEastAsia" w:hAnsiTheme="majorHAnsi" w:cstheme="majorBidi"/>
          <w:color w:val="2F5496" w:themeColor="accent1" w:themeShade="BF"/>
          <w:sz w:val="26"/>
          <w:szCs w:val="26"/>
        </w:rPr>
        <w:t>olicies during COVID</w:t>
      </w:r>
      <w:bookmarkEnd w:id="38"/>
      <w:r w:rsidR="005758B6" w:rsidRPr="00AE67F2">
        <w:rPr>
          <w:rFonts w:asciiTheme="majorHAnsi" w:eastAsiaTheme="majorEastAsia" w:hAnsiTheme="majorHAnsi" w:cstheme="majorBidi"/>
          <w:color w:val="2F5496" w:themeColor="accent1" w:themeShade="BF"/>
          <w:sz w:val="26"/>
          <w:szCs w:val="26"/>
        </w:rPr>
        <w:t xml:space="preserve"> </w:t>
      </w:r>
      <w:r w:rsidR="006667C7" w:rsidRPr="008C01B9">
        <w:rPr>
          <w:rFonts w:asciiTheme="majorHAnsi" w:eastAsiaTheme="majorEastAsia" w:hAnsiTheme="majorHAnsi" w:cstheme="majorBidi"/>
          <w:color w:val="4472C4" w:themeColor="accent1"/>
          <w:sz w:val="26"/>
          <w:szCs w:val="26"/>
        </w:rPr>
        <w:t>related to preventing and ending mobbing, gender-based violence and harassment in the world of work</w:t>
      </w:r>
    </w:p>
    <w:bookmarkEnd w:id="39"/>
    <w:p w14:paraId="579AA1E2" w14:textId="77777777" w:rsidR="005758B6" w:rsidRPr="00DB0C40" w:rsidRDefault="005758B6" w:rsidP="005758B6">
      <w:pPr>
        <w:jc w:val="both"/>
        <w:rPr>
          <w:rFonts w:asciiTheme="minorHAnsi" w:eastAsiaTheme="minorHAnsi" w:hAnsiTheme="minorHAnsi" w:cstheme="minorHAnsi"/>
          <w:sz w:val="22"/>
          <w:szCs w:val="22"/>
        </w:rPr>
      </w:pPr>
    </w:p>
    <w:p w14:paraId="624143C6" w14:textId="77777777" w:rsidR="005758B6" w:rsidRPr="00DB0C40" w:rsidRDefault="005758B6" w:rsidP="005758B6">
      <w:pPr>
        <w:jc w:val="both"/>
        <w:rPr>
          <w:rFonts w:asciiTheme="minorHAnsi" w:eastAsiaTheme="minorHAnsi" w:hAnsiTheme="minorHAnsi" w:cstheme="minorHAnsi"/>
          <w:sz w:val="22"/>
          <w:szCs w:val="22"/>
        </w:rPr>
      </w:pPr>
      <w:r w:rsidRPr="00DB0C40">
        <w:rPr>
          <w:rFonts w:asciiTheme="minorHAnsi" w:eastAsiaTheme="minorHAnsi" w:hAnsiTheme="minorHAnsi" w:cstheme="minorHAnsi"/>
          <w:sz w:val="22"/>
          <w:szCs w:val="22"/>
        </w:rPr>
        <w:t>The COVID-19 pandemic has amplified existing gender-based violence against women, confirming long-standing research findings that the risk of domestic violence tends to increase in times of crisis. Lockdown measures were set to keep people safe at home. However, home turned out not to be safe for everyone and lockdown measures played a demonstrable role in the significant increase in reports of domestic violence and an increase in gender-based violence overall. While the collection of robust EU-level data is ongoing, preliminary findings from an assortment of independently carried-out studies point towards an escalation of psychological and physical violence against women by an intimate partner.</w:t>
      </w:r>
      <w:r w:rsidRPr="00DB0C40">
        <w:rPr>
          <w:rFonts w:asciiTheme="minorHAnsi" w:eastAsiaTheme="minorHAnsi" w:hAnsiTheme="minorHAnsi" w:cstheme="minorHAnsi"/>
          <w:position w:val="6"/>
          <w:sz w:val="22"/>
          <w:szCs w:val="22"/>
        </w:rPr>
        <w:footnoteReference w:id="16"/>
      </w:r>
      <w:r w:rsidRPr="00DB0C40">
        <w:rPr>
          <w:rFonts w:asciiTheme="minorHAnsi" w:eastAsiaTheme="minorHAnsi" w:hAnsiTheme="minorHAnsi" w:cstheme="minorHAnsi"/>
          <w:sz w:val="22"/>
          <w:szCs w:val="22"/>
        </w:rPr>
        <w:t xml:space="preserve"> </w:t>
      </w:r>
    </w:p>
    <w:p w14:paraId="7CD1F99D" w14:textId="77777777" w:rsidR="005758B6" w:rsidRPr="00DB0C40" w:rsidRDefault="005758B6" w:rsidP="005758B6">
      <w:pPr>
        <w:jc w:val="both"/>
        <w:rPr>
          <w:rFonts w:asciiTheme="minorHAnsi" w:eastAsiaTheme="minorHAnsi" w:hAnsiTheme="minorHAnsi" w:cstheme="minorHAnsi"/>
          <w:sz w:val="22"/>
          <w:szCs w:val="22"/>
        </w:rPr>
      </w:pPr>
    </w:p>
    <w:p w14:paraId="1E61F173" w14:textId="77777777" w:rsidR="005758B6" w:rsidRPr="00DB0C40" w:rsidRDefault="005758B6" w:rsidP="005758B6">
      <w:pPr>
        <w:jc w:val="both"/>
        <w:rPr>
          <w:rFonts w:asciiTheme="minorHAnsi" w:eastAsiaTheme="minorHAnsi" w:hAnsiTheme="minorHAnsi" w:cstheme="minorHAnsi"/>
          <w:sz w:val="22"/>
          <w:szCs w:val="22"/>
        </w:rPr>
      </w:pPr>
      <w:r w:rsidRPr="00DB0C40">
        <w:rPr>
          <w:rFonts w:asciiTheme="minorHAnsi" w:eastAsiaTheme="minorHAnsi" w:hAnsiTheme="minorHAnsi" w:cstheme="minorHAnsi"/>
          <w:sz w:val="22"/>
          <w:szCs w:val="22"/>
        </w:rPr>
        <w:t xml:space="preserve">To prevent further escalation or long-term consequences, action is needed to end gender-based violence against women and girls. Ensuring that victims can access adequate support at this time of crisis, including in rural areas, should be one of the priorities. In April 2020, the Commission urged Member States to guarantee that their emergency responses to the outbreak took account of the needs of groups in disadvantaged situations, such as victims of domestic violence, in line with their obligations under EU law. The Commission also stressed the importance to allocate resources to relevant support and protection services, helplines, and shelters. </w:t>
      </w:r>
    </w:p>
    <w:p w14:paraId="2E789488" w14:textId="77777777" w:rsidR="005758B6" w:rsidRPr="00DB0C40" w:rsidRDefault="005758B6" w:rsidP="005758B6">
      <w:pPr>
        <w:jc w:val="both"/>
        <w:rPr>
          <w:rFonts w:asciiTheme="minorHAnsi" w:eastAsiaTheme="minorHAnsi" w:hAnsiTheme="minorHAnsi" w:cstheme="minorHAnsi"/>
          <w:sz w:val="22"/>
          <w:szCs w:val="22"/>
        </w:rPr>
      </w:pPr>
    </w:p>
    <w:p w14:paraId="62E6F162" w14:textId="7574CA1D" w:rsidR="005758B6" w:rsidRDefault="005758B6">
      <w:pPr>
        <w:pStyle w:val="ListParagraph"/>
        <w:keepNext/>
        <w:keepLines/>
        <w:numPr>
          <w:ilvl w:val="2"/>
          <w:numId w:val="42"/>
        </w:numPr>
        <w:spacing w:before="40"/>
        <w:outlineLvl w:val="1"/>
        <w:rPr>
          <w:rFonts w:asciiTheme="majorHAnsi" w:eastAsiaTheme="majorEastAsia" w:hAnsiTheme="majorHAnsi" w:cstheme="majorBidi"/>
          <w:color w:val="2F5496" w:themeColor="accent1" w:themeShade="BF"/>
          <w:sz w:val="26"/>
          <w:szCs w:val="26"/>
        </w:rPr>
      </w:pPr>
      <w:bookmarkStart w:id="40" w:name="_Toc92359069"/>
      <w:bookmarkStart w:id="41" w:name="_Hlk107136125"/>
      <w:r w:rsidRPr="00DB0C40">
        <w:rPr>
          <w:rFonts w:asciiTheme="majorHAnsi" w:eastAsiaTheme="majorEastAsia" w:hAnsiTheme="majorHAnsi" w:cstheme="majorBidi"/>
          <w:color w:val="2F5496" w:themeColor="accent1" w:themeShade="BF"/>
          <w:sz w:val="26"/>
          <w:szCs w:val="26"/>
        </w:rPr>
        <w:t>Promoting work – life balance and equal sharing of care responsibilities</w:t>
      </w:r>
      <w:bookmarkEnd w:id="40"/>
    </w:p>
    <w:p w14:paraId="1C7A9F2B" w14:textId="77777777" w:rsidR="00AE67F2" w:rsidRPr="00DB0C40" w:rsidRDefault="00AE67F2" w:rsidP="00AE67F2">
      <w:pPr>
        <w:pStyle w:val="ListParagraph"/>
        <w:keepNext/>
        <w:keepLines/>
        <w:spacing w:before="40"/>
        <w:outlineLvl w:val="1"/>
        <w:rPr>
          <w:rFonts w:asciiTheme="majorHAnsi" w:eastAsiaTheme="majorEastAsia" w:hAnsiTheme="majorHAnsi" w:cstheme="majorBidi"/>
          <w:color w:val="2F5496" w:themeColor="accent1" w:themeShade="BF"/>
          <w:sz w:val="26"/>
          <w:szCs w:val="26"/>
        </w:rPr>
      </w:pPr>
    </w:p>
    <w:bookmarkEnd w:id="41"/>
    <w:p w14:paraId="50C71D7C" w14:textId="77777777" w:rsidR="005758B6" w:rsidRPr="00DB0C40" w:rsidRDefault="005758B6" w:rsidP="005758B6">
      <w:pPr>
        <w:jc w:val="both"/>
        <w:rPr>
          <w:rFonts w:asciiTheme="minorHAnsi" w:eastAsiaTheme="minorHAnsi" w:hAnsiTheme="minorHAnsi" w:cstheme="minorHAnsi"/>
          <w:sz w:val="22"/>
          <w:szCs w:val="22"/>
        </w:rPr>
      </w:pPr>
      <w:r w:rsidRPr="00DB0C40">
        <w:rPr>
          <w:rFonts w:asciiTheme="minorHAnsi" w:eastAsiaTheme="minorHAnsi" w:hAnsiTheme="minorHAnsi" w:cstheme="minorHAnsi"/>
          <w:sz w:val="22"/>
          <w:szCs w:val="22"/>
        </w:rPr>
        <w:t xml:space="preserve">Achieving a healthy work–life balance, given women’s disproportionate share of care responsibilities, is associated with promoting and sustaining gender equality and women’s economic empowerment. </w:t>
      </w:r>
      <w:r w:rsidRPr="00DB0C40">
        <w:rPr>
          <w:rFonts w:asciiTheme="minorHAnsi" w:eastAsiaTheme="minorHAnsi" w:hAnsiTheme="minorHAnsi" w:cstheme="minorHAnsi"/>
          <w:position w:val="6"/>
          <w:sz w:val="22"/>
          <w:szCs w:val="22"/>
        </w:rPr>
        <w:footnoteReference w:id="17"/>
      </w:r>
    </w:p>
    <w:p w14:paraId="01C2F292" w14:textId="77777777" w:rsidR="005758B6" w:rsidRPr="00DB0C40" w:rsidRDefault="005758B6" w:rsidP="005758B6">
      <w:pPr>
        <w:jc w:val="both"/>
        <w:rPr>
          <w:rFonts w:asciiTheme="minorHAnsi" w:eastAsiaTheme="minorHAnsi" w:hAnsiTheme="minorHAnsi" w:cstheme="minorHAnsi"/>
          <w:sz w:val="22"/>
          <w:szCs w:val="22"/>
        </w:rPr>
      </w:pPr>
    </w:p>
    <w:p w14:paraId="2EE07A52" w14:textId="77777777" w:rsidR="005758B6" w:rsidRPr="00DB0C40" w:rsidRDefault="005758B6" w:rsidP="005758B6">
      <w:pPr>
        <w:jc w:val="both"/>
        <w:rPr>
          <w:rFonts w:asciiTheme="minorHAnsi" w:eastAsiaTheme="minorHAnsi" w:hAnsiTheme="minorHAnsi" w:cstheme="minorHAnsi"/>
          <w:sz w:val="22"/>
          <w:szCs w:val="22"/>
        </w:rPr>
      </w:pPr>
      <w:r w:rsidRPr="00DB0C40">
        <w:rPr>
          <w:rFonts w:asciiTheme="minorHAnsi" w:eastAsiaTheme="minorHAnsi" w:hAnsiTheme="minorHAnsi" w:cstheme="minorHAnsi"/>
          <w:sz w:val="22"/>
          <w:szCs w:val="22"/>
        </w:rPr>
        <w:t xml:space="preserve">Across the world, without exception, women do most of the unpaid care work: on average 76.2 per cent of the total number of hours devoted to such tasks. In no country in the world do people perform equal shares of unpaid care work. </w:t>
      </w:r>
    </w:p>
    <w:p w14:paraId="74C166DE" w14:textId="77777777" w:rsidR="005758B6" w:rsidRPr="00DB0C40" w:rsidRDefault="005758B6" w:rsidP="005758B6">
      <w:pPr>
        <w:jc w:val="both"/>
        <w:rPr>
          <w:rFonts w:asciiTheme="minorHAnsi" w:eastAsiaTheme="minorHAnsi" w:hAnsiTheme="minorHAnsi" w:cstheme="minorHAnsi"/>
          <w:sz w:val="22"/>
          <w:szCs w:val="22"/>
        </w:rPr>
      </w:pPr>
    </w:p>
    <w:p w14:paraId="3A9443A4" w14:textId="77777777" w:rsidR="005758B6" w:rsidRPr="00DB0C40" w:rsidRDefault="005758B6" w:rsidP="005758B6">
      <w:pPr>
        <w:jc w:val="both"/>
        <w:rPr>
          <w:rFonts w:asciiTheme="minorHAnsi" w:eastAsiaTheme="minorHAnsi" w:hAnsiTheme="minorHAnsi" w:cstheme="minorHAnsi"/>
          <w:sz w:val="22"/>
          <w:szCs w:val="22"/>
        </w:rPr>
      </w:pPr>
      <w:r w:rsidRPr="00DB0C40">
        <w:rPr>
          <w:rFonts w:asciiTheme="minorHAnsi" w:eastAsiaTheme="minorHAnsi" w:hAnsiTheme="minorHAnsi" w:cstheme="minorHAnsi"/>
          <w:sz w:val="22"/>
          <w:szCs w:val="22"/>
        </w:rPr>
        <w:t>Before the COVID-19 crisis, unpaid care work was a serious barrier to women’s labour force participation and one of the main obstacles to women moving into better-quality jobs. The pandemic is aggravating the penalties that women are facing in the labour force, as well as increasing decent work deficits and discrimination. Furthermore, when gender intersects with other personal characteristics, such as ethnicity, nationality, age, disability, migration or health status, there is a risk that inequalities among distinct groups of women will also increase.</w:t>
      </w:r>
    </w:p>
    <w:p w14:paraId="64F3C11E" w14:textId="77777777" w:rsidR="005758B6" w:rsidRPr="00DB0C40" w:rsidRDefault="005758B6" w:rsidP="005758B6">
      <w:pPr>
        <w:jc w:val="both"/>
        <w:rPr>
          <w:rFonts w:asciiTheme="minorHAnsi" w:eastAsiaTheme="minorHAnsi" w:hAnsiTheme="minorHAnsi" w:cstheme="minorHAnsi"/>
          <w:sz w:val="22"/>
          <w:szCs w:val="22"/>
        </w:rPr>
      </w:pPr>
    </w:p>
    <w:p w14:paraId="160F73A6" w14:textId="108E373A" w:rsidR="00AE67F2" w:rsidRDefault="00E94A0E" w:rsidP="005758B6">
      <w:pPr>
        <w:keepNext/>
        <w:keepLines/>
        <w:spacing w:before="40"/>
        <w:outlineLvl w:val="2"/>
        <w:rPr>
          <w:rFonts w:asciiTheme="majorHAnsi" w:eastAsiaTheme="majorEastAsia" w:hAnsiTheme="majorHAnsi" w:cstheme="majorBidi"/>
          <w:color w:val="1F3763" w:themeColor="accent1" w:themeShade="7F"/>
        </w:rPr>
      </w:pPr>
      <w:bookmarkStart w:id="42" w:name="_Toc92359070"/>
      <w:r w:rsidRPr="00DB0C40">
        <w:rPr>
          <w:rFonts w:asciiTheme="majorHAnsi" w:eastAsiaTheme="majorEastAsia" w:hAnsiTheme="majorHAnsi" w:cstheme="majorBidi"/>
          <w:color w:val="1F3763" w:themeColor="accent1" w:themeShade="7F"/>
        </w:rPr>
        <w:t>3.4.3</w:t>
      </w:r>
      <w:r w:rsidR="005758B6" w:rsidRPr="00DB0C40">
        <w:rPr>
          <w:rFonts w:asciiTheme="majorHAnsi" w:eastAsiaTheme="majorEastAsia" w:hAnsiTheme="majorHAnsi" w:cstheme="majorBidi"/>
          <w:color w:val="1F3763" w:themeColor="accent1" w:themeShade="7F"/>
        </w:rPr>
        <w:t>.</w:t>
      </w:r>
      <w:r w:rsidRPr="00DB0C40">
        <w:rPr>
          <w:rFonts w:asciiTheme="majorHAnsi" w:eastAsiaTheme="majorEastAsia" w:hAnsiTheme="majorHAnsi" w:cstheme="majorBidi"/>
          <w:color w:val="1F3763" w:themeColor="accent1" w:themeShade="7F"/>
        </w:rPr>
        <w:t xml:space="preserve">1 </w:t>
      </w:r>
      <w:bookmarkStart w:id="43" w:name="_Hlk107136160"/>
      <w:r w:rsidR="005758B6" w:rsidRPr="00DB0C40">
        <w:rPr>
          <w:rFonts w:asciiTheme="majorHAnsi" w:eastAsiaTheme="majorEastAsia" w:hAnsiTheme="majorHAnsi" w:cstheme="majorBidi"/>
          <w:color w:val="1F3763" w:themeColor="accent1" w:themeShade="7F"/>
        </w:rPr>
        <w:t>International Labour Standards and other key instruments</w:t>
      </w:r>
      <w:bookmarkEnd w:id="42"/>
    </w:p>
    <w:p w14:paraId="01006820" w14:textId="77777777" w:rsidR="00AE67F2" w:rsidRPr="00DB0C40" w:rsidRDefault="00AE67F2" w:rsidP="005758B6">
      <w:pPr>
        <w:keepNext/>
        <w:keepLines/>
        <w:spacing w:before="40"/>
        <w:outlineLvl w:val="2"/>
        <w:rPr>
          <w:rFonts w:asciiTheme="majorHAnsi" w:eastAsiaTheme="majorEastAsia" w:hAnsiTheme="majorHAnsi" w:cstheme="majorBidi"/>
          <w:color w:val="1F3763" w:themeColor="accent1" w:themeShade="7F"/>
        </w:rPr>
      </w:pPr>
    </w:p>
    <w:bookmarkEnd w:id="43"/>
    <w:p w14:paraId="3FF790B2" w14:textId="5EA04C67" w:rsidR="005758B6" w:rsidRPr="00DB0C40" w:rsidRDefault="005758B6">
      <w:pPr>
        <w:pStyle w:val="ListParagraph"/>
        <w:numPr>
          <w:ilvl w:val="0"/>
          <w:numId w:val="43"/>
        </w:numPr>
        <w:jc w:val="both"/>
        <w:rPr>
          <w:rFonts w:asciiTheme="minorHAnsi" w:eastAsiaTheme="minorHAnsi" w:hAnsiTheme="minorHAnsi" w:cstheme="minorHAnsi"/>
          <w:sz w:val="22"/>
          <w:szCs w:val="22"/>
        </w:rPr>
      </w:pPr>
      <w:r w:rsidRPr="00DB0C40">
        <w:rPr>
          <w:rFonts w:asciiTheme="minorHAnsi" w:eastAsiaTheme="minorHAnsi" w:hAnsiTheme="minorHAnsi" w:cstheme="minorHAnsi"/>
          <w:sz w:val="22"/>
          <w:szCs w:val="22"/>
        </w:rPr>
        <w:t>Maternity protection is enshrined in fundamental human rights treaties, including the 1948 Universal Declaration of Human Rights (UDHR), the International Covenant on Economic, Social and Cultural Rights (ICESCR), 1966, and the Convention for the Elimination of All Forms of Discrimination against Women (CEDAW), 1979.</w:t>
      </w:r>
    </w:p>
    <w:p w14:paraId="1776E0D9" w14:textId="77777777" w:rsidR="005758B6" w:rsidRPr="00DB0C40" w:rsidRDefault="005758B6" w:rsidP="005758B6">
      <w:pPr>
        <w:jc w:val="both"/>
        <w:rPr>
          <w:rFonts w:asciiTheme="minorHAnsi" w:eastAsiaTheme="minorHAnsi" w:hAnsiTheme="minorHAnsi" w:cstheme="minorHAnsi"/>
          <w:sz w:val="22"/>
          <w:szCs w:val="22"/>
        </w:rPr>
      </w:pPr>
    </w:p>
    <w:p w14:paraId="469C92B0" w14:textId="469FE46F" w:rsidR="005758B6" w:rsidRPr="00DB0C40" w:rsidRDefault="005758B6">
      <w:pPr>
        <w:pStyle w:val="ListParagraph"/>
        <w:numPr>
          <w:ilvl w:val="0"/>
          <w:numId w:val="43"/>
        </w:numPr>
        <w:jc w:val="both"/>
        <w:rPr>
          <w:rFonts w:asciiTheme="minorHAnsi" w:eastAsiaTheme="minorHAnsi" w:hAnsiTheme="minorHAnsi" w:cstheme="minorHAnsi"/>
          <w:sz w:val="22"/>
          <w:szCs w:val="22"/>
        </w:rPr>
      </w:pPr>
      <w:r w:rsidRPr="00DB0C40">
        <w:rPr>
          <w:rFonts w:asciiTheme="minorHAnsi" w:eastAsiaTheme="minorHAnsi" w:hAnsiTheme="minorHAnsi" w:cstheme="minorHAnsi"/>
          <w:sz w:val="22"/>
          <w:szCs w:val="22"/>
        </w:rPr>
        <w:t xml:space="preserve">Several international labour standards adopted by the ILO constituents touch on crucial elements that contribute to the achievement of a healthy work–family balance. The ILO’s first maternity protection convention, the Maternity Convention, 1919 (No. 3), was adopted soon after the organization’s founding in 1919, which is indicative of its centrality in advancing social justice. The more recent Maternity Protection Convention, 2000 (No. 183) aims to preserve the health of the mother and the new-born child, to provide economic and job security – including protection from dismissal and discrimination, maintenance of earnings and benefits during maternity, including breastfeeding, and the right to resume work after giving birth – and therefore to promote equal opportunities in employment and occupation for women. The Social Security (Minimum Standards) Convention, 1952 (No. 102) and the Social Protection Floors Recommendation, 2012 (No. 202) also aim to ensure income security related to maternity.10 Furthermore, the ILO Transition from the Informal to the Formal Economy Recommendation, 2015 (No. 204) </w:t>
      </w:r>
      <w:r w:rsidRPr="00DB0C40">
        <w:rPr>
          <w:rFonts w:asciiTheme="minorHAnsi" w:eastAsiaTheme="minorHAnsi" w:hAnsiTheme="minorHAnsi" w:cstheme="minorHAnsi"/>
          <w:sz w:val="22"/>
          <w:szCs w:val="22"/>
        </w:rPr>
        <w:lastRenderedPageBreak/>
        <w:t>recommends that maternity protection and affordable quality care services be extended to workers in the informal economy, as a means of “[promoting] gender equality in entrepreneurship and employment opportunities and [enabling] the transition to the formal economy”.</w:t>
      </w:r>
    </w:p>
    <w:p w14:paraId="7FB44A11" w14:textId="77777777" w:rsidR="005758B6" w:rsidRPr="00DB0C40" w:rsidRDefault="005758B6" w:rsidP="005758B6">
      <w:pPr>
        <w:jc w:val="both"/>
        <w:rPr>
          <w:rFonts w:asciiTheme="minorHAnsi" w:eastAsiaTheme="minorHAnsi" w:hAnsiTheme="minorHAnsi" w:cstheme="minorHAnsi"/>
          <w:sz w:val="22"/>
          <w:szCs w:val="22"/>
        </w:rPr>
      </w:pPr>
    </w:p>
    <w:p w14:paraId="428A701A" w14:textId="7F0B4811" w:rsidR="005758B6" w:rsidRPr="00DB0C40" w:rsidRDefault="005758B6">
      <w:pPr>
        <w:pStyle w:val="ListParagraph"/>
        <w:numPr>
          <w:ilvl w:val="0"/>
          <w:numId w:val="43"/>
        </w:numPr>
        <w:jc w:val="both"/>
        <w:rPr>
          <w:rFonts w:asciiTheme="minorHAnsi" w:eastAsiaTheme="minorHAnsi" w:hAnsiTheme="minorHAnsi" w:cstheme="minorHAnsi"/>
          <w:sz w:val="22"/>
          <w:szCs w:val="22"/>
        </w:rPr>
      </w:pPr>
      <w:r w:rsidRPr="00DB0C40">
        <w:rPr>
          <w:rFonts w:asciiTheme="minorHAnsi" w:eastAsiaTheme="minorHAnsi" w:hAnsiTheme="minorHAnsi" w:cstheme="minorHAnsi"/>
          <w:sz w:val="22"/>
          <w:szCs w:val="22"/>
        </w:rPr>
        <w:t>The ILO Workers with Family Responsibilities Convention, 1981 (No. 156) and related Recommendation No. 165 set out a number of rights and measures, including additional family leave, childcare and family services, and social security and working conditions provisions, to enable workers to reconcile their work and family life. These standards recognize the need to counter the stereotype that women are responsible for caring and to encourage the sharing of caring responsibilities between women and men, to the benefit of the health, equality, and job quality of all.</w:t>
      </w:r>
    </w:p>
    <w:p w14:paraId="53FB6E16" w14:textId="77777777" w:rsidR="005758B6" w:rsidRPr="00DB0C40" w:rsidRDefault="005758B6" w:rsidP="005758B6">
      <w:pPr>
        <w:jc w:val="both"/>
        <w:rPr>
          <w:rFonts w:asciiTheme="minorHAnsi" w:eastAsiaTheme="minorHAnsi" w:hAnsiTheme="minorHAnsi" w:cstheme="minorHAnsi"/>
          <w:sz w:val="22"/>
          <w:szCs w:val="22"/>
        </w:rPr>
      </w:pPr>
    </w:p>
    <w:p w14:paraId="6FBB1742" w14:textId="4E788656" w:rsidR="005758B6" w:rsidRPr="00DB0C40" w:rsidRDefault="005758B6">
      <w:pPr>
        <w:pStyle w:val="ListParagraph"/>
        <w:numPr>
          <w:ilvl w:val="0"/>
          <w:numId w:val="43"/>
        </w:numPr>
        <w:jc w:val="both"/>
        <w:rPr>
          <w:rFonts w:asciiTheme="minorHAnsi" w:eastAsiaTheme="minorHAnsi" w:hAnsiTheme="minorHAnsi" w:cstheme="minorHAnsi"/>
          <w:sz w:val="22"/>
          <w:szCs w:val="22"/>
        </w:rPr>
      </w:pPr>
      <w:r w:rsidRPr="00DB0C40">
        <w:rPr>
          <w:rFonts w:asciiTheme="minorHAnsi" w:eastAsiaTheme="minorHAnsi" w:hAnsiTheme="minorHAnsi" w:cstheme="minorHAnsi"/>
          <w:sz w:val="22"/>
          <w:szCs w:val="22"/>
        </w:rPr>
        <w:t>Several EU Directives have defined and advanced a common floor of maternity protection and family responsibility provisions. These include, for instance, the Pregnant Workers Directive 1992, the Gender Equality Recast Directive 2006, and the Equal Treatment Directive 2010, which extended maternity protection rights to the self-employed. More recently, the Work–Life Balance Directive 2019 promotes work–life balance for working parents and other carers. It introduces paid paternity (10 days) and parental leave for all workers, with earmarked periods for each of the parents, carers’ leave, the right of workers with care responsibilities to request flexible working arrangements, and freedom from discrimination for carers taking advantage of these provisions.</w:t>
      </w:r>
    </w:p>
    <w:p w14:paraId="777833F0" w14:textId="77777777" w:rsidR="005758B6" w:rsidRPr="00DB0C40" w:rsidRDefault="005758B6" w:rsidP="005758B6">
      <w:pPr>
        <w:jc w:val="both"/>
        <w:rPr>
          <w:rFonts w:asciiTheme="minorHAnsi" w:eastAsiaTheme="minorHAnsi" w:hAnsiTheme="minorHAnsi" w:cstheme="minorHAnsi"/>
        </w:rPr>
      </w:pPr>
    </w:p>
    <w:p w14:paraId="596D6CDB" w14:textId="2A797A90" w:rsidR="005758B6" w:rsidRPr="00DB0C40" w:rsidRDefault="005758B6" w:rsidP="00F23644">
      <w:pPr>
        <w:pStyle w:val="ListParagraph"/>
        <w:keepNext/>
        <w:keepLines/>
        <w:numPr>
          <w:ilvl w:val="2"/>
          <w:numId w:val="44"/>
        </w:numPr>
        <w:spacing w:before="40"/>
        <w:outlineLvl w:val="2"/>
        <w:rPr>
          <w:rFonts w:asciiTheme="majorHAnsi" w:eastAsiaTheme="majorEastAsia" w:hAnsiTheme="majorHAnsi" w:cstheme="majorBidi"/>
          <w:color w:val="1F3763" w:themeColor="accent1" w:themeShade="7F"/>
        </w:rPr>
      </w:pPr>
      <w:bookmarkStart w:id="44" w:name="_Toc92359071"/>
      <w:bookmarkStart w:id="45" w:name="_Hlk107136199"/>
      <w:r w:rsidRPr="00DB0C40">
        <w:rPr>
          <w:rFonts w:asciiTheme="majorHAnsi" w:eastAsiaTheme="majorEastAsia" w:hAnsiTheme="majorHAnsi" w:cstheme="majorBidi"/>
          <w:color w:val="1F3763" w:themeColor="accent1" w:themeShade="7F"/>
        </w:rPr>
        <w:t>Some examples of national legal framework in European (Germany and Norway)</w:t>
      </w:r>
      <w:bookmarkEnd w:id="44"/>
      <w:r w:rsidRPr="00DB0C40">
        <w:rPr>
          <w:rFonts w:asciiTheme="majorHAnsi" w:eastAsiaTheme="majorEastAsia" w:hAnsiTheme="majorHAnsi" w:cstheme="majorBidi"/>
          <w:color w:val="1F3763" w:themeColor="accent1" w:themeShade="7F"/>
        </w:rPr>
        <w:t xml:space="preserve"> </w:t>
      </w:r>
    </w:p>
    <w:bookmarkEnd w:id="45"/>
    <w:p w14:paraId="53FFDF98" w14:textId="77777777" w:rsidR="002E58DF" w:rsidRPr="00DB0C40" w:rsidRDefault="002E58DF" w:rsidP="002E58DF">
      <w:pPr>
        <w:pStyle w:val="ListParagraph"/>
        <w:keepNext/>
        <w:keepLines/>
        <w:spacing w:before="40"/>
        <w:outlineLvl w:val="2"/>
        <w:rPr>
          <w:rFonts w:asciiTheme="majorHAnsi" w:eastAsiaTheme="majorEastAsia" w:hAnsiTheme="majorHAnsi" w:cstheme="majorBidi"/>
          <w:color w:val="1F3763" w:themeColor="accent1" w:themeShade="7F"/>
        </w:rPr>
      </w:pPr>
    </w:p>
    <w:p w14:paraId="55F5F256" w14:textId="77777777" w:rsidR="005758B6" w:rsidRPr="00DB0C40" w:rsidRDefault="005758B6" w:rsidP="005758B6">
      <w:pPr>
        <w:jc w:val="both"/>
        <w:rPr>
          <w:rFonts w:asciiTheme="minorHAnsi" w:eastAsiaTheme="minorHAnsi" w:hAnsiTheme="minorHAnsi" w:cstheme="minorHAnsi"/>
          <w:sz w:val="22"/>
          <w:szCs w:val="22"/>
        </w:rPr>
      </w:pPr>
      <w:r w:rsidRPr="00DB0C40">
        <w:rPr>
          <w:rFonts w:asciiTheme="minorHAnsi" w:eastAsiaTheme="minorHAnsi" w:hAnsiTheme="minorHAnsi" w:cstheme="minorHAnsi"/>
          <w:sz w:val="22"/>
          <w:szCs w:val="22"/>
        </w:rPr>
        <w:t xml:space="preserve">As care policies are crucial in ensuring that all people can realize their full economic and social potential, they need to be transformative, gender-responsive and human-rights based and be the primary responsibility of the State. The following are some of the measures that governments can adopt according to ILO: </w:t>
      </w:r>
    </w:p>
    <w:p w14:paraId="575EB2D8" w14:textId="77777777" w:rsidR="005758B6" w:rsidRPr="00DB0C40" w:rsidRDefault="005758B6">
      <w:pPr>
        <w:numPr>
          <w:ilvl w:val="1"/>
          <w:numId w:val="19"/>
        </w:numPr>
        <w:spacing w:after="200"/>
        <w:contextualSpacing/>
        <w:jc w:val="both"/>
        <w:rPr>
          <w:rFonts w:asciiTheme="minorHAnsi" w:hAnsiTheme="minorHAnsi" w:cstheme="minorHAnsi"/>
          <w:sz w:val="22"/>
          <w:szCs w:val="22"/>
        </w:rPr>
      </w:pPr>
      <w:r w:rsidRPr="00DB0C40">
        <w:rPr>
          <w:rFonts w:asciiTheme="minorHAnsi" w:hAnsiTheme="minorHAnsi" w:cstheme="minorHAnsi"/>
          <w:sz w:val="22"/>
          <w:szCs w:val="22"/>
        </w:rPr>
        <w:t>Providing universal maternity protection and inclusive leave policies</w:t>
      </w:r>
    </w:p>
    <w:p w14:paraId="66FFEDFF" w14:textId="77777777" w:rsidR="005758B6" w:rsidRPr="00DB0C40" w:rsidRDefault="005758B6">
      <w:pPr>
        <w:numPr>
          <w:ilvl w:val="1"/>
          <w:numId w:val="19"/>
        </w:numPr>
        <w:spacing w:after="200"/>
        <w:contextualSpacing/>
        <w:jc w:val="both"/>
        <w:rPr>
          <w:rFonts w:asciiTheme="minorHAnsi" w:hAnsiTheme="minorHAnsi" w:cstheme="minorHAnsi"/>
          <w:sz w:val="22"/>
          <w:szCs w:val="22"/>
        </w:rPr>
      </w:pPr>
      <w:r w:rsidRPr="00DB0C40">
        <w:rPr>
          <w:rFonts w:asciiTheme="minorHAnsi" w:hAnsiTheme="minorHAnsi" w:cstheme="minorHAnsi"/>
          <w:sz w:val="22"/>
          <w:szCs w:val="22"/>
        </w:rPr>
        <w:t>Expanding quality care services</w:t>
      </w:r>
    </w:p>
    <w:p w14:paraId="035A2E33" w14:textId="77777777" w:rsidR="005758B6" w:rsidRPr="00DB0C40" w:rsidRDefault="005758B6">
      <w:pPr>
        <w:numPr>
          <w:ilvl w:val="1"/>
          <w:numId w:val="19"/>
        </w:numPr>
        <w:spacing w:after="200"/>
        <w:contextualSpacing/>
        <w:jc w:val="both"/>
        <w:rPr>
          <w:rFonts w:asciiTheme="minorHAnsi" w:hAnsiTheme="minorHAnsi" w:cstheme="minorHAnsi"/>
          <w:sz w:val="22"/>
          <w:szCs w:val="22"/>
        </w:rPr>
      </w:pPr>
      <w:r w:rsidRPr="00DB0C40">
        <w:rPr>
          <w:rFonts w:asciiTheme="minorHAnsi" w:hAnsiTheme="minorHAnsi" w:cstheme="minorHAnsi"/>
          <w:sz w:val="22"/>
          <w:szCs w:val="22"/>
        </w:rPr>
        <w:t>Guaranteeing gender-responsive social protection</w:t>
      </w:r>
    </w:p>
    <w:p w14:paraId="35AB16D8" w14:textId="77777777" w:rsidR="005758B6" w:rsidRPr="00DB0C40" w:rsidRDefault="005758B6">
      <w:pPr>
        <w:numPr>
          <w:ilvl w:val="1"/>
          <w:numId w:val="19"/>
        </w:numPr>
        <w:spacing w:after="200"/>
        <w:contextualSpacing/>
        <w:jc w:val="both"/>
        <w:rPr>
          <w:rFonts w:asciiTheme="minorHAnsi" w:hAnsiTheme="minorHAnsi" w:cstheme="minorHAnsi"/>
          <w:sz w:val="22"/>
          <w:szCs w:val="22"/>
        </w:rPr>
      </w:pPr>
      <w:r w:rsidRPr="00DB0C40">
        <w:rPr>
          <w:rFonts w:asciiTheme="minorHAnsi" w:hAnsiTheme="minorHAnsi" w:cstheme="minorHAnsi"/>
          <w:sz w:val="22"/>
          <w:szCs w:val="22"/>
        </w:rPr>
        <w:t>Providing family-friendly working arrangements</w:t>
      </w:r>
    </w:p>
    <w:p w14:paraId="7F983EC5" w14:textId="77777777" w:rsidR="005758B6" w:rsidRPr="00DB0C40" w:rsidRDefault="005758B6">
      <w:pPr>
        <w:numPr>
          <w:ilvl w:val="1"/>
          <w:numId w:val="19"/>
        </w:numPr>
        <w:spacing w:after="200"/>
        <w:contextualSpacing/>
        <w:jc w:val="both"/>
        <w:rPr>
          <w:rFonts w:asciiTheme="minorHAnsi" w:hAnsiTheme="minorHAnsi" w:cstheme="minorHAnsi"/>
          <w:sz w:val="22"/>
          <w:szCs w:val="22"/>
        </w:rPr>
      </w:pPr>
      <w:r w:rsidRPr="00DB0C40">
        <w:rPr>
          <w:rFonts w:asciiTheme="minorHAnsi" w:hAnsiTheme="minorHAnsi" w:cstheme="minorHAnsi"/>
          <w:sz w:val="22"/>
          <w:szCs w:val="22"/>
        </w:rPr>
        <w:t>Facilitating work attachment and reintegration</w:t>
      </w:r>
    </w:p>
    <w:p w14:paraId="0EAD17C3" w14:textId="77777777" w:rsidR="005758B6" w:rsidRPr="00DB0C40" w:rsidRDefault="005758B6" w:rsidP="005758B6">
      <w:pPr>
        <w:jc w:val="both"/>
        <w:rPr>
          <w:rFonts w:asciiTheme="minorHAnsi" w:eastAsiaTheme="minorHAnsi" w:hAnsiTheme="minorHAnsi" w:cstheme="minorHAnsi"/>
          <w:sz w:val="22"/>
          <w:szCs w:val="22"/>
        </w:rPr>
      </w:pPr>
      <w:r w:rsidRPr="00DB0C40">
        <w:rPr>
          <w:rFonts w:asciiTheme="minorHAnsi" w:eastAsiaTheme="minorHAnsi" w:hAnsiTheme="minorHAnsi" w:cstheme="minorHAnsi"/>
          <w:sz w:val="22"/>
          <w:szCs w:val="22"/>
        </w:rPr>
        <w:t>Between these measures, we consider particularly two:  basic principles of care-sensitive and gender-transformative leave schemes and the facilitation of work attachment and reintegration.</w:t>
      </w:r>
    </w:p>
    <w:p w14:paraId="217541A0" w14:textId="77777777" w:rsidR="005758B6" w:rsidRPr="00DB0C40" w:rsidRDefault="005758B6" w:rsidP="005758B6">
      <w:pPr>
        <w:jc w:val="both"/>
        <w:rPr>
          <w:rFonts w:asciiTheme="minorHAnsi" w:eastAsiaTheme="minorHAnsi" w:hAnsiTheme="minorHAnsi" w:cstheme="minorHAnsi"/>
          <w:sz w:val="22"/>
          <w:szCs w:val="22"/>
        </w:rPr>
      </w:pPr>
    </w:p>
    <w:p w14:paraId="2A6349EE" w14:textId="77777777" w:rsidR="005758B6" w:rsidRPr="00DB0C40" w:rsidRDefault="005758B6" w:rsidP="005758B6">
      <w:pPr>
        <w:jc w:val="both"/>
        <w:rPr>
          <w:rFonts w:asciiTheme="minorHAnsi" w:eastAsiaTheme="minorHAnsi" w:hAnsiTheme="minorHAnsi" w:cstheme="minorHAnsi"/>
          <w:sz w:val="22"/>
          <w:szCs w:val="22"/>
        </w:rPr>
      </w:pPr>
      <w:r w:rsidRPr="00DB0C40">
        <w:rPr>
          <w:rFonts w:asciiTheme="minorHAnsi" w:eastAsiaTheme="minorHAnsi" w:hAnsiTheme="minorHAnsi" w:cstheme="minorHAnsi"/>
          <w:sz w:val="22"/>
          <w:szCs w:val="22"/>
        </w:rPr>
        <w:t xml:space="preserve">Regarding the </w:t>
      </w:r>
      <w:bookmarkStart w:id="46" w:name="_Hlk82604910"/>
      <w:r w:rsidRPr="00DB0C40">
        <w:rPr>
          <w:rFonts w:asciiTheme="minorHAnsi" w:eastAsiaTheme="minorHAnsi" w:hAnsiTheme="minorHAnsi" w:cstheme="minorHAnsi"/>
          <w:i/>
          <w:iCs/>
          <w:sz w:val="22"/>
          <w:szCs w:val="22"/>
        </w:rPr>
        <w:t>basic principles of care-sensitive and gender-transformative leave schemes</w:t>
      </w:r>
      <w:bookmarkEnd w:id="46"/>
      <w:r w:rsidRPr="00DB0C40">
        <w:rPr>
          <w:rFonts w:asciiTheme="minorHAnsi" w:eastAsiaTheme="minorHAnsi" w:hAnsiTheme="minorHAnsi" w:cstheme="minorHAnsi"/>
          <w:sz w:val="22"/>
          <w:szCs w:val="22"/>
        </w:rPr>
        <w:t xml:space="preserve">, it is important to consider: </w:t>
      </w:r>
    </w:p>
    <w:p w14:paraId="3E17E8C8" w14:textId="77777777" w:rsidR="005758B6" w:rsidRPr="00DB0C40" w:rsidRDefault="005758B6" w:rsidP="005758B6">
      <w:pPr>
        <w:jc w:val="both"/>
        <w:rPr>
          <w:rFonts w:asciiTheme="minorHAnsi" w:eastAsiaTheme="minorHAnsi" w:hAnsiTheme="minorHAnsi" w:cstheme="minorHAnsi"/>
          <w:sz w:val="22"/>
          <w:szCs w:val="22"/>
        </w:rPr>
      </w:pPr>
    </w:p>
    <w:p w14:paraId="364A18C6" w14:textId="77777777" w:rsidR="005758B6" w:rsidRPr="00DB0C40" w:rsidRDefault="005758B6" w:rsidP="005758B6">
      <w:pPr>
        <w:pBdr>
          <w:top w:val="single" w:sz="4" w:space="1" w:color="auto"/>
          <w:left w:val="single" w:sz="4" w:space="4" w:color="auto"/>
          <w:bottom w:val="single" w:sz="4" w:space="1" w:color="auto"/>
          <w:right w:val="single" w:sz="4" w:space="4" w:color="auto"/>
        </w:pBdr>
        <w:jc w:val="both"/>
        <w:rPr>
          <w:rFonts w:asciiTheme="minorHAnsi" w:eastAsiaTheme="minorHAnsi" w:hAnsiTheme="minorHAnsi" w:cstheme="minorHAnsi"/>
          <w:sz w:val="22"/>
          <w:szCs w:val="22"/>
        </w:rPr>
      </w:pPr>
      <w:r w:rsidRPr="00DB0C40">
        <w:rPr>
          <w:rFonts w:asciiTheme="minorHAnsi" w:eastAsiaTheme="minorHAnsi" w:hAnsiTheme="minorHAnsi" w:cstheme="minorHAnsi"/>
          <w:sz w:val="22"/>
          <w:szCs w:val="22"/>
        </w:rPr>
        <w:t>•</w:t>
      </w:r>
      <w:r w:rsidRPr="00DB0C40">
        <w:rPr>
          <w:rFonts w:asciiTheme="minorHAnsi" w:eastAsiaTheme="minorHAnsi" w:hAnsiTheme="minorHAnsi" w:cstheme="minorHAnsi"/>
          <w:sz w:val="22"/>
          <w:szCs w:val="22"/>
        </w:rPr>
        <w:tab/>
        <w:t>Ensure mothers are granted at least 14 weeks of leave paid at a rate of at least two-thirds of previous earnings according to Convention No. 183, or up to 18 weeks at one hundred per cent according to Recommendation No. 191.</w:t>
      </w:r>
    </w:p>
    <w:p w14:paraId="53A52EC8" w14:textId="77777777" w:rsidR="005758B6" w:rsidRPr="00DB0C40" w:rsidRDefault="005758B6" w:rsidP="005758B6">
      <w:pPr>
        <w:pBdr>
          <w:top w:val="single" w:sz="4" w:space="1" w:color="auto"/>
          <w:left w:val="single" w:sz="4" w:space="4" w:color="auto"/>
          <w:bottom w:val="single" w:sz="4" w:space="1" w:color="auto"/>
          <w:right w:val="single" w:sz="4" w:space="4" w:color="auto"/>
        </w:pBdr>
        <w:jc w:val="both"/>
        <w:rPr>
          <w:rFonts w:asciiTheme="minorHAnsi" w:eastAsiaTheme="minorHAnsi" w:hAnsiTheme="minorHAnsi" w:cstheme="minorHAnsi"/>
          <w:sz w:val="22"/>
          <w:szCs w:val="22"/>
        </w:rPr>
      </w:pPr>
      <w:r w:rsidRPr="00DB0C40">
        <w:rPr>
          <w:rFonts w:asciiTheme="minorHAnsi" w:eastAsiaTheme="minorHAnsi" w:hAnsiTheme="minorHAnsi" w:cstheme="minorHAnsi"/>
          <w:sz w:val="22"/>
          <w:szCs w:val="22"/>
        </w:rPr>
        <w:t>•</w:t>
      </w:r>
      <w:r w:rsidRPr="00DB0C40">
        <w:rPr>
          <w:rFonts w:asciiTheme="minorHAnsi" w:eastAsiaTheme="minorHAnsi" w:hAnsiTheme="minorHAnsi" w:cstheme="minorHAnsi"/>
          <w:sz w:val="22"/>
          <w:szCs w:val="22"/>
        </w:rPr>
        <w:tab/>
        <w:t>Ensure that fathers have access to compulsory paid parental leave for a meaningful period.</w:t>
      </w:r>
    </w:p>
    <w:p w14:paraId="03009A1C" w14:textId="77777777" w:rsidR="005758B6" w:rsidRPr="00DB0C40" w:rsidRDefault="005758B6" w:rsidP="005758B6">
      <w:pPr>
        <w:pBdr>
          <w:top w:val="single" w:sz="4" w:space="1" w:color="auto"/>
          <w:left w:val="single" w:sz="4" w:space="4" w:color="auto"/>
          <w:bottom w:val="single" w:sz="4" w:space="1" w:color="auto"/>
          <w:right w:val="single" w:sz="4" w:space="4" w:color="auto"/>
        </w:pBdr>
        <w:jc w:val="both"/>
        <w:rPr>
          <w:rFonts w:asciiTheme="minorHAnsi" w:eastAsiaTheme="minorHAnsi" w:hAnsiTheme="minorHAnsi" w:cstheme="minorHAnsi"/>
          <w:sz w:val="22"/>
          <w:szCs w:val="22"/>
        </w:rPr>
      </w:pPr>
      <w:r w:rsidRPr="00DB0C40">
        <w:rPr>
          <w:rFonts w:asciiTheme="minorHAnsi" w:eastAsiaTheme="minorHAnsi" w:hAnsiTheme="minorHAnsi" w:cstheme="minorHAnsi"/>
          <w:sz w:val="22"/>
          <w:szCs w:val="22"/>
        </w:rPr>
        <w:t>•</w:t>
      </w:r>
      <w:r w:rsidRPr="00DB0C40">
        <w:rPr>
          <w:rFonts w:asciiTheme="minorHAnsi" w:eastAsiaTheme="minorHAnsi" w:hAnsiTheme="minorHAnsi" w:cstheme="minorHAnsi"/>
          <w:sz w:val="22"/>
          <w:szCs w:val="22"/>
        </w:rPr>
        <w:tab/>
        <w:t>Ensure that a sizeable amount of parental leave is reserved for the father and cannot be transferred to the mother.</w:t>
      </w:r>
    </w:p>
    <w:p w14:paraId="4924C36B" w14:textId="77777777" w:rsidR="005758B6" w:rsidRPr="00DB0C40" w:rsidRDefault="005758B6" w:rsidP="005758B6">
      <w:pPr>
        <w:pBdr>
          <w:top w:val="single" w:sz="4" w:space="1" w:color="auto"/>
          <w:left w:val="single" w:sz="4" w:space="4" w:color="auto"/>
          <w:bottom w:val="single" w:sz="4" w:space="1" w:color="auto"/>
          <w:right w:val="single" w:sz="4" w:space="4" w:color="auto"/>
        </w:pBdr>
        <w:jc w:val="both"/>
        <w:rPr>
          <w:rFonts w:asciiTheme="minorHAnsi" w:eastAsiaTheme="minorHAnsi" w:hAnsiTheme="minorHAnsi" w:cstheme="minorHAnsi"/>
          <w:sz w:val="22"/>
          <w:szCs w:val="22"/>
        </w:rPr>
      </w:pPr>
      <w:r w:rsidRPr="00DB0C40">
        <w:rPr>
          <w:rFonts w:asciiTheme="minorHAnsi" w:eastAsiaTheme="minorHAnsi" w:hAnsiTheme="minorHAnsi" w:cstheme="minorHAnsi"/>
          <w:sz w:val="22"/>
          <w:szCs w:val="22"/>
        </w:rPr>
        <w:lastRenderedPageBreak/>
        <w:t>•</w:t>
      </w:r>
      <w:r w:rsidRPr="00DB0C40">
        <w:rPr>
          <w:rFonts w:asciiTheme="minorHAnsi" w:eastAsiaTheme="minorHAnsi" w:hAnsiTheme="minorHAnsi" w:cstheme="minorHAnsi"/>
          <w:sz w:val="22"/>
          <w:szCs w:val="22"/>
        </w:rPr>
        <w:tab/>
        <w:t>Ensure that other forms of leave, such as adoption leave or leave to care for disabled or sick children, adult, or older family members, are granted.</w:t>
      </w:r>
    </w:p>
    <w:p w14:paraId="2269AFE6" w14:textId="77777777" w:rsidR="005758B6" w:rsidRPr="00DB0C40" w:rsidRDefault="005758B6" w:rsidP="005758B6">
      <w:pPr>
        <w:pBdr>
          <w:top w:val="single" w:sz="4" w:space="1" w:color="auto"/>
          <w:left w:val="single" w:sz="4" w:space="4" w:color="auto"/>
          <w:bottom w:val="single" w:sz="4" w:space="1" w:color="auto"/>
          <w:right w:val="single" w:sz="4" w:space="4" w:color="auto"/>
        </w:pBdr>
        <w:jc w:val="both"/>
        <w:rPr>
          <w:rFonts w:asciiTheme="minorHAnsi" w:eastAsiaTheme="minorHAnsi" w:hAnsiTheme="minorHAnsi" w:cstheme="minorHAnsi"/>
          <w:sz w:val="22"/>
          <w:szCs w:val="22"/>
        </w:rPr>
      </w:pPr>
      <w:r w:rsidRPr="00DB0C40">
        <w:rPr>
          <w:rFonts w:asciiTheme="minorHAnsi" w:eastAsiaTheme="minorHAnsi" w:hAnsiTheme="minorHAnsi" w:cstheme="minorHAnsi"/>
          <w:sz w:val="22"/>
          <w:szCs w:val="22"/>
        </w:rPr>
        <w:t>•</w:t>
      </w:r>
      <w:r w:rsidRPr="00DB0C40">
        <w:rPr>
          <w:rFonts w:asciiTheme="minorHAnsi" w:eastAsiaTheme="minorHAnsi" w:hAnsiTheme="minorHAnsi" w:cstheme="minorHAnsi"/>
          <w:sz w:val="22"/>
          <w:szCs w:val="22"/>
        </w:rPr>
        <w:tab/>
        <w:t>Ensure that periods of leave are paid and that benefits correspond at least to two-thirds of previous earnings.</w:t>
      </w:r>
    </w:p>
    <w:p w14:paraId="4B8DD4BC" w14:textId="77777777" w:rsidR="005758B6" w:rsidRPr="00DB0C40" w:rsidRDefault="005758B6" w:rsidP="005758B6">
      <w:pPr>
        <w:pBdr>
          <w:top w:val="single" w:sz="4" w:space="1" w:color="auto"/>
          <w:left w:val="single" w:sz="4" w:space="4" w:color="auto"/>
          <w:bottom w:val="single" w:sz="4" w:space="1" w:color="auto"/>
          <w:right w:val="single" w:sz="4" w:space="4" w:color="auto"/>
        </w:pBdr>
        <w:jc w:val="both"/>
        <w:rPr>
          <w:rFonts w:asciiTheme="minorHAnsi" w:eastAsiaTheme="minorHAnsi" w:hAnsiTheme="minorHAnsi" w:cstheme="minorHAnsi"/>
          <w:sz w:val="22"/>
          <w:szCs w:val="22"/>
        </w:rPr>
      </w:pPr>
      <w:r w:rsidRPr="00DB0C40">
        <w:rPr>
          <w:rFonts w:asciiTheme="minorHAnsi" w:eastAsiaTheme="minorHAnsi" w:hAnsiTheme="minorHAnsi" w:cstheme="minorHAnsi"/>
          <w:sz w:val="22"/>
          <w:szCs w:val="22"/>
        </w:rPr>
        <w:t>•</w:t>
      </w:r>
      <w:r w:rsidRPr="00DB0C40">
        <w:rPr>
          <w:rFonts w:asciiTheme="minorHAnsi" w:eastAsiaTheme="minorHAnsi" w:hAnsiTheme="minorHAnsi" w:cstheme="minorHAnsi"/>
          <w:sz w:val="22"/>
          <w:szCs w:val="22"/>
        </w:rPr>
        <w:tab/>
        <w:t>Ensure that cash and medical benefits during leave are financed through collectively financed mechanisms, such as compulsory social insurance or public funds, and avoid direct costs for employers (“employer liability”).</w:t>
      </w:r>
    </w:p>
    <w:p w14:paraId="1B270365" w14:textId="77777777" w:rsidR="005758B6" w:rsidRPr="00DB0C40" w:rsidRDefault="005758B6" w:rsidP="005758B6">
      <w:pPr>
        <w:pBdr>
          <w:top w:val="single" w:sz="4" w:space="1" w:color="auto"/>
          <w:left w:val="single" w:sz="4" w:space="4" w:color="auto"/>
          <w:bottom w:val="single" w:sz="4" w:space="1" w:color="auto"/>
          <w:right w:val="single" w:sz="4" w:space="4" w:color="auto"/>
        </w:pBdr>
        <w:jc w:val="both"/>
        <w:rPr>
          <w:rFonts w:asciiTheme="minorHAnsi" w:eastAsiaTheme="minorHAnsi" w:hAnsiTheme="minorHAnsi" w:cstheme="minorHAnsi"/>
          <w:sz w:val="22"/>
          <w:szCs w:val="22"/>
        </w:rPr>
      </w:pPr>
      <w:r w:rsidRPr="00DB0C40">
        <w:rPr>
          <w:rFonts w:asciiTheme="minorHAnsi" w:eastAsiaTheme="minorHAnsi" w:hAnsiTheme="minorHAnsi" w:cstheme="minorHAnsi"/>
          <w:sz w:val="22"/>
          <w:szCs w:val="22"/>
        </w:rPr>
        <w:t>•</w:t>
      </w:r>
      <w:r w:rsidRPr="00DB0C40">
        <w:rPr>
          <w:rFonts w:asciiTheme="minorHAnsi" w:eastAsiaTheme="minorHAnsi" w:hAnsiTheme="minorHAnsi" w:cstheme="minorHAnsi"/>
          <w:sz w:val="22"/>
          <w:szCs w:val="22"/>
        </w:rPr>
        <w:tab/>
        <w:t>Ensure employment protection during leave and guarantee the right to return to the same or an equivalent position.</w:t>
      </w:r>
    </w:p>
    <w:p w14:paraId="42B9FE07" w14:textId="77777777" w:rsidR="005758B6" w:rsidRPr="00DB0C40" w:rsidRDefault="005758B6" w:rsidP="005758B6">
      <w:pPr>
        <w:pBdr>
          <w:top w:val="single" w:sz="4" w:space="1" w:color="auto"/>
          <w:left w:val="single" w:sz="4" w:space="4" w:color="auto"/>
          <w:bottom w:val="single" w:sz="4" w:space="1" w:color="auto"/>
          <w:right w:val="single" w:sz="4" w:space="4" w:color="auto"/>
        </w:pBdr>
        <w:jc w:val="both"/>
        <w:rPr>
          <w:rFonts w:asciiTheme="minorHAnsi" w:eastAsiaTheme="minorHAnsi" w:hAnsiTheme="minorHAnsi" w:cstheme="minorHAnsi"/>
          <w:sz w:val="22"/>
          <w:szCs w:val="22"/>
        </w:rPr>
      </w:pPr>
      <w:r w:rsidRPr="00DB0C40">
        <w:rPr>
          <w:rFonts w:asciiTheme="minorHAnsi" w:eastAsiaTheme="minorHAnsi" w:hAnsiTheme="minorHAnsi" w:cstheme="minorHAnsi"/>
          <w:sz w:val="22"/>
          <w:szCs w:val="22"/>
        </w:rPr>
        <w:t>•</w:t>
      </w:r>
      <w:r w:rsidRPr="00DB0C40">
        <w:rPr>
          <w:rFonts w:asciiTheme="minorHAnsi" w:eastAsiaTheme="minorHAnsi" w:hAnsiTheme="minorHAnsi" w:cstheme="minorHAnsi"/>
          <w:sz w:val="22"/>
          <w:szCs w:val="22"/>
        </w:rPr>
        <w:tab/>
        <w:t>Ensure that time spent on leave is credited for social insurance contributions and pension entitlements.</w:t>
      </w:r>
    </w:p>
    <w:p w14:paraId="74531F31" w14:textId="77777777" w:rsidR="005758B6" w:rsidRPr="00DB0C40" w:rsidRDefault="005758B6" w:rsidP="005758B6">
      <w:pPr>
        <w:pBdr>
          <w:top w:val="single" w:sz="4" w:space="1" w:color="auto"/>
          <w:left w:val="single" w:sz="4" w:space="4" w:color="auto"/>
          <w:bottom w:val="single" w:sz="4" w:space="1" w:color="auto"/>
          <w:right w:val="single" w:sz="4" w:space="4" w:color="auto"/>
        </w:pBdr>
        <w:jc w:val="both"/>
        <w:rPr>
          <w:rFonts w:asciiTheme="minorHAnsi" w:eastAsiaTheme="minorHAnsi" w:hAnsiTheme="minorHAnsi" w:cstheme="minorHAnsi"/>
          <w:sz w:val="22"/>
          <w:szCs w:val="22"/>
        </w:rPr>
      </w:pPr>
      <w:r w:rsidRPr="00DB0C40">
        <w:rPr>
          <w:rFonts w:asciiTheme="minorHAnsi" w:eastAsiaTheme="minorHAnsi" w:hAnsiTheme="minorHAnsi" w:cstheme="minorHAnsi"/>
          <w:sz w:val="22"/>
          <w:szCs w:val="22"/>
        </w:rPr>
        <w:t>•</w:t>
      </w:r>
      <w:r w:rsidRPr="00DB0C40">
        <w:rPr>
          <w:rFonts w:asciiTheme="minorHAnsi" w:eastAsiaTheme="minorHAnsi" w:hAnsiTheme="minorHAnsi" w:cstheme="minorHAnsi"/>
          <w:sz w:val="22"/>
          <w:szCs w:val="22"/>
        </w:rPr>
        <w:tab/>
        <w:t>Ensure universal access to leave rights and benefits, including for those workers in the informal economy.</w:t>
      </w:r>
    </w:p>
    <w:p w14:paraId="33E09409" w14:textId="77777777" w:rsidR="005758B6" w:rsidRPr="00A45334" w:rsidRDefault="005758B6" w:rsidP="005758B6">
      <w:pPr>
        <w:jc w:val="center"/>
        <w:rPr>
          <w:rFonts w:asciiTheme="minorHAnsi" w:eastAsiaTheme="minorHAnsi" w:hAnsiTheme="minorHAnsi" w:cstheme="minorHAnsi"/>
          <w:sz w:val="18"/>
          <w:szCs w:val="18"/>
        </w:rPr>
      </w:pPr>
      <w:r w:rsidRPr="00A45334">
        <w:rPr>
          <w:rFonts w:asciiTheme="minorHAnsi" w:eastAsiaTheme="minorHAnsi" w:hAnsiTheme="minorHAnsi" w:cstheme="minorHAnsi"/>
          <w:sz w:val="18"/>
          <w:szCs w:val="18"/>
        </w:rPr>
        <w:t>Source: ILO, Care Work and Care Jobs for the Future of Decent Work, 2018, page 312.</w:t>
      </w:r>
    </w:p>
    <w:p w14:paraId="499BF336" w14:textId="77777777" w:rsidR="005758B6" w:rsidRPr="00A45334" w:rsidRDefault="005758B6" w:rsidP="005758B6">
      <w:pPr>
        <w:jc w:val="center"/>
        <w:rPr>
          <w:rFonts w:asciiTheme="minorHAnsi" w:eastAsiaTheme="minorHAnsi" w:hAnsiTheme="minorHAnsi" w:cstheme="minorHAnsi"/>
          <w:sz w:val="18"/>
          <w:szCs w:val="18"/>
        </w:rPr>
      </w:pPr>
    </w:p>
    <w:p w14:paraId="7ECE4591" w14:textId="77777777" w:rsidR="005758B6" w:rsidRPr="00DB0C40" w:rsidRDefault="005758B6" w:rsidP="005758B6">
      <w:pPr>
        <w:jc w:val="both"/>
        <w:rPr>
          <w:rFonts w:asciiTheme="minorHAnsi" w:eastAsiaTheme="minorHAnsi" w:hAnsiTheme="minorHAnsi" w:cstheme="minorHAnsi"/>
          <w:sz w:val="22"/>
          <w:szCs w:val="22"/>
        </w:rPr>
      </w:pPr>
      <w:r w:rsidRPr="00DB0C40">
        <w:rPr>
          <w:rFonts w:asciiTheme="minorHAnsi" w:eastAsiaTheme="minorHAnsi" w:hAnsiTheme="minorHAnsi" w:cstheme="minorHAnsi"/>
          <w:sz w:val="22"/>
          <w:szCs w:val="22"/>
        </w:rPr>
        <w:t>Regarding the facilitation of work attachment and reintegration, it is important to consider that women are more likely to take parental leave and quit their jobs due to family responsibilities than men. Their disproportionate share of unpaid care work makes it more difficult for them to recover from long-term family leaves and career breaks, which may result in loss of skills and expertise and deprive companies and society of much-needed talent. Policies that support the permanence or reintegration of workers with family responsibilities are essential to address “motherhood penalties” and strengthen women’s attachment to the labour market.</w:t>
      </w:r>
    </w:p>
    <w:p w14:paraId="4A4FBB8B" w14:textId="77777777" w:rsidR="005758B6" w:rsidRPr="00DB0C40" w:rsidRDefault="005758B6" w:rsidP="005758B6">
      <w:pPr>
        <w:jc w:val="both"/>
        <w:rPr>
          <w:rFonts w:asciiTheme="minorHAnsi" w:eastAsiaTheme="minorHAnsi" w:hAnsiTheme="minorHAnsi" w:cstheme="minorHAnsi"/>
          <w:sz w:val="22"/>
          <w:szCs w:val="22"/>
        </w:rPr>
      </w:pPr>
    </w:p>
    <w:p w14:paraId="6FDAA4AD" w14:textId="77777777" w:rsidR="005758B6" w:rsidRPr="00DB0C40" w:rsidRDefault="005758B6" w:rsidP="005758B6">
      <w:pPr>
        <w:jc w:val="both"/>
        <w:rPr>
          <w:rFonts w:asciiTheme="minorHAnsi" w:eastAsiaTheme="minorHAnsi" w:hAnsiTheme="minorHAnsi" w:cstheme="minorHAnsi"/>
          <w:sz w:val="22"/>
          <w:szCs w:val="22"/>
        </w:rPr>
      </w:pPr>
      <w:r w:rsidRPr="00DB0C40">
        <w:rPr>
          <w:rFonts w:asciiTheme="minorHAnsi" w:eastAsiaTheme="minorHAnsi" w:hAnsiTheme="minorHAnsi" w:cstheme="minorHAnsi"/>
          <w:sz w:val="22"/>
          <w:szCs w:val="22"/>
        </w:rPr>
        <w:t xml:space="preserve">In line with the ILO Workers with Family responsibilities Recommendation, 1981 (No. 165), governments could set up or sponsor return-to-work or vocational training programmes and facilities that offer readily accessible and affordable services, such as “vocational guidance, counselling, information and placement services which are staffed by suitably trained personnel and are able to respond adequately to the special needs of workers with family responsibilities”. </w:t>
      </w:r>
    </w:p>
    <w:p w14:paraId="31EC713E" w14:textId="77777777" w:rsidR="005758B6" w:rsidRPr="00DB0C40" w:rsidRDefault="005758B6" w:rsidP="005758B6">
      <w:pPr>
        <w:jc w:val="both"/>
        <w:rPr>
          <w:rFonts w:asciiTheme="minorHAnsi" w:eastAsiaTheme="minorHAnsi" w:hAnsiTheme="minorHAnsi" w:cstheme="minorHAnsi"/>
          <w:sz w:val="22"/>
          <w:szCs w:val="22"/>
        </w:rPr>
      </w:pPr>
    </w:p>
    <w:p w14:paraId="56C11CAE" w14:textId="77777777" w:rsidR="005758B6" w:rsidRPr="00DB0C40" w:rsidRDefault="005758B6" w:rsidP="005758B6">
      <w:pPr>
        <w:jc w:val="both"/>
        <w:rPr>
          <w:rFonts w:asciiTheme="minorHAnsi" w:eastAsiaTheme="minorHAnsi" w:hAnsiTheme="minorHAnsi" w:cstheme="minorHAnsi"/>
          <w:sz w:val="22"/>
          <w:szCs w:val="22"/>
        </w:rPr>
      </w:pPr>
    </w:p>
    <w:p w14:paraId="49763227" w14:textId="77777777" w:rsidR="005758B6" w:rsidRPr="00DB0C40" w:rsidRDefault="005758B6" w:rsidP="005758B6">
      <w:pPr>
        <w:pBdr>
          <w:top w:val="single" w:sz="4" w:space="1" w:color="auto"/>
          <w:left w:val="single" w:sz="4" w:space="4" w:color="auto"/>
          <w:bottom w:val="single" w:sz="4" w:space="1" w:color="auto"/>
          <w:right w:val="single" w:sz="4" w:space="4" w:color="auto"/>
        </w:pBdr>
        <w:jc w:val="both"/>
        <w:rPr>
          <w:rFonts w:asciiTheme="minorHAnsi" w:eastAsiaTheme="minorHAnsi" w:hAnsiTheme="minorHAnsi" w:cstheme="minorHAnsi"/>
          <w:b/>
          <w:bCs/>
          <w:sz w:val="22"/>
          <w:szCs w:val="22"/>
        </w:rPr>
      </w:pPr>
      <w:r w:rsidRPr="00DB0C40">
        <w:rPr>
          <w:rFonts w:asciiTheme="minorHAnsi" w:eastAsiaTheme="minorHAnsi" w:hAnsiTheme="minorHAnsi" w:cstheme="minorHAnsi"/>
          <w:b/>
          <w:bCs/>
          <w:sz w:val="22"/>
          <w:szCs w:val="22"/>
        </w:rPr>
        <w:t>Germany: Leave policies, return-to-work programmes, and care services</w:t>
      </w:r>
      <w:r w:rsidRPr="00DB0C40">
        <w:rPr>
          <w:rFonts w:ascii="TimesNewRomanPS" w:eastAsiaTheme="minorHAnsi" w:hAnsi="TimesNewRomanPS" w:cstheme="minorHAnsi"/>
          <w:b/>
          <w:bCs/>
          <w:position w:val="6"/>
          <w:sz w:val="16"/>
          <w:szCs w:val="22"/>
        </w:rPr>
        <w:footnoteReference w:id="18"/>
      </w:r>
    </w:p>
    <w:p w14:paraId="566ECE12" w14:textId="77777777" w:rsidR="005758B6" w:rsidRPr="00DB0C40" w:rsidRDefault="005758B6" w:rsidP="005758B6">
      <w:pPr>
        <w:pBdr>
          <w:top w:val="single" w:sz="4" w:space="1" w:color="auto"/>
          <w:left w:val="single" w:sz="4" w:space="4" w:color="auto"/>
          <w:bottom w:val="single" w:sz="4" w:space="1" w:color="auto"/>
          <w:right w:val="single" w:sz="4" w:space="4" w:color="auto"/>
        </w:pBdr>
        <w:jc w:val="both"/>
        <w:rPr>
          <w:rFonts w:asciiTheme="minorHAnsi" w:eastAsiaTheme="minorHAnsi" w:hAnsiTheme="minorHAnsi" w:cstheme="minorHAnsi"/>
          <w:sz w:val="22"/>
          <w:szCs w:val="22"/>
        </w:rPr>
      </w:pPr>
    </w:p>
    <w:p w14:paraId="73E46273" w14:textId="77777777" w:rsidR="005758B6" w:rsidRPr="00DB0C40" w:rsidRDefault="005758B6" w:rsidP="005758B6">
      <w:pPr>
        <w:pBdr>
          <w:top w:val="single" w:sz="4" w:space="1" w:color="auto"/>
          <w:left w:val="single" w:sz="4" w:space="4" w:color="auto"/>
          <w:bottom w:val="single" w:sz="4" w:space="1" w:color="auto"/>
          <w:right w:val="single" w:sz="4" w:space="4" w:color="auto"/>
        </w:pBdr>
        <w:jc w:val="both"/>
        <w:rPr>
          <w:rFonts w:asciiTheme="minorHAnsi" w:eastAsiaTheme="minorHAnsi" w:hAnsiTheme="minorHAnsi" w:cstheme="minorHAnsi"/>
          <w:sz w:val="22"/>
          <w:szCs w:val="22"/>
        </w:rPr>
      </w:pPr>
      <w:r w:rsidRPr="00DB0C40">
        <w:rPr>
          <w:rFonts w:asciiTheme="minorHAnsi" w:eastAsiaTheme="minorHAnsi" w:hAnsiTheme="minorHAnsi" w:cstheme="minorHAnsi"/>
          <w:sz w:val="22"/>
          <w:szCs w:val="22"/>
        </w:rPr>
        <w:t>Germany has implemented leave policies designed with the stated goals of giving parents more time for family life, establishing a healthy balance between family and work, promoting shared parenting, and ensuring the livelihood of mothers. The Maternity Protection Act, amended in 2017, extends parental leave (14 weeks at full pay) to students. Mothers who give birth to a child with disabilities are granted a longer leave period, while extended protections are afforded to mothers who miscarry. The law also mandates workplace risk assessments to identify potential hazards for expectant mothers and provides for two paid 30-minute nursing breaks, or one consecutive hour, every day.</w:t>
      </w:r>
    </w:p>
    <w:p w14:paraId="1BA1D4C9" w14:textId="77777777" w:rsidR="005758B6" w:rsidRPr="00DB0C40" w:rsidRDefault="005758B6" w:rsidP="005758B6">
      <w:pPr>
        <w:pBdr>
          <w:top w:val="single" w:sz="4" w:space="1" w:color="auto"/>
          <w:left w:val="single" w:sz="4" w:space="4" w:color="auto"/>
          <w:bottom w:val="single" w:sz="4" w:space="1" w:color="auto"/>
          <w:right w:val="single" w:sz="4" w:space="4" w:color="auto"/>
        </w:pBdr>
        <w:jc w:val="both"/>
        <w:rPr>
          <w:rFonts w:asciiTheme="minorHAnsi" w:eastAsiaTheme="minorHAnsi" w:hAnsiTheme="minorHAnsi" w:cstheme="minorHAnsi"/>
          <w:sz w:val="22"/>
          <w:szCs w:val="22"/>
        </w:rPr>
      </w:pPr>
    </w:p>
    <w:p w14:paraId="2A6CD200" w14:textId="77777777" w:rsidR="005758B6" w:rsidRPr="00DB0C40" w:rsidRDefault="005758B6" w:rsidP="005758B6">
      <w:pPr>
        <w:pBdr>
          <w:top w:val="single" w:sz="4" w:space="1" w:color="auto"/>
          <w:left w:val="single" w:sz="4" w:space="4" w:color="auto"/>
          <w:bottom w:val="single" w:sz="4" w:space="1" w:color="auto"/>
          <w:right w:val="single" w:sz="4" w:space="4" w:color="auto"/>
        </w:pBdr>
        <w:jc w:val="both"/>
        <w:rPr>
          <w:rFonts w:asciiTheme="minorHAnsi" w:eastAsiaTheme="minorHAnsi" w:hAnsiTheme="minorHAnsi" w:cstheme="minorHAnsi"/>
          <w:sz w:val="22"/>
          <w:szCs w:val="22"/>
        </w:rPr>
      </w:pPr>
      <w:r w:rsidRPr="00DB0C40">
        <w:rPr>
          <w:rFonts w:asciiTheme="minorHAnsi" w:eastAsiaTheme="minorHAnsi" w:hAnsiTheme="minorHAnsi" w:cstheme="minorHAnsi"/>
          <w:sz w:val="22"/>
          <w:szCs w:val="22"/>
        </w:rPr>
        <w:t xml:space="preserve">Parents are entitled to receive parental leave benefits until the child’s third birthday and may resume work under their original employment contract on return from leave. Parental leave can be taken by the mother or the father, or by both parents. In 2015, Germany introduced the Parental Allowance Plus, which offers financial incentives for the parents to share parental leave and employment together. The Parental Allowance is paid for up to 14 months if both parents take parental leave (12 months if only one parent </w:t>
      </w:r>
      <w:r w:rsidRPr="00DB0C40">
        <w:rPr>
          <w:rFonts w:asciiTheme="minorHAnsi" w:eastAsiaTheme="minorHAnsi" w:hAnsiTheme="minorHAnsi" w:cstheme="minorHAnsi"/>
          <w:sz w:val="22"/>
          <w:szCs w:val="22"/>
        </w:rPr>
        <w:lastRenderedPageBreak/>
        <w:t>takes it). It amounts to 67 per cent of prior earnings (up to a maximum of €1,800). With the addition of the Partnership Bonus, parents can also receive an extra four months if both parents work 25–30 hours per week. Since 2008, the share of fathers who take parental leave (minimum of two months) has increased from 7 to 36 per cent.</w:t>
      </w:r>
    </w:p>
    <w:p w14:paraId="2BC11F92" w14:textId="77777777" w:rsidR="005758B6" w:rsidRPr="00DB0C40" w:rsidRDefault="005758B6" w:rsidP="005758B6">
      <w:pPr>
        <w:pBdr>
          <w:top w:val="single" w:sz="4" w:space="1" w:color="auto"/>
          <w:left w:val="single" w:sz="4" w:space="4" w:color="auto"/>
          <w:bottom w:val="single" w:sz="4" w:space="1" w:color="auto"/>
          <w:right w:val="single" w:sz="4" w:space="4" w:color="auto"/>
        </w:pBdr>
        <w:jc w:val="both"/>
        <w:rPr>
          <w:rFonts w:asciiTheme="minorHAnsi" w:eastAsiaTheme="minorHAnsi" w:hAnsiTheme="minorHAnsi" w:cstheme="minorHAnsi"/>
          <w:sz w:val="22"/>
          <w:szCs w:val="22"/>
        </w:rPr>
      </w:pPr>
    </w:p>
    <w:p w14:paraId="2AE4E827" w14:textId="77777777" w:rsidR="005758B6" w:rsidRPr="00DB0C40" w:rsidRDefault="005758B6" w:rsidP="005758B6">
      <w:pPr>
        <w:pBdr>
          <w:top w:val="single" w:sz="4" w:space="1" w:color="auto"/>
          <w:left w:val="single" w:sz="4" w:space="4" w:color="auto"/>
          <w:bottom w:val="single" w:sz="4" w:space="1" w:color="auto"/>
          <w:right w:val="single" w:sz="4" w:space="4" w:color="auto"/>
        </w:pBdr>
        <w:jc w:val="both"/>
        <w:rPr>
          <w:rFonts w:asciiTheme="minorHAnsi" w:eastAsiaTheme="minorHAnsi" w:hAnsiTheme="minorHAnsi" w:cstheme="minorHAnsi"/>
          <w:sz w:val="22"/>
          <w:szCs w:val="22"/>
        </w:rPr>
      </w:pPr>
      <w:r w:rsidRPr="00DB0C40">
        <w:rPr>
          <w:rFonts w:asciiTheme="minorHAnsi" w:eastAsiaTheme="minorHAnsi" w:hAnsiTheme="minorHAnsi" w:cstheme="minorHAnsi"/>
          <w:sz w:val="22"/>
          <w:szCs w:val="22"/>
        </w:rPr>
        <w:t>As a follow-up to the G20 Employment Plan, adopted under the Australian G20 presidency, Germany has set itself the goal of increasing female labour force participation. In 2015, it launched the “Programm Perspektive Wiedereinstieg”, a return-to-work programme for individuals who are taking a family-related break from employment. The programme is funded by the European Social Fund and offers career counselling, skills training, networking, and household support services in twenty-two locations and on-line. Since its launch, 6,300 women have joined and 36.5 per cent of them have already entered the labour market. To highlight its success, the programme has a portal publishing testimonies and good practices, along with resources and tips.66 The Federal government has also introduced a “Good early- childhood education and care” programme, allocating €5.5 billion over the period 2019- 2022 to improve the provision and quality of day care for children.</w:t>
      </w:r>
    </w:p>
    <w:p w14:paraId="2AAAD7EB" w14:textId="77777777" w:rsidR="005758B6" w:rsidRPr="00DB0C40" w:rsidRDefault="005758B6" w:rsidP="005758B6">
      <w:pPr>
        <w:pBdr>
          <w:top w:val="single" w:sz="4" w:space="1" w:color="auto"/>
          <w:left w:val="single" w:sz="4" w:space="4" w:color="auto"/>
          <w:bottom w:val="single" w:sz="4" w:space="1" w:color="auto"/>
          <w:right w:val="single" w:sz="4" w:space="4" w:color="auto"/>
        </w:pBdr>
        <w:jc w:val="both"/>
        <w:rPr>
          <w:rFonts w:asciiTheme="minorHAnsi" w:eastAsiaTheme="minorHAnsi" w:hAnsiTheme="minorHAnsi" w:cstheme="minorHAnsi"/>
          <w:sz w:val="22"/>
          <w:szCs w:val="22"/>
        </w:rPr>
      </w:pPr>
    </w:p>
    <w:p w14:paraId="772A0B3D" w14:textId="77777777" w:rsidR="005758B6" w:rsidRPr="00DB0C40" w:rsidRDefault="005758B6" w:rsidP="005758B6">
      <w:pPr>
        <w:pBdr>
          <w:top w:val="single" w:sz="4" w:space="1" w:color="auto"/>
          <w:left w:val="single" w:sz="4" w:space="4" w:color="auto"/>
          <w:bottom w:val="single" w:sz="4" w:space="1" w:color="auto"/>
          <w:right w:val="single" w:sz="4" w:space="4" w:color="auto"/>
        </w:pBdr>
        <w:jc w:val="both"/>
        <w:rPr>
          <w:rFonts w:asciiTheme="minorHAnsi" w:eastAsiaTheme="minorHAnsi" w:hAnsiTheme="minorHAnsi" w:cstheme="minorHAnsi"/>
          <w:sz w:val="22"/>
          <w:szCs w:val="22"/>
        </w:rPr>
      </w:pPr>
      <w:r w:rsidRPr="00DB0C40">
        <w:rPr>
          <w:rFonts w:asciiTheme="minorHAnsi" w:eastAsiaTheme="minorHAnsi" w:hAnsiTheme="minorHAnsi" w:cstheme="minorHAnsi"/>
          <w:sz w:val="22"/>
          <w:szCs w:val="22"/>
        </w:rPr>
        <w:t>Since 28 per cent of mothers in Germany are migrants, and 48 per cent of them are unemployed, the Government has established another return-to-work programme, also funded by the European Social Fund, which caters specifically to migrant mothers. The programme, entitled “Strong at work – mothers with a migration background are entering the labour market,” is run at 90 locations nationwide and provides language and skills training, as well as counselling. Since its inception in 2015, two-thirds of participants have found some form of employment opportunity.</w:t>
      </w:r>
    </w:p>
    <w:p w14:paraId="22FE1E32" w14:textId="77777777" w:rsidR="005758B6" w:rsidRPr="00DB0C40" w:rsidRDefault="005758B6" w:rsidP="005758B6">
      <w:pPr>
        <w:jc w:val="both"/>
        <w:rPr>
          <w:rFonts w:asciiTheme="minorHAnsi" w:eastAsiaTheme="minorHAnsi" w:hAnsiTheme="minorHAnsi" w:cstheme="minorHAnsi"/>
          <w:sz w:val="22"/>
          <w:szCs w:val="22"/>
        </w:rPr>
      </w:pPr>
    </w:p>
    <w:p w14:paraId="09D92189" w14:textId="77777777" w:rsidR="005758B6" w:rsidRPr="00DB0C40" w:rsidRDefault="005758B6" w:rsidP="005758B6">
      <w:pPr>
        <w:jc w:val="both"/>
        <w:rPr>
          <w:rFonts w:asciiTheme="minorHAnsi" w:eastAsiaTheme="minorHAnsi" w:hAnsiTheme="minorHAnsi" w:cstheme="minorHAnsi"/>
          <w:sz w:val="22"/>
          <w:szCs w:val="22"/>
        </w:rPr>
      </w:pPr>
    </w:p>
    <w:p w14:paraId="69E82F2D" w14:textId="77777777" w:rsidR="005758B6" w:rsidRPr="00DB0C40" w:rsidRDefault="005758B6" w:rsidP="005758B6">
      <w:pPr>
        <w:jc w:val="both"/>
        <w:rPr>
          <w:rFonts w:asciiTheme="minorHAnsi" w:eastAsiaTheme="minorHAnsi" w:hAnsiTheme="minorHAnsi" w:cstheme="minorHAnsi"/>
          <w:sz w:val="22"/>
          <w:szCs w:val="22"/>
        </w:rPr>
      </w:pPr>
    </w:p>
    <w:p w14:paraId="0B66CA36" w14:textId="77777777" w:rsidR="005758B6" w:rsidRPr="00DB0C40" w:rsidRDefault="005758B6" w:rsidP="005758B6">
      <w:pPr>
        <w:pBdr>
          <w:top w:val="single" w:sz="4" w:space="1" w:color="auto"/>
          <w:left w:val="single" w:sz="4" w:space="4" w:color="auto"/>
          <w:bottom w:val="single" w:sz="4" w:space="1" w:color="auto"/>
          <w:right w:val="single" w:sz="4" w:space="4" w:color="auto"/>
        </w:pBdr>
        <w:jc w:val="both"/>
        <w:rPr>
          <w:rFonts w:asciiTheme="minorHAnsi" w:eastAsiaTheme="minorHAnsi" w:hAnsiTheme="minorHAnsi" w:cstheme="minorHAnsi"/>
          <w:b/>
          <w:bCs/>
          <w:sz w:val="22"/>
          <w:szCs w:val="22"/>
        </w:rPr>
      </w:pPr>
      <w:r w:rsidRPr="00DB0C40">
        <w:rPr>
          <w:rFonts w:asciiTheme="minorHAnsi" w:eastAsiaTheme="minorHAnsi" w:hAnsiTheme="minorHAnsi" w:cstheme="minorHAnsi"/>
          <w:b/>
          <w:bCs/>
          <w:sz w:val="22"/>
          <w:szCs w:val="22"/>
        </w:rPr>
        <w:t>Parental leaves in Norway</w:t>
      </w:r>
    </w:p>
    <w:p w14:paraId="01682C93" w14:textId="77777777" w:rsidR="005758B6" w:rsidRPr="00DB0C40" w:rsidRDefault="005758B6" w:rsidP="005758B6">
      <w:pPr>
        <w:pBdr>
          <w:top w:val="single" w:sz="4" w:space="1" w:color="auto"/>
          <w:left w:val="single" w:sz="4" w:space="4" w:color="auto"/>
          <w:bottom w:val="single" w:sz="4" w:space="1" w:color="auto"/>
          <w:right w:val="single" w:sz="4" w:space="4" w:color="auto"/>
        </w:pBdr>
        <w:jc w:val="both"/>
        <w:rPr>
          <w:rFonts w:asciiTheme="minorHAnsi" w:eastAsiaTheme="minorHAnsi" w:hAnsiTheme="minorHAnsi" w:cstheme="minorHAnsi"/>
          <w:sz w:val="22"/>
          <w:szCs w:val="22"/>
        </w:rPr>
      </w:pPr>
      <w:r w:rsidRPr="00DB0C40">
        <w:rPr>
          <w:rFonts w:asciiTheme="minorHAnsi" w:eastAsiaTheme="minorHAnsi" w:hAnsiTheme="minorHAnsi" w:cstheme="minorHAnsi"/>
          <w:sz w:val="22"/>
          <w:szCs w:val="22"/>
        </w:rPr>
        <w:t>Norway offers generous parental leave of either 49 weeks at one hundred per cent of previous earnings or 59 weeks at 80 per cent, up to a fixed ceiling. When employees are covered under a collective agreement, the employer pays the difference between their wages and this cap. Parental leave benefits are funded by social insurance or general taxation in the case of non-employed women, who receive a flat-rate payment of €7,894 per child.76 Self- employed workers are eligible for the same leave benefits as employees, as are same-sex parents.</w:t>
      </w:r>
    </w:p>
    <w:p w14:paraId="1482A44D" w14:textId="77777777" w:rsidR="005758B6" w:rsidRPr="00DB0C40" w:rsidRDefault="005758B6" w:rsidP="005758B6">
      <w:pPr>
        <w:pBdr>
          <w:top w:val="single" w:sz="4" w:space="1" w:color="auto"/>
          <w:left w:val="single" w:sz="4" w:space="4" w:color="auto"/>
          <w:bottom w:val="single" w:sz="4" w:space="1" w:color="auto"/>
          <w:right w:val="single" w:sz="4" w:space="4" w:color="auto"/>
        </w:pBdr>
        <w:jc w:val="both"/>
        <w:rPr>
          <w:rFonts w:asciiTheme="minorHAnsi" w:eastAsiaTheme="minorHAnsi" w:hAnsiTheme="minorHAnsi" w:cstheme="minorHAnsi"/>
          <w:sz w:val="22"/>
          <w:szCs w:val="22"/>
        </w:rPr>
      </w:pPr>
    </w:p>
    <w:p w14:paraId="72E5C77B" w14:textId="77777777" w:rsidR="005758B6" w:rsidRPr="00DB0C40" w:rsidRDefault="005758B6" w:rsidP="005758B6">
      <w:pPr>
        <w:pBdr>
          <w:top w:val="single" w:sz="4" w:space="1" w:color="auto"/>
          <w:left w:val="single" w:sz="4" w:space="4" w:color="auto"/>
          <w:bottom w:val="single" w:sz="4" w:space="1" w:color="auto"/>
          <w:right w:val="single" w:sz="4" w:space="4" w:color="auto"/>
        </w:pBdr>
        <w:jc w:val="both"/>
        <w:rPr>
          <w:rFonts w:asciiTheme="minorHAnsi" w:eastAsiaTheme="minorHAnsi" w:hAnsiTheme="minorHAnsi" w:cstheme="minorHAnsi"/>
          <w:sz w:val="22"/>
          <w:szCs w:val="22"/>
        </w:rPr>
      </w:pPr>
      <w:r w:rsidRPr="00DB0C40">
        <w:rPr>
          <w:rFonts w:asciiTheme="minorHAnsi" w:eastAsiaTheme="minorHAnsi" w:hAnsiTheme="minorHAnsi" w:cstheme="minorHAnsi"/>
          <w:sz w:val="22"/>
          <w:szCs w:val="22"/>
        </w:rPr>
        <w:t>This system is the result of a 2013 reform designed to increase men’s take-up of leave by introducing an individual, earmarked, and non-transferable right to well-paid leave for fathers. A quota of 15 weeks’ leave paid at one hundred per cent (or 19 weeks at 80 per cent) is reserved separately for mothers and for fathers on a “use it or lose it” basis. The remaining weeks are a family entitlement that can be taken as a single block of time, on a part-time basis, or split into shorter blocks of time within a three-year period.</w:t>
      </w:r>
    </w:p>
    <w:p w14:paraId="7422B726" w14:textId="77777777" w:rsidR="005758B6" w:rsidRPr="00DB0C40" w:rsidRDefault="005758B6" w:rsidP="005758B6">
      <w:pPr>
        <w:pBdr>
          <w:top w:val="single" w:sz="4" w:space="1" w:color="auto"/>
          <w:left w:val="single" w:sz="4" w:space="4" w:color="auto"/>
          <w:bottom w:val="single" w:sz="4" w:space="1" w:color="auto"/>
          <w:right w:val="single" w:sz="4" w:space="4" w:color="auto"/>
        </w:pBdr>
        <w:jc w:val="both"/>
        <w:rPr>
          <w:rFonts w:asciiTheme="minorHAnsi" w:eastAsiaTheme="minorHAnsi" w:hAnsiTheme="minorHAnsi" w:cstheme="minorHAnsi"/>
          <w:sz w:val="22"/>
          <w:szCs w:val="22"/>
        </w:rPr>
      </w:pPr>
    </w:p>
    <w:p w14:paraId="72D91FF7" w14:textId="77777777" w:rsidR="005758B6" w:rsidRPr="00DB0C40" w:rsidRDefault="005758B6" w:rsidP="005758B6">
      <w:pPr>
        <w:pBdr>
          <w:top w:val="single" w:sz="4" w:space="1" w:color="auto"/>
          <w:left w:val="single" w:sz="4" w:space="4" w:color="auto"/>
          <w:bottom w:val="single" w:sz="4" w:space="1" w:color="auto"/>
          <w:right w:val="single" w:sz="4" w:space="4" w:color="auto"/>
        </w:pBdr>
        <w:jc w:val="both"/>
        <w:rPr>
          <w:rFonts w:asciiTheme="minorHAnsi" w:eastAsiaTheme="minorHAnsi" w:hAnsiTheme="minorHAnsi" w:cstheme="minorHAnsi"/>
          <w:sz w:val="22"/>
          <w:szCs w:val="22"/>
        </w:rPr>
      </w:pPr>
      <w:r w:rsidRPr="00DB0C40">
        <w:rPr>
          <w:rFonts w:asciiTheme="minorHAnsi" w:eastAsiaTheme="minorHAnsi" w:hAnsiTheme="minorHAnsi" w:cstheme="minorHAnsi"/>
          <w:sz w:val="22"/>
          <w:szCs w:val="22"/>
        </w:rPr>
        <w:t>The introduction of a “father’s’ quota” significantly increased the take-up of leave by fathers, from 4 to 90 per cent in 2019. While the length of the father’s entitlement has varied over the last decade, most fathers (seven out of ten) have taken exactly the number of weeks corresponding to the father’s quota, regardless of its length. The results of this experiment show that policy design is important and can change social norms and behaviours in less than a generation. When fathers, including managers, had the experience of being “irreplaceable” in caring for their child during parental leave, “this contributed to turning leave-taking into a norm of modern fathering.”</w:t>
      </w:r>
    </w:p>
    <w:p w14:paraId="0EAC4DFB" w14:textId="77777777" w:rsidR="005758B6" w:rsidRPr="00DB0C40" w:rsidRDefault="005758B6" w:rsidP="005758B6">
      <w:pPr>
        <w:rPr>
          <w:rFonts w:asciiTheme="minorHAnsi" w:eastAsiaTheme="minorHAnsi" w:hAnsiTheme="minorHAnsi" w:cstheme="minorHAnsi"/>
          <w:b/>
          <w:bCs/>
          <w:sz w:val="22"/>
          <w:szCs w:val="22"/>
        </w:rPr>
      </w:pPr>
    </w:p>
    <w:p w14:paraId="4E2CCF36" w14:textId="224A2BB5" w:rsidR="006667C7" w:rsidRPr="00F23644" w:rsidRDefault="005758B6">
      <w:pPr>
        <w:pStyle w:val="ListParagraph"/>
        <w:keepNext/>
        <w:keepLines/>
        <w:numPr>
          <w:ilvl w:val="3"/>
          <w:numId w:val="44"/>
        </w:numPr>
        <w:spacing w:before="40"/>
        <w:outlineLvl w:val="2"/>
        <w:rPr>
          <w:rFonts w:asciiTheme="majorHAnsi" w:eastAsiaTheme="majorEastAsia" w:hAnsiTheme="majorHAnsi" w:cstheme="majorBidi"/>
          <w:color w:val="1F3763" w:themeColor="accent1" w:themeShade="7F"/>
        </w:rPr>
      </w:pPr>
      <w:bookmarkStart w:id="47" w:name="_Toc92359072"/>
      <w:r w:rsidRPr="00DB0C40">
        <w:rPr>
          <w:rFonts w:asciiTheme="majorHAnsi" w:eastAsiaTheme="majorEastAsia" w:hAnsiTheme="majorHAnsi" w:cstheme="majorBidi"/>
          <w:color w:val="1F3763" w:themeColor="accent1" w:themeShade="7F"/>
        </w:rPr>
        <w:lastRenderedPageBreak/>
        <w:t xml:space="preserve">Laws and </w:t>
      </w:r>
      <w:r w:rsidR="00AE67F2">
        <w:rPr>
          <w:rFonts w:asciiTheme="majorHAnsi" w:eastAsiaTheme="majorEastAsia" w:hAnsiTheme="majorHAnsi" w:cstheme="majorBidi"/>
          <w:color w:val="1F3763" w:themeColor="accent1" w:themeShade="7F"/>
        </w:rPr>
        <w:t>P</w:t>
      </w:r>
      <w:r w:rsidRPr="00DB0C40">
        <w:rPr>
          <w:rFonts w:asciiTheme="majorHAnsi" w:eastAsiaTheme="majorEastAsia" w:hAnsiTheme="majorHAnsi" w:cstheme="majorBidi"/>
          <w:color w:val="1F3763" w:themeColor="accent1" w:themeShade="7F"/>
        </w:rPr>
        <w:t>olicies during COVID</w:t>
      </w:r>
      <w:bookmarkEnd w:id="47"/>
      <w:r w:rsidR="006667C7">
        <w:rPr>
          <w:rFonts w:asciiTheme="majorHAnsi" w:eastAsiaTheme="majorEastAsia" w:hAnsiTheme="majorHAnsi" w:cstheme="majorBidi"/>
          <w:color w:val="1F3763" w:themeColor="accent1" w:themeShade="7F"/>
        </w:rPr>
        <w:t xml:space="preserve"> </w:t>
      </w:r>
      <w:r w:rsidR="006667C7" w:rsidRPr="00F23644">
        <w:rPr>
          <w:rFonts w:asciiTheme="majorHAnsi" w:eastAsiaTheme="majorEastAsia" w:hAnsiTheme="majorHAnsi" w:cstheme="majorBidi"/>
          <w:color w:val="1F3763" w:themeColor="accent1" w:themeShade="7F"/>
        </w:rPr>
        <w:t>related to promoting work – life balance and equal sharing of care responsibilities</w:t>
      </w:r>
    </w:p>
    <w:p w14:paraId="23FE752D" w14:textId="77777777" w:rsidR="002E58DF" w:rsidRPr="00DB0C40" w:rsidRDefault="002E58DF" w:rsidP="002E58DF">
      <w:pPr>
        <w:keepNext/>
        <w:keepLines/>
        <w:spacing w:before="40"/>
        <w:outlineLvl w:val="2"/>
        <w:rPr>
          <w:rFonts w:asciiTheme="majorHAnsi" w:eastAsiaTheme="majorEastAsia" w:hAnsiTheme="majorHAnsi" w:cstheme="majorBidi"/>
          <w:color w:val="1F3763" w:themeColor="accent1" w:themeShade="7F"/>
        </w:rPr>
      </w:pPr>
    </w:p>
    <w:p w14:paraId="20A5731F" w14:textId="77777777" w:rsidR="005758B6" w:rsidRPr="00DB0C40" w:rsidRDefault="005758B6" w:rsidP="005758B6">
      <w:pPr>
        <w:jc w:val="both"/>
        <w:rPr>
          <w:rFonts w:asciiTheme="minorHAnsi" w:eastAsiaTheme="minorHAnsi" w:hAnsiTheme="minorHAnsi" w:cstheme="minorHAnsi"/>
          <w:sz w:val="22"/>
          <w:szCs w:val="22"/>
        </w:rPr>
      </w:pPr>
      <w:r w:rsidRPr="00DB0C40">
        <w:rPr>
          <w:rFonts w:asciiTheme="minorHAnsi" w:eastAsiaTheme="minorHAnsi" w:hAnsiTheme="minorHAnsi" w:cstheme="minorHAnsi"/>
          <w:sz w:val="22"/>
          <w:szCs w:val="22"/>
        </w:rPr>
        <w:t>The COVID-19 pandemic and related economic crisis are exacerbating gender inequalities in the sharing of unpaid care work. The closure of childcare centres and schools (affecting over one billion children across the world in the first half of 2020 and continuing in some countries), social distancing from relatives and home care workers, the heightened care needs of older and ill persons, and housework intensified by economic and service disruptions are disproportionally affecting women.</w:t>
      </w:r>
    </w:p>
    <w:p w14:paraId="063E333A" w14:textId="77777777" w:rsidR="005758B6" w:rsidRPr="00DB0C40" w:rsidRDefault="005758B6" w:rsidP="005758B6">
      <w:pPr>
        <w:jc w:val="both"/>
        <w:rPr>
          <w:rFonts w:asciiTheme="minorHAnsi" w:eastAsiaTheme="minorHAnsi" w:hAnsiTheme="minorHAnsi" w:cstheme="minorHAnsi"/>
          <w:sz w:val="22"/>
          <w:szCs w:val="22"/>
        </w:rPr>
      </w:pPr>
    </w:p>
    <w:p w14:paraId="1B3FDCB6" w14:textId="77777777" w:rsidR="005758B6" w:rsidRPr="00DB0C40" w:rsidRDefault="005758B6" w:rsidP="005758B6">
      <w:pPr>
        <w:jc w:val="both"/>
        <w:rPr>
          <w:rFonts w:asciiTheme="minorHAnsi" w:eastAsiaTheme="minorHAnsi" w:hAnsiTheme="minorHAnsi" w:cstheme="minorHAnsi"/>
          <w:sz w:val="22"/>
          <w:szCs w:val="22"/>
        </w:rPr>
      </w:pPr>
      <w:r w:rsidRPr="00DB0C40">
        <w:rPr>
          <w:rFonts w:asciiTheme="minorHAnsi" w:eastAsiaTheme="minorHAnsi" w:hAnsiTheme="minorHAnsi" w:cstheme="minorHAnsi"/>
          <w:sz w:val="22"/>
          <w:szCs w:val="22"/>
        </w:rPr>
        <w:t>Single parents, women with limited earnings and savings, those holding insecure jobs in the informal economy and small enterprises, who typically lack social and labour protection coverage, are among those who suffer the highest impacts. The World Bank estimates that, because of school closures, individuals in high-income countries could experience an earnings gap of USD21,158 (nearly USD5 trillion for the whole group), bringing about a drop in GDP of up to 9 per cent.</w:t>
      </w:r>
    </w:p>
    <w:p w14:paraId="7C030522" w14:textId="77777777" w:rsidR="005758B6" w:rsidRPr="00DB0C40" w:rsidRDefault="005758B6" w:rsidP="005758B6">
      <w:pPr>
        <w:jc w:val="both"/>
        <w:rPr>
          <w:rFonts w:asciiTheme="minorHAnsi" w:eastAsiaTheme="minorHAnsi" w:hAnsiTheme="minorHAnsi" w:cstheme="minorHAnsi"/>
          <w:sz w:val="22"/>
          <w:szCs w:val="22"/>
        </w:rPr>
      </w:pPr>
    </w:p>
    <w:p w14:paraId="1AE8F372" w14:textId="77777777" w:rsidR="005758B6" w:rsidRPr="00DB0C40" w:rsidRDefault="005758B6" w:rsidP="005758B6">
      <w:pPr>
        <w:jc w:val="both"/>
        <w:rPr>
          <w:rFonts w:asciiTheme="minorHAnsi" w:eastAsiaTheme="minorHAnsi" w:hAnsiTheme="minorHAnsi" w:cstheme="minorHAnsi"/>
          <w:sz w:val="22"/>
          <w:szCs w:val="22"/>
        </w:rPr>
      </w:pPr>
      <w:r w:rsidRPr="00DB0C40">
        <w:rPr>
          <w:rFonts w:asciiTheme="minorHAnsi" w:eastAsiaTheme="minorHAnsi" w:hAnsiTheme="minorHAnsi" w:cstheme="minorHAnsi"/>
          <w:sz w:val="22"/>
          <w:szCs w:val="22"/>
        </w:rPr>
        <w:t>The findings of one of the most comprehensive surveys of workers and men, conducted during the pandemic in Canada and the US, indicate that one in four women are considering leaving their jobs, cutting back hours, or scaling back work because of the pandemic, at least temporarily. Among women with young children, the struggle is especially acute, with one in three mothers considering scaling back or quitting altogether – compared with 11 per cent of fathers. Black women have faced major challenges due to the health impact of the pandemic.</w:t>
      </w:r>
    </w:p>
    <w:p w14:paraId="75D02D42" w14:textId="77777777" w:rsidR="005758B6" w:rsidRPr="00DB0C40" w:rsidRDefault="005758B6" w:rsidP="005758B6">
      <w:pPr>
        <w:jc w:val="both"/>
        <w:rPr>
          <w:rFonts w:asciiTheme="minorHAnsi" w:eastAsiaTheme="minorHAnsi" w:hAnsiTheme="minorHAnsi" w:cstheme="minorHAnsi"/>
          <w:sz w:val="22"/>
          <w:szCs w:val="22"/>
        </w:rPr>
      </w:pPr>
    </w:p>
    <w:p w14:paraId="4E653CCE" w14:textId="77777777" w:rsidR="005758B6" w:rsidRPr="00DB0C40" w:rsidRDefault="005758B6" w:rsidP="005758B6">
      <w:pPr>
        <w:jc w:val="both"/>
        <w:rPr>
          <w:rFonts w:asciiTheme="minorHAnsi" w:eastAsiaTheme="minorHAnsi" w:hAnsiTheme="minorHAnsi" w:cstheme="minorHAnsi"/>
          <w:sz w:val="22"/>
          <w:szCs w:val="22"/>
        </w:rPr>
      </w:pPr>
      <w:r w:rsidRPr="00DB0C40">
        <w:rPr>
          <w:rFonts w:asciiTheme="minorHAnsi" w:eastAsiaTheme="minorHAnsi" w:hAnsiTheme="minorHAnsi" w:cstheme="minorHAnsi"/>
          <w:sz w:val="22"/>
          <w:szCs w:val="22"/>
        </w:rPr>
        <w:t>A Eurofound survey also confirmed a general deterioration in work–life balance among workers in Europe. This trend was particularly marked among mothers of children under 12 years old, even though in most countries men slightly increased their participation in unpaid care work as compared to the pre-lockdown situation. 30 per cent of these women found it hard to concentrate on their work, as compared with 16 per cent of men. Work is also impinging on family life, with 32 per cent of young mothers reporting that during lockdowns their job prevents them from giving sufficient time to their family, as against 25 per cent of men.</w:t>
      </w:r>
    </w:p>
    <w:p w14:paraId="1CDA802F" w14:textId="77777777" w:rsidR="005758B6" w:rsidRPr="00DB0C40" w:rsidRDefault="005758B6" w:rsidP="005758B6">
      <w:pPr>
        <w:jc w:val="both"/>
        <w:rPr>
          <w:rFonts w:asciiTheme="minorHAnsi" w:eastAsiaTheme="minorHAnsi" w:hAnsiTheme="minorHAnsi" w:cstheme="minorHAnsi"/>
          <w:sz w:val="22"/>
          <w:szCs w:val="22"/>
        </w:rPr>
      </w:pPr>
    </w:p>
    <w:p w14:paraId="05743A48" w14:textId="77777777" w:rsidR="005758B6" w:rsidRPr="00DB0C40" w:rsidRDefault="005758B6" w:rsidP="005758B6">
      <w:pPr>
        <w:jc w:val="both"/>
        <w:rPr>
          <w:rFonts w:asciiTheme="minorHAnsi" w:eastAsiaTheme="minorHAnsi" w:hAnsiTheme="minorHAnsi" w:cstheme="minorHAnsi"/>
          <w:sz w:val="22"/>
          <w:szCs w:val="22"/>
        </w:rPr>
      </w:pPr>
      <w:r w:rsidRPr="00DB0C40">
        <w:rPr>
          <w:rFonts w:asciiTheme="minorHAnsi" w:eastAsiaTheme="minorHAnsi" w:hAnsiTheme="minorHAnsi" w:cstheme="minorHAnsi"/>
          <w:sz w:val="22"/>
          <w:szCs w:val="22"/>
        </w:rPr>
        <w:t>Several countries have taken temporary measures to address the needs of workers with family responsibilities in the context of ECCE and school closures during the COVID-19 crisis. In the long-term, governments should prioritize according to ILO:</w:t>
      </w:r>
    </w:p>
    <w:p w14:paraId="56ECA044" w14:textId="77777777" w:rsidR="005758B6" w:rsidRPr="00DB0C40" w:rsidRDefault="005758B6">
      <w:pPr>
        <w:numPr>
          <w:ilvl w:val="0"/>
          <w:numId w:val="20"/>
        </w:numPr>
        <w:spacing w:after="200"/>
        <w:contextualSpacing/>
        <w:jc w:val="both"/>
        <w:rPr>
          <w:rFonts w:asciiTheme="minorHAnsi" w:hAnsiTheme="minorHAnsi" w:cstheme="minorHAnsi"/>
          <w:sz w:val="22"/>
          <w:szCs w:val="22"/>
        </w:rPr>
      </w:pPr>
      <w:r w:rsidRPr="00DB0C40">
        <w:rPr>
          <w:rFonts w:asciiTheme="minorHAnsi" w:hAnsiTheme="minorHAnsi" w:cstheme="minorHAnsi"/>
          <w:sz w:val="22"/>
          <w:szCs w:val="22"/>
        </w:rPr>
        <w:t>strengthening social protection systems to cover all carers and making family responsibilities a priority criterion for accessing social protection benefits.</w:t>
      </w:r>
    </w:p>
    <w:p w14:paraId="4ECD2ED0" w14:textId="77777777" w:rsidR="005758B6" w:rsidRPr="00DB0C40" w:rsidRDefault="005758B6">
      <w:pPr>
        <w:numPr>
          <w:ilvl w:val="0"/>
          <w:numId w:val="20"/>
        </w:numPr>
        <w:spacing w:after="200"/>
        <w:contextualSpacing/>
        <w:jc w:val="both"/>
        <w:rPr>
          <w:rFonts w:asciiTheme="minorHAnsi" w:hAnsiTheme="minorHAnsi" w:cstheme="minorHAnsi"/>
          <w:sz w:val="22"/>
          <w:szCs w:val="22"/>
        </w:rPr>
      </w:pPr>
      <w:r w:rsidRPr="00DB0C40">
        <w:rPr>
          <w:rFonts w:asciiTheme="minorHAnsi" w:hAnsiTheme="minorHAnsi" w:cstheme="minorHAnsi"/>
          <w:sz w:val="22"/>
          <w:szCs w:val="22"/>
        </w:rPr>
        <w:t>ensuring the right to work–life balance for all workers; and</w:t>
      </w:r>
    </w:p>
    <w:p w14:paraId="3089C0CC" w14:textId="77777777" w:rsidR="005758B6" w:rsidRPr="00DB0C40" w:rsidRDefault="005758B6">
      <w:pPr>
        <w:numPr>
          <w:ilvl w:val="0"/>
          <w:numId w:val="20"/>
        </w:numPr>
        <w:spacing w:after="200"/>
        <w:contextualSpacing/>
        <w:jc w:val="both"/>
        <w:rPr>
          <w:rFonts w:asciiTheme="minorHAnsi" w:hAnsiTheme="minorHAnsi" w:cstheme="minorHAnsi"/>
          <w:sz w:val="22"/>
          <w:szCs w:val="22"/>
        </w:rPr>
      </w:pPr>
      <w:r w:rsidRPr="00DB0C40">
        <w:rPr>
          <w:rFonts w:asciiTheme="minorHAnsi" w:hAnsiTheme="minorHAnsi" w:cstheme="minorHAnsi"/>
          <w:sz w:val="22"/>
          <w:szCs w:val="22"/>
        </w:rPr>
        <w:t>investing in the care economy to create more better-quality care jobs.</w:t>
      </w:r>
    </w:p>
    <w:p w14:paraId="2FB626C8" w14:textId="77777777" w:rsidR="005758B6" w:rsidRPr="00DB0C40" w:rsidRDefault="005758B6" w:rsidP="005758B6">
      <w:pPr>
        <w:jc w:val="both"/>
        <w:rPr>
          <w:rFonts w:asciiTheme="minorHAnsi" w:eastAsiaTheme="minorHAnsi" w:hAnsiTheme="minorHAnsi" w:cstheme="minorHAnsi"/>
          <w:sz w:val="22"/>
          <w:szCs w:val="22"/>
        </w:rPr>
      </w:pPr>
    </w:p>
    <w:p w14:paraId="79FA83DF" w14:textId="4D2FCBD6" w:rsidR="005758B6" w:rsidRPr="00DB0C40" w:rsidRDefault="00C00E2B" w:rsidP="005758B6">
      <w:pPr>
        <w:jc w:val="both"/>
        <w:rPr>
          <w:rFonts w:asciiTheme="minorHAnsi" w:eastAsiaTheme="minorHAnsi" w:hAnsiTheme="minorHAnsi" w:cstheme="minorHAnsi"/>
          <w:sz w:val="22"/>
          <w:szCs w:val="22"/>
        </w:rPr>
      </w:pPr>
      <w:bookmarkStart w:id="48" w:name="_Hlk107136489"/>
      <w:r w:rsidRPr="00DB0C40">
        <w:rPr>
          <w:rFonts w:asciiTheme="minorHAnsi" w:eastAsiaTheme="minorHAnsi" w:hAnsiTheme="minorHAnsi" w:cstheme="minorHAnsi"/>
          <w:b/>
          <w:sz w:val="22"/>
          <w:szCs w:val="22"/>
        </w:rPr>
        <w:t xml:space="preserve">Table 1. </w:t>
      </w:r>
      <w:r w:rsidR="005758B6" w:rsidRPr="00DB0C40">
        <w:rPr>
          <w:rFonts w:asciiTheme="minorHAnsi" w:eastAsiaTheme="minorHAnsi" w:hAnsiTheme="minorHAnsi" w:cstheme="minorHAnsi"/>
          <w:b/>
          <w:sz w:val="22"/>
          <w:szCs w:val="22"/>
        </w:rPr>
        <w:t xml:space="preserve">Policy responses to the COVID-19 pandemic in support of workers with care responsibilities in G7 and selected EU countries </w:t>
      </w:r>
    </w:p>
    <w:bookmarkEnd w:id="48"/>
    <w:p w14:paraId="1AA1EB37" w14:textId="77777777" w:rsidR="005758B6" w:rsidRPr="00DB0C40" w:rsidRDefault="005758B6" w:rsidP="005758B6">
      <w:pPr>
        <w:jc w:val="both"/>
        <w:rPr>
          <w:rFonts w:asciiTheme="minorHAnsi" w:eastAsiaTheme="minorHAnsi" w:hAnsiTheme="minorHAnsi" w:cstheme="minorHAnsi"/>
          <w:sz w:val="22"/>
          <w:szCs w:val="22"/>
        </w:rPr>
      </w:pPr>
    </w:p>
    <w:tbl>
      <w:tblPr>
        <w:tblStyle w:val="TableGrid2"/>
        <w:tblW w:w="0" w:type="auto"/>
        <w:tblLook w:val="04A0" w:firstRow="1" w:lastRow="0" w:firstColumn="1" w:lastColumn="0" w:noHBand="0" w:noVBand="1"/>
      </w:tblPr>
      <w:tblGrid>
        <w:gridCol w:w="1035"/>
        <w:gridCol w:w="2293"/>
        <w:gridCol w:w="2293"/>
        <w:gridCol w:w="3729"/>
      </w:tblGrid>
      <w:tr w:rsidR="005758B6" w:rsidRPr="00DB0C40" w14:paraId="24B829A6" w14:textId="77777777" w:rsidTr="003F7BB3">
        <w:tc>
          <w:tcPr>
            <w:tcW w:w="0" w:type="auto"/>
            <w:shd w:val="clear" w:color="auto" w:fill="D9E2F3" w:themeFill="accent1" w:themeFillTint="33"/>
          </w:tcPr>
          <w:p w14:paraId="50C9515B" w14:textId="77777777" w:rsidR="005758B6" w:rsidRPr="00DB0C40" w:rsidRDefault="005758B6" w:rsidP="005758B6">
            <w:pPr>
              <w:jc w:val="both"/>
              <w:rPr>
                <w:rFonts w:cstheme="minorHAnsi"/>
                <w:b/>
                <w:bCs/>
                <w:sz w:val="20"/>
                <w:szCs w:val="20"/>
                <w:lang w:val="en-GB"/>
              </w:rPr>
            </w:pPr>
            <w:r w:rsidRPr="00DB0C40">
              <w:rPr>
                <w:rFonts w:cstheme="minorHAnsi"/>
                <w:b/>
                <w:bCs/>
                <w:sz w:val="20"/>
                <w:szCs w:val="20"/>
                <w:lang w:val="en-GB"/>
              </w:rPr>
              <w:t>COUNTRY</w:t>
            </w:r>
          </w:p>
        </w:tc>
        <w:tc>
          <w:tcPr>
            <w:tcW w:w="0" w:type="auto"/>
            <w:shd w:val="clear" w:color="auto" w:fill="D9E2F3" w:themeFill="accent1" w:themeFillTint="33"/>
          </w:tcPr>
          <w:p w14:paraId="5642E89F" w14:textId="77777777" w:rsidR="005758B6" w:rsidRPr="00DB0C40" w:rsidRDefault="005758B6" w:rsidP="005758B6">
            <w:pPr>
              <w:jc w:val="both"/>
              <w:rPr>
                <w:rFonts w:cstheme="minorHAnsi"/>
                <w:b/>
                <w:bCs/>
                <w:sz w:val="20"/>
                <w:szCs w:val="20"/>
                <w:lang w:val="en-GB"/>
              </w:rPr>
            </w:pPr>
            <w:r w:rsidRPr="00DB0C40">
              <w:rPr>
                <w:rFonts w:cstheme="minorHAnsi"/>
                <w:b/>
                <w:bCs/>
                <w:sz w:val="20"/>
                <w:szCs w:val="20"/>
                <w:lang w:val="en-GB"/>
              </w:rPr>
              <w:t>ECCE and schools</w:t>
            </w:r>
          </w:p>
        </w:tc>
        <w:tc>
          <w:tcPr>
            <w:tcW w:w="0" w:type="auto"/>
            <w:shd w:val="clear" w:color="auto" w:fill="D9E2F3" w:themeFill="accent1" w:themeFillTint="33"/>
          </w:tcPr>
          <w:p w14:paraId="5FE3106C" w14:textId="77777777" w:rsidR="005758B6" w:rsidRPr="00DB0C40" w:rsidRDefault="005758B6" w:rsidP="005758B6">
            <w:pPr>
              <w:jc w:val="both"/>
              <w:rPr>
                <w:rFonts w:cstheme="minorHAnsi"/>
                <w:b/>
                <w:bCs/>
                <w:sz w:val="20"/>
                <w:szCs w:val="20"/>
                <w:lang w:val="en-GB"/>
              </w:rPr>
            </w:pPr>
            <w:r w:rsidRPr="00DB0C40">
              <w:rPr>
                <w:rFonts w:cstheme="minorHAnsi"/>
                <w:b/>
                <w:bCs/>
                <w:sz w:val="20"/>
                <w:szCs w:val="20"/>
                <w:lang w:val="en-GB"/>
              </w:rPr>
              <w:t>Parental leaves</w:t>
            </w:r>
          </w:p>
        </w:tc>
        <w:tc>
          <w:tcPr>
            <w:tcW w:w="0" w:type="auto"/>
            <w:shd w:val="clear" w:color="auto" w:fill="D9E2F3" w:themeFill="accent1" w:themeFillTint="33"/>
          </w:tcPr>
          <w:p w14:paraId="24F9F852" w14:textId="77777777" w:rsidR="005758B6" w:rsidRPr="00DB0C40" w:rsidRDefault="005758B6" w:rsidP="005758B6">
            <w:pPr>
              <w:jc w:val="both"/>
              <w:rPr>
                <w:rFonts w:cstheme="minorHAnsi"/>
                <w:b/>
                <w:bCs/>
                <w:sz w:val="20"/>
                <w:szCs w:val="20"/>
                <w:lang w:val="en-GB"/>
              </w:rPr>
            </w:pPr>
            <w:r w:rsidRPr="00DB0C40">
              <w:rPr>
                <w:rFonts w:cstheme="minorHAnsi"/>
                <w:b/>
                <w:bCs/>
                <w:sz w:val="20"/>
                <w:szCs w:val="20"/>
                <w:lang w:val="en-GB"/>
              </w:rPr>
              <w:t>Other measures</w:t>
            </w:r>
          </w:p>
        </w:tc>
      </w:tr>
      <w:tr w:rsidR="005758B6" w:rsidRPr="00DB0C40" w14:paraId="5B19AD33" w14:textId="77777777" w:rsidTr="003F7BB3">
        <w:tc>
          <w:tcPr>
            <w:tcW w:w="0" w:type="auto"/>
            <w:shd w:val="clear" w:color="auto" w:fill="8EAADB" w:themeFill="accent1" w:themeFillTint="99"/>
          </w:tcPr>
          <w:p w14:paraId="48228033" w14:textId="77777777" w:rsidR="005758B6" w:rsidRPr="003F7BB3" w:rsidRDefault="005758B6" w:rsidP="005758B6">
            <w:pPr>
              <w:jc w:val="both"/>
              <w:rPr>
                <w:rFonts w:cstheme="minorHAnsi"/>
                <w:b/>
                <w:bCs/>
                <w:sz w:val="20"/>
                <w:szCs w:val="20"/>
                <w:lang w:val="en-GB"/>
              </w:rPr>
            </w:pPr>
            <w:r w:rsidRPr="003F7BB3">
              <w:rPr>
                <w:rFonts w:cstheme="minorHAnsi"/>
                <w:b/>
                <w:bCs/>
                <w:sz w:val="20"/>
                <w:szCs w:val="20"/>
                <w:lang w:val="en-GB"/>
              </w:rPr>
              <w:t>Austria</w:t>
            </w:r>
          </w:p>
        </w:tc>
        <w:tc>
          <w:tcPr>
            <w:tcW w:w="0" w:type="auto"/>
            <w:shd w:val="clear" w:color="auto" w:fill="FBE4D5" w:themeFill="accent2" w:themeFillTint="33"/>
          </w:tcPr>
          <w:p w14:paraId="6E9CF586" w14:textId="77777777" w:rsidR="005758B6" w:rsidRPr="00DB0C40" w:rsidRDefault="005758B6" w:rsidP="005758B6">
            <w:pPr>
              <w:jc w:val="both"/>
              <w:rPr>
                <w:rFonts w:cstheme="minorHAnsi"/>
                <w:sz w:val="20"/>
                <w:szCs w:val="20"/>
                <w:lang w:val="en-GB"/>
              </w:rPr>
            </w:pPr>
            <w:r w:rsidRPr="00DB0C40">
              <w:rPr>
                <w:rFonts w:cstheme="minorHAnsi"/>
                <w:sz w:val="20"/>
                <w:szCs w:val="20"/>
                <w:lang w:val="en-GB"/>
              </w:rPr>
              <w:t>-Not for ECCE (trough demand)</w:t>
            </w:r>
          </w:p>
          <w:p w14:paraId="1683FD15" w14:textId="77777777" w:rsidR="005758B6" w:rsidRPr="00DB0C40" w:rsidRDefault="005758B6" w:rsidP="005758B6">
            <w:pPr>
              <w:jc w:val="both"/>
              <w:rPr>
                <w:rFonts w:cstheme="minorHAnsi"/>
                <w:sz w:val="20"/>
                <w:szCs w:val="20"/>
                <w:lang w:val="en-GB"/>
              </w:rPr>
            </w:pPr>
            <w:r w:rsidRPr="00DB0C40">
              <w:rPr>
                <w:rFonts w:cstheme="minorHAnsi"/>
                <w:sz w:val="20"/>
                <w:szCs w:val="20"/>
                <w:lang w:val="en-GB"/>
              </w:rPr>
              <w:t>-Yes for schools</w:t>
            </w:r>
          </w:p>
        </w:tc>
        <w:tc>
          <w:tcPr>
            <w:tcW w:w="0" w:type="auto"/>
            <w:shd w:val="clear" w:color="auto" w:fill="FBE4D5" w:themeFill="accent2" w:themeFillTint="33"/>
          </w:tcPr>
          <w:p w14:paraId="6090DB94" w14:textId="77777777" w:rsidR="005758B6" w:rsidRPr="00DB0C40" w:rsidRDefault="005758B6" w:rsidP="005758B6">
            <w:pPr>
              <w:jc w:val="both"/>
              <w:rPr>
                <w:rFonts w:cstheme="minorHAnsi"/>
                <w:sz w:val="20"/>
                <w:szCs w:val="20"/>
                <w:lang w:val="en-GB"/>
              </w:rPr>
            </w:pPr>
            <w:r w:rsidRPr="00DB0C40">
              <w:rPr>
                <w:rFonts w:cstheme="minorHAnsi"/>
                <w:sz w:val="20"/>
                <w:szCs w:val="20"/>
                <w:lang w:val="en-GB"/>
              </w:rPr>
              <w:t>No</w:t>
            </w:r>
          </w:p>
        </w:tc>
        <w:tc>
          <w:tcPr>
            <w:tcW w:w="0" w:type="auto"/>
            <w:shd w:val="clear" w:color="auto" w:fill="FBE4D5" w:themeFill="accent2" w:themeFillTint="33"/>
          </w:tcPr>
          <w:p w14:paraId="3044AB83" w14:textId="2354A997" w:rsidR="005758B6" w:rsidRPr="00DB0C40" w:rsidRDefault="005758B6" w:rsidP="005758B6">
            <w:pPr>
              <w:jc w:val="both"/>
              <w:rPr>
                <w:rFonts w:cstheme="minorHAnsi"/>
                <w:sz w:val="20"/>
                <w:szCs w:val="20"/>
                <w:lang w:val="en-GB"/>
              </w:rPr>
            </w:pPr>
            <w:r w:rsidRPr="00DB0C40">
              <w:rPr>
                <w:rFonts w:cstheme="minorHAnsi"/>
                <w:sz w:val="20"/>
                <w:szCs w:val="20"/>
                <w:lang w:val="en-GB"/>
              </w:rPr>
              <w:t>-Extra social a</w:t>
            </w:r>
            <w:r w:rsidR="00713926">
              <w:rPr>
                <w:rFonts w:cstheme="minorHAnsi"/>
                <w:sz w:val="20"/>
                <w:szCs w:val="20"/>
                <w:lang w:val="en-GB"/>
              </w:rPr>
              <w:t>s</w:t>
            </w:r>
            <w:r w:rsidRPr="00DB0C40">
              <w:rPr>
                <w:rFonts w:cstheme="minorHAnsi"/>
                <w:sz w:val="20"/>
                <w:szCs w:val="20"/>
                <w:lang w:val="en-GB"/>
              </w:rPr>
              <w:t xml:space="preserve">sistance for families </w:t>
            </w:r>
          </w:p>
          <w:p w14:paraId="557485E6" w14:textId="77777777" w:rsidR="005758B6" w:rsidRPr="00DB0C40" w:rsidRDefault="005758B6" w:rsidP="005758B6">
            <w:pPr>
              <w:jc w:val="both"/>
              <w:rPr>
                <w:rFonts w:cstheme="minorHAnsi"/>
                <w:sz w:val="20"/>
                <w:szCs w:val="20"/>
                <w:lang w:val="en-GB"/>
              </w:rPr>
            </w:pPr>
            <w:r w:rsidRPr="00DB0C40">
              <w:rPr>
                <w:rFonts w:cstheme="minorHAnsi"/>
                <w:sz w:val="20"/>
                <w:szCs w:val="20"/>
                <w:lang w:val="en-GB"/>
              </w:rPr>
              <w:t>-3 weeks’ special leave on full</w:t>
            </w:r>
          </w:p>
          <w:p w14:paraId="7241A311" w14:textId="77777777" w:rsidR="005758B6" w:rsidRPr="00DB0C40" w:rsidRDefault="005758B6" w:rsidP="005758B6">
            <w:pPr>
              <w:jc w:val="both"/>
              <w:rPr>
                <w:rFonts w:cstheme="minorHAnsi"/>
                <w:sz w:val="20"/>
                <w:szCs w:val="20"/>
                <w:lang w:val="en-GB"/>
              </w:rPr>
            </w:pPr>
            <w:r w:rsidRPr="00DB0C40">
              <w:rPr>
                <w:rFonts w:cstheme="minorHAnsi"/>
                <w:sz w:val="20"/>
                <w:szCs w:val="20"/>
                <w:lang w:val="en-GB"/>
              </w:rPr>
              <w:t>pay applies in the case of care for a relative or children under the age of fourteen</w:t>
            </w:r>
          </w:p>
        </w:tc>
      </w:tr>
      <w:tr w:rsidR="005758B6" w:rsidRPr="00DB0C40" w14:paraId="19D6788F" w14:textId="77777777" w:rsidTr="003F7BB3">
        <w:tc>
          <w:tcPr>
            <w:tcW w:w="0" w:type="auto"/>
            <w:shd w:val="clear" w:color="auto" w:fill="8EAADB" w:themeFill="accent1" w:themeFillTint="99"/>
          </w:tcPr>
          <w:p w14:paraId="03165845" w14:textId="77777777" w:rsidR="005758B6" w:rsidRPr="003F7BB3" w:rsidRDefault="005758B6" w:rsidP="005758B6">
            <w:pPr>
              <w:jc w:val="both"/>
              <w:rPr>
                <w:rFonts w:cstheme="minorHAnsi"/>
                <w:b/>
                <w:bCs/>
                <w:sz w:val="20"/>
                <w:szCs w:val="20"/>
                <w:lang w:val="en-GB"/>
              </w:rPr>
            </w:pPr>
            <w:r w:rsidRPr="003F7BB3">
              <w:rPr>
                <w:rFonts w:cstheme="minorHAnsi"/>
                <w:b/>
                <w:bCs/>
                <w:sz w:val="20"/>
                <w:szCs w:val="20"/>
                <w:lang w:val="en-GB"/>
              </w:rPr>
              <w:t>Canada</w:t>
            </w:r>
          </w:p>
        </w:tc>
        <w:tc>
          <w:tcPr>
            <w:tcW w:w="0" w:type="auto"/>
            <w:shd w:val="clear" w:color="auto" w:fill="FBE4D5" w:themeFill="accent2" w:themeFillTint="33"/>
          </w:tcPr>
          <w:p w14:paraId="0B450146" w14:textId="77777777" w:rsidR="005758B6" w:rsidRPr="00DB0C40" w:rsidRDefault="005758B6" w:rsidP="005758B6">
            <w:pPr>
              <w:jc w:val="both"/>
              <w:rPr>
                <w:rFonts w:cstheme="minorHAnsi"/>
                <w:sz w:val="20"/>
                <w:szCs w:val="20"/>
                <w:lang w:val="en-GB"/>
              </w:rPr>
            </w:pPr>
            <w:r w:rsidRPr="00DB0C40">
              <w:rPr>
                <w:rFonts w:cstheme="minorHAnsi"/>
                <w:sz w:val="20"/>
                <w:szCs w:val="20"/>
                <w:lang w:val="en-GB"/>
              </w:rPr>
              <w:t>- ECCE closures varied by province and territory</w:t>
            </w:r>
          </w:p>
          <w:p w14:paraId="714E825E" w14:textId="0CEC5051" w:rsidR="005758B6" w:rsidRPr="00DB0C40" w:rsidRDefault="005758B6" w:rsidP="005758B6">
            <w:pPr>
              <w:jc w:val="both"/>
              <w:rPr>
                <w:rFonts w:cstheme="minorHAnsi"/>
                <w:sz w:val="20"/>
                <w:szCs w:val="20"/>
                <w:lang w:val="en-GB"/>
              </w:rPr>
            </w:pPr>
            <w:r w:rsidRPr="00DB0C40">
              <w:rPr>
                <w:rFonts w:cstheme="minorHAnsi"/>
                <w:sz w:val="20"/>
                <w:szCs w:val="20"/>
                <w:lang w:val="en-GB"/>
              </w:rPr>
              <w:lastRenderedPageBreak/>
              <w:t>-ECCE for es</w:t>
            </w:r>
            <w:r w:rsidR="00AE67F2">
              <w:rPr>
                <w:rFonts w:cstheme="minorHAnsi"/>
                <w:sz w:val="20"/>
                <w:szCs w:val="20"/>
                <w:lang w:val="en-GB"/>
              </w:rPr>
              <w:t>s</w:t>
            </w:r>
            <w:r w:rsidRPr="00DB0C40">
              <w:rPr>
                <w:rFonts w:cstheme="minorHAnsi"/>
                <w:sz w:val="20"/>
                <w:szCs w:val="20"/>
                <w:lang w:val="en-GB"/>
              </w:rPr>
              <w:t>e</w:t>
            </w:r>
            <w:r w:rsidR="00AE67F2">
              <w:rPr>
                <w:rFonts w:cstheme="minorHAnsi"/>
                <w:sz w:val="20"/>
                <w:szCs w:val="20"/>
                <w:lang w:val="en-GB"/>
              </w:rPr>
              <w:t>n</w:t>
            </w:r>
            <w:r w:rsidRPr="00DB0C40">
              <w:rPr>
                <w:rFonts w:cstheme="minorHAnsi"/>
                <w:sz w:val="20"/>
                <w:szCs w:val="20"/>
                <w:lang w:val="en-GB"/>
              </w:rPr>
              <w:t>tial workers</w:t>
            </w:r>
          </w:p>
        </w:tc>
        <w:tc>
          <w:tcPr>
            <w:tcW w:w="0" w:type="auto"/>
            <w:shd w:val="clear" w:color="auto" w:fill="FBE4D5" w:themeFill="accent2" w:themeFillTint="33"/>
          </w:tcPr>
          <w:p w14:paraId="6BEC39DC" w14:textId="77777777" w:rsidR="005758B6" w:rsidRPr="00DB0C40" w:rsidRDefault="005758B6" w:rsidP="005758B6">
            <w:pPr>
              <w:jc w:val="both"/>
              <w:rPr>
                <w:rFonts w:cstheme="minorHAnsi"/>
                <w:sz w:val="20"/>
                <w:szCs w:val="20"/>
                <w:lang w:val="en-GB"/>
              </w:rPr>
            </w:pPr>
            <w:r w:rsidRPr="00DB0C40">
              <w:rPr>
                <w:rFonts w:cstheme="minorHAnsi"/>
                <w:sz w:val="20"/>
                <w:szCs w:val="20"/>
                <w:lang w:val="en-GB"/>
              </w:rPr>
              <w:lastRenderedPageBreak/>
              <w:t xml:space="preserve">No change to existing measures (except in </w:t>
            </w:r>
            <w:r w:rsidRPr="00DB0C40">
              <w:rPr>
                <w:rFonts w:cstheme="minorHAnsi"/>
                <w:sz w:val="20"/>
                <w:szCs w:val="20"/>
                <w:lang w:val="en-GB"/>
              </w:rPr>
              <w:lastRenderedPageBreak/>
              <w:t>Quebec for healthcare workers)</w:t>
            </w:r>
          </w:p>
        </w:tc>
        <w:tc>
          <w:tcPr>
            <w:tcW w:w="0" w:type="auto"/>
            <w:shd w:val="clear" w:color="auto" w:fill="FBE4D5" w:themeFill="accent2" w:themeFillTint="33"/>
          </w:tcPr>
          <w:p w14:paraId="6074A93A" w14:textId="77777777" w:rsidR="005758B6" w:rsidRPr="00DB0C40" w:rsidRDefault="005758B6" w:rsidP="005758B6">
            <w:pPr>
              <w:jc w:val="both"/>
              <w:rPr>
                <w:rFonts w:cstheme="minorHAnsi"/>
                <w:sz w:val="20"/>
                <w:szCs w:val="20"/>
                <w:lang w:val="en-GB"/>
              </w:rPr>
            </w:pPr>
            <w:r w:rsidRPr="00DB0C40">
              <w:rPr>
                <w:rFonts w:cstheme="minorHAnsi"/>
                <w:sz w:val="20"/>
                <w:szCs w:val="20"/>
                <w:lang w:val="en-GB"/>
              </w:rPr>
              <w:lastRenderedPageBreak/>
              <w:t>-11/13 jurisdictions created new unpaid leave</w:t>
            </w:r>
          </w:p>
          <w:p w14:paraId="768CFD18" w14:textId="77777777" w:rsidR="005758B6" w:rsidRPr="00DB0C40" w:rsidRDefault="005758B6" w:rsidP="005758B6">
            <w:pPr>
              <w:jc w:val="both"/>
              <w:rPr>
                <w:rFonts w:cstheme="minorHAnsi"/>
                <w:sz w:val="20"/>
                <w:szCs w:val="20"/>
                <w:lang w:val="en-GB"/>
              </w:rPr>
            </w:pPr>
            <w:r w:rsidRPr="00DB0C40">
              <w:rPr>
                <w:rFonts w:cstheme="minorHAnsi"/>
                <w:sz w:val="20"/>
                <w:szCs w:val="20"/>
                <w:lang w:val="en-GB"/>
              </w:rPr>
              <w:lastRenderedPageBreak/>
              <w:t>-</w:t>
            </w:r>
            <w:r w:rsidRPr="00DB0C40">
              <w:rPr>
                <w:rFonts w:eastAsia="Trebuchet MS" w:cstheme="minorHAnsi"/>
                <w:w w:val="85"/>
                <w:sz w:val="20"/>
                <w:szCs w:val="20"/>
                <w:lang w:val="en-GB"/>
              </w:rPr>
              <w:t xml:space="preserve"> </w:t>
            </w:r>
            <w:r w:rsidRPr="00DB0C40">
              <w:rPr>
                <w:rFonts w:cstheme="minorHAnsi"/>
                <w:sz w:val="20"/>
                <w:szCs w:val="20"/>
                <w:lang w:val="en-GB"/>
              </w:rPr>
              <w:t>Leave for those caring for children over 18 years</w:t>
            </w:r>
          </w:p>
        </w:tc>
      </w:tr>
      <w:tr w:rsidR="005758B6" w:rsidRPr="00DB0C40" w14:paraId="3E168FEC" w14:textId="77777777" w:rsidTr="003F7BB3">
        <w:tc>
          <w:tcPr>
            <w:tcW w:w="0" w:type="auto"/>
            <w:shd w:val="clear" w:color="auto" w:fill="8EAADB" w:themeFill="accent1" w:themeFillTint="99"/>
          </w:tcPr>
          <w:p w14:paraId="53DBBCB9" w14:textId="77777777" w:rsidR="005758B6" w:rsidRPr="003F7BB3" w:rsidRDefault="005758B6" w:rsidP="005758B6">
            <w:pPr>
              <w:jc w:val="both"/>
              <w:rPr>
                <w:rFonts w:cstheme="minorHAnsi"/>
                <w:b/>
                <w:bCs/>
                <w:sz w:val="20"/>
                <w:szCs w:val="20"/>
                <w:lang w:val="en-GB"/>
              </w:rPr>
            </w:pPr>
            <w:r w:rsidRPr="003F7BB3">
              <w:rPr>
                <w:rFonts w:cstheme="minorHAnsi"/>
                <w:b/>
                <w:bCs/>
                <w:sz w:val="20"/>
                <w:szCs w:val="20"/>
                <w:lang w:val="en-GB"/>
              </w:rPr>
              <w:lastRenderedPageBreak/>
              <w:t>Denmark</w:t>
            </w:r>
          </w:p>
        </w:tc>
        <w:tc>
          <w:tcPr>
            <w:tcW w:w="0" w:type="auto"/>
            <w:shd w:val="clear" w:color="auto" w:fill="FBE4D5" w:themeFill="accent2" w:themeFillTint="33"/>
          </w:tcPr>
          <w:p w14:paraId="2FE3D695" w14:textId="77777777" w:rsidR="005758B6" w:rsidRPr="00DB0C40" w:rsidRDefault="005758B6" w:rsidP="005758B6">
            <w:pPr>
              <w:jc w:val="both"/>
              <w:rPr>
                <w:rFonts w:cstheme="minorHAnsi"/>
                <w:sz w:val="20"/>
                <w:szCs w:val="20"/>
                <w:lang w:val="en-GB"/>
              </w:rPr>
            </w:pPr>
            <w:r w:rsidRPr="00DB0C40">
              <w:rPr>
                <w:rFonts w:cstheme="minorHAnsi"/>
                <w:sz w:val="20"/>
                <w:szCs w:val="20"/>
                <w:lang w:val="en-GB"/>
              </w:rPr>
              <w:t>-Yes (care for essential</w:t>
            </w:r>
            <w:r w:rsidRPr="00DB0C40">
              <w:rPr>
                <w:rFonts w:cstheme="minorHAnsi"/>
                <w:sz w:val="20"/>
                <w:szCs w:val="20"/>
                <w:lang w:val="en-GB"/>
              </w:rPr>
              <w:tab/>
            </w:r>
          </w:p>
        </w:tc>
        <w:tc>
          <w:tcPr>
            <w:tcW w:w="0" w:type="auto"/>
            <w:shd w:val="clear" w:color="auto" w:fill="FBE4D5" w:themeFill="accent2" w:themeFillTint="33"/>
          </w:tcPr>
          <w:p w14:paraId="52ABCFA5" w14:textId="77777777" w:rsidR="005758B6" w:rsidRPr="00DB0C40" w:rsidRDefault="005758B6" w:rsidP="005758B6">
            <w:pPr>
              <w:jc w:val="both"/>
              <w:rPr>
                <w:rFonts w:cstheme="minorHAnsi"/>
                <w:sz w:val="20"/>
                <w:szCs w:val="20"/>
                <w:lang w:val="en-GB"/>
              </w:rPr>
            </w:pPr>
            <w:r w:rsidRPr="00DB0C40">
              <w:rPr>
                <w:rFonts w:cstheme="minorHAnsi"/>
                <w:sz w:val="20"/>
                <w:szCs w:val="20"/>
                <w:lang w:val="en-GB"/>
              </w:rPr>
              <w:t>No</w:t>
            </w:r>
          </w:p>
        </w:tc>
        <w:tc>
          <w:tcPr>
            <w:tcW w:w="0" w:type="auto"/>
            <w:shd w:val="clear" w:color="auto" w:fill="FBE4D5" w:themeFill="accent2" w:themeFillTint="33"/>
          </w:tcPr>
          <w:p w14:paraId="2449CBA7" w14:textId="77777777" w:rsidR="005758B6" w:rsidRPr="00DB0C40" w:rsidRDefault="005758B6" w:rsidP="005758B6">
            <w:pPr>
              <w:jc w:val="both"/>
              <w:rPr>
                <w:rFonts w:cstheme="minorHAnsi"/>
                <w:sz w:val="20"/>
                <w:szCs w:val="20"/>
                <w:lang w:val="en-GB"/>
              </w:rPr>
            </w:pPr>
            <w:r w:rsidRPr="00DB0C40">
              <w:rPr>
                <w:rFonts w:cstheme="minorHAnsi"/>
                <w:sz w:val="20"/>
                <w:szCs w:val="20"/>
                <w:lang w:val="en-GB"/>
              </w:rPr>
              <w:t>-Extra pregnancy protection workers’ children available)</w:t>
            </w:r>
          </w:p>
        </w:tc>
      </w:tr>
      <w:tr w:rsidR="005758B6" w:rsidRPr="00DB0C40" w14:paraId="1229341E" w14:textId="77777777" w:rsidTr="003F7BB3">
        <w:tc>
          <w:tcPr>
            <w:tcW w:w="0" w:type="auto"/>
            <w:shd w:val="clear" w:color="auto" w:fill="8EAADB" w:themeFill="accent1" w:themeFillTint="99"/>
          </w:tcPr>
          <w:p w14:paraId="029C2ACD" w14:textId="77777777" w:rsidR="005758B6" w:rsidRPr="003F7BB3" w:rsidRDefault="005758B6" w:rsidP="005758B6">
            <w:pPr>
              <w:jc w:val="both"/>
              <w:rPr>
                <w:rFonts w:cstheme="minorHAnsi"/>
                <w:b/>
                <w:bCs/>
                <w:sz w:val="20"/>
                <w:szCs w:val="20"/>
                <w:lang w:val="en-GB"/>
              </w:rPr>
            </w:pPr>
            <w:r w:rsidRPr="003F7BB3">
              <w:rPr>
                <w:rFonts w:cstheme="minorHAnsi"/>
                <w:b/>
                <w:bCs/>
                <w:sz w:val="20"/>
                <w:szCs w:val="20"/>
                <w:lang w:val="en-GB"/>
              </w:rPr>
              <w:t>Estonia</w:t>
            </w:r>
          </w:p>
        </w:tc>
        <w:tc>
          <w:tcPr>
            <w:tcW w:w="0" w:type="auto"/>
            <w:shd w:val="clear" w:color="auto" w:fill="FBE4D5" w:themeFill="accent2" w:themeFillTint="33"/>
          </w:tcPr>
          <w:p w14:paraId="3C22BAB0" w14:textId="77777777" w:rsidR="005758B6" w:rsidRPr="00DB0C40" w:rsidRDefault="005758B6" w:rsidP="005758B6">
            <w:pPr>
              <w:jc w:val="both"/>
              <w:rPr>
                <w:rFonts w:cstheme="minorHAnsi"/>
                <w:sz w:val="20"/>
                <w:szCs w:val="20"/>
                <w:lang w:val="en-GB"/>
              </w:rPr>
            </w:pPr>
            <w:r w:rsidRPr="00DB0C40">
              <w:rPr>
                <w:rFonts w:cstheme="minorHAnsi"/>
                <w:sz w:val="20"/>
                <w:szCs w:val="20"/>
                <w:lang w:val="en-GB"/>
              </w:rPr>
              <w:t>-ECCE remained open (though demand fell), schools closed</w:t>
            </w:r>
            <w:r w:rsidRPr="00DB0C40">
              <w:rPr>
                <w:rFonts w:cstheme="minorHAnsi"/>
                <w:sz w:val="20"/>
                <w:szCs w:val="20"/>
                <w:lang w:val="en-GB"/>
              </w:rPr>
              <w:tab/>
            </w:r>
          </w:p>
        </w:tc>
        <w:tc>
          <w:tcPr>
            <w:tcW w:w="0" w:type="auto"/>
            <w:shd w:val="clear" w:color="auto" w:fill="FBE4D5" w:themeFill="accent2" w:themeFillTint="33"/>
          </w:tcPr>
          <w:p w14:paraId="1B60BEF8" w14:textId="77777777" w:rsidR="005758B6" w:rsidRPr="00DB0C40" w:rsidRDefault="005758B6" w:rsidP="005758B6">
            <w:pPr>
              <w:jc w:val="both"/>
              <w:rPr>
                <w:rFonts w:cstheme="minorHAnsi"/>
                <w:sz w:val="20"/>
                <w:szCs w:val="20"/>
                <w:lang w:val="en-GB"/>
              </w:rPr>
            </w:pPr>
          </w:p>
        </w:tc>
        <w:tc>
          <w:tcPr>
            <w:tcW w:w="0" w:type="auto"/>
            <w:shd w:val="clear" w:color="auto" w:fill="FBE4D5" w:themeFill="accent2" w:themeFillTint="33"/>
          </w:tcPr>
          <w:p w14:paraId="698AF015" w14:textId="77777777" w:rsidR="005758B6" w:rsidRPr="00DB0C40" w:rsidRDefault="005758B6" w:rsidP="005758B6">
            <w:pPr>
              <w:jc w:val="both"/>
              <w:rPr>
                <w:rFonts w:cstheme="minorHAnsi"/>
                <w:sz w:val="20"/>
                <w:szCs w:val="20"/>
                <w:lang w:val="en-GB"/>
              </w:rPr>
            </w:pPr>
            <w:r w:rsidRPr="00DB0C40">
              <w:rPr>
                <w:rFonts w:cstheme="minorHAnsi"/>
                <w:sz w:val="20"/>
                <w:szCs w:val="20"/>
                <w:lang w:val="en-GB"/>
              </w:rPr>
              <w:t>Extra benefit for parents raising a child with special needs or disability who stopped working; free meal delivery for (some) schoolchildren</w:t>
            </w:r>
          </w:p>
        </w:tc>
      </w:tr>
      <w:tr w:rsidR="005758B6" w:rsidRPr="00DB0C40" w14:paraId="536FB9BE" w14:textId="77777777" w:rsidTr="003F7BB3">
        <w:tc>
          <w:tcPr>
            <w:tcW w:w="0" w:type="auto"/>
            <w:shd w:val="clear" w:color="auto" w:fill="8EAADB" w:themeFill="accent1" w:themeFillTint="99"/>
          </w:tcPr>
          <w:p w14:paraId="51C1183F" w14:textId="77777777" w:rsidR="005758B6" w:rsidRPr="003F7BB3" w:rsidRDefault="005758B6" w:rsidP="005758B6">
            <w:pPr>
              <w:jc w:val="both"/>
              <w:rPr>
                <w:rFonts w:cstheme="minorHAnsi"/>
                <w:b/>
                <w:bCs/>
                <w:sz w:val="20"/>
                <w:szCs w:val="20"/>
                <w:lang w:val="en-GB"/>
              </w:rPr>
            </w:pPr>
            <w:r w:rsidRPr="003F7BB3">
              <w:rPr>
                <w:rFonts w:cstheme="minorHAnsi"/>
                <w:b/>
                <w:bCs/>
                <w:sz w:val="20"/>
                <w:szCs w:val="20"/>
                <w:lang w:val="en-GB"/>
              </w:rPr>
              <w:t>France</w:t>
            </w:r>
          </w:p>
        </w:tc>
        <w:tc>
          <w:tcPr>
            <w:tcW w:w="0" w:type="auto"/>
            <w:shd w:val="clear" w:color="auto" w:fill="FBE4D5" w:themeFill="accent2" w:themeFillTint="33"/>
          </w:tcPr>
          <w:p w14:paraId="77CC0F50" w14:textId="77777777" w:rsidR="005758B6" w:rsidRPr="00DB0C40" w:rsidRDefault="005758B6" w:rsidP="005758B6">
            <w:pPr>
              <w:jc w:val="both"/>
              <w:rPr>
                <w:rFonts w:cstheme="minorHAnsi"/>
                <w:sz w:val="20"/>
                <w:szCs w:val="20"/>
                <w:lang w:val="en-GB"/>
              </w:rPr>
            </w:pPr>
            <w:r w:rsidRPr="00DB0C40">
              <w:rPr>
                <w:rFonts w:cstheme="minorHAnsi"/>
                <w:sz w:val="20"/>
                <w:szCs w:val="20"/>
                <w:lang w:val="en-GB"/>
              </w:rPr>
              <w:t>-Yes</w:t>
            </w:r>
          </w:p>
          <w:p w14:paraId="6A745583" w14:textId="6BE9DF6B" w:rsidR="005758B6" w:rsidRPr="00DB0C40" w:rsidRDefault="005758B6" w:rsidP="005758B6">
            <w:pPr>
              <w:jc w:val="both"/>
              <w:rPr>
                <w:rFonts w:cstheme="minorHAnsi"/>
                <w:sz w:val="20"/>
                <w:szCs w:val="20"/>
                <w:lang w:val="en-GB"/>
              </w:rPr>
            </w:pPr>
            <w:r w:rsidRPr="00DB0C40">
              <w:rPr>
                <w:rFonts w:cstheme="minorHAnsi"/>
                <w:sz w:val="20"/>
                <w:szCs w:val="20"/>
                <w:lang w:val="en-GB"/>
              </w:rPr>
              <w:t xml:space="preserve">-ECCE for </w:t>
            </w:r>
            <w:r w:rsidR="00F37BC3" w:rsidRPr="00DB0C40">
              <w:rPr>
                <w:rFonts w:cstheme="minorHAnsi"/>
                <w:sz w:val="20"/>
                <w:szCs w:val="20"/>
                <w:lang w:val="en-GB"/>
              </w:rPr>
              <w:t>essential</w:t>
            </w:r>
            <w:r w:rsidRPr="00DB0C40">
              <w:rPr>
                <w:rFonts w:cstheme="minorHAnsi"/>
                <w:sz w:val="20"/>
                <w:szCs w:val="20"/>
                <w:lang w:val="en-GB"/>
              </w:rPr>
              <w:t xml:space="preserve"> workers´ children, with geographical</w:t>
            </w:r>
            <w:r w:rsidRPr="00DB0C40">
              <w:rPr>
                <w:rFonts w:cstheme="minorHAnsi"/>
                <w:sz w:val="20"/>
                <w:szCs w:val="20"/>
                <w:lang w:val="en-GB"/>
              </w:rPr>
              <w:tab/>
            </w:r>
          </w:p>
          <w:p w14:paraId="0C0180B3" w14:textId="77777777" w:rsidR="005758B6" w:rsidRPr="00DB0C40" w:rsidRDefault="005758B6" w:rsidP="005758B6">
            <w:pPr>
              <w:jc w:val="both"/>
              <w:rPr>
                <w:rFonts w:cstheme="minorHAnsi"/>
                <w:sz w:val="20"/>
                <w:szCs w:val="20"/>
                <w:lang w:val="en-GB"/>
              </w:rPr>
            </w:pPr>
            <w:r w:rsidRPr="00DB0C40">
              <w:rPr>
                <w:rFonts w:cstheme="minorHAnsi"/>
                <w:sz w:val="20"/>
                <w:szCs w:val="20"/>
                <w:lang w:val="en-GB"/>
              </w:rPr>
              <w:t>variation to extent of closures</w:t>
            </w:r>
          </w:p>
          <w:p w14:paraId="30B2FB0A" w14:textId="77777777" w:rsidR="005758B6" w:rsidRPr="00DB0C40" w:rsidRDefault="005758B6" w:rsidP="005758B6">
            <w:pPr>
              <w:jc w:val="both"/>
              <w:rPr>
                <w:rFonts w:cstheme="minorHAnsi"/>
                <w:sz w:val="20"/>
                <w:szCs w:val="20"/>
                <w:lang w:val="en-GB"/>
              </w:rPr>
            </w:pPr>
          </w:p>
          <w:p w14:paraId="5D558852" w14:textId="77777777" w:rsidR="005758B6" w:rsidRPr="00DB0C40" w:rsidRDefault="005758B6" w:rsidP="005758B6">
            <w:pPr>
              <w:jc w:val="both"/>
              <w:rPr>
                <w:rFonts w:cstheme="minorHAnsi"/>
                <w:sz w:val="20"/>
                <w:szCs w:val="20"/>
                <w:lang w:val="en-GB"/>
              </w:rPr>
            </w:pPr>
            <w:r w:rsidRPr="00DB0C40">
              <w:rPr>
                <w:rFonts w:cstheme="minorHAnsi"/>
                <w:sz w:val="20"/>
                <w:szCs w:val="20"/>
                <w:lang w:val="en-GB"/>
              </w:rPr>
              <w:t>-Schools partly closed</w:t>
            </w:r>
          </w:p>
        </w:tc>
        <w:tc>
          <w:tcPr>
            <w:tcW w:w="0" w:type="auto"/>
            <w:shd w:val="clear" w:color="auto" w:fill="FBE4D5" w:themeFill="accent2" w:themeFillTint="33"/>
          </w:tcPr>
          <w:p w14:paraId="355B9BE3" w14:textId="77777777" w:rsidR="005758B6" w:rsidRPr="00DB0C40" w:rsidRDefault="005758B6" w:rsidP="005758B6">
            <w:pPr>
              <w:jc w:val="both"/>
              <w:rPr>
                <w:rFonts w:cstheme="minorHAnsi"/>
                <w:sz w:val="20"/>
                <w:szCs w:val="20"/>
                <w:lang w:val="en-GB"/>
              </w:rPr>
            </w:pPr>
            <w:r w:rsidRPr="00DB0C40">
              <w:rPr>
                <w:rFonts w:cstheme="minorHAnsi"/>
                <w:sz w:val="20"/>
                <w:szCs w:val="20"/>
                <w:lang w:val="en-GB"/>
              </w:rPr>
              <w:t>No</w:t>
            </w:r>
          </w:p>
        </w:tc>
        <w:tc>
          <w:tcPr>
            <w:tcW w:w="0" w:type="auto"/>
            <w:shd w:val="clear" w:color="auto" w:fill="FBE4D5" w:themeFill="accent2" w:themeFillTint="33"/>
          </w:tcPr>
          <w:p w14:paraId="16783519" w14:textId="77777777" w:rsidR="005758B6" w:rsidRPr="00DB0C40" w:rsidRDefault="005758B6" w:rsidP="005758B6">
            <w:pPr>
              <w:jc w:val="both"/>
              <w:rPr>
                <w:rFonts w:cstheme="minorHAnsi"/>
                <w:sz w:val="20"/>
                <w:szCs w:val="20"/>
                <w:lang w:val="en-GB"/>
              </w:rPr>
            </w:pPr>
            <w:r w:rsidRPr="00DB0C40">
              <w:rPr>
                <w:rFonts w:cstheme="minorHAnsi"/>
                <w:sz w:val="20"/>
                <w:szCs w:val="20"/>
                <w:lang w:val="en-GB"/>
              </w:rPr>
              <w:t>-Support available to parents unable to work due to ECCE/school closures</w:t>
            </w:r>
          </w:p>
          <w:p w14:paraId="1C99CD8F" w14:textId="77777777" w:rsidR="005758B6" w:rsidRPr="00DB0C40" w:rsidRDefault="005758B6" w:rsidP="005758B6">
            <w:pPr>
              <w:jc w:val="both"/>
              <w:rPr>
                <w:rFonts w:cstheme="minorHAnsi"/>
                <w:sz w:val="20"/>
                <w:szCs w:val="20"/>
                <w:lang w:val="en-GB"/>
              </w:rPr>
            </w:pPr>
          </w:p>
        </w:tc>
      </w:tr>
      <w:tr w:rsidR="005758B6" w:rsidRPr="00DB0C40" w14:paraId="3808E985" w14:textId="77777777" w:rsidTr="003F7BB3">
        <w:tc>
          <w:tcPr>
            <w:tcW w:w="0" w:type="auto"/>
            <w:shd w:val="clear" w:color="auto" w:fill="8EAADB" w:themeFill="accent1" w:themeFillTint="99"/>
          </w:tcPr>
          <w:p w14:paraId="0035A337" w14:textId="77777777" w:rsidR="005758B6" w:rsidRPr="003F7BB3" w:rsidRDefault="005758B6" w:rsidP="005758B6">
            <w:pPr>
              <w:jc w:val="both"/>
              <w:rPr>
                <w:rFonts w:cstheme="minorHAnsi"/>
                <w:b/>
                <w:bCs/>
                <w:sz w:val="20"/>
                <w:szCs w:val="20"/>
                <w:lang w:val="en-GB"/>
              </w:rPr>
            </w:pPr>
            <w:r w:rsidRPr="003F7BB3">
              <w:rPr>
                <w:rFonts w:cstheme="minorHAnsi"/>
                <w:b/>
                <w:bCs/>
                <w:sz w:val="20"/>
                <w:szCs w:val="20"/>
                <w:lang w:val="en-GB"/>
              </w:rPr>
              <w:t>Germany</w:t>
            </w:r>
          </w:p>
        </w:tc>
        <w:tc>
          <w:tcPr>
            <w:tcW w:w="0" w:type="auto"/>
            <w:shd w:val="clear" w:color="auto" w:fill="FBE4D5" w:themeFill="accent2" w:themeFillTint="33"/>
          </w:tcPr>
          <w:p w14:paraId="24C32BC1" w14:textId="77777777" w:rsidR="005758B6" w:rsidRPr="00DB0C40" w:rsidRDefault="005758B6" w:rsidP="005758B6">
            <w:pPr>
              <w:jc w:val="both"/>
              <w:rPr>
                <w:rFonts w:cstheme="minorHAnsi"/>
                <w:sz w:val="20"/>
                <w:szCs w:val="20"/>
                <w:lang w:val="en-GB"/>
              </w:rPr>
            </w:pPr>
            <w:r w:rsidRPr="00DB0C40">
              <w:rPr>
                <w:rFonts w:cstheme="minorHAnsi"/>
                <w:sz w:val="20"/>
                <w:szCs w:val="20"/>
                <w:lang w:val="en-GB"/>
              </w:rPr>
              <w:t>-Yes, ECCE closures varied by state</w:t>
            </w:r>
          </w:p>
          <w:p w14:paraId="6E725C7C" w14:textId="77777777" w:rsidR="005758B6" w:rsidRPr="00DB0C40" w:rsidRDefault="005758B6" w:rsidP="005758B6">
            <w:pPr>
              <w:jc w:val="both"/>
              <w:rPr>
                <w:rFonts w:cstheme="minorHAnsi"/>
                <w:sz w:val="20"/>
                <w:szCs w:val="20"/>
                <w:lang w:val="en-GB"/>
              </w:rPr>
            </w:pPr>
            <w:r w:rsidRPr="00DB0C40">
              <w:rPr>
                <w:rFonts w:cstheme="minorHAnsi"/>
                <w:sz w:val="20"/>
                <w:szCs w:val="20"/>
                <w:lang w:val="en-GB"/>
              </w:rPr>
              <w:t>-Childcare for essential workers’ children available</w:t>
            </w:r>
          </w:p>
        </w:tc>
        <w:tc>
          <w:tcPr>
            <w:tcW w:w="0" w:type="auto"/>
            <w:shd w:val="clear" w:color="auto" w:fill="FBE4D5" w:themeFill="accent2" w:themeFillTint="33"/>
          </w:tcPr>
          <w:p w14:paraId="3452F350" w14:textId="77777777" w:rsidR="005758B6" w:rsidRPr="00DB0C40" w:rsidRDefault="005758B6" w:rsidP="005758B6">
            <w:pPr>
              <w:jc w:val="both"/>
              <w:rPr>
                <w:rFonts w:cstheme="minorHAnsi"/>
                <w:sz w:val="20"/>
                <w:szCs w:val="20"/>
                <w:lang w:val="en-GB"/>
              </w:rPr>
            </w:pPr>
            <w:r w:rsidRPr="00DB0C40">
              <w:rPr>
                <w:rFonts w:cstheme="minorHAnsi"/>
                <w:sz w:val="20"/>
                <w:szCs w:val="20"/>
                <w:lang w:val="en-GB"/>
              </w:rPr>
              <w:t>Yes (Parental leave benefit adapted for the pandemic)</w:t>
            </w:r>
          </w:p>
        </w:tc>
        <w:tc>
          <w:tcPr>
            <w:tcW w:w="0" w:type="auto"/>
            <w:shd w:val="clear" w:color="auto" w:fill="FBE4D5" w:themeFill="accent2" w:themeFillTint="33"/>
          </w:tcPr>
          <w:p w14:paraId="6D4D1E0D" w14:textId="77777777" w:rsidR="005758B6" w:rsidRPr="00DB0C40" w:rsidRDefault="005758B6" w:rsidP="005758B6">
            <w:pPr>
              <w:jc w:val="both"/>
              <w:rPr>
                <w:rFonts w:cstheme="minorHAnsi"/>
                <w:sz w:val="20"/>
                <w:szCs w:val="20"/>
                <w:lang w:val="en-GB"/>
              </w:rPr>
            </w:pPr>
            <w:r w:rsidRPr="00DB0C40">
              <w:rPr>
                <w:rFonts w:cstheme="minorHAnsi"/>
                <w:sz w:val="20"/>
                <w:szCs w:val="20"/>
                <w:lang w:val="en-GB"/>
              </w:rPr>
              <w:t>-Special (partial) income</w:t>
            </w:r>
          </w:p>
          <w:p w14:paraId="4286B855" w14:textId="77777777" w:rsidR="005758B6" w:rsidRPr="00DB0C40" w:rsidRDefault="005758B6" w:rsidP="005758B6">
            <w:pPr>
              <w:jc w:val="both"/>
              <w:rPr>
                <w:rFonts w:cstheme="minorHAnsi"/>
                <w:sz w:val="20"/>
                <w:szCs w:val="20"/>
                <w:lang w:val="en-GB"/>
              </w:rPr>
            </w:pPr>
            <w:r w:rsidRPr="00DB0C40">
              <w:rPr>
                <w:rFonts w:cstheme="minorHAnsi"/>
                <w:sz w:val="20"/>
                <w:szCs w:val="20"/>
                <w:lang w:val="en-GB"/>
              </w:rPr>
              <w:t>replacement benefit available for some parents</w:t>
            </w:r>
          </w:p>
          <w:p w14:paraId="455A6607" w14:textId="77777777" w:rsidR="005758B6" w:rsidRPr="00DB0C40" w:rsidRDefault="005758B6" w:rsidP="005758B6">
            <w:pPr>
              <w:jc w:val="both"/>
              <w:rPr>
                <w:rFonts w:cstheme="minorHAnsi"/>
                <w:sz w:val="20"/>
                <w:szCs w:val="20"/>
                <w:lang w:val="en-GB"/>
              </w:rPr>
            </w:pPr>
            <w:r w:rsidRPr="00DB0C40">
              <w:rPr>
                <w:rFonts w:cstheme="minorHAnsi"/>
                <w:sz w:val="20"/>
                <w:szCs w:val="20"/>
                <w:lang w:val="en-GB"/>
              </w:rPr>
              <w:t>- Extra social assistance, care support allowance for those affected by care shortages</w:t>
            </w:r>
          </w:p>
        </w:tc>
      </w:tr>
      <w:tr w:rsidR="005758B6" w:rsidRPr="00DB0C40" w14:paraId="436BAF6B" w14:textId="77777777" w:rsidTr="003F7BB3">
        <w:trPr>
          <w:trHeight w:val="837"/>
        </w:trPr>
        <w:tc>
          <w:tcPr>
            <w:tcW w:w="0" w:type="auto"/>
            <w:shd w:val="clear" w:color="auto" w:fill="8EAADB" w:themeFill="accent1" w:themeFillTint="99"/>
          </w:tcPr>
          <w:p w14:paraId="48F35807" w14:textId="77777777" w:rsidR="005758B6" w:rsidRPr="003F7BB3" w:rsidRDefault="005758B6" w:rsidP="005758B6">
            <w:pPr>
              <w:jc w:val="both"/>
              <w:rPr>
                <w:rFonts w:cstheme="minorHAnsi"/>
                <w:b/>
                <w:bCs/>
                <w:sz w:val="20"/>
                <w:szCs w:val="20"/>
                <w:lang w:val="en-GB"/>
              </w:rPr>
            </w:pPr>
            <w:r w:rsidRPr="003F7BB3">
              <w:rPr>
                <w:rFonts w:cstheme="minorHAnsi"/>
                <w:b/>
                <w:bCs/>
                <w:sz w:val="20"/>
                <w:szCs w:val="20"/>
                <w:lang w:val="en-GB"/>
              </w:rPr>
              <w:t>Hungary</w:t>
            </w:r>
          </w:p>
        </w:tc>
        <w:tc>
          <w:tcPr>
            <w:tcW w:w="0" w:type="auto"/>
            <w:shd w:val="clear" w:color="auto" w:fill="FBE4D5" w:themeFill="accent2" w:themeFillTint="33"/>
          </w:tcPr>
          <w:p w14:paraId="3A84CDAC" w14:textId="77777777" w:rsidR="005758B6" w:rsidRPr="00DB0C40" w:rsidRDefault="005758B6" w:rsidP="005758B6">
            <w:pPr>
              <w:jc w:val="both"/>
              <w:rPr>
                <w:rFonts w:cstheme="minorHAnsi"/>
                <w:sz w:val="20"/>
                <w:szCs w:val="20"/>
                <w:lang w:val="en-GB"/>
              </w:rPr>
            </w:pPr>
            <w:r w:rsidRPr="00DB0C40">
              <w:rPr>
                <w:rFonts w:cstheme="minorHAnsi"/>
                <w:sz w:val="20"/>
                <w:szCs w:val="20"/>
                <w:lang w:val="en-GB"/>
              </w:rPr>
              <w:t>-Yes</w:t>
            </w:r>
            <w:r w:rsidRPr="00DB0C40">
              <w:rPr>
                <w:rFonts w:cstheme="minorHAnsi"/>
                <w:sz w:val="20"/>
                <w:szCs w:val="20"/>
                <w:lang w:val="en-GB"/>
              </w:rPr>
              <w:tab/>
            </w:r>
          </w:p>
          <w:p w14:paraId="13D3241E" w14:textId="1F354800" w:rsidR="005758B6" w:rsidRPr="00DB0C40" w:rsidRDefault="005758B6" w:rsidP="005758B6">
            <w:pPr>
              <w:jc w:val="both"/>
              <w:rPr>
                <w:rFonts w:cstheme="minorHAnsi"/>
                <w:sz w:val="20"/>
                <w:szCs w:val="20"/>
                <w:lang w:val="en-GB"/>
              </w:rPr>
            </w:pPr>
            <w:r w:rsidRPr="00DB0C40">
              <w:rPr>
                <w:rFonts w:cstheme="minorHAnsi"/>
                <w:sz w:val="20"/>
                <w:szCs w:val="20"/>
                <w:lang w:val="en-GB"/>
              </w:rPr>
              <w:t>-Childcare for essential workers’ children available during lockdown</w:t>
            </w:r>
          </w:p>
        </w:tc>
        <w:tc>
          <w:tcPr>
            <w:tcW w:w="0" w:type="auto"/>
            <w:shd w:val="clear" w:color="auto" w:fill="FBE4D5" w:themeFill="accent2" w:themeFillTint="33"/>
          </w:tcPr>
          <w:p w14:paraId="261D4434" w14:textId="77777777" w:rsidR="005758B6" w:rsidRPr="00DB0C40" w:rsidRDefault="005758B6" w:rsidP="005758B6">
            <w:pPr>
              <w:jc w:val="both"/>
              <w:rPr>
                <w:rFonts w:cstheme="minorHAnsi"/>
                <w:sz w:val="20"/>
                <w:szCs w:val="20"/>
                <w:lang w:val="en-GB"/>
              </w:rPr>
            </w:pPr>
            <w:r w:rsidRPr="00DB0C40">
              <w:rPr>
                <w:rFonts w:cstheme="minorHAnsi"/>
                <w:sz w:val="20"/>
                <w:szCs w:val="20"/>
                <w:lang w:val="en-GB"/>
              </w:rPr>
              <w:t>Yes, end of parental benefit if due to finish</w:t>
            </w:r>
          </w:p>
        </w:tc>
        <w:tc>
          <w:tcPr>
            <w:tcW w:w="0" w:type="auto"/>
            <w:shd w:val="clear" w:color="auto" w:fill="FBE4D5" w:themeFill="accent2" w:themeFillTint="33"/>
          </w:tcPr>
          <w:p w14:paraId="4BCE464C" w14:textId="77777777" w:rsidR="005758B6" w:rsidRPr="00DB0C40" w:rsidRDefault="005758B6" w:rsidP="005758B6">
            <w:pPr>
              <w:jc w:val="both"/>
              <w:rPr>
                <w:rFonts w:cstheme="minorHAnsi"/>
                <w:sz w:val="20"/>
                <w:szCs w:val="20"/>
                <w:lang w:val="en-GB"/>
              </w:rPr>
            </w:pPr>
            <w:r w:rsidRPr="00DB0C40">
              <w:rPr>
                <w:rFonts w:cstheme="minorHAnsi"/>
                <w:sz w:val="20"/>
                <w:szCs w:val="20"/>
                <w:lang w:val="en-GB"/>
              </w:rPr>
              <w:t>-Additional or special leave duration extended</w:t>
            </w:r>
          </w:p>
        </w:tc>
      </w:tr>
    </w:tbl>
    <w:p w14:paraId="15358599" w14:textId="77777777" w:rsidR="005758B6" w:rsidRPr="00DB0C40" w:rsidRDefault="005758B6" w:rsidP="005758B6">
      <w:pPr>
        <w:jc w:val="both"/>
        <w:rPr>
          <w:rFonts w:asciiTheme="minorHAnsi" w:eastAsiaTheme="minorHAnsi" w:hAnsiTheme="minorHAnsi" w:cstheme="minorHAnsi"/>
          <w:sz w:val="20"/>
          <w:szCs w:val="20"/>
        </w:rPr>
      </w:pPr>
    </w:p>
    <w:p w14:paraId="4152FD5F" w14:textId="0863302B" w:rsidR="005758B6" w:rsidRPr="00DB0C40" w:rsidRDefault="005758B6" w:rsidP="005758B6">
      <w:pPr>
        <w:jc w:val="both"/>
        <w:rPr>
          <w:rFonts w:asciiTheme="minorHAnsi" w:eastAsiaTheme="minorHAnsi" w:hAnsiTheme="minorHAnsi" w:cstheme="minorHAnsi"/>
          <w:sz w:val="18"/>
          <w:szCs w:val="18"/>
        </w:rPr>
      </w:pPr>
      <w:r w:rsidRPr="00DB0C40">
        <w:rPr>
          <w:rFonts w:asciiTheme="minorHAnsi" w:eastAsiaTheme="minorHAnsi" w:hAnsiTheme="minorHAnsi" w:cstheme="minorHAnsi"/>
          <w:sz w:val="18"/>
          <w:szCs w:val="18"/>
        </w:rPr>
        <w:t xml:space="preserve">Sources: </w:t>
      </w:r>
      <w:r w:rsidR="00F37BC3" w:rsidRPr="00DB0C40">
        <w:rPr>
          <w:rFonts w:asciiTheme="minorHAnsi" w:eastAsiaTheme="minorHAnsi" w:hAnsiTheme="minorHAnsi" w:cstheme="minorHAnsi"/>
          <w:sz w:val="18"/>
          <w:szCs w:val="18"/>
        </w:rPr>
        <w:t>Kozlowski</w:t>
      </w:r>
      <w:r w:rsidRPr="00DB0C40">
        <w:rPr>
          <w:rFonts w:asciiTheme="minorHAnsi" w:eastAsiaTheme="minorHAnsi" w:hAnsiTheme="minorHAnsi" w:cstheme="minorHAnsi"/>
          <w:sz w:val="18"/>
          <w:szCs w:val="18"/>
        </w:rPr>
        <w:t xml:space="preserve">, A., Blum, S., Dobrotić, I., Kaufman, G. and Moss, P. 2020. International Review of Leave Policies and Research 2020, 11-16. ILO, 2020. </w:t>
      </w:r>
      <w:hyperlink r:id="rId15">
        <w:r w:rsidRPr="00DB0C40">
          <w:rPr>
            <w:rFonts w:asciiTheme="minorHAnsi" w:eastAsiaTheme="minorHAnsi" w:hAnsiTheme="minorHAnsi" w:cstheme="minorHAnsi"/>
            <w:sz w:val="18"/>
            <w:szCs w:val="18"/>
          </w:rPr>
          <w:t>The COVID-19 response: Getting gender equality right for a better future for</w:t>
        </w:r>
      </w:hyperlink>
      <w:r w:rsidRPr="00DB0C40">
        <w:rPr>
          <w:rFonts w:asciiTheme="minorHAnsi" w:eastAsiaTheme="minorHAnsi" w:hAnsiTheme="minorHAnsi" w:cstheme="minorHAnsi"/>
          <w:sz w:val="18"/>
          <w:szCs w:val="18"/>
        </w:rPr>
        <w:t xml:space="preserve"> </w:t>
      </w:r>
      <w:hyperlink r:id="rId16">
        <w:r w:rsidRPr="00DB0C40">
          <w:rPr>
            <w:rFonts w:asciiTheme="minorHAnsi" w:eastAsiaTheme="minorHAnsi" w:hAnsiTheme="minorHAnsi" w:cstheme="minorHAnsi"/>
            <w:sz w:val="18"/>
            <w:szCs w:val="18"/>
          </w:rPr>
          <w:t>women at work</w:t>
        </w:r>
      </w:hyperlink>
      <w:r w:rsidRPr="00DB0C40">
        <w:rPr>
          <w:rFonts w:asciiTheme="minorHAnsi" w:eastAsiaTheme="minorHAnsi" w:hAnsiTheme="minorHAnsi" w:cstheme="minorHAnsi"/>
          <w:sz w:val="18"/>
          <w:szCs w:val="18"/>
        </w:rPr>
        <w:t xml:space="preserve">. ILO, </w:t>
      </w:r>
      <w:hyperlink r:id="rId17">
        <w:r w:rsidRPr="00DB0C40">
          <w:rPr>
            <w:rFonts w:asciiTheme="minorHAnsi" w:eastAsiaTheme="minorHAnsi" w:hAnsiTheme="minorHAnsi" w:cstheme="minorHAnsi"/>
            <w:sz w:val="18"/>
            <w:szCs w:val="18"/>
          </w:rPr>
          <w:t>Social Protection Responses to COVID-19 Crisis around the World</w:t>
        </w:r>
      </w:hyperlink>
      <w:r w:rsidRPr="00DB0C40">
        <w:rPr>
          <w:rFonts w:asciiTheme="minorHAnsi" w:eastAsiaTheme="minorHAnsi" w:hAnsiTheme="minorHAnsi" w:cstheme="minorHAnsi"/>
          <w:sz w:val="18"/>
          <w:szCs w:val="18"/>
        </w:rPr>
        <w:t xml:space="preserve"> </w:t>
      </w:r>
    </w:p>
    <w:p w14:paraId="27CF0798" w14:textId="77777777" w:rsidR="005758B6" w:rsidRPr="00DB0C40" w:rsidRDefault="005758B6" w:rsidP="005758B6">
      <w:pPr>
        <w:ind w:left="2160"/>
        <w:jc w:val="center"/>
        <w:rPr>
          <w:rFonts w:asciiTheme="minorHAnsi" w:eastAsiaTheme="minorHAnsi" w:hAnsiTheme="minorHAnsi" w:cstheme="minorHAnsi"/>
          <w:sz w:val="22"/>
          <w:szCs w:val="22"/>
        </w:rPr>
      </w:pPr>
    </w:p>
    <w:p w14:paraId="4C632324" w14:textId="77777777" w:rsidR="005758B6" w:rsidRPr="00DB0C40" w:rsidRDefault="005758B6">
      <w:pPr>
        <w:keepNext/>
        <w:keepLines/>
        <w:numPr>
          <w:ilvl w:val="1"/>
          <w:numId w:val="44"/>
        </w:numPr>
        <w:spacing w:before="40"/>
        <w:outlineLvl w:val="1"/>
        <w:rPr>
          <w:rFonts w:asciiTheme="majorHAnsi" w:eastAsiaTheme="majorEastAsia" w:hAnsiTheme="majorHAnsi" w:cstheme="majorBidi"/>
          <w:color w:val="2F5496" w:themeColor="accent1" w:themeShade="BF"/>
          <w:sz w:val="26"/>
          <w:szCs w:val="26"/>
        </w:rPr>
      </w:pPr>
      <w:bookmarkStart w:id="49" w:name="_Toc92359073"/>
      <w:bookmarkStart w:id="50" w:name="_Hlk107136508"/>
      <w:r w:rsidRPr="00DB0C40">
        <w:rPr>
          <w:rFonts w:asciiTheme="majorHAnsi" w:eastAsiaTheme="majorEastAsia" w:hAnsiTheme="majorHAnsi" w:cstheme="majorBidi"/>
          <w:color w:val="2F5496" w:themeColor="accent1" w:themeShade="BF"/>
          <w:sz w:val="26"/>
          <w:szCs w:val="26"/>
        </w:rPr>
        <w:t>Supporting women´s equal participation in decision-making in the world of work</w:t>
      </w:r>
      <w:bookmarkEnd w:id="49"/>
    </w:p>
    <w:bookmarkEnd w:id="50"/>
    <w:p w14:paraId="66900822" w14:textId="77777777" w:rsidR="00AE67F2" w:rsidRDefault="00AE67F2" w:rsidP="005758B6">
      <w:pPr>
        <w:jc w:val="both"/>
        <w:rPr>
          <w:rFonts w:asciiTheme="minorHAnsi" w:eastAsiaTheme="minorHAnsi" w:hAnsiTheme="minorHAnsi" w:cstheme="minorHAnsi"/>
          <w:sz w:val="22"/>
          <w:szCs w:val="22"/>
        </w:rPr>
      </w:pPr>
    </w:p>
    <w:p w14:paraId="1247FC84" w14:textId="67F2BED6" w:rsidR="005758B6" w:rsidRPr="00DB0C40" w:rsidRDefault="005758B6" w:rsidP="005758B6">
      <w:pPr>
        <w:jc w:val="both"/>
        <w:rPr>
          <w:rFonts w:asciiTheme="minorHAnsi" w:eastAsiaTheme="minorHAnsi" w:hAnsiTheme="minorHAnsi" w:cstheme="minorHAnsi"/>
          <w:sz w:val="22"/>
          <w:szCs w:val="22"/>
        </w:rPr>
      </w:pPr>
      <w:r w:rsidRPr="00DB0C40">
        <w:rPr>
          <w:rFonts w:asciiTheme="minorHAnsi" w:eastAsiaTheme="minorHAnsi" w:hAnsiTheme="minorHAnsi" w:cstheme="minorHAnsi"/>
          <w:sz w:val="22"/>
          <w:szCs w:val="22"/>
        </w:rPr>
        <w:t>Gender equality and women’s economic empowerment cannot be achieved without improving the gender balance at all levels of decision-making in the world of work (in the political sphere, in employer and business membership organizations, etc). Women’s participation in decision-making and leadership at work has also remained at stubbornly low levels. Globally, in 2018 women accounted for only 27.1 per cent of managers in government, large enterprises and other institutions, a proportion that has not changed significantly in three decades. Women with young children (0-5 years old) are least likely to be managers (25.1 per cent), compared with men with young children (74.9 per cent). This is another aspect of the “motherhood penalty” faced by women and the “fatherhood premium” enjoyed by men.</w:t>
      </w:r>
      <w:r w:rsidRPr="00DB0C40">
        <w:rPr>
          <w:rFonts w:asciiTheme="minorHAnsi" w:eastAsiaTheme="minorHAnsi" w:hAnsiTheme="minorHAnsi" w:cstheme="minorHAnsi"/>
          <w:position w:val="6"/>
          <w:sz w:val="22"/>
          <w:szCs w:val="22"/>
        </w:rPr>
        <w:footnoteReference w:id="19"/>
      </w:r>
    </w:p>
    <w:p w14:paraId="6EAEFEA9" w14:textId="77777777" w:rsidR="005758B6" w:rsidRPr="00DB0C40" w:rsidRDefault="005758B6" w:rsidP="005758B6">
      <w:pPr>
        <w:jc w:val="both"/>
        <w:rPr>
          <w:rFonts w:asciiTheme="minorHAnsi" w:eastAsiaTheme="minorHAnsi" w:hAnsiTheme="minorHAnsi" w:cstheme="minorHAnsi"/>
          <w:sz w:val="22"/>
          <w:szCs w:val="22"/>
        </w:rPr>
      </w:pPr>
      <w:r w:rsidRPr="00DB0C40">
        <w:rPr>
          <w:rFonts w:asciiTheme="minorHAnsi" w:eastAsiaTheme="minorHAnsi" w:hAnsiTheme="minorHAnsi" w:cstheme="minorHAnsi"/>
          <w:sz w:val="22"/>
          <w:szCs w:val="22"/>
        </w:rPr>
        <w:t xml:space="preserve"> </w:t>
      </w:r>
    </w:p>
    <w:p w14:paraId="4A6C87C3" w14:textId="452986C8" w:rsidR="005758B6" w:rsidRPr="00DB0C40" w:rsidRDefault="005758B6">
      <w:pPr>
        <w:pStyle w:val="ListParagraph"/>
        <w:keepNext/>
        <w:keepLines/>
        <w:numPr>
          <w:ilvl w:val="2"/>
          <w:numId w:val="45"/>
        </w:numPr>
        <w:spacing w:before="40"/>
        <w:outlineLvl w:val="2"/>
        <w:rPr>
          <w:rFonts w:asciiTheme="majorHAnsi" w:eastAsiaTheme="majorEastAsia" w:hAnsiTheme="majorHAnsi" w:cstheme="majorBidi"/>
          <w:color w:val="1F3763" w:themeColor="accent1" w:themeShade="7F"/>
        </w:rPr>
      </w:pPr>
      <w:bookmarkStart w:id="51" w:name="_Toc92359074"/>
      <w:bookmarkStart w:id="52" w:name="_Hlk107136573"/>
      <w:r w:rsidRPr="00DB0C40">
        <w:rPr>
          <w:rFonts w:asciiTheme="majorHAnsi" w:eastAsiaTheme="majorEastAsia" w:hAnsiTheme="majorHAnsi" w:cstheme="majorBidi"/>
          <w:color w:val="1F3763" w:themeColor="accent1" w:themeShade="7F"/>
        </w:rPr>
        <w:t>International labour standards and other key instruments</w:t>
      </w:r>
      <w:bookmarkEnd w:id="51"/>
    </w:p>
    <w:bookmarkEnd w:id="52"/>
    <w:p w14:paraId="40A1331C" w14:textId="77777777" w:rsidR="005758B6" w:rsidRPr="00DB0C40" w:rsidRDefault="005758B6" w:rsidP="005758B6">
      <w:pPr>
        <w:rPr>
          <w:rFonts w:asciiTheme="minorHAnsi" w:eastAsiaTheme="minorHAnsi" w:hAnsiTheme="minorHAnsi" w:cstheme="minorBidi"/>
        </w:rPr>
      </w:pPr>
    </w:p>
    <w:p w14:paraId="033288E6" w14:textId="5797FAE0" w:rsidR="005758B6" w:rsidRPr="00DB0C40" w:rsidRDefault="002E58DF" w:rsidP="005758B6">
      <w:pPr>
        <w:jc w:val="both"/>
        <w:rPr>
          <w:rFonts w:asciiTheme="minorHAnsi" w:eastAsiaTheme="minorHAnsi" w:hAnsiTheme="minorHAnsi" w:cstheme="minorHAnsi"/>
          <w:sz w:val="22"/>
          <w:szCs w:val="22"/>
        </w:rPr>
      </w:pPr>
      <w:r w:rsidRPr="00CD2A61">
        <w:rPr>
          <w:rFonts w:asciiTheme="majorHAnsi" w:eastAsiaTheme="majorEastAsia" w:hAnsiTheme="majorHAnsi" w:cstheme="majorBidi"/>
          <w:color w:val="1F3763" w:themeColor="accent1" w:themeShade="7F"/>
        </w:rPr>
        <w:t>3.</w:t>
      </w:r>
      <w:r w:rsidR="00C00E2B" w:rsidRPr="00CD2A61">
        <w:rPr>
          <w:rFonts w:asciiTheme="majorHAnsi" w:eastAsiaTheme="majorEastAsia" w:hAnsiTheme="majorHAnsi" w:cstheme="majorBidi"/>
          <w:color w:val="1F3763" w:themeColor="accent1" w:themeShade="7F"/>
        </w:rPr>
        <w:t>5</w:t>
      </w:r>
      <w:r w:rsidR="005758B6" w:rsidRPr="00CD2A61">
        <w:rPr>
          <w:rFonts w:asciiTheme="majorHAnsi" w:eastAsiaTheme="majorEastAsia" w:hAnsiTheme="majorHAnsi" w:cstheme="majorBidi"/>
          <w:color w:val="1F3763" w:themeColor="accent1" w:themeShade="7F"/>
        </w:rPr>
        <w:t>.1.1.</w:t>
      </w:r>
      <w:r w:rsidR="005758B6" w:rsidRPr="00DB0C40">
        <w:rPr>
          <w:rFonts w:asciiTheme="minorHAnsi" w:eastAsiaTheme="minorHAnsi" w:hAnsiTheme="minorHAnsi" w:cstheme="minorHAnsi"/>
          <w:sz w:val="22"/>
          <w:szCs w:val="22"/>
        </w:rPr>
        <w:t xml:space="preserve"> The ILO Discrimination (Employment and Occupation) Convention, 1958 (No. 111) and Recommendation No. 111 cover discrimination in relation to access to education and vocational training, </w:t>
      </w:r>
      <w:r w:rsidR="005758B6" w:rsidRPr="00DB0C40">
        <w:rPr>
          <w:rFonts w:asciiTheme="minorHAnsi" w:eastAsiaTheme="minorHAnsi" w:hAnsiTheme="minorHAnsi" w:cstheme="minorHAnsi"/>
          <w:sz w:val="22"/>
          <w:szCs w:val="22"/>
        </w:rPr>
        <w:lastRenderedPageBreak/>
        <w:t xml:space="preserve">access to employment and to occupations, as well as terms and conditions of employment. Gender equality policies and measures should be concrete and specific and may require different treatment for certain groups. </w:t>
      </w:r>
    </w:p>
    <w:p w14:paraId="44BA9D39" w14:textId="77777777" w:rsidR="005758B6" w:rsidRPr="00DB0C40" w:rsidRDefault="005758B6" w:rsidP="005758B6">
      <w:pPr>
        <w:jc w:val="both"/>
        <w:rPr>
          <w:rFonts w:asciiTheme="minorHAnsi" w:eastAsiaTheme="minorHAnsi" w:hAnsiTheme="minorHAnsi" w:cstheme="minorHAnsi"/>
          <w:sz w:val="22"/>
          <w:szCs w:val="22"/>
        </w:rPr>
      </w:pPr>
    </w:p>
    <w:p w14:paraId="462E59FE" w14:textId="6045E6CE" w:rsidR="005758B6" w:rsidRPr="00DB0C40" w:rsidRDefault="002E58DF" w:rsidP="005758B6">
      <w:pPr>
        <w:jc w:val="both"/>
        <w:rPr>
          <w:rFonts w:asciiTheme="minorHAnsi" w:eastAsiaTheme="minorHAnsi" w:hAnsiTheme="minorHAnsi" w:cstheme="minorHAnsi"/>
          <w:sz w:val="22"/>
          <w:szCs w:val="22"/>
        </w:rPr>
      </w:pPr>
      <w:r w:rsidRPr="00CD2A61">
        <w:rPr>
          <w:rFonts w:asciiTheme="majorHAnsi" w:eastAsiaTheme="majorEastAsia" w:hAnsiTheme="majorHAnsi" w:cstheme="majorBidi"/>
          <w:color w:val="1F3763" w:themeColor="accent1" w:themeShade="7F"/>
        </w:rPr>
        <w:t>3.</w:t>
      </w:r>
      <w:r w:rsidR="00C00E2B" w:rsidRPr="00CD2A61">
        <w:rPr>
          <w:rFonts w:asciiTheme="majorHAnsi" w:eastAsiaTheme="majorEastAsia" w:hAnsiTheme="majorHAnsi" w:cstheme="majorBidi"/>
          <w:color w:val="1F3763" w:themeColor="accent1" w:themeShade="7F"/>
        </w:rPr>
        <w:t>5</w:t>
      </w:r>
      <w:r w:rsidR="005758B6" w:rsidRPr="00CD2A61">
        <w:rPr>
          <w:rFonts w:asciiTheme="majorHAnsi" w:eastAsiaTheme="majorEastAsia" w:hAnsiTheme="majorHAnsi" w:cstheme="majorBidi"/>
          <w:color w:val="1F3763" w:themeColor="accent1" w:themeShade="7F"/>
        </w:rPr>
        <w:t>.1.2.</w:t>
      </w:r>
      <w:r w:rsidR="005758B6" w:rsidRPr="00DB0C40">
        <w:rPr>
          <w:rFonts w:asciiTheme="minorHAnsi" w:eastAsiaTheme="minorHAnsi" w:hAnsiTheme="minorHAnsi" w:cstheme="minorHAnsi"/>
          <w:b/>
          <w:bCs/>
          <w:sz w:val="22"/>
          <w:szCs w:val="22"/>
        </w:rPr>
        <w:t xml:space="preserve"> </w:t>
      </w:r>
      <w:r w:rsidR="005758B6" w:rsidRPr="00DB0C40">
        <w:rPr>
          <w:rFonts w:asciiTheme="minorHAnsi" w:eastAsiaTheme="minorHAnsi" w:hAnsiTheme="minorHAnsi" w:cstheme="minorHAnsi"/>
          <w:sz w:val="22"/>
          <w:szCs w:val="22"/>
        </w:rPr>
        <w:t>The EU Gender Equality Strategy 2020-2025 aims to improve the gender balance on corporate boards by introducing a Directive, first tabled in 2012, to require a minimum 40 per cent of non-executive members of the under-represented sex on the boards of listed European companies.</w:t>
      </w:r>
    </w:p>
    <w:p w14:paraId="7B3F3E49" w14:textId="77777777" w:rsidR="005758B6" w:rsidRPr="00DB0C40" w:rsidRDefault="005758B6" w:rsidP="005758B6">
      <w:pPr>
        <w:jc w:val="both"/>
        <w:rPr>
          <w:rFonts w:asciiTheme="minorHAnsi" w:eastAsiaTheme="minorHAnsi" w:hAnsiTheme="minorHAnsi" w:cstheme="minorHAnsi"/>
          <w:sz w:val="22"/>
          <w:szCs w:val="22"/>
        </w:rPr>
      </w:pPr>
    </w:p>
    <w:p w14:paraId="44456EA1" w14:textId="43F9A1A8" w:rsidR="005758B6" w:rsidRPr="00DB0C40" w:rsidRDefault="002E58DF" w:rsidP="005758B6">
      <w:pPr>
        <w:jc w:val="both"/>
        <w:rPr>
          <w:rFonts w:asciiTheme="minorHAnsi" w:eastAsiaTheme="minorHAnsi" w:hAnsiTheme="minorHAnsi" w:cstheme="minorHAnsi"/>
          <w:sz w:val="22"/>
          <w:szCs w:val="22"/>
        </w:rPr>
      </w:pPr>
      <w:r w:rsidRPr="00CD2A61">
        <w:rPr>
          <w:rFonts w:asciiTheme="majorHAnsi" w:eastAsiaTheme="majorEastAsia" w:hAnsiTheme="majorHAnsi" w:cstheme="majorBidi"/>
          <w:color w:val="1F3763" w:themeColor="accent1" w:themeShade="7F"/>
        </w:rPr>
        <w:t>3.</w:t>
      </w:r>
      <w:r w:rsidR="00C00E2B" w:rsidRPr="00CD2A61">
        <w:rPr>
          <w:rFonts w:asciiTheme="majorHAnsi" w:eastAsiaTheme="majorEastAsia" w:hAnsiTheme="majorHAnsi" w:cstheme="majorBidi"/>
          <w:color w:val="1F3763" w:themeColor="accent1" w:themeShade="7F"/>
        </w:rPr>
        <w:t>5</w:t>
      </w:r>
      <w:r w:rsidRPr="00CD2A61">
        <w:rPr>
          <w:rFonts w:asciiTheme="majorHAnsi" w:eastAsiaTheme="majorEastAsia" w:hAnsiTheme="majorHAnsi" w:cstheme="majorBidi"/>
          <w:color w:val="1F3763" w:themeColor="accent1" w:themeShade="7F"/>
        </w:rPr>
        <w:t>.</w:t>
      </w:r>
      <w:r w:rsidR="005758B6" w:rsidRPr="00CD2A61">
        <w:rPr>
          <w:rFonts w:asciiTheme="majorHAnsi" w:eastAsiaTheme="majorEastAsia" w:hAnsiTheme="majorHAnsi" w:cstheme="majorBidi"/>
          <w:color w:val="1F3763" w:themeColor="accent1" w:themeShade="7F"/>
        </w:rPr>
        <w:t>1.3.</w:t>
      </w:r>
      <w:r w:rsidR="005758B6" w:rsidRPr="00DB0C40">
        <w:rPr>
          <w:rFonts w:asciiTheme="minorHAnsi" w:eastAsiaTheme="minorHAnsi" w:hAnsiTheme="minorHAnsi" w:cstheme="minorHAnsi"/>
          <w:sz w:val="22"/>
          <w:szCs w:val="22"/>
        </w:rPr>
        <w:t xml:space="preserve"> The EU cohesion policy supports women’s entrepreneurship, women’s (re)integration into the labour market and gender equality in traditionally male-dominated sectors. In 2020, Horizon Europe’s European Innovation Council (EIC) will also bring forward measures to promote the participation of women in start-ups and innovative small and medium-sized enterprises.</w:t>
      </w:r>
    </w:p>
    <w:p w14:paraId="36B1F6EC" w14:textId="77777777" w:rsidR="005758B6" w:rsidRPr="00DB0C40" w:rsidRDefault="005758B6" w:rsidP="005758B6">
      <w:pPr>
        <w:rPr>
          <w:rFonts w:asciiTheme="minorHAnsi" w:eastAsiaTheme="minorHAnsi" w:hAnsiTheme="minorHAnsi" w:cstheme="minorHAnsi"/>
          <w:sz w:val="22"/>
          <w:szCs w:val="22"/>
        </w:rPr>
      </w:pPr>
    </w:p>
    <w:p w14:paraId="645A8CCE" w14:textId="77777777" w:rsidR="005758B6" w:rsidRPr="00DB0C40" w:rsidRDefault="005758B6" w:rsidP="005758B6">
      <w:pPr>
        <w:rPr>
          <w:rFonts w:asciiTheme="minorHAnsi" w:eastAsiaTheme="minorHAnsi" w:hAnsiTheme="minorHAnsi" w:cstheme="minorHAnsi"/>
          <w:sz w:val="22"/>
          <w:szCs w:val="22"/>
        </w:rPr>
      </w:pPr>
      <w:r w:rsidRPr="00DB0C40">
        <w:rPr>
          <w:rFonts w:asciiTheme="minorHAnsi" w:eastAsiaTheme="minorHAnsi" w:hAnsiTheme="minorHAnsi" w:cstheme="minorHAnsi"/>
          <w:sz w:val="22"/>
          <w:szCs w:val="22"/>
        </w:rPr>
        <w:t xml:space="preserve">The main guiding principles for governments to prioritize the promotion of women’s representation and leadership in both the public and private sectors are: </w:t>
      </w:r>
    </w:p>
    <w:p w14:paraId="00D8A936" w14:textId="77777777" w:rsidR="005758B6" w:rsidRPr="00DB0C40" w:rsidRDefault="005758B6">
      <w:pPr>
        <w:numPr>
          <w:ilvl w:val="0"/>
          <w:numId w:val="21"/>
        </w:numPr>
        <w:spacing w:after="200"/>
        <w:contextualSpacing/>
        <w:rPr>
          <w:rFonts w:asciiTheme="minorHAnsi" w:hAnsiTheme="minorHAnsi" w:cstheme="minorHAnsi"/>
          <w:sz w:val="22"/>
          <w:szCs w:val="22"/>
        </w:rPr>
      </w:pPr>
      <w:r w:rsidRPr="00DB0C40">
        <w:rPr>
          <w:rFonts w:asciiTheme="minorHAnsi" w:hAnsiTheme="minorHAnsi" w:cstheme="minorHAnsi"/>
          <w:sz w:val="22"/>
          <w:szCs w:val="22"/>
        </w:rPr>
        <w:t>promoting women’s participation and leadership in political decision-making</w:t>
      </w:r>
    </w:p>
    <w:p w14:paraId="12E01F16" w14:textId="77777777" w:rsidR="005758B6" w:rsidRPr="00DB0C40" w:rsidRDefault="005758B6">
      <w:pPr>
        <w:numPr>
          <w:ilvl w:val="0"/>
          <w:numId w:val="21"/>
        </w:numPr>
        <w:spacing w:after="200"/>
        <w:contextualSpacing/>
        <w:rPr>
          <w:rFonts w:asciiTheme="minorHAnsi" w:hAnsiTheme="minorHAnsi" w:cstheme="minorHAnsi"/>
          <w:sz w:val="22"/>
          <w:szCs w:val="22"/>
        </w:rPr>
      </w:pPr>
      <w:r w:rsidRPr="00DB0C40">
        <w:rPr>
          <w:rFonts w:asciiTheme="minorHAnsi" w:hAnsiTheme="minorHAnsi" w:cstheme="minorHAnsi"/>
          <w:sz w:val="22"/>
          <w:szCs w:val="22"/>
        </w:rPr>
        <w:t>adopting gender-responsive macroeconomic policies</w:t>
      </w:r>
    </w:p>
    <w:p w14:paraId="3B1557C0" w14:textId="77777777" w:rsidR="005758B6" w:rsidRPr="00DB0C40" w:rsidRDefault="005758B6">
      <w:pPr>
        <w:numPr>
          <w:ilvl w:val="0"/>
          <w:numId w:val="21"/>
        </w:numPr>
        <w:spacing w:after="200"/>
        <w:contextualSpacing/>
        <w:rPr>
          <w:rFonts w:asciiTheme="minorHAnsi" w:hAnsiTheme="minorHAnsi" w:cstheme="minorHAnsi"/>
          <w:sz w:val="22"/>
          <w:szCs w:val="22"/>
        </w:rPr>
      </w:pPr>
      <w:r w:rsidRPr="00DB0C40">
        <w:rPr>
          <w:rFonts w:asciiTheme="minorHAnsi" w:hAnsiTheme="minorHAnsi" w:cstheme="minorHAnsi"/>
          <w:sz w:val="22"/>
          <w:szCs w:val="22"/>
        </w:rPr>
        <w:t>implementing proactive measures to foster gender balance in company leadership and management positions</w:t>
      </w:r>
    </w:p>
    <w:p w14:paraId="3CD42E0A" w14:textId="77777777" w:rsidR="005758B6" w:rsidRPr="00DB0C40" w:rsidRDefault="005758B6">
      <w:pPr>
        <w:numPr>
          <w:ilvl w:val="0"/>
          <w:numId w:val="21"/>
        </w:numPr>
        <w:spacing w:after="200"/>
        <w:contextualSpacing/>
        <w:rPr>
          <w:rFonts w:asciiTheme="minorHAnsi" w:hAnsiTheme="minorHAnsi" w:cstheme="minorHAnsi"/>
          <w:sz w:val="22"/>
          <w:szCs w:val="22"/>
        </w:rPr>
      </w:pPr>
      <w:r w:rsidRPr="00DB0C40">
        <w:rPr>
          <w:rFonts w:asciiTheme="minorHAnsi" w:hAnsiTheme="minorHAnsi" w:cstheme="minorHAnsi"/>
          <w:sz w:val="22"/>
          <w:szCs w:val="22"/>
        </w:rPr>
        <w:t>supporting and scaling up women-owned enterprises</w:t>
      </w:r>
    </w:p>
    <w:p w14:paraId="32F70A27" w14:textId="77777777" w:rsidR="005758B6" w:rsidRPr="00DB0C40" w:rsidRDefault="005758B6">
      <w:pPr>
        <w:numPr>
          <w:ilvl w:val="0"/>
          <w:numId w:val="21"/>
        </w:numPr>
        <w:spacing w:after="200"/>
        <w:contextualSpacing/>
        <w:rPr>
          <w:rFonts w:asciiTheme="minorHAnsi" w:hAnsiTheme="minorHAnsi" w:cstheme="minorHAnsi"/>
          <w:sz w:val="22"/>
          <w:szCs w:val="22"/>
        </w:rPr>
      </w:pPr>
      <w:r w:rsidRPr="00DB0C40">
        <w:rPr>
          <w:rFonts w:asciiTheme="minorHAnsi" w:hAnsiTheme="minorHAnsi" w:cstheme="minorHAnsi"/>
          <w:sz w:val="22"/>
          <w:szCs w:val="22"/>
        </w:rPr>
        <w:t>expanding gender-responsive procurement.</w:t>
      </w:r>
    </w:p>
    <w:p w14:paraId="4A4D4FD0" w14:textId="77777777" w:rsidR="005758B6" w:rsidRPr="00DB0C40" w:rsidRDefault="005758B6" w:rsidP="005758B6">
      <w:pPr>
        <w:spacing w:after="200"/>
        <w:ind w:left="720"/>
        <w:contextualSpacing/>
        <w:rPr>
          <w:rFonts w:asciiTheme="minorHAnsi" w:hAnsiTheme="minorHAnsi" w:cstheme="minorHAnsi"/>
          <w:sz w:val="22"/>
          <w:szCs w:val="22"/>
        </w:rPr>
      </w:pPr>
    </w:p>
    <w:p w14:paraId="12FBA9A5" w14:textId="77777777" w:rsidR="005758B6" w:rsidRPr="00DB0C40" w:rsidRDefault="005758B6">
      <w:pPr>
        <w:keepNext/>
        <w:keepLines/>
        <w:numPr>
          <w:ilvl w:val="2"/>
          <w:numId w:val="45"/>
        </w:numPr>
        <w:spacing w:before="40"/>
        <w:outlineLvl w:val="2"/>
        <w:rPr>
          <w:rFonts w:asciiTheme="majorHAnsi" w:eastAsiaTheme="majorEastAsia" w:hAnsiTheme="majorHAnsi" w:cstheme="majorBidi"/>
          <w:color w:val="1F3763" w:themeColor="accent1" w:themeShade="7F"/>
        </w:rPr>
      </w:pPr>
      <w:bookmarkStart w:id="53" w:name="_Toc92359075"/>
      <w:bookmarkStart w:id="54" w:name="_Hlk107136620"/>
      <w:r w:rsidRPr="00DB0C40">
        <w:rPr>
          <w:rFonts w:asciiTheme="majorHAnsi" w:eastAsiaTheme="majorEastAsia" w:hAnsiTheme="majorHAnsi" w:cstheme="majorBidi"/>
          <w:color w:val="1F3763" w:themeColor="accent1" w:themeShade="7F"/>
        </w:rPr>
        <w:t>Some examples of national legal framework in European (France and Italy)</w:t>
      </w:r>
      <w:r w:rsidRPr="00DB0C40">
        <w:rPr>
          <w:rFonts w:ascii="TimesNewRomanPS" w:eastAsiaTheme="majorEastAsia" w:hAnsi="TimesNewRomanPS" w:cstheme="minorHAnsi"/>
          <w:b/>
          <w:bCs/>
          <w:color w:val="1F3763" w:themeColor="accent1" w:themeShade="7F"/>
          <w:position w:val="6"/>
          <w:sz w:val="16"/>
        </w:rPr>
        <w:footnoteReference w:id="20"/>
      </w:r>
      <w:bookmarkEnd w:id="53"/>
    </w:p>
    <w:bookmarkEnd w:id="54"/>
    <w:p w14:paraId="5BA7D291" w14:textId="77777777" w:rsidR="005758B6" w:rsidRPr="00DB0C40" w:rsidRDefault="005758B6" w:rsidP="005758B6">
      <w:pPr>
        <w:rPr>
          <w:rFonts w:asciiTheme="minorHAnsi" w:eastAsiaTheme="minorHAnsi" w:hAnsiTheme="minorHAnsi" w:cstheme="minorHAnsi"/>
          <w:sz w:val="22"/>
          <w:szCs w:val="22"/>
        </w:rPr>
      </w:pPr>
      <w:r w:rsidRPr="00DB0C40">
        <w:rPr>
          <w:rFonts w:asciiTheme="minorHAnsi" w:eastAsiaTheme="minorHAnsi" w:hAnsiTheme="minorHAnsi" w:cstheme="minorHAnsi"/>
          <w:sz w:val="22"/>
          <w:szCs w:val="22"/>
        </w:rPr>
        <w:t xml:space="preserve"> </w:t>
      </w:r>
    </w:p>
    <w:p w14:paraId="5045E449" w14:textId="77777777" w:rsidR="005758B6" w:rsidRPr="00DB0C40" w:rsidRDefault="005758B6" w:rsidP="005758B6">
      <w:pPr>
        <w:pBdr>
          <w:top w:val="single" w:sz="4" w:space="1" w:color="auto"/>
          <w:left w:val="single" w:sz="4" w:space="4" w:color="auto"/>
          <w:bottom w:val="single" w:sz="4" w:space="1" w:color="auto"/>
          <w:right w:val="single" w:sz="4" w:space="4" w:color="auto"/>
        </w:pBdr>
        <w:rPr>
          <w:rFonts w:asciiTheme="minorHAnsi" w:eastAsiaTheme="minorHAnsi" w:hAnsiTheme="minorHAnsi" w:cstheme="minorHAnsi"/>
          <w:b/>
          <w:bCs/>
          <w:sz w:val="22"/>
          <w:szCs w:val="22"/>
        </w:rPr>
      </w:pPr>
      <w:r w:rsidRPr="00DB0C40">
        <w:rPr>
          <w:rFonts w:asciiTheme="minorHAnsi" w:eastAsiaTheme="minorHAnsi" w:hAnsiTheme="minorHAnsi" w:cstheme="minorHAnsi"/>
          <w:b/>
          <w:bCs/>
          <w:sz w:val="22"/>
          <w:szCs w:val="22"/>
        </w:rPr>
        <w:t>Mandating gender-diverse boards (France)</w:t>
      </w:r>
      <w:r w:rsidRPr="00DB0C40">
        <w:rPr>
          <w:rFonts w:asciiTheme="minorHAnsi" w:eastAsiaTheme="minorHAnsi" w:hAnsiTheme="minorHAnsi" w:cstheme="minorHAnsi"/>
          <w:b/>
          <w:bCs/>
          <w:sz w:val="22"/>
          <w:szCs w:val="22"/>
        </w:rPr>
        <w:tab/>
      </w:r>
    </w:p>
    <w:p w14:paraId="245395AB" w14:textId="77777777" w:rsidR="005758B6" w:rsidRPr="00DB0C40" w:rsidRDefault="005758B6" w:rsidP="005758B6">
      <w:pPr>
        <w:pBdr>
          <w:top w:val="single" w:sz="4" w:space="1" w:color="auto"/>
          <w:left w:val="single" w:sz="4" w:space="4" w:color="auto"/>
          <w:bottom w:val="single" w:sz="4" w:space="1" w:color="auto"/>
          <w:right w:val="single" w:sz="4" w:space="4" w:color="auto"/>
        </w:pBdr>
        <w:rPr>
          <w:rFonts w:asciiTheme="minorHAnsi" w:eastAsiaTheme="minorHAnsi" w:hAnsiTheme="minorHAnsi" w:cstheme="minorHAnsi"/>
          <w:sz w:val="22"/>
          <w:szCs w:val="22"/>
        </w:rPr>
      </w:pPr>
    </w:p>
    <w:p w14:paraId="35A19019" w14:textId="7C350A1D" w:rsidR="005758B6" w:rsidRPr="00DB0C40" w:rsidRDefault="005758B6" w:rsidP="005758B6">
      <w:pPr>
        <w:pBdr>
          <w:top w:val="single" w:sz="4" w:space="1" w:color="auto"/>
          <w:left w:val="single" w:sz="4" w:space="4" w:color="auto"/>
          <w:bottom w:val="single" w:sz="4" w:space="1" w:color="auto"/>
          <w:right w:val="single" w:sz="4" w:space="4" w:color="auto"/>
        </w:pBdr>
        <w:jc w:val="both"/>
        <w:rPr>
          <w:rFonts w:asciiTheme="minorHAnsi" w:eastAsiaTheme="minorHAnsi" w:hAnsiTheme="minorHAnsi" w:cstheme="minorHAnsi"/>
          <w:sz w:val="22"/>
          <w:szCs w:val="22"/>
        </w:rPr>
      </w:pPr>
      <w:r w:rsidRPr="00DB0C40">
        <w:rPr>
          <w:rFonts w:asciiTheme="minorHAnsi" w:eastAsiaTheme="minorHAnsi" w:hAnsiTheme="minorHAnsi" w:cstheme="minorHAnsi"/>
          <w:sz w:val="22"/>
          <w:szCs w:val="22"/>
        </w:rPr>
        <w:t>On 13 January 2011, France’s Cope-Zimmerman Law was passed, coming into full effect in January 2017 and mandating a quota of at least 40 per cent for all genders on company boards. The binding quota applies to publicly traded companies, or those with more than five hundred employees and a turnover of more than €50 million in the previous three years. In 2012 and 2014, two supplementary laws extended the quota to leadership in governmental bodies, social security organi</w:t>
      </w:r>
      <w:r w:rsidR="00713926">
        <w:rPr>
          <w:rFonts w:asciiTheme="minorHAnsi" w:eastAsiaTheme="minorHAnsi" w:hAnsiTheme="minorHAnsi" w:cstheme="minorHAnsi"/>
          <w:sz w:val="22"/>
          <w:szCs w:val="22"/>
        </w:rPr>
        <w:t>s</w:t>
      </w:r>
      <w:r w:rsidRPr="00DB0C40">
        <w:rPr>
          <w:rFonts w:asciiTheme="minorHAnsi" w:eastAsiaTheme="minorHAnsi" w:hAnsiTheme="minorHAnsi" w:cstheme="minorHAnsi"/>
          <w:sz w:val="22"/>
          <w:szCs w:val="22"/>
        </w:rPr>
        <w:t>ations, and the cultural and sports sectors. The proportion of women on the boards of France’s largest publicly listed companies increased by almost 32 per cent between 2010 and 2018.50 As a result of the law, France stands out from the rest of EU in terms of the proportion of women serving on company boards, with the highest level among EU Member States as of April 2016 – an impressive result achieved even before the law came into full effect.</w:t>
      </w:r>
    </w:p>
    <w:p w14:paraId="1221D3CB" w14:textId="77777777" w:rsidR="005758B6" w:rsidRPr="00DB0C40" w:rsidRDefault="005758B6" w:rsidP="005758B6">
      <w:pPr>
        <w:rPr>
          <w:rFonts w:asciiTheme="minorHAnsi" w:eastAsiaTheme="minorHAnsi" w:hAnsiTheme="minorHAnsi" w:cstheme="minorHAnsi"/>
          <w:sz w:val="22"/>
          <w:szCs w:val="22"/>
        </w:rPr>
      </w:pPr>
    </w:p>
    <w:p w14:paraId="36C6DBE1" w14:textId="77777777" w:rsidR="005758B6" w:rsidRPr="00DB0C40" w:rsidRDefault="005758B6" w:rsidP="005758B6">
      <w:pPr>
        <w:pBdr>
          <w:top w:val="single" w:sz="4" w:space="1" w:color="auto"/>
          <w:left w:val="single" w:sz="4" w:space="4" w:color="auto"/>
          <w:bottom w:val="single" w:sz="4" w:space="1" w:color="auto"/>
          <w:right w:val="single" w:sz="4" w:space="4" w:color="auto"/>
        </w:pBdr>
        <w:rPr>
          <w:rFonts w:asciiTheme="minorHAnsi" w:eastAsiaTheme="minorHAnsi" w:hAnsiTheme="minorHAnsi" w:cstheme="minorHAnsi"/>
          <w:b/>
          <w:bCs/>
          <w:sz w:val="22"/>
          <w:szCs w:val="22"/>
        </w:rPr>
      </w:pPr>
      <w:r w:rsidRPr="00DB0C40">
        <w:rPr>
          <w:rFonts w:asciiTheme="minorHAnsi" w:eastAsiaTheme="minorHAnsi" w:hAnsiTheme="minorHAnsi" w:cstheme="minorHAnsi"/>
          <w:b/>
          <w:bCs/>
          <w:sz w:val="22"/>
          <w:szCs w:val="22"/>
        </w:rPr>
        <w:t xml:space="preserve"> Promoting women in economic and political leadership positions (Italy)          </w:t>
      </w:r>
    </w:p>
    <w:p w14:paraId="05EE0502" w14:textId="77777777" w:rsidR="005758B6" w:rsidRPr="00DB0C40" w:rsidRDefault="005758B6" w:rsidP="005758B6">
      <w:pPr>
        <w:pBdr>
          <w:top w:val="single" w:sz="4" w:space="1" w:color="auto"/>
          <w:left w:val="single" w:sz="4" w:space="4" w:color="auto"/>
          <w:bottom w:val="single" w:sz="4" w:space="1" w:color="auto"/>
          <w:right w:val="single" w:sz="4" w:space="4" w:color="auto"/>
        </w:pBdr>
        <w:rPr>
          <w:rFonts w:asciiTheme="minorHAnsi" w:eastAsiaTheme="minorHAnsi" w:hAnsiTheme="minorHAnsi" w:cstheme="minorHAnsi"/>
          <w:sz w:val="22"/>
          <w:szCs w:val="22"/>
        </w:rPr>
      </w:pPr>
    </w:p>
    <w:p w14:paraId="1742CF08" w14:textId="77777777" w:rsidR="005758B6" w:rsidRPr="00DB0C40" w:rsidRDefault="005758B6" w:rsidP="005758B6">
      <w:pPr>
        <w:pBdr>
          <w:top w:val="single" w:sz="4" w:space="1" w:color="auto"/>
          <w:left w:val="single" w:sz="4" w:space="4" w:color="auto"/>
          <w:bottom w:val="single" w:sz="4" w:space="1" w:color="auto"/>
          <w:right w:val="single" w:sz="4" w:space="4" w:color="auto"/>
        </w:pBdr>
        <w:jc w:val="both"/>
        <w:rPr>
          <w:rFonts w:asciiTheme="minorHAnsi" w:eastAsiaTheme="minorHAnsi" w:hAnsiTheme="minorHAnsi" w:cstheme="minorHAnsi"/>
          <w:sz w:val="22"/>
          <w:szCs w:val="22"/>
        </w:rPr>
      </w:pPr>
      <w:r w:rsidRPr="00DB0C40">
        <w:rPr>
          <w:rFonts w:asciiTheme="minorHAnsi" w:eastAsiaTheme="minorHAnsi" w:hAnsiTheme="minorHAnsi" w:cstheme="minorHAnsi"/>
          <w:sz w:val="22"/>
          <w:szCs w:val="22"/>
        </w:rPr>
        <w:t xml:space="preserve">Italy is another country that has established legal quotas to promote women into higher leadership positions within companies. In 2005, the proportion of Italian women in economic leadership roles were extremely low: only 3 per cent of company board members were women. To take one example, the Central Bank board consisted exclusively of men.60 To rectify this situation and achieve gender parity, the Italian Government passed laws requiring greater gender diversity on company boards. The law passed in 2011 established a one-fifth quota for gender representation, sixty-one and in 2012, this quota was </w:t>
      </w:r>
      <w:r w:rsidRPr="00DB0C40">
        <w:rPr>
          <w:rFonts w:asciiTheme="minorHAnsi" w:eastAsiaTheme="minorHAnsi" w:hAnsiTheme="minorHAnsi" w:cstheme="minorHAnsi"/>
          <w:sz w:val="22"/>
          <w:szCs w:val="22"/>
        </w:rPr>
        <w:lastRenderedPageBreak/>
        <w:t>extended to companies not operating in regulated markets.62 Finally, in 2016, the Italian government increased the quota to one-third board members in publicly listed companies.</w:t>
      </w:r>
    </w:p>
    <w:p w14:paraId="790D2D4F" w14:textId="77777777" w:rsidR="005758B6" w:rsidRPr="00DB0C40" w:rsidRDefault="005758B6" w:rsidP="005758B6">
      <w:pPr>
        <w:pBdr>
          <w:top w:val="single" w:sz="4" w:space="1" w:color="auto"/>
          <w:left w:val="single" w:sz="4" w:space="4" w:color="auto"/>
          <w:bottom w:val="single" w:sz="4" w:space="1" w:color="auto"/>
          <w:right w:val="single" w:sz="4" w:space="4" w:color="auto"/>
        </w:pBdr>
        <w:jc w:val="both"/>
        <w:rPr>
          <w:rFonts w:asciiTheme="minorHAnsi" w:eastAsiaTheme="minorHAnsi" w:hAnsiTheme="minorHAnsi" w:cstheme="minorHAnsi"/>
          <w:sz w:val="22"/>
          <w:szCs w:val="22"/>
        </w:rPr>
      </w:pPr>
      <w:r w:rsidRPr="00DB0C40">
        <w:rPr>
          <w:rFonts w:asciiTheme="minorHAnsi" w:eastAsiaTheme="minorHAnsi" w:hAnsiTheme="minorHAnsi" w:cstheme="minorHAnsi"/>
          <w:sz w:val="22"/>
          <w:szCs w:val="22"/>
        </w:rPr>
        <w:t>These quotas have strengthened women’s economic leadership in Italy. In 2018, women accounted for 22 per cent of the board of the Central Bank. In 2019, women made up over 36 per cent of the membership of the boards of publicly listed companies, the second highest figure among G7 countries. The Department for Equal Opportunities is the designated monitoring body and has so far initiated 391 administrative proceedings against non- compliant companies.</w:t>
      </w:r>
    </w:p>
    <w:p w14:paraId="099033E0" w14:textId="77777777" w:rsidR="005758B6" w:rsidRPr="00DB0C40" w:rsidRDefault="005758B6" w:rsidP="005758B6">
      <w:pPr>
        <w:pBdr>
          <w:top w:val="single" w:sz="4" w:space="1" w:color="auto"/>
          <w:left w:val="single" w:sz="4" w:space="4" w:color="auto"/>
          <w:bottom w:val="single" w:sz="4" w:space="1" w:color="auto"/>
          <w:right w:val="single" w:sz="4" w:space="4" w:color="auto"/>
        </w:pBdr>
        <w:jc w:val="both"/>
        <w:rPr>
          <w:rFonts w:asciiTheme="minorHAnsi" w:eastAsiaTheme="minorHAnsi" w:hAnsiTheme="minorHAnsi" w:cstheme="minorHAnsi"/>
          <w:sz w:val="22"/>
          <w:szCs w:val="22"/>
        </w:rPr>
      </w:pPr>
      <w:r w:rsidRPr="00DB0C40">
        <w:rPr>
          <w:rFonts w:asciiTheme="minorHAnsi" w:eastAsiaTheme="minorHAnsi" w:hAnsiTheme="minorHAnsi" w:cstheme="minorHAnsi"/>
          <w:sz w:val="22"/>
          <w:szCs w:val="22"/>
        </w:rPr>
        <w:t xml:space="preserve">Since 2014, Italy has also enacted numerous pieces of legislation to promote women’s quotas in local government, the federal government, and its representation in the European Parliament.66 A 2017 law stipulates that no more than 60 per cent of representatives in an uninominal electoral college can be of the same sex. Both chambers of the national Parliament also have gender-balance mandates because of this law. Consequently, there has been a significant improvement in gender parity in political representation. The Italian legislature at the time of this publication (2020) had the highest representation of women parliamentarians in Italy’s history (35.7 per cent). This proportion has doubled over the last ten years. The World Economic Forum’s ranking of Italy in terms of political empowerment rose from 72nd (out of 115 countries) in 2006 to 46th (out of 144 countries) in 2017. </w:t>
      </w:r>
    </w:p>
    <w:p w14:paraId="7C22DBBB" w14:textId="77777777" w:rsidR="005758B6" w:rsidRPr="00DB0C40" w:rsidRDefault="005758B6" w:rsidP="005758B6">
      <w:pPr>
        <w:rPr>
          <w:rFonts w:asciiTheme="minorHAnsi" w:eastAsiaTheme="minorHAnsi" w:hAnsiTheme="minorHAnsi" w:cstheme="minorHAnsi"/>
          <w:sz w:val="22"/>
          <w:szCs w:val="22"/>
        </w:rPr>
      </w:pPr>
    </w:p>
    <w:p w14:paraId="6054A073" w14:textId="77777777" w:rsidR="005758B6" w:rsidRPr="00DB0C40" w:rsidRDefault="005758B6" w:rsidP="005758B6">
      <w:pPr>
        <w:rPr>
          <w:rFonts w:asciiTheme="minorHAnsi" w:eastAsiaTheme="minorHAnsi" w:hAnsiTheme="minorHAnsi" w:cstheme="minorHAnsi"/>
          <w:sz w:val="22"/>
          <w:szCs w:val="22"/>
        </w:rPr>
      </w:pPr>
    </w:p>
    <w:p w14:paraId="088406BD" w14:textId="3ECA10D0" w:rsidR="006667C7" w:rsidRPr="009E356C" w:rsidRDefault="002E58DF" w:rsidP="006667C7">
      <w:pPr>
        <w:rPr>
          <w:rFonts w:asciiTheme="majorHAnsi" w:eastAsiaTheme="majorEastAsia" w:hAnsiTheme="majorHAnsi" w:cstheme="majorBidi"/>
          <w:color w:val="4472C4" w:themeColor="accent1"/>
        </w:rPr>
      </w:pPr>
      <w:bookmarkStart w:id="55" w:name="_Toc92359076"/>
      <w:r w:rsidRPr="00DB0C40">
        <w:rPr>
          <w:rFonts w:asciiTheme="majorHAnsi" w:eastAsiaTheme="majorEastAsia" w:hAnsiTheme="majorHAnsi" w:cstheme="majorBidi"/>
          <w:color w:val="1F3763" w:themeColor="accent1" w:themeShade="7F"/>
        </w:rPr>
        <w:t>3.</w:t>
      </w:r>
      <w:r w:rsidR="00C00E2B" w:rsidRPr="00DB0C40">
        <w:rPr>
          <w:rFonts w:asciiTheme="majorHAnsi" w:eastAsiaTheme="majorEastAsia" w:hAnsiTheme="majorHAnsi" w:cstheme="majorBidi"/>
          <w:color w:val="1F3763" w:themeColor="accent1" w:themeShade="7F"/>
        </w:rPr>
        <w:t>5.3</w:t>
      </w:r>
      <w:r w:rsidRPr="00DB0C40">
        <w:rPr>
          <w:rFonts w:asciiTheme="majorHAnsi" w:eastAsiaTheme="majorEastAsia" w:hAnsiTheme="majorHAnsi" w:cstheme="majorBidi"/>
          <w:color w:val="1F3763" w:themeColor="accent1" w:themeShade="7F"/>
        </w:rPr>
        <w:t>.</w:t>
      </w:r>
      <w:r w:rsidR="005758B6" w:rsidRPr="00DB0C40">
        <w:rPr>
          <w:rFonts w:asciiTheme="majorHAnsi" w:eastAsiaTheme="majorEastAsia" w:hAnsiTheme="majorHAnsi" w:cstheme="majorBidi"/>
          <w:color w:val="1F3763" w:themeColor="accent1" w:themeShade="7F"/>
        </w:rPr>
        <w:t xml:space="preserve"> Laws and </w:t>
      </w:r>
      <w:r w:rsidR="00AE67F2">
        <w:rPr>
          <w:rFonts w:asciiTheme="majorHAnsi" w:eastAsiaTheme="majorEastAsia" w:hAnsiTheme="majorHAnsi" w:cstheme="majorBidi"/>
          <w:color w:val="1F3763" w:themeColor="accent1" w:themeShade="7F"/>
        </w:rPr>
        <w:t>P</w:t>
      </w:r>
      <w:r w:rsidR="005758B6" w:rsidRPr="00DB0C40">
        <w:rPr>
          <w:rFonts w:asciiTheme="majorHAnsi" w:eastAsiaTheme="majorEastAsia" w:hAnsiTheme="majorHAnsi" w:cstheme="majorBidi"/>
          <w:color w:val="1F3763" w:themeColor="accent1" w:themeShade="7F"/>
        </w:rPr>
        <w:t>olicies during COVID</w:t>
      </w:r>
      <w:bookmarkEnd w:id="55"/>
      <w:r w:rsidR="006667C7">
        <w:rPr>
          <w:rFonts w:asciiTheme="majorHAnsi" w:eastAsiaTheme="majorEastAsia" w:hAnsiTheme="majorHAnsi" w:cstheme="majorBidi"/>
          <w:color w:val="1F3763" w:themeColor="accent1" w:themeShade="7F"/>
        </w:rPr>
        <w:t xml:space="preserve">  </w:t>
      </w:r>
      <w:r w:rsidR="006667C7" w:rsidRPr="009E356C">
        <w:rPr>
          <w:rFonts w:asciiTheme="majorHAnsi" w:eastAsiaTheme="majorEastAsia" w:hAnsiTheme="majorHAnsi" w:cstheme="majorBidi"/>
          <w:color w:val="4472C4" w:themeColor="accent1"/>
        </w:rPr>
        <w:t>related to supporting women´s equal participation in decision-making in the world of work</w:t>
      </w:r>
    </w:p>
    <w:p w14:paraId="299C3E03" w14:textId="4C034691" w:rsidR="005758B6" w:rsidRPr="009E356C" w:rsidRDefault="005758B6" w:rsidP="005758B6">
      <w:pPr>
        <w:keepNext/>
        <w:keepLines/>
        <w:spacing w:before="40"/>
        <w:outlineLvl w:val="2"/>
        <w:rPr>
          <w:rFonts w:asciiTheme="majorHAnsi" w:eastAsiaTheme="majorEastAsia" w:hAnsiTheme="majorHAnsi" w:cstheme="majorBidi"/>
          <w:color w:val="4472C4" w:themeColor="accent1"/>
        </w:rPr>
      </w:pPr>
    </w:p>
    <w:p w14:paraId="6A03B195" w14:textId="77777777" w:rsidR="005758B6" w:rsidRPr="00DB0C40" w:rsidRDefault="005758B6" w:rsidP="005758B6">
      <w:pPr>
        <w:jc w:val="both"/>
        <w:rPr>
          <w:rFonts w:asciiTheme="minorHAnsi" w:eastAsiaTheme="minorHAnsi" w:hAnsiTheme="minorHAnsi" w:cstheme="minorHAnsi"/>
          <w:sz w:val="22"/>
          <w:szCs w:val="22"/>
        </w:rPr>
      </w:pPr>
    </w:p>
    <w:p w14:paraId="2AC09FAF" w14:textId="77777777" w:rsidR="005758B6" w:rsidRPr="00DB0C40" w:rsidRDefault="005758B6" w:rsidP="005758B6">
      <w:pPr>
        <w:jc w:val="both"/>
        <w:rPr>
          <w:rFonts w:asciiTheme="minorHAnsi" w:eastAsiaTheme="minorHAnsi" w:hAnsiTheme="minorHAnsi" w:cstheme="minorHAnsi"/>
          <w:sz w:val="22"/>
          <w:szCs w:val="22"/>
        </w:rPr>
      </w:pPr>
      <w:r w:rsidRPr="00DB0C40">
        <w:rPr>
          <w:rFonts w:asciiTheme="minorHAnsi" w:eastAsiaTheme="minorHAnsi" w:hAnsiTheme="minorHAnsi" w:cstheme="minorHAnsi"/>
          <w:sz w:val="22"/>
          <w:szCs w:val="22"/>
        </w:rPr>
        <w:t>The ILO estimates that worldwide around 436 million enterprises in the sectors hardest- hit by the COVID-19 crisis are facing serious disruption. Another survey shows that over 90 per cent of women entrepreneurs suffered a decrease in sales during the pandemic and have less than three months of cash flow remaining. These challenges reflect the fact that women-owned businesses are more concentrated in the sectors most affected by lockdowns, increased care demands that have reduced their ability to focus on their businesses and generate income, and difficulty in adapting quickly to digital operations.</w:t>
      </w:r>
    </w:p>
    <w:p w14:paraId="3ABACE66" w14:textId="77777777" w:rsidR="005758B6" w:rsidRPr="00DB0C40" w:rsidRDefault="005758B6" w:rsidP="005758B6">
      <w:pPr>
        <w:jc w:val="both"/>
        <w:rPr>
          <w:rFonts w:asciiTheme="minorHAnsi" w:eastAsiaTheme="minorHAnsi" w:hAnsiTheme="minorHAnsi" w:cstheme="minorHAnsi"/>
          <w:sz w:val="22"/>
          <w:szCs w:val="22"/>
        </w:rPr>
      </w:pPr>
    </w:p>
    <w:p w14:paraId="2B8CE005" w14:textId="77777777" w:rsidR="005758B6" w:rsidRPr="00DB0C40" w:rsidRDefault="005758B6" w:rsidP="005758B6">
      <w:pPr>
        <w:jc w:val="both"/>
        <w:rPr>
          <w:rFonts w:asciiTheme="minorHAnsi" w:eastAsiaTheme="minorHAnsi" w:hAnsiTheme="minorHAnsi" w:cstheme="minorHAnsi"/>
          <w:sz w:val="22"/>
          <w:szCs w:val="22"/>
        </w:rPr>
      </w:pPr>
      <w:r w:rsidRPr="00DB0C40">
        <w:rPr>
          <w:rFonts w:asciiTheme="minorHAnsi" w:eastAsiaTheme="minorHAnsi" w:hAnsiTheme="minorHAnsi" w:cstheme="minorHAnsi"/>
          <w:sz w:val="22"/>
          <w:szCs w:val="22"/>
        </w:rPr>
        <w:t>ILO and UN Women recommends that public policies should:</w:t>
      </w:r>
    </w:p>
    <w:p w14:paraId="567AE5CC" w14:textId="77777777" w:rsidR="005758B6" w:rsidRPr="00DB0C40" w:rsidRDefault="005758B6">
      <w:pPr>
        <w:numPr>
          <w:ilvl w:val="0"/>
          <w:numId w:val="22"/>
        </w:numPr>
        <w:spacing w:after="200"/>
        <w:contextualSpacing/>
        <w:jc w:val="both"/>
        <w:rPr>
          <w:rFonts w:asciiTheme="minorHAnsi" w:hAnsiTheme="minorHAnsi" w:cstheme="minorHAnsi"/>
          <w:sz w:val="22"/>
          <w:szCs w:val="22"/>
        </w:rPr>
      </w:pPr>
      <w:r w:rsidRPr="00DB0C40">
        <w:rPr>
          <w:rFonts w:asciiTheme="minorHAnsi" w:hAnsiTheme="minorHAnsi" w:cstheme="minorHAnsi"/>
          <w:sz w:val="22"/>
          <w:szCs w:val="22"/>
        </w:rPr>
        <w:t>implement employment retention measures to prevent women from losing their jobs, and focus on gender-responsive employment and entrepreneurship</w:t>
      </w:r>
    </w:p>
    <w:p w14:paraId="43CEB5F9" w14:textId="77777777" w:rsidR="005758B6" w:rsidRPr="00DB0C40" w:rsidRDefault="005758B6">
      <w:pPr>
        <w:numPr>
          <w:ilvl w:val="0"/>
          <w:numId w:val="22"/>
        </w:numPr>
        <w:spacing w:after="200"/>
        <w:contextualSpacing/>
        <w:jc w:val="both"/>
        <w:rPr>
          <w:rFonts w:asciiTheme="minorHAnsi" w:hAnsiTheme="minorHAnsi" w:cstheme="minorHAnsi"/>
          <w:sz w:val="22"/>
          <w:szCs w:val="22"/>
        </w:rPr>
      </w:pPr>
      <w:r w:rsidRPr="00DB0C40">
        <w:rPr>
          <w:rFonts w:asciiTheme="minorHAnsi" w:hAnsiTheme="minorHAnsi" w:cstheme="minorHAnsi"/>
          <w:sz w:val="22"/>
          <w:szCs w:val="22"/>
        </w:rPr>
        <w:t>sustain business operations, especially MSMEs, to preserve and scale up women entrepreneurs’ contributions to growth and sustainable development during recovery</w:t>
      </w:r>
    </w:p>
    <w:p w14:paraId="6C27FCC1" w14:textId="77777777" w:rsidR="005758B6" w:rsidRPr="00DB0C40" w:rsidRDefault="005758B6">
      <w:pPr>
        <w:numPr>
          <w:ilvl w:val="0"/>
          <w:numId w:val="22"/>
        </w:numPr>
        <w:spacing w:after="200"/>
        <w:contextualSpacing/>
        <w:jc w:val="both"/>
        <w:rPr>
          <w:rFonts w:asciiTheme="minorHAnsi" w:hAnsiTheme="minorHAnsi" w:cstheme="minorHAnsi"/>
          <w:sz w:val="22"/>
          <w:szCs w:val="22"/>
        </w:rPr>
      </w:pPr>
      <w:r w:rsidRPr="00DB0C40">
        <w:rPr>
          <w:rFonts w:asciiTheme="minorHAnsi" w:hAnsiTheme="minorHAnsi" w:cstheme="minorHAnsi"/>
          <w:sz w:val="22"/>
          <w:szCs w:val="22"/>
        </w:rPr>
        <w:t>use GRP to ensure that large contracts and new investments for economic recovery are distributed equally, and that women benefit from the government’s buying power</w:t>
      </w:r>
    </w:p>
    <w:p w14:paraId="55185626" w14:textId="77777777" w:rsidR="005758B6" w:rsidRPr="00DB0C40" w:rsidRDefault="005758B6">
      <w:pPr>
        <w:numPr>
          <w:ilvl w:val="0"/>
          <w:numId w:val="22"/>
        </w:numPr>
        <w:spacing w:after="200"/>
        <w:contextualSpacing/>
        <w:jc w:val="both"/>
        <w:rPr>
          <w:rFonts w:asciiTheme="minorHAnsi" w:hAnsiTheme="minorHAnsi" w:cstheme="minorHAnsi"/>
          <w:sz w:val="22"/>
          <w:szCs w:val="22"/>
        </w:rPr>
      </w:pPr>
      <w:r w:rsidRPr="00DB0C40">
        <w:rPr>
          <w:rFonts w:asciiTheme="minorHAnsi" w:hAnsiTheme="minorHAnsi" w:cstheme="minorHAnsi"/>
          <w:sz w:val="22"/>
          <w:szCs w:val="22"/>
        </w:rPr>
        <w:t>invest in the care economy to support more and better-quality care jobs, which are crucial in times of both crisis and prosperity.</w:t>
      </w:r>
    </w:p>
    <w:p w14:paraId="21ADC826" w14:textId="77777777" w:rsidR="005758B6" w:rsidRPr="00DB0C40" w:rsidRDefault="005758B6" w:rsidP="005758B6">
      <w:pPr>
        <w:rPr>
          <w:rFonts w:asciiTheme="minorHAnsi" w:eastAsiaTheme="minorHAnsi" w:hAnsiTheme="minorHAnsi" w:cstheme="minorHAnsi"/>
          <w:sz w:val="22"/>
          <w:szCs w:val="22"/>
        </w:rPr>
      </w:pPr>
    </w:p>
    <w:p w14:paraId="02FD09A1" w14:textId="18A9A36F" w:rsidR="002E58DF" w:rsidRPr="00DB0C40" w:rsidRDefault="005758B6">
      <w:pPr>
        <w:pStyle w:val="ListParagraph"/>
        <w:keepNext/>
        <w:keepLines/>
        <w:numPr>
          <w:ilvl w:val="1"/>
          <w:numId w:val="45"/>
        </w:numPr>
        <w:spacing w:before="40"/>
        <w:outlineLvl w:val="1"/>
        <w:rPr>
          <w:rFonts w:asciiTheme="majorHAnsi" w:eastAsiaTheme="majorEastAsia" w:hAnsiTheme="majorHAnsi" w:cstheme="majorBidi"/>
          <w:color w:val="2F5496" w:themeColor="accent1" w:themeShade="BF"/>
          <w:sz w:val="26"/>
          <w:szCs w:val="26"/>
        </w:rPr>
      </w:pPr>
      <w:bookmarkStart w:id="56" w:name="_Toc92359077"/>
      <w:r w:rsidRPr="00DB0C40">
        <w:rPr>
          <w:rFonts w:asciiTheme="majorHAnsi" w:eastAsiaTheme="majorEastAsia" w:hAnsiTheme="majorHAnsi" w:cstheme="majorBidi"/>
          <w:color w:val="2F5496" w:themeColor="accent1" w:themeShade="BF"/>
          <w:sz w:val="26"/>
          <w:szCs w:val="26"/>
        </w:rPr>
        <w:t>Building a future of work that works for women</w:t>
      </w:r>
      <w:bookmarkEnd w:id="56"/>
    </w:p>
    <w:p w14:paraId="22C16A9D" w14:textId="77777777" w:rsidR="005758B6" w:rsidRPr="00DB0C40" w:rsidRDefault="005758B6" w:rsidP="005758B6">
      <w:pPr>
        <w:spacing w:after="200" w:line="276" w:lineRule="auto"/>
        <w:ind w:left="720"/>
        <w:contextualSpacing/>
        <w:rPr>
          <w:rFonts w:cstheme="minorHAnsi"/>
          <w:b/>
          <w:bCs/>
          <w:sz w:val="22"/>
          <w:szCs w:val="22"/>
        </w:rPr>
      </w:pPr>
    </w:p>
    <w:p w14:paraId="7123CFC4" w14:textId="77777777" w:rsidR="005758B6" w:rsidRPr="00DB0C40" w:rsidRDefault="005758B6" w:rsidP="005758B6">
      <w:pPr>
        <w:jc w:val="both"/>
        <w:rPr>
          <w:rFonts w:asciiTheme="minorHAnsi" w:eastAsiaTheme="minorHAnsi" w:hAnsiTheme="minorHAnsi" w:cstheme="minorHAnsi"/>
          <w:sz w:val="22"/>
          <w:szCs w:val="22"/>
        </w:rPr>
      </w:pPr>
      <w:r w:rsidRPr="00DB0C40">
        <w:rPr>
          <w:rFonts w:asciiTheme="minorHAnsi" w:eastAsiaTheme="minorHAnsi" w:hAnsiTheme="minorHAnsi" w:cstheme="minorHAnsi"/>
          <w:sz w:val="22"/>
          <w:szCs w:val="22"/>
        </w:rPr>
        <w:t>In levelling the playing field for people, governments face the ongoing challenge of the global transformations arising from modern technology, demographic shifts, and climate change. Rapid technological advances in automation, artificial intelligence, robotics, and the digital economy are transforming the world of work, with mixed implications for the future of gender equality.</w:t>
      </w:r>
    </w:p>
    <w:p w14:paraId="05E67E07" w14:textId="77777777" w:rsidR="005758B6" w:rsidRPr="00DB0C40" w:rsidRDefault="005758B6" w:rsidP="005758B6">
      <w:pPr>
        <w:jc w:val="both"/>
        <w:rPr>
          <w:rFonts w:asciiTheme="minorHAnsi" w:eastAsiaTheme="minorHAnsi" w:hAnsiTheme="minorHAnsi" w:cstheme="minorHAnsi"/>
          <w:sz w:val="22"/>
          <w:szCs w:val="22"/>
        </w:rPr>
      </w:pPr>
    </w:p>
    <w:p w14:paraId="767D94B4" w14:textId="77777777" w:rsidR="005758B6" w:rsidRPr="00DB0C40" w:rsidRDefault="005758B6" w:rsidP="005758B6">
      <w:pPr>
        <w:jc w:val="both"/>
        <w:rPr>
          <w:rFonts w:asciiTheme="minorHAnsi" w:eastAsiaTheme="minorHAnsi" w:hAnsiTheme="minorHAnsi" w:cstheme="minorHAnsi"/>
          <w:sz w:val="22"/>
          <w:szCs w:val="22"/>
        </w:rPr>
      </w:pPr>
      <w:r w:rsidRPr="00DB0C40">
        <w:rPr>
          <w:rFonts w:asciiTheme="minorHAnsi" w:eastAsiaTheme="minorHAnsi" w:hAnsiTheme="minorHAnsi" w:cstheme="minorHAnsi"/>
          <w:sz w:val="22"/>
          <w:szCs w:val="22"/>
        </w:rPr>
        <w:lastRenderedPageBreak/>
        <w:t>Persistent occupational segregation means that people are likely to be impacted differently by automation. ILO research shows that the impacts of automation are likely to vary across sectors, with women predominant in sectors that are both at highest risk (accommodation and restaurants, manufacturing) and lowest (education, health, and social work) where job losses are concerned.</w:t>
      </w:r>
    </w:p>
    <w:p w14:paraId="4ABEA624" w14:textId="77777777" w:rsidR="005758B6" w:rsidRPr="00DB0C40" w:rsidRDefault="005758B6" w:rsidP="005758B6">
      <w:pPr>
        <w:jc w:val="both"/>
        <w:rPr>
          <w:rFonts w:asciiTheme="minorHAnsi" w:eastAsiaTheme="minorHAnsi" w:hAnsiTheme="minorHAnsi" w:cstheme="minorHAnsi"/>
          <w:sz w:val="22"/>
          <w:szCs w:val="22"/>
        </w:rPr>
      </w:pPr>
    </w:p>
    <w:p w14:paraId="0EF88A86" w14:textId="77777777" w:rsidR="005758B6" w:rsidRPr="00DB0C40" w:rsidRDefault="005758B6" w:rsidP="005758B6">
      <w:pPr>
        <w:jc w:val="both"/>
        <w:rPr>
          <w:rFonts w:asciiTheme="minorHAnsi" w:eastAsiaTheme="minorHAnsi" w:hAnsiTheme="minorHAnsi" w:cstheme="minorHAnsi"/>
          <w:sz w:val="22"/>
          <w:szCs w:val="22"/>
        </w:rPr>
      </w:pPr>
      <w:r w:rsidRPr="00DB0C40">
        <w:rPr>
          <w:rFonts w:asciiTheme="minorHAnsi" w:eastAsiaTheme="minorHAnsi" w:hAnsiTheme="minorHAnsi" w:cstheme="minorHAnsi"/>
          <w:sz w:val="22"/>
          <w:szCs w:val="22"/>
        </w:rPr>
        <w:t>Modern technologies have also increased employment mediated through digital platforms (platform employment or crowd work), which often precludes access to basic labour and social protections. The incidence of such work as a proportion of total employment is estimated to vary from 0.5 per cent in the United States to 5 per cent in Europe. Women are less likely than men to engage in digital employment (in high-income countries, one in three crowd workers is a woman) and, when they do, they tend to accept gigs with lower added value, to combine paid work with care responsibilities.</w:t>
      </w:r>
    </w:p>
    <w:p w14:paraId="6FE6E92E" w14:textId="77777777" w:rsidR="005758B6" w:rsidRPr="00DB0C40" w:rsidRDefault="005758B6" w:rsidP="005758B6">
      <w:pPr>
        <w:jc w:val="both"/>
        <w:rPr>
          <w:rFonts w:asciiTheme="minorHAnsi" w:eastAsiaTheme="minorHAnsi" w:hAnsiTheme="minorHAnsi" w:cstheme="minorHAnsi"/>
          <w:sz w:val="22"/>
          <w:szCs w:val="22"/>
        </w:rPr>
      </w:pPr>
    </w:p>
    <w:p w14:paraId="088C73E3" w14:textId="77777777" w:rsidR="005758B6" w:rsidRPr="00DB0C40" w:rsidRDefault="005758B6" w:rsidP="005758B6">
      <w:pPr>
        <w:jc w:val="both"/>
        <w:rPr>
          <w:rFonts w:asciiTheme="minorHAnsi" w:eastAsiaTheme="minorHAnsi" w:hAnsiTheme="minorHAnsi" w:cstheme="minorHAnsi"/>
          <w:sz w:val="22"/>
          <w:szCs w:val="22"/>
        </w:rPr>
      </w:pPr>
      <w:r w:rsidRPr="00DB0C40">
        <w:rPr>
          <w:rFonts w:asciiTheme="minorHAnsi" w:eastAsiaTheme="minorHAnsi" w:hAnsiTheme="minorHAnsi" w:cstheme="minorHAnsi"/>
          <w:sz w:val="22"/>
          <w:szCs w:val="22"/>
        </w:rPr>
        <w:t>These gender gaps also reflect the fact that women are significantly under-represented in the science, technology, engineering, and mathematics (STEM) fields, which generate high- paying jobs that are shaping the future of work. Women are less likely to have digital skills, and the digital skills they do have earn lower returns than those of their male counterparts.</w:t>
      </w:r>
    </w:p>
    <w:p w14:paraId="0F468DC8" w14:textId="77777777" w:rsidR="005758B6" w:rsidRPr="00DB0C40" w:rsidRDefault="005758B6" w:rsidP="005758B6">
      <w:pPr>
        <w:rPr>
          <w:rFonts w:asciiTheme="minorHAnsi" w:eastAsiaTheme="minorHAnsi" w:hAnsiTheme="minorHAnsi" w:cstheme="minorHAnsi"/>
          <w:sz w:val="22"/>
          <w:szCs w:val="22"/>
        </w:rPr>
      </w:pPr>
    </w:p>
    <w:p w14:paraId="20B9DB9E" w14:textId="77777777" w:rsidR="005758B6" w:rsidRPr="00DB0C40" w:rsidRDefault="005758B6" w:rsidP="005758B6">
      <w:pPr>
        <w:jc w:val="both"/>
        <w:rPr>
          <w:rFonts w:asciiTheme="minorHAnsi" w:eastAsiaTheme="minorHAnsi" w:hAnsiTheme="minorHAnsi" w:cstheme="minorHAnsi"/>
          <w:sz w:val="22"/>
          <w:szCs w:val="22"/>
        </w:rPr>
      </w:pPr>
      <w:r w:rsidRPr="00DB0C40">
        <w:rPr>
          <w:rFonts w:asciiTheme="minorHAnsi" w:eastAsiaTheme="minorHAnsi" w:hAnsiTheme="minorHAnsi" w:cstheme="minorHAnsi"/>
          <w:sz w:val="22"/>
          <w:szCs w:val="22"/>
        </w:rPr>
        <w:t xml:space="preserve">In EU countries, women comprise only 17 percent of people on ICT courses and in ICT careers10 and only 36 per cent of STEM graduates, although girls were outpacing boys in digital literacy in 2018.11 In G7 countries, too, women continue to be under-represented among STEM graduates. This gap in tech education has knock-on effects in the labour market. Women are less likely to be employed in the ICT sector and, when they do get a digital job, they face a gender pay gap significantly larger than the gender pay gap for the overall economy. </w:t>
      </w:r>
    </w:p>
    <w:p w14:paraId="152B0B73" w14:textId="77777777" w:rsidR="005758B6" w:rsidRPr="00DB0C40" w:rsidRDefault="005758B6" w:rsidP="005758B6">
      <w:pPr>
        <w:rPr>
          <w:rFonts w:asciiTheme="minorHAnsi" w:eastAsiaTheme="minorHAnsi" w:hAnsiTheme="minorHAnsi" w:cstheme="minorHAnsi"/>
          <w:sz w:val="22"/>
          <w:szCs w:val="22"/>
        </w:rPr>
      </w:pPr>
    </w:p>
    <w:p w14:paraId="2F630675" w14:textId="77777777" w:rsidR="005758B6" w:rsidRPr="00DB0C40" w:rsidRDefault="005758B6" w:rsidP="005758B6">
      <w:pPr>
        <w:jc w:val="both"/>
        <w:rPr>
          <w:rFonts w:asciiTheme="minorHAnsi" w:eastAsiaTheme="minorHAnsi" w:hAnsiTheme="minorHAnsi" w:cstheme="minorHAnsi"/>
          <w:sz w:val="22"/>
          <w:szCs w:val="22"/>
        </w:rPr>
      </w:pPr>
      <w:r w:rsidRPr="00DB0C40">
        <w:rPr>
          <w:rFonts w:asciiTheme="minorHAnsi" w:eastAsiaTheme="minorHAnsi" w:hAnsiTheme="minorHAnsi" w:cstheme="minorHAnsi"/>
          <w:sz w:val="22"/>
          <w:szCs w:val="22"/>
        </w:rPr>
        <w:t>Innovative technologies have also stirred concerns about privacy and gender bias in artificial intelligence and robotics, and about accountability and transparency, including the amplified exposure of women and girls to the risk of violence and harassment in technology-enabled spaces.</w:t>
      </w:r>
    </w:p>
    <w:p w14:paraId="04FB7B84" w14:textId="77777777" w:rsidR="005758B6" w:rsidRPr="00DB0C40" w:rsidRDefault="005758B6" w:rsidP="005758B6">
      <w:pPr>
        <w:rPr>
          <w:rFonts w:asciiTheme="minorHAnsi" w:eastAsiaTheme="minorHAnsi" w:hAnsiTheme="minorHAnsi" w:cstheme="minorHAnsi"/>
          <w:sz w:val="22"/>
          <w:szCs w:val="22"/>
        </w:rPr>
      </w:pPr>
    </w:p>
    <w:p w14:paraId="3EBE3598" w14:textId="6B8BECA7" w:rsidR="005758B6" w:rsidRPr="00DB0C40" w:rsidRDefault="002E58DF" w:rsidP="005758B6">
      <w:pPr>
        <w:keepNext/>
        <w:keepLines/>
        <w:spacing w:before="40"/>
        <w:outlineLvl w:val="2"/>
        <w:rPr>
          <w:rFonts w:asciiTheme="majorHAnsi" w:eastAsiaTheme="majorEastAsia" w:hAnsiTheme="majorHAnsi" w:cstheme="majorBidi"/>
          <w:color w:val="1F3763" w:themeColor="accent1" w:themeShade="7F"/>
        </w:rPr>
      </w:pPr>
      <w:bookmarkStart w:id="57" w:name="_Toc92359078"/>
      <w:bookmarkStart w:id="58" w:name="_Hlk107136746"/>
      <w:r w:rsidRPr="00DB0C40">
        <w:rPr>
          <w:rFonts w:asciiTheme="majorHAnsi" w:eastAsiaTheme="majorEastAsia" w:hAnsiTheme="majorHAnsi" w:cstheme="majorBidi"/>
          <w:color w:val="1F3763" w:themeColor="accent1" w:themeShade="7F"/>
        </w:rPr>
        <w:t>3.</w:t>
      </w:r>
      <w:r w:rsidR="00AF1B5D" w:rsidRPr="00DB0C40">
        <w:rPr>
          <w:rFonts w:asciiTheme="majorHAnsi" w:eastAsiaTheme="majorEastAsia" w:hAnsiTheme="majorHAnsi" w:cstheme="majorBidi"/>
          <w:color w:val="1F3763" w:themeColor="accent1" w:themeShade="7F"/>
        </w:rPr>
        <w:t>6</w:t>
      </w:r>
      <w:r w:rsidRPr="00DB0C40">
        <w:rPr>
          <w:rFonts w:asciiTheme="majorHAnsi" w:eastAsiaTheme="majorEastAsia" w:hAnsiTheme="majorHAnsi" w:cstheme="majorBidi"/>
          <w:color w:val="1F3763" w:themeColor="accent1" w:themeShade="7F"/>
        </w:rPr>
        <w:t>.1.</w:t>
      </w:r>
      <w:r w:rsidR="005758B6" w:rsidRPr="00DB0C40">
        <w:rPr>
          <w:rFonts w:asciiTheme="majorHAnsi" w:eastAsiaTheme="majorEastAsia" w:hAnsiTheme="majorHAnsi" w:cstheme="majorBidi"/>
          <w:color w:val="1F3763" w:themeColor="accent1" w:themeShade="7F"/>
        </w:rPr>
        <w:t xml:space="preserve"> International Labour Standards and other key instruments</w:t>
      </w:r>
      <w:bookmarkEnd w:id="57"/>
    </w:p>
    <w:bookmarkEnd w:id="58"/>
    <w:p w14:paraId="221ADC5E" w14:textId="77777777" w:rsidR="005758B6" w:rsidRPr="00DB0C40" w:rsidRDefault="005758B6" w:rsidP="005758B6">
      <w:pPr>
        <w:rPr>
          <w:rFonts w:asciiTheme="minorHAnsi" w:eastAsiaTheme="minorHAnsi" w:hAnsiTheme="minorHAnsi" w:cstheme="minorHAnsi"/>
          <w:sz w:val="22"/>
          <w:szCs w:val="22"/>
        </w:rPr>
      </w:pPr>
    </w:p>
    <w:p w14:paraId="7B84B4F2" w14:textId="0CDCCEC6" w:rsidR="005758B6" w:rsidRPr="00DB0C40" w:rsidRDefault="002E58DF" w:rsidP="005758B6">
      <w:pPr>
        <w:jc w:val="both"/>
        <w:rPr>
          <w:rFonts w:asciiTheme="minorHAnsi" w:eastAsiaTheme="minorHAnsi" w:hAnsiTheme="minorHAnsi" w:cstheme="minorHAnsi"/>
          <w:sz w:val="22"/>
          <w:szCs w:val="22"/>
        </w:rPr>
      </w:pPr>
      <w:r w:rsidRPr="00CD2A61">
        <w:rPr>
          <w:rFonts w:asciiTheme="majorHAnsi" w:eastAsiaTheme="majorEastAsia" w:hAnsiTheme="majorHAnsi" w:cstheme="majorBidi"/>
          <w:color w:val="1F3763" w:themeColor="accent1" w:themeShade="7F"/>
        </w:rPr>
        <w:t>3.</w:t>
      </w:r>
      <w:r w:rsidR="00AF1B5D" w:rsidRPr="00CD2A61">
        <w:rPr>
          <w:rFonts w:asciiTheme="majorHAnsi" w:eastAsiaTheme="majorEastAsia" w:hAnsiTheme="majorHAnsi" w:cstheme="majorBidi"/>
          <w:color w:val="1F3763" w:themeColor="accent1" w:themeShade="7F"/>
        </w:rPr>
        <w:t>6</w:t>
      </w:r>
      <w:r w:rsidR="005758B6" w:rsidRPr="00CD2A61">
        <w:rPr>
          <w:rFonts w:asciiTheme="majorHAnsi" w:eastAsiaTheme="majorEastAsia" w:hAnsiTheme="majorHAnsi" w:cstheme="majorBidi"/>
          <w:color w:val="1F3763" w:themeColor="accent1" w:themeShade="7F"/>
        </w:rPr>
        <w:t>.1.1.</w:t>
      </w:r>
      <w:r w:rsidR="005758B6" w:rsidRPr="00DB0C40">
        <w:rPr>
          <w:rFonts w:asciiTheme="minorHAnsi" w:eastAsiaTheme="minorHAnsi" w:hAnsiTheme="minorHAnsi" w:cstheme="minorHAnsi"/>
          <w:sz w:val="22"/>
          <w:szCs w:val="22"/>
        </w:rPr>
        <w:t xml:space="preserve"> The ILO Centenary Declaration for the Future of Work, adopted in 2019, focuses its “human- centred approach” on three areas of action: 1) Increasing investment in people’s capabilities; 2) Increasing investment in the institutions of work; 3) Increasing investment in decent and sustainable work. The Declaration recognizes the challenges posed by technological innovation, demographic shifts, climate change and globalization, and commits the ILO to focusing its efforts on “promoting the acquisition of skills, competencies and qualifications for all workers throughout their working lives as a joint responsibility of governments and social partners.” Specific areas for action include addressing existing and anticipated skills gaps; ensuring that education and training systems are responsive to labour market needs, considering the evolution of work; and enhancing workers’ capacity to make use of the opportunities available for decent work. The Declaration also calls for the achievement of gender equality at work through a transformative agenda that includes the promotion of investment in the care economy.</w:t>
      </w:r>
    </w:p>
    <w:p w14:paraId="2D1EADF6" w14:textId="77777777" w:rsidR="005758B6" w:rsidRPr="00DB0C40" w:rsidRDefault="005758B6" w:rsidP="005758B6">
      <w:pPr>
        <w:jc w:val="both"/>
        <w:rPr>
          <w:rFonts w:asciiTheme="minorHAnsi" w:eastAsiaTheme="minorHAnsi" w:hAnsiTheme="minorHAnsi" w:cstheme="minorHAnsi"/>
          <w:b/>
          <w:bCs/>
          <w:sz w:val="22"/>
          <w:szCs w:val="22"/>
        </w:rPr>
      </w:pPr>
    </w:p>
    <w:p w14:paraId="0D048E90" w14:textId="46446B6D" w:rsidR="005758B6" w:rsidRPr="00DB0C40" w:rsidRDefault="002E58DF" w:rsidP="005758B6">
      <w:pPr>
        <w:jc w:val="both"/>
        <w:rPr>
          <w:rFonts w:asciiTheme="minorHAnsi" w:eastAsiaTheme="minorHAnsi" w:hAnsiTheme="minorHAnsi" w:cstheme="minorHAnsi"/>
          <w:sz w:val="22"/>
          <w:szCs w:val="22"/>
        </w:rPr>
      </w:pPr>
      <w:r w:rsidRPr="00CD2A61">
        <w:rPr>
          <w:rFonts w:asciiTheme="majorHAnsi" w:eastAsiaTheme="majorEastAsia" w:hAnsiTheme="majorHAnsi" w:cstheme="majorBidi"/>
          <w:color w:val="1F3763" w:themeColor="accent1" w:themeShade="7F"/>
        </w:rPr>
        <w:t>3.</w:t>
      </w:r>
      <w:r w:rsidR="00AF1B5D" w:rsidRPr="00CD2A61">
        <w:rPr>
          <w:rFonts w:asciiTheme="majorHAnsi" w:eastAsiaTheme="majorEastAsia" w:hAnsiTheme="majorHAnsi" w:cstheme="majorBidi"/>
          <w:color w:val="1F3763" w:themeColor="accent1" w:themeShade="7F"/>
        </w:rPr>
        <w:t>6</w:t>
      </w:r>
      <w:r w:rsidRPr="00CD2A61">
        <w:rPr>
          <w:rFonts w:asciiTheme="majorHAnsi" w:eastAsiaTheme="majorEastAsia" w:hAnsiTheme="majorHAnsi" w:cstheme="majorBidi"/>
          <w:color w:val="1F3763" w:themeColor="accent1" w:themeShade="7F"/>
        </w:rPr>
        <w:t>.1.2.</w:t>
      </w:r>
      <w:r w:rsidR="00F23644">
        <w:rPr>
          <w:rFonts w:asciiTheme="majorHAnsi" w:eastAsiaTheme="majorEastAsia" w:hAnsiTheme="majorHAnsi" w:cstheme="majorBidi"/>
          <w:color w:val="1F3763" w:themeColor="accent1" w:themeShade="7F"/>
        </w:rPr>
        <w:t xml:space="preserve"> </w:t>
      </w:r>
      <w:r w:rsidR="005758B6" w:rsidRPr="00DB0C40">
        <w:rPr>
          <w:rFonts w:asciiTheme="minorHAnsi" w:eastAsiaTheme="minorHAnsi" w:hAnsiTheme="minorHAnsi" w:cstheme="minorHAnsi"/>
          <w:sz w:val="22"/>
          <w:szCs w:val="22"/>
        </w:rPr>
        <w:t>The</w:t>
      </w:r>
      <w:r w:rsidR="00F23644">
        <w:rPr>
          <w:rFonts w:asciiTheme="minorHAnsi" w:eastAsiaTheme="minorHAnsi" w:hAnsiTheme="minorHAnsi" w:cstheme="minorHAnsi"/>
          <w:sz w:val="22"/>
          <w:szCs w:val="22"/>
        </w:rPr>
        <w:t xml:space="preserve"> </w:t>
      </w:r>
      <w:r w:rsidR="005758B6" w:rsidRPr="00DB0C40">
        <w:rPr>
          <w:rFonts w:asciiTheme="minorHAnsi" w:eastAsiaTheme="minorHAnsi" w:hAnsiTheme="minorHAnsi" w:cstheme="minorHAnsi"/>
          <w:sz w:val="22"/>
          <w:szCs w:val="22"/>
        </w:rPr>
        <w:t xml:space="preserve">EU Gender Equality Strategy 2020-25 aims to address gender gaps in STEM-related occupations through the “Updated Digital Education Action Plan” and the implementation of the Ministerial Declaration of commitment on “Women in Digital”. The aim of the Declaration is to encourage women to play an active and prominent role in the digital and technology sectors. In addition, the new “European Skills Agenda” places “access to education, training and lifelong learning for everybody, </w:t>
      </w:r>
      <w:r w:rsidR="005758B6" w:rsidRPr="00DB0C40">
        <w:rPr>
          <w:rFonts w:asciiTheme="minorHAnsi" w:eastAsiaTheme="minorHAnsi" w:hAnsiTheme="minorHAnsi" w:cstheme="minorHAnsi"/>
          <w:sz w:val="22"/>
          <w:szCs w:val="22"/>
        </w:rPr>
        <w:lastRenderedPageBreak/>
        <w:t>everywhere in the EU” at the heart of building resilience in the aftermath of the COVID-19 crisis. It focuses on skills and upskilling initiatives, increasing the numbers of STEM graduates, and fostering entrepreneurial and transversal skills (Action 7). The EC has put forward a proposal for an “EU Council recommendation on vocational education and training,” which would address horizontal segregation and gender stereotypes.</w:t>
      </w:r>
    </w:p>
    <w:p w14:paraId="02DDD5C6" w14:textId="77777777" w:rsidR="005758B6" w:rsidRPr="00DB0C40" w:rsidRDefault="005758B6" w:rsidP="005758B6">
      <w:pPr>
        <w:rPr>
          <w:rFonts w:asciiTheme="minorHAnsi" w:eastAsiaTheme="minorHAnsi" w:hAnsiTheme="minorHAnsi" w:cstheme="minorHAnsi"/>
          <w:sz w:val="22"/>
          <w:szCs w:val="22"/>
        </w:rPr>
      </w:pPr>
    </w:p>
    <w:p w14:paraId="135ECDE5" w14:textId="77777777" w:rsidR="005758B6" w:rsidRPr="00DB0C40" w:rsidRDefault="005758B6" w:rsidP="005758B6">
      <w:pPr>
        <w:rPr>
          <w:rFonts w:asciiTheme="minorHAnsi" w:eastAsiaTheme="minorHAnsi" w:hAnsiTheme="minorHAnsi" w:cstheme="minorHAnsi"/>
          <w:sz w:val="22"/>
          <w:szCs w:val="22"/>
        </w:rPr>
      </w:pPr>
      <w:r w:rsidRPr="00DB0C40">
        <w:rPr>
          <w:rFonts w:asciiTheme="minorHAnsi" w:eastAsiaTheme="minorHAnsi" w:hAnsiTheme="minorHAnsi" w:cstheme="minorHAnsi"/>
          <w:sz w:val="22"/>
          <w:szCs w:val="22"/>
        </w:rPr>
        <w:t>Government policies can help to achieve a future of work that is more gender-equal and contributes to the economic empowerment of women by:</w:t>
      </w:r>
    </w:p>
    <w:p w14:paraId="370D902D" w14:textId="77777777" w:rsidR="005758B6" w:rsidRPr="00DB0C40" w:rsidRDefault="005758B6">
      <w:pPr>
        <w:numPr>
          <w:ilvl w:val="1"/>
          <w:numId w:val="23"/>
        </w:numPr>
        <w:spacing w:after="200"/>
        <w:contextualSpacing/>
        <w:rPr>
          <w:rFonts w:asciiTheme="minorHAnsi" w:hAnsiTheme="minorHAnsi" w:cstheme="minorHAnsi"/>
          <w:sz w:val="22"/>
          <w:szCs w:val="22"/>
        </w:rPr>
      </w:pPr>
      <w:r w:rsidRPr="00DB0C40">
        <w:rPr>
          <w:rFonts w:asciiTheme="minorHAnsi" w:hAnsiTheme="minorHAnsi" w:cstheme="minorHAnsi"/>
          <w:sz w:val="22"/>
          <w:szCs w:val="22"/>
        </w:rPr>
        <w:t>facilitating lifelong learning</w:t>
      </w:r>
    </w:p>
    <w:p w14:paraId="1E60F1DB" w14:textId="77777777" w:rsidR="005758B6" w:rsidRPr="00DB0C40" w:rsidRDefault="005758B6">
      <w:pPr>
        <w:numPr>
          <w:ilvl w:val="1"/>
          <w:numId w:val="23"/>
        </w:numPr>
        <w:spacing w:after="200"/>
        <w:contextualSpacing/>
        <w:rPr>
          <w:rFonts w:asciiTheme="minorHAnsi" w:hAnsiTheme="minorHAnsi" w:cstheme="minorHAnsi"/>
          <w:sz w:val="22"/>
          <w:szCs w:val="22"/>
        </w:rPr>
      </w:pPr>
      <w:r w:rsidRPr="00DB0C40">
        <w:rPr>
          <w:rFonts w:asciiTheme="minorHAnsi" w:hAnsiTheme="minorHAnsi" w:cstheme="minorHAnsi"/>
          <w:sz w:val="22"/>
          <w:szCs w:val="22"/>
        </w:rPr>
        <w:t>closing the gender-related digital divide</w:t>
      </w:r>
    </w:p>
    <w:p w14:paraId="082B1A6E" w14:textId="77777777" w:rsidR="005758B6" w:rsidRPr="00DB0C40" w:rsidRDefault="005758B6">
      <w:pPr>
        <w:numPr>
          <w:ilvl w:val="1"/>
          <w:numId w:val="23"/>
        </w:numPr>
        <w:spacing w:after="200"/>
        <w:contextualSpacing/>
        <w:rPr>
          <w:rFonts w:asciiTheme="minorHAnsi" w:hAnsiTheme="minorHAnsi" w:cstheme="minorHAnsi"/>
          <w:sz w:val="22"/>
          <w:szCs w:val="22"/>
        </w:rPr>
      </w:pPr>
      <w:r w:rsidRPr="00DB0C40">
        <w:rPr>
          <w:rFonts w:asciiTheme="minorHAnsi" w:hAnsiTheme="minorHAnsi" w:cstheme="minorHAnsi"/>
          <w:sz w:val="22"/>
          <w:szCs w:val="22"/>
        </w:rPr>
        <w:t>creating and protecting quality jobs in the care economy; and</w:t>
      </w:r>
    </w:p>
    <w:p w14:paraId="78A1A674" w14:textId="77777777" w:rsidR="005758B6" w:rsidRPr="00DB0C40" w:rsidRDefault="005758B6">
      <w:pPr>
        <w:numPr>
          <w:ilvl w:val="1"/>
          <w:numId w:val="23"/>
        </w:numPr>
        <w:spacing w:after="200"/>
        <w:contextualSpacing/>
        <w:rPr>
          <w:rFonts w:asciiTheme="minorHAnsi" w:hAnsiTheme="minorHAnsi" w:cstheme="minorHAnsi"/>
          <w:sz w:val="22"/>
          <w:szCs w:val="22"/>
        </w:rPr>
      </w:pPr>
      <w:r w:rsidRPr="00DB0C40">
        <w:rPr>
          <w:rFonts w:asciiTheme="minorHAnsi" w:hAnsiTheme="minorHAnsi" w:cstheme="minorHAnsi"/>
          <w:sz w:val="22"/>
          <w:szCs w:val="22"/>
        </w:rPr>
        <w:t>harnessing technology to promote decent care work.</w:t>
      </w:r>
    </w:p>
    <w:p w14:paraId="6C7BAEB1" w14:textId="77777777" w:rsidR="005758B6" w:rsidRPr="00DB0C40" w:rsidRDefault="005758B6" w:rsidP="005758B6">
      <w:pPr>
        <w:rPr>
          <w:rFonts w:asciiTheme="minorHAnsi" w:eastAsiaTheme="minorHAnsi" w:hAnsiTheme="minorHAnsi" w:cstheme="minorHAnsi"/>
        </w:rPr>
      </w:pPr>
    </w:p>
    <w:p w14:paraId="5FE9B48F" w14:textId="245ED37C" w:rsidR="005758B6" w:rsidRPr="00DB0C40" w:rsidRDefault="002E58DF" w:rsidP="005758B6">
      <w:pPr>
        <w:keepNext/>
        <w:keepLines/>
        <w:spacing w:before="40"/>
        <w:outlineLvl w:val="2"/>
        <w:rPr>
          <w:rFonts w:asciiTheme="majorHAnsi" w:eastAsiaTheme="majorEastAsia" w:hAnsiTheme="majorHAnsi" w:cstheme="majorBidi"/>
          <w:color w:val="1F3763" w:themeColor="accent1" w:themeShade="7F"/>
        </w:rPr>
      </w:pPr>
      <w:bookmarkStart w:id="59" w:name="_Toc92359079"/>
      <w:r w:rsidRPr="00DB0C40">
        <w:rPr>
          <w:rFonts w:asciiTheme="majorHAnsi" w:eastAsiaTheme="majorEastAsia" w:hAnsiTheme="majorHAnsi" w:cstheme="majorBidi"/>
          <w:color w:val="1F3763" w:themeColor="accent1" w:themeShade="7F"/>
        </w:rPr>
        <w:t>3.</w:t>
      </w:r>
      <w:r w:rsidR="00940930" w:rsidRPr="00DB0C40">
        <w:rPr>
          <w:rFonts w:asciiTheme="majorHAnsi" w:eastAsiaTheme="majorEastAsia" w:hAnsiTheme="majorHAnsi" w:cstheme="majorBidi"/>
          <w:color w:val="1F3763" w:themeColor="accent1" w:themeShade="7F"/>
        </w:rPr>
        <w:t>6</w:t>
      </w:r>
      <w:r w:rsidR="005758B6" w:rsidRPr="00DB0C40">
        <w:rPr>
          <w:rFonts w:asciiTheme="majorHAnsi" w:eastAsiaTheme="majorEastAsia" w:hAnsiTheme="majorHAnsi" w:cstheme="majorBidi"/>
          <w:color w:val="1F3763" w:themeColor="accent1" w:themeShade="7F"/>
        </w:rPr>
        <w:t xml:space="preserve">.2. </w:t>
      </w:r>
      <w:bookmarkStart w:id="60" w:name="_Hlk107136799"/>
      <w:r w:rsidR="005758B6" w:rsidRPr="00DB0C40">
        <w:rPr>
          <w:rFonts w:asciiTheme="majorHAnsi" w:eastAsiaTheme="majorEastAsia" w:hAnsiTheme="majorHAnsi" w:cstheme="majorBidi"/>
          <w:color w:val="1F3763" w:themeColor="accent1" w:themeShade="7F"/>
        </w:rPr>
        <w:t>Some examples of national legal framework in European countries (Belgium and Denmark</w:t>
      </w:r>
      <w:bookmarkEnd w:id="60"/>
      <w:r w:rsidR="005758B6" w:rsidRPr="00DB0C40">
        <w:rPr>
          <w:rFonts w:asciiTheme="majorHAnsi" w:eastAsiaTheme="majorEastAsia" w:hAnsiTheme="majorHAnsi" w:cstheme="majorBidi"/>
          <w:color w:val="1F3763" w:themeColor="accent1" w:themeShade="7F"/>
        </w:rPr>
        <w:t>)</w:t>
      </w:r>
      <w:r w:rsidR="005758B6" w:rsidRPr="00DB0C40">
        <w:rPr>
          <w:rFonts w:ascii="TimesNewRomanPS" w:eastAsiaTheme="majorEastAsia" w:hAnsi="TimesNewRomanPS" w:cstheme="minorHAnsi"/>
          <w:b/>
          <w:bCs/>
          <w:color w:val="1F3763" w:themeColor="accent1" w:themeShade="7F"/>
          <w:position w:val="6"/>
          <w:sz w:val="16"/>
          <w:szCs w:val="22"/>
        </w:rPr>
        <w:footnoteReference w:id="21"/>
      </w:r>
      <w:bookmarkEnd w:id="59"/>
    </w:p>
    <w:p w14:paraId="23C0C052" w14:textId="77777777" w:rsidR="005758B6" w:rsidRPr="00DB0C40" w:rsidRDefault="005758B6" w:rsidP="005758B6">
      <w:pPr>
        <w:rPr>
          <w:rFonts w:asciiTheme="minorHAnsi" w:eastAsiaTheme="minorHAnsi" w:hAnsiTheme="minorHAnsi" w:cstheme="minorHAnsi"/>
          <w:sz w:val="22"/>
          <w:szCs w:val="22"/>
        </w:rPr>
      </w:pPr>
    </w:p>
    <w:p w14:paraId="349ED29F" w14:textId="77777777" w:rsidR="005758B6" w:rsidRPr="00DB0C40" w:rsidRDefault="005758B6" w:rsidP="005758B6">
      <w:pPr>
        <w:pBdr>
          <w:top w:val="single" w:sz="4" w:space="1" w:color="auto"/>
          <w:left w:val="single" w:sz="4" w:space="4" w:color="auto"/>
          <w:bottom w:val="single" w:sz="4" w:space="1" w:color="auto"/>
          <w:right w:val="single" w:sz="4" w:space="4" w:color="auto"/>
        </w:pBdr>
        <w:rPr>
          <w:rFonts w:asciiTheme="minorHAnsi" w:eastAsiaTheme="minorHAnsi" w:hAnsiTheme="minorHAnsi" w:cstheme="minorHAnsi"/>
          <w:b/>
          <w:bCs/>
          <w:sz w:val="22"/>
          <w:szCs w:val="22"/>
        </w:rPr>
      </w:pPr>
      <w:r w:rsidRPr="00DB0C40">
        <w:rPr>
          <w:rFonts w:asciiTheme="minorHAnsi" w:eastAsiaTheme="minorHAnsi" w:hAnsiTheme="minorHAnsi" w:cstheme="minorHAnsi"/>
          <w:b/>
          <w:bCs/>
          <w:sz w:val="22"/>
          <w:szCs w:val="22"/>
        </w:rPr>
        <w:t xml:space="preserve">Breaking down occupational segregation in the care workforce (Belgium)       </w:t>
      </w:r>
    </w:p>
    <w:p w14:paraId="4C02E684" w14:textId="77777777" w:rsidR="005758B6" w:rsidRPr="00DB0C40" w:rsidRDefault="005758B6" w:rsidP="005758B6">
      <w:pPr>
        <w:pBdr>
          <w:top w:val="single" w:sz="4" w:space="1" w:color="auto"/>
          <w:left w:val="single" w:sz="4" w:space="4" w:color="auto"/>
          <w:bottom w:val="single" w:sz="4" w:space="1" w:color="auto"/>
          <w:right w:val="single" w:sz="4" w:space="4" w:color="auto"/>
        </w:pBdr>
        <w:rPr>
          <w:rFonts w:asciiTheme="minorHAnsi" w:eastAsiaTheme="minorHAnsi" w:hAnsiTheme="minorHAnsi" w:cstheme="minorHAnsi"/>
          <w:sz w:val="22"/>
          <w:szCs w:val="22"/>
        </w:rPr>
      </w:pPr>
    </w:p>
    <w:p w14:paraId="26523E1B" w14:textId="77777777" w:rsidR="005758B6" w:rsidRPr="00DB0C40" w:rsidRDefault="005758B6" w:rsidP="005758B6">
      <w:pPr>
        <w:pBdr>
          <w:top w:val="single" w:sz="4" w:space="1" w:color="auto"/>
          <w:left w:val="single" w:sz="4" w:space="4" w:color="auto"/>
          <w:bottom w:val="single" w:sz="4" w:space="1" w:color="auto"/>
          <w:right w:val="single" w:sz="4" w:space="4" w:color="auto"/>
        </w:pBdr>
        <w:jc w:val="both"/>
        <w:rPr>
          <w:rFonts w:asciiTheme="minorHAnsi" w:eastAsiaTheme="minorHAnsi" w:hAnsiTheme="minorHAnsi" w:cstheme="minorHAnsi"/>
          <w:sz w:val="22"/>
          <w:szCs w:val="22"/>
        </w:rPr>
      </w:pPr>
      <w:r w:rsidRPr="00DB0C40">
        <w:rPr>
          <w:rFonts w:asciiTheme="minorHAnsi" w:eastAsiaTheme="minorHAnsi" w:hAnsiTheme="minorHAnsi" w:cstheme="minorHAnsi"/>
          <w:sz w:val="22"/>
          <w:szCs w:val="22"/>
        </w:rPr>
        <w:t>The European Social Fund sponsored a project entitled “Men into Childcare” (2001-2003), to increase the proportion of men working in ECCE, as part of a broader ten-year plan initiated by the European Commission Network on Childcare.48 The objective was to increase gender-neutral professionalism in the childcare sector so as to decrease gender-related bias and social expectations.49 One significant outcome of this project was the shift to a gender- neutral, less emotional term for the members of the profession: “Kinderbegeleiter”, meaning “companions of children”.</w:t>
      </w:r>
    </w:p>
    <w:p w14:paraId="3C2557B8" w14:textId="77777777" w:rsidR="005758B6" w:rsidRPr="00DB0C40" w:rsidRDefault="005758B6" w:rsidP="005758B6">
      <w:pPr>
        <w:pBdr>
          <w:top w:val="single" w:sz="4" w:space="1" w:color="auto"/>
          <w:left w:val="single" w:sz="4" w:space="4" w:color="auto"/>
          <w:bottom w:val="single" w:sz="4" w:space="1" w:color="auto"/>
          <w:right w:val="single" w:sz="4" w:space="4" w:color="auto"/>
        </w:pBdr>
        <w:jc w:val="both"/>
        <w:rPr>
          <w:rFonts w:asciiTheme="minorHAnsi" w:eastAsiaTheme="minorHAnsi" w:hAnsiTheme="minorHAnsi" w:cstheme="minorHAnsi"/>
          <w:sz w:val="22"/>
          <w:szCs w:val="22"/>
        </w:rPr>
      </w:pPr>
      <w:r w:rsidRPr="00DB0C40">
        <w:rPr>
          <w:rFonts w:asciiTheme="minorHAnsi" w:eastAsiaTheme="minorHAnsi" w:hAnsiTheme="minorHAnsi" w:cstheme="minorHAnsi"/>
          <w:sz w:val="22"/>
          <w:szCs w:val="22"/>
        </w:rPr>
        <w:t>In 2002, the Government of the Flanders region of Belgium mandated a more diverse hiring protocol, emphasizing the need for gender and ethnic diversity in hiring. The training was reformed to be more inclusive of men, and the salaries of all employees in day-care centres were increased. To encourage men to work in childcare, the Government of Flanders also sponsored media campaigns and distributed marketing materials. Although the proportion of men working in ECCE in Flanders rose from 0.9 per cent in 2002 to 3.4 per cent in 2010, the EC’s goal of having 20 per cent male representation in this sector was not achieved.</w:t>
      </w:r>
    </w:p>
    <w:p w14:paraId="7FA2F360" w14:textId="77777777" w:rsidR="005758B6" w:rsidRPr="00DB0C40" w:rsidRDefault="005758B6" w:rsidP="005758B6">
      <w:pPr>
        <w:pBdr>
          <w:top w:val="single" w:sz="4" w:space="1" w:color="auto"/>
          <w:left w:val="single" w:sz="4" w:space="4" w:color="auto"/>
          <w:bottom w:val="single" w:sz="4" w:space="1" w:color="auto"/>
          <w:right w:val="single" w:sz="4" w:space="4" w:color="auto"/>
        </w:pBdr>
        <w:jc w:val="both"/>
        <w:rPr>
          <w:rFonts w:asciiTheme="minorHAnsi" w:eastAsiaTheme="minorHAnsi" w:hAnsiTheme="minorHAnsi" w:cstheme="minorHAnsi"/>
          <w:sz w:val="22"/>
          <w:szCs w:val="22"/>
        </w:rPr>
      </w:pPr>
      <w:r w:rsidRPr="00DB0C40">
        <w:rPr>
          <w:rFonts w:asciiTheme="minorHAnsi" w:eastAsiaTheme="minorHAnsi" w:hAnsiTheme="minorHAnsi" w:cstheme="minorHAnsi"/>
          <w:sz w:val="22"/>
          <w:szCs w:val="22"/>
        </w:rPr>
        <w:t>In 2012, the Government adopted a new Childcare Law, which established minimum qualifications for working in ECCE, thus creating new skills development opportunities.</w:t>
      </w:r>
    </w:p>
    <w:p w14:paraId="295F994C" w14:textId="77777777" w:rsidR="005758B6" w:rsidRPr="00DB0C40" w:rsidRDefault="005758B6" w:rsidP="005758B6">
      <w:pPr>
        <w:rPr>
          <w:rFonts w:asciiTheme="minorHAnsi" w:eastAsiaTheme="minorHAnsi" w:hAnsiTheme="minorHAnsi" w:cstheme="minorHAnsi"/>
          <w:sz w:val="22"/>
          <w:szCs w:val="22"/>
        </w:rPr>
      </w:pPr>
    </w:p>
    <w:p w14:paraId="5388AFFB" w14:textId="77777777" w:rsidR="005758B6" w:rsidRPr="00DB0C40" w:rsidRDefault="005758B6" w:rsidP="005758B6">
      <w:pPr>
        <w:rPr>
          <w:rFonts w:asciiTheme="minorHAnsi" w:eastAsiaTheme="minorHAnsi" w:hAnsiTheme="minorHAnsi" w:cstheme="minorHAnsi"/>
          <w:sz w:val="22"/>
          <w:szCs w:val="22"/>
        </w:rPr>
      </w:pPr>
    </w:p>
    <w:p w14:paraId="3DD412F1" w14:textId="77777777" w:rsidR="005758B6" w:rsidRPr="00DB0C40" w:rsidRDefault="005758B6" w:rsidP="005758B6">
      <w:pPr>
        <w:rPr>
          <w:rFonts w:asciiTheme="minorHAnsi" w:eastAsiaTheme="minorHAnsi" w:hAnsiTheme="minorHAnsi" w:cstheme="minorHAnsi"/>
          <w:sz w:val="22"/>
          <w:szCs w:val="22"/>
        </w:rPr>
      </w:pPr>
    </w:p>
    <w:p w14:paraId="52FD0482" w14:textId="77777777" w:rsidR="005758B6" w:rsidRPr="00DB0C40" w:rsidRDefault="005758B6" w:rsidP="005758B6">
      <w:pPr>
        <w:rPr>
          <w:rFonts w:asciiTheme="minorHAnsi" w:eastAsiaTheme="minorHAnsi" w:hAnsiTheme="minorHAnsi" w:cstheme="minorHAnsi"/>
          <w:b/>
          <w:bCs/>
          <w:sz w:val="22"/>
          <w:szCs w:val="22"/>
        </w:rPr>
      </w:pPr>
      <w:r w:rsidRPr="00DB0C40">
        <w:rPr>
          <w:rFonts w:asciiTheme="minorHAnsi" w:eastAsiaTheme="minorHAnsi" w:hAnsiTheme="minorHAnsi" w:cstheme="minorHAnsi"/>
          <w:b/>
          <w:bCs/>
          <w:sz w:val="22"/>
          <w:szCs w:val="22"/>
        </w:rPr>
        <w:t>Supporting lifelong learning (Denmark)</w:t>
      </w:r>
      <w:r w:rsidRPr="00DB0C40">
        <w:rPr>
          <w:rFonts w:asciiTheme="minorHAnsi" w:eastAsiaTheme="minorHAnsi" w:hAnsiTheme="minorHAnsi" w:cstheme="minorHAnsi"/>
          <w:b/>
          <w:bCs/>
          <w:sz w:val="22"/>
          <w:szCs w:val="22"/>
        </w:rPr>
        <w:tab/>
      </w:r>
    </w:p>
    <w:p w14:paraId="4FA2BE6D" w14:textId="77777777" w:rsidR="005758B6" w:rsidRPr="00DB0C40" w:rsidRDefault="005758B6" w:rsidP="005758B6">
      <w:pPr>
        <w:pBdr>
          <w:top w:val="single" w:sz="4" w:space="1" w:color="auto"/>
          <w:left w:val="single" w:sz="4" w:space="4" w:color="auto"/>
          <w:bottom w:val="single" w:sz="4" w:space="1" w:color="auto"/>
          <w:right w:val="single" w:sz="4" w:space="4" w:color="auto"/>
        </w:pBdr>
        <w:rPr>
          <w:rFonts w:asciiTheme="minorHAnsi" w:eastAsiaTheme="minorHAnsi" w:hAnsiTheme="minorHAnsi" w:cstheme="minorHAnsi"/>
          <w:sz w:val="22"/>
          <w:szCs w:val="22"/>
        </w:rPr>
      </w:pPr>
    </w:p>
    <w:p w14:paraId="31703537" w14:textId="77777777" w:rsidR="005758B6" w:rsidRPr="00DB0C40" w:rsidRDefault="005758B6" w:rsidP="005758B6">
      <w:pPr>
        <w:pBdr>
          <w:top w:val="single" w:sz="4" w:space="1" w:color="auto"/>
          <w:left w:val="single" w:sz="4" w:space="4" w:color="auto"/>
          <w:bottom w:val="single" w:sz="4" w:space="1" w:color="auto"/>
          <w:right w:val="single" w:sz="4" w:space="4" w:color="auto"/>
        </w:pBdr>
        <w:jc w:val="both"/>
        <w:rPr>
          <w:rFonts w:asciiTheme="minorHAnsi" w:eastAsiaTheme="minorHAnsi" w:hAnsiTheme="minorHAnsi" w:cstheme="minorHAnsi"/>
          <w:sz w:val="22"/>
          <w:szCs w:val="22"/>
        </w:rPr>
      </w:pPr>
      <w:r w:rsidRPr="00DB0C40">
        <w:rPr>
          <w:rFonts w:asciiTheme="minorHAnsi" w:eastAsiaTheme="minorHAnsi" w:hAnsiTheme="minorHAnsi" w:cstheme="minorHAnsi"/>
          <w:sz w:val="22"/>
          <w:szCs w:val="22"/>
        </w:rPr>
        <w:t>The Government’s lifelong learning policy provides adult education in a variety of formats, from informal learning programmes, e-learning and vocational training to formal programmes delivered in adult education centres. The programme is overseen by five government ministries, and performed in partnership with municipalities, non-profit organisations, research centres and social partners.</w:t>
      </w:r>
    </w:p>
    <w:p w14:paraId="38B63BC0" w14:textId="77777777" w:rsidR="005758B6" w:rsidRPr="00DB0C40" w:rsidRDefault="005758B6" w:rsidP="005758B6">
      <w:pPr>
        <w:pBdr>
          <w:top w:val="single" w:sz="4" w:space="1" w:color="auto"/>
          <w:left w:val="single" w:sz="4" w:space="4" w:color="auto"/>
          <w:bottom w:val="single" w:sz="4" w:space="1" w:color="auto"/>
          <w:right w:val="single" w:sz="4" w:space="4" w:color="auto"/>
        </w:pBdr>
        <w:jc w:val="both"/>
        <w:rPr>
          <w:rFonts w:asciiTheme="minorHAnsi" w:eastAsiaTheme="minorHAnsi" w:hAnsiTheme="minorHAnsi" w:cstheme="minorHAnsi"/>
          <w:sz w:val="22"/>
          <w:szCs w:val="22"/>
        </w:rPr>
      </w:pPr>
      <w:r w:rsidRPr="00DB0C40">
        <w:rPr>
          <w:rFonts w:asciiTheme="minorHAnsi" w:eastAsiaTheme="minorHAnsi" w:hAnsiTheme="minorHAnsi" w:cstheme="minorHAnsi"/>
          <w:sz w:val="22"/>
          <w:szCs w:val="22"/>
        </w:rPr>
        <w:t xml:space="preserve">Adult vocational training programmes target both low-skilled and skilled workers, to enable them to maintain their skill levels, up-skill, and acquire new skills as required by the labour market. Some 3,000 adult vocational programmes on two hundred different subjects are on offer, ranging in duration from </w:t>
      </w:r>
      <w:r w:rsidRPr="00DB0C40">
        <w:rPr>
          <w:rFonts w:asciiTheme="minorHAnsi" w:eastAsiaTheme="minorHAnsi" w:hAnsiTheme="minorHAnsi" w:cstheme="minorHAnsi"/>
          <w:sz w:val="22"/>
          <w:szCs w:val="22"/>
        </w:rPr>
        <w:lastRenderedPageBreak/>
        <w:t xml:space="preserve">half a day to six weeks. All adult vocational programmes are publicly financed, developed by social partners, and approved by the Ministry of Education. Participants who are in employment may have to pay modest user fees, which are typically reimbursed by their employers, while the unemployed are exempted. Providers of the training programmes are required to measure and publicly report the satisfaction rates of participants, which serves to maintain ambitious standards. </w:t>
      </w:r>
    </w:p>
    <w:p w14:paraId="421EF424" w14:textId="77777777" w:rsidR="005758B6" w:rsidRPr="00DB0C40" w:rsidRDefault="005758B6" w:rsidP="005758B6">
      <w:pPr>
        <w:pBdr>
          <w:top w:val="single" w:sz="4" w:space="1" w:color="auto"/>
          <w:left w:val="single" w:sz="4" w:space="4" w:color="auto"/>
          <w:bottom w:val="single" w:sz="4" w:space="1" w:color="auto"/>
          <w:right w:val="single" w:sz="4" w:space="4" w:color="auto"/>
        </w:pBdr>
        <w:jc w:val="both"/>
        <w:rPr>
          <w:rFonts w:asciiTheme="minorHAnsi" w:eastAsiaTheme="minorHAnsi" w:hAnsiTheme="minorHAnsi" w:cstheme="minorHAnsi"/>
          <w:sz w:val="22"/>
          <w:szCs w:val="22"/>
        </w:rPr>
      </w:pPr>
      <w:r w:rsidRPr="00DB0C40">
        <w:rPr>
          <w:rFonts w:asciiTheme="minorHAnsi" w:eastAsiaTheme="minorHAnsi" w:hAnsiTheme="minorHAnsi" w:cstheme="minorHAnsi"/>
          <w:sz w:val="22"/>
          <w:szCs w:val="22"/>
        </w:rPr>
        <w:t>The lifelong learning opportunities provided by the general adult education programme are taken up by 90,000 adults each year, with numbers having increased in recent years. Non-formal education programmes attract 700,000 participants annually.</w:t>
      </w:r>
    </w:p>
    <w:p w14:paraId="3888D62E" w14:textId="77777777" w:rsidR="005758B6" w:rsidRPr="00DB0C40" w:rsidRDefault="005758B6" w:rsidP="005758B6">
      <w:pPr>
        <w:rPr>
          <w:rFonts w:asciiTheme="minorHAnsi" w:eastAsiaTheme="minorHAnsi" w:hAnsiTheme="minorHAnsi" w:cstheme="minorHAnsi"/>
          <w:sz w:val="22"/>
          <w:szCs w:val="22"/>
        </w:rPr>
      </w:pPr>
    </w:p>
    <w:p w14:paraId="0757523D" w14:textId="77777777" w:rsidR="00940930" w:rsidRPr="00DB0C40" w:rsidRDefault="00940930" w:rsidP="00940930">
      <w:pPr>
        <w:keepNext/>
        <w:keepLines/>
        <w:pBdr>
          <w:top w:val="nil"/>
          <w:left w:val="nil"/>
          <w:bottom w:val="nil"/>
          <w:right w:val="nil"/>
          <w:between w:val="nil"/>
        </w:pBdr>
        <w:spacing w:after="120"/>
        <w:rPr>
          <w:rFonts w:asciiTheme="minorHAnsi" w:eastAsiaTheme="minorHAnsi" w:hAnsiTheme="minorHAnsi" w:cstheme="minorHAnsi"/>
          <w:sz w:val="22"/>
          <w:szCs w:val="22"/>
        </w:rPr>
      </w:pPr>
      <w:bookmarkStart w:id="62" w:name="_heading=h.2et92p0" w:colFirst="0" w:colLast="0"/>
      <w:bookmarkEnd w:id="62"/>
    </w:p>
    <w:p w14:paraId="28299CAF" w14:textId="0A11AB61" w:rsidR="00BB44E1" w:rsidRPr="00CD2A61" w:rsidRDefault="00230B49">
      <w:pPr>
        <w:pStyle w:val="ListParagraph"/>
        <w:keepNext/>
        <w:keepLines/>
        <w:numPr>
          <w:ilvl w:val="1"/>
          <w:numId w:val="45"/>
        </w:numPr>
        <w:pBdr>
          <w:top w:val="nil"/>
          <w:left w:val="nil"/>
          <w:bottom w:val="nil"/>
          <w:right w:val="nil"/>
          <w:between w:val="nil"/>
        </w:pBdr>
        <w:spacing w:after="120"/>
        <w:rPr>
          <w:rFonts w:asciiTheme="majorHAnsi" w:eastAsiaTheme="majorEastAsia" w:hAnsiTheme="majorHAnsi" w:cstheme="majorBidi"/>
          <w:color w:val="1F3763" w:themeColor="accent1" w:themeShade="7F"/>
        </w:rPr>
      </w:pPr>
      <w:r w:rsidRPr="00CD2A61">
        <w:rPr>
          <w:rFonts w:asciiTheme="majorHAnsi" w:eastAsiaTheme="majorEastAsia" w:hAnsiTheme="majorHAnsi" w:cstheme="majorBidi"/>
          <w:color w:val="1F3763" w:themeColor="accent1" w:themeShade="7F"/>
        </w:rPr>
        <w:t xml:space="preserve">REVIEW OF NATIONAL LEGISLATION IN </w:t>
      </w:r>
      <w:r w:rsidR="00AC20EA">
        <w:rPr>
          <w:rFonts w:asciiTheme="majorHAnsi" w:eastAsiaTheme="majorEastAsia" w:hAnsiTheme="majorHAnsi" w:cstheme="majorBidi"/>
          <w:color w:val="1F3763" w:themeColor="accent1" w:themeShade="7F"/>
        </w:rPr>
        <w:t>TÜRKIYE</w:t>
      </w:r>
      <w:r w:rsidRPr="00CD2A61">
        <w:rPr>
          <w:rFonts w:asciiTheme="majorHAnsi" w:eastAsiaTheme="majorEastAsia" w:hAnsiTheme="majorHAnsi" w:cstheme="majorBidi"/>
          <w:color w:val="1F3763" w:themeColor="accent1" w:themeShade="7F"/>
        </w:rPr>
        <w:t xml:space="preserve"> IN TERMS OF WOMEN’S EMPLOYMENT</w:t>
      </w:r>
    </w:p>
    <w:p w14:paraId="399A1B47" w14:textId="77777777" w:rsidR="002E58DF" w:rsidRPr="00DB0C40" w:rsidRDefault="002E58DF" w:rsidP="002E58DF">
      <w:pPr>
        <w:pStyle w:val="ListParagraph"/>
        <w:keepNext/>
        <w:keepLines/>
        <w:pBdr>
          <w:top w:val="nil"/>
          <w:left w:val="nil"/>
          <w:bottom w:val="nil"/>
          <w:right w:val="nil"/>
          <w:between w:val="nil"/>
        </w:pBdr>
        <w:spacing w:after="120"/>
        <w:ind w:left="450"/>
        <w:rPr>
          <w:b/>
          <w:color w:val="000000"/>
          <w:sz w:val="22"/>
          <w:szCs w:val="22"/>
        </w:rPr>
      </w:pPr>
    </w:p>
    <w:p w14:paraId="5F6CB8BE" w14:textId="56E52D7C" w:rsidR="00BB44E1" w:rsidRPr="00DB0C40" w:rsidRDefault="00230B49">
      <w:pPr>
        <w:jc w:val="both"/>
        <w:rPr>
          <w:color w:val="211D1E"/>
          <w:sz w:val="22"/>
          <w:szCs w:val="22"/>
        </w:rPr>
      </w:pPr>
      <w:r w:rsidRPr="00DB0C40">
        <w:rPr>
          <w:color w:val="211D1E"/>
          <w:sz w:val="22"/>
          <w:szCs w:val="22"/>
        </w:rPr>
        <w:t xml:space="preserve">This Review is included in the Desk Research Report made on Int. 11. The goal of increasing women's employment is considered in all </w:t>
      </w:r>
      <w:r w:rsidR="00AC20EA">
        <w:rPr>
          <w:color w:val="211D1E"/>
          <w:sz w:val="22"/>
          <w:szCs w:val="22"/>
        </w:rPr>
        <w:t>Türkiye</w:t>
      </w:r>
      <w:r w:rsidRPr="00DB0C40">
        <w:rPr>
          <w:color w:val="211D1E"/>
          <w:sz w:val="22"/>
          <w:szCs w:val="22"/>
        </w:rPr>
        <w:t xml:space="preserve"> Development Plans (particularly in 10</w:t>
      </w:r>
      <w:r w:rsidRPr="00DB0C40">
        <w:rPr>
          <w:color w:val="211D1E"/>
          <w:sz w:val="22"/>
          <w:szCs w:val="22"/>
          <w:vertAlign w:val="superscript"/>
        </w:rPr>
        <w:t>th</w:t>
      </w:r>
      <w:r w:rsidRPr="00DB0C40">
        <w:rPr>
          <w:color w:val="211D1E"/>
          <w:sz w:val="22"/>
          <w:szCs w:val="22"/>
        </w:rPr>
        <w:t xml:space="preserve"> Development Plan 2014 – 2018 and 11</w:t>
      </w:r>
      <w:r w:rsidRPr="00DB0C40">
        <w:rPr>
          <w:color w:val="211D1E"/>
          <w:sz w:val="22"/>
          <w:szCs w:val="22"/>
          <w:vertAlign w:val="superscript"/>
        </w:rPr>
        <w:t>th</w:t>
      </w:r>
      <w:r w:rsidRPr="00DB0C40">
        <w:rPr>
          <w:color w:val="211D1E"/>
          <w:sz w:val="22"/>
          <w:szCs w:val="22"/>
        </w:rPr>
        <w:t xml:space="preserve"> Development Plan 2019 – 2023), National Employment Strategies and National Plans for gender equality. At the same time, in the negotiations in the EU membership process, the female employment rate is constantly emphasised as one of the macro indicators that </w:t>
      </w:r>
      <w:r w:rsidR="00AC20EA">
        <w:rPr>
          <w:color w:val="211D1E"/>
          <w:sz w:val="22"/>
          <w:szCs w:val="22"/>
        </w:rPr>
        <w:t>Türkiye</w:t>
      </w:r>
      <w:r w:rsidRPr="00DB0C40">
        <w:rPr>
          <w:color w:val="211D1E"/>
          <w:sz w:val="22"/>
          <w:szCs w:val="22"/>
        </w:rPr>
        <w:t xml:space="preserve"> should make progress on. In this context, there have been considerable legislative amendments and also some regulations were introduced in </w:t>
      </w:r>
      <w:r w:rsidR="00AC20EA">
        <w:rPr>
          <w:color w:val="211D1E"/>
          <w:sz w:val="22"/>
          <w:szCs w:val="22"/>
        </w:rPr>
        <w:t>Türkiye</w:t>
      </w:r>
      <w:r w:rsidRPr="00DB0C40">
        <w:rPr>
          <w:color w:val="211D1E"/>
          <w:sz w:val="22"/>
          <w:szCs w:val="22"/>
        </w:rPr>
        <w:t xml:space="preserve"> in the last two decades which should be analysed in terms of their impact on women’s employment.</w:t>
      </w:r>
    </w:p>
    <w:p w14:paraId="68F842B0" w14:textId="77777777" w:rsidR="00BB44E1" w:rsidRPr="00DB0C40" w:rsidRDefault="00BB44E1">
      <w:pPr>
        <w:jc w:val="both"/>
        <w:rPr>
          <w:color w:val="211D1E"/>
          <w:sz w:val="22"/>
          <w:szCs w:val="22"/>
        </w:rPr>
      </w:pPr>
    </w:p>
    <w:p w14:paraId="172348D6" w14:textId="77777777" w:rsidR="00BB44E1" w:rsidRPr="00DB0C40" w:rsidRDefault="00230B49">
      <w:pPr>
        <w:jc w:val="both"/>
        <w:rPr>
          <w:color w:val="211D1E"/>
          <w:sz w:val="22"/>
          <w:szCs w:val="22"/>
        </w:rPr>
      </w:pPr>
      <w:r w:rsidRPr="00DB0C40">
        <w:rPr>
          <w:color w:val="211D1E"/>
          <w:sz w:val="22"/>
          <w:szCs w:val="22"/>
        </w:rPr>
        <w:t>Particularly on gender equality at work as it is also suggested in the Technical Proposal, the review on national legislation will include a desk study on the Constitution, The Civil Code No. 4721, Debts Law No. 6098, Labour Law No. 4857, Law No. 5510, Law No 657, Criminal Law No. 5237, Municipality Law No. 5393, Law No. 6284, Law No. 4447; relevant regulations such as Regulation on Minimum Wage, Regulation on Working Conditions of Pregnant and Breastfeeding Women and Breastfeeding Rooms and Childcare Dormitories, Regulation on Working Conditions of Women Employees in Night Shifts, Implementing Regulation on Part-time Work after Maternity Leave or Unpaid Leave, and Regulation on Dangerous and Very Dangerous Jobs.</w:t>
      </w:r>
    </w:p>
    <w:p w14:paraId="3FADE6A0" w14:textId="77777777" w:rsidR="00BB44E1" w:rsidRPr="00DB0C40" w:rsidRDefault="00BB44E1">
      <w:pPr>
        <w:jc w:val="both"/>
        <w:rPr>
          <w:color w:val="211D1E"/>
          <w:sz w:val="22"/>
          <w:szCs w:val="22"/>
        </w:rPr>
      </w:pPr>
    </w:p>
    <w:p w14:paraId="0D755A66" w14:textId="72C2BDFD" w:rsidR="00BB44E1" w:rsidRPr="00DB0C40" w:rsidRDefault="00230B49">
      <w:pPr>
        <w:jc w:val="both"/>
        <w:rPr>
          <w:color w:val="211D1E"/>
          <w:sz w:val="22"/>
          <w:szCs w:val="22"/>
        </w:rPr>
      </w:pPr>
      <w:r w:rsidRPr="00DB0C40">
        <w:rPr>
          <w:color w:val="211D1E"/>
          <w:sz w:val="22"/>
          <w:szCs w:val="22"/>
        </w:rPr>
        <w:t>In the below table, the most fundamental legislative changes considered in this desk research report are listed with a brief note on their scope.</w:t>
      </w:r>
    </w:p>
    <w:p w14:paraId="33FF778A" w14:textId="6A99C0DF" w:rsidR="00940930" w:rsidRPr="00DB0C40" w:rsidRDefault="00940930">
      <w:pPr>
        <w:jc w:val="both"/>
        <w:rPr>
          <w:color w:val="211D1E"/>
          <w:sz w:val="22"/>
          <w:szCs w:val="22"/>
        </w:rPr>
      </w:pPr>
    </w:p>
    <w:p w14:paraId="27891FC0" w14:textId="20F16BCD" w:rsidR="00940930" w:rsidRPr="00DB0C40" w:rsidRDefault="00940930" w:rsidP="00940930">
      <w:pPr>
        <w:jc w:val="center"/>
        <w:rPr>
          <w:b/>
          <w:bCs/>
          <w:color w:val="211D1E"/>
          <w:sz w:val="22"/>
          <w:szCs w:val="22"/>
        </w:rPr>
      </w:pPr>
      <w:bookmarkStart w:id="63" w:name="_Hlk107136969"/>
      <w:r w:rsidRPr="00DB0C40">
        <w:rPr>
          <w:b/>
          <w:bCs/>
          <w:color w:val="211D1E"/>
          <w:sz w:val="22"/>
          <w:szCs w:val="22"/>
        </w:rPr>
        <w:t xml:space="preserve">Table 2. Laws and Regulations in </w:t>
      </w:r>
      <w:r w:rsidR="00AC20EA">
        <w:rPr>
          <w:b/>
          <w:bCs/>
          <w:color w:val="211D1E"/>
          <w:sz w:val="22"/>
          <w:szCs w:val="22"/>
        </w:rPr>
        <w:t>Türkiye</w:t>
      </w:r>
    </w:p>
    <w:bookmarkEnd w:id="63"/>
    <w:p w14:paraId="6A19BF76" w14:textId="77777777" w:rsidR="00BB44E1" w:rsidRPr="00DB0C40" w:rsidRDefault="00BB44E1">
      <w:pPr>
        <w:jc w:val="both"/>
        <w:rPr>
          <w:color w:val="211D1E"/>
          <w:sz w:val="22"/>
          <w:szCs w:val="22"/>
        </w:rPr>
      </w:pPr>
    </w:p>
    <w:tbl>
      <w:tblPr>
        <w:tblStyle w:val="a1"/>
        <w:tblW w:w="9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7"/>
        <w:gridCol w:w="2997"/>
        <w:gridCol w:w="3006"/>
      </w:tblGrid>
      <w:tr w:rsidR="00BB44E1" w:rsidRPr="00DB0C40" w14:paraId="438584FE" w14:textId="77777777" w:rsidTr="003F7BB3">
        <w:tc>
          <w:tcPr>
            <w:tcW w:w="3007" w:type="dxa"/>
            <w:shd w:val="clear" w:color="auto" w:fill="D9E2F3" w:themeFill="accent1" w:themeFillTint="33"/>
          </w:tcPr>
          <w:p w14:paraId="78D30BD9" w14:textId="77777777" w:rsidR="00BB44E1" w:rsidRPr="00DB0C40" w:rsidRDefault="00230B49">
            <w:pPr>
              <w:jc w:val="both"/>
              <w:rPr>
                <w:b/>
              </w:rPr>
            </w:pPr>
            <w:r w:rsidRPr="00DB0C40">
              <w:rPr>
                <w:b/>
              </w:rPr>
              <w:t>Related Laws and Regulations</w:t>
            </w:r>
          </w:p>
        </w:tc>
        <w:tc>
          <w:tcPr>
            <w:tcW w:w="2997" w:type="dxa"/>
            <w:shd w:val="clear" w:color="auto" w:fill="D9E2F3" w:themeFill="accent1" w:themeFillTint="33"/>
          </w:tcPr>
          <w:p w14:paraId="537A78F2" w14:textId="77777777" w:rsidR="00BB44E1" w:rsidRPr="00DB0C40" w:rsidRDefault="00230B49">
            <w:pPr>
              <w:jc w:val="both"/>
              <w:rPr>
                <w:b/>
              </w:rPr>
            </w:pPr>
            <w:r w:rsidRPr="00DB0C40">
              <w:rPr>
                <w:b/>
              </w:rPr>
              <w:t>Article</w:t>
            </w:r>
          </w:p>
        </w:tc>
        <w:tc>
          <w:tcPr>
            <w:tcW w:w="3006" w:type="dxa"/>
            <w:shd w:val="clear" w:color="auto" w:fill="D9E2F3" w:themeFill="accent1" w:themeFillTint="33"/>
          </w:tcPr>
          <w:p w14:paraId="1C7EB229" w14:textId="77777777" w:rsidR="00BB44E1" w:rsidRPr="00DB0C40" w:rsidRDefault="00230B49">
            <w:pPr>
              <w:jc w:val="both"/>
              <w:rPr>
                <w:b/>
              </w:rPr>
            </w:pPr>
            <w:r w:rsidRPr="00DB0C40">
              <w:rPr>
                <w:b/>
              </w:rPr>
              <w:t>Scope</w:t>
            </w:r>
          </w:p>
        </w:tc>
      </w:tr>
      <w:tr w:rsidR="00BB44E1" w:rsidRPr="00DB0C40" w14:paraId="4325692C" w14:textId="77777777" w:rsidTr="003F7BB3">
        <w:tc>
          <w:tcPr>
            <w:tcW w:w="3007" w:type="dxa"/>
            <w:shd w:val="clear" w:color="auto" w:fill="8EAADB" w:themeFill="accent1" w:themeFillTint="99"/>
          </w:tcPr>
          <w:p w14:paraId="744BE3A7" w14:textId="77777777" w:rsidR="00BB44E1" w:rsidRPr="00DB0C40" w:rsidRDefault="00230B49">
            <w:pPr>
              <w:jc w:val="both"/>
            </w:pPr>
            <w:r w:rsidRPr="00DB0C40">
              <w:t>The Constitution</w:t>
            </w:r>
          </w:p>
        </w:tc>
        <w:tc>
          <w:tcPr>
            <w:tcW w:w="2997" w:type="dxa"/>
            <w:shd w:val="clear" w:color="auto" w:fill="FBE4D5" w:themeFill="accent2" w:themeFillTint="33"/>
          </w:tcPr>
          <w:p w14:paraId="1E6986A4" w14:textId="77777777" w:rsidR="00BB44E1" w:rsidRPr="00DB0C40" w:rsidRDefault="00230B49">
            <w:pPr>
              <w:jc w:val="both"/>
            </w:pPr>
            <w:r w:rsidRPr="00DB0C40">
              <w:t>Article 10, 48, 50</w:t>
            </w:r>
          </w:p>
        </w:tc>
        <w:tc>
          <w:tcPr>
            <w:tcW w:w="3006" w:type="dxa"/>
            <w:shd w:val="clear" w:color="auto" w:fill="FBE4D5" w:themeFill="accent2" w:themeFillTint="33"/>
          </w:tcPr>
          <w:p w14:paraId="515EF68D" w14:textId="77777777" w:rsidR="00BB44E1" w:rsidRPr="00DB0C40" w:rsidRDefault="00230B49">
            <w:pPr>
              <w:jc w:val="both"/>
            </w:pPr>
            <w:r w:rsidRPr="00DB0C40">
              <w:t xml:space="preserve">harassment and sexual harassment </w:t>
            </w:r>
          </w:p>
        </w:tc>
      </w:tr>
      <w:tr w:rsidR="00BB44E1" w:rsidRPr="00DB0C40" w14:paraId="33BC5519" w14:textId="77777777" w:rsidTr="003F7BB3">
        <w:tc>
          <w:tcPr>
            <w:tcW w:w="3007" w:type="dxa"/>
            <w:shd w:val="clear" w:color="auto" w:fill="8EAADB" w:themeFill="accent1" w:themeFillTint="99"/>
          </w:tcPr>
          <w:p w14:paraId="0D4090AF" w14:textId="77777777" w:rsidR="00BB44E1" w:rsidRPr="00DB0C40" w:rsidRDefault="00230B49">
            <w:pPr>
              <w:jc w:val="both"/>
            </w:pPr>
            <w:r w:rsidRPr="00DB0C40">
              <w:rPr>
                <w:color w:val="211D1E"/>
              </w:rPr>
              <w:t>Debts Law No. 6098</w:t>
            </w:r>
          </w:p>
        </w:tc>
        <w:tc>
          <w:tcPr>
            <w:tcW w:w="2997" w:type="dxa"/>
            <w:shd w:val="clear" w:color="auto" w:fill="FBE4D5" w:themeFill="accent2" w:themeFillTint="33"/>
          </w:tcPr>
          <w:p w14:paraId="00FB38EF" w14:textId="77777777" w:rsidR="00BB44E1" w:rsidRPr="00DB0C40" w:rsidRDefault="00230B49">
            <w:pPr>
              <w:jc w:val="both"/>
            </w:pPr>
            <w:r w:rsidRPr="00DB0C40">
              <w:t>Article 417, 418, 423</w:t>
            </w:r>
          </w:p>
        </w:tc>
        <w:tc>
          <w:tcPr>
            <w:tcW w:w="3006" w:type="dxa"/>
            <w:shd w:val="clear" w:color="auto" w:fill="FBE4D5" w:themeFill="accent2" w:themeFillTint="33"/>
          </w:tcPr>
          <w:p w14:paraId="40C3D482" w14:textId="77777777" w:rsidR="00BB44E1" w:rsidRPr="00DB0C40" w:rsidRDefault="00BB44E1">
            <w:pPr>
              <w:jc w:val="both"/>
            </w:pPr>
          </w:p>
        </w:tc>
      </w:tr>
      <w:tr w:rsidR="00BB44E1" w:rsidRPr="00DB0C40" w14:paraId="00DE350C" w14:textId="77777777" w:rsidTr="003F7BB3">
        <w:tc>
          <w:tcPr>
            <w:tcW w:w="3007" w:type="dxa"/>
            <w:shd w:val="clear" w:color="auto" w:fill="8EAADB" w:themeFill="accent1" w:themeFillTint="99"/>
          </w:tcPr>
          <w:p w14:paraId="5B19652A" w14:textId="77777777" w:rsidR="00BB44E1" w:rsidRPr="00DB0C40" w:rsidRDefault="00230B49">
            <w:pPr>
              <w:jc w:val="both"/>
            </w:pPr>
            <w:r w:rsidRPr="00DB0C40">
              <w:rPr>
                <w:color w:val="211D1E"/>
              </w:rPr>
              <w:t>Labour Law No. 4857</w:t>
            </w:r>
          </w:p>
        </w:tc>
        <w:tc>
          <w:tcPr>
            <w:tcW w:w="2997" w:type="dxa"/>
            <w:shd w:val="clear" w:color="auto" w:fill="FBE4D5" w:themeFill="accent2" w:themeFillTint="33"/>
          </w:tcPr>
          <w:p w14:paraId="784AE83A" w14:textId="77777777" w:rsidR="00BB44E1" w:rsidRPr="00DB0C40" w:rsidRDefault="00230B49">
            <w:pPr>
              <w:jc w:val="both"/>
            </w:pPr>
            <w:r w:rsidRPr="00DB0C40">
              <w:t>Article 5, Article 74/1, article 24</w:t>
            </w:r>
          </w:p>
        </w:tc>
        <w:tc>
          <w:tcPr>
            <w:tcW w:w="3006" w:type="dxa"/>
            <w:shd w:val="clear" w:color="auto" w:fill="FBE4D5" w:themeFill="accent2" w:themeFillTint="33"/>
          </w:tcPr>
          <w:p w14:paraId="6CBBEF74" w14:textId="77777777" w:rsidR="00BB44E1" w:rsidRPr="00DB0C40" w:rsidRDefault="00230B49">
            <w:pPr>
              <w:jc w:val="both"/>
            </w:pPr>
            <w:r w:rsidRPr="00DB0C40">
              <w:t xml:space="preserve">equality and no discrimination, maternal leave, workplace harassment </w:t>
            </w:r>
          </w:p>
        </w:tc>
      </w:tr>
      <w:tr w:rsidR="00BB44E1" w:rsidRPr="00DB0C40" w14:paraId="3EB5027B" w14:textId="77777777" w:rsidTr="003F7BB3">
        <w:tc>
          <w:tcPr>
            <w:tcW w:w="3007" w:type="dxa"/>
            <w:shd w:val="clear" w:color="auto" w:fill="8EAADB" w:themeFill="accent1" w:themeFillTint="99"/>
          </w:tcPr>
          <w:p w14:paraId="67A5C33B" w14:textId="77777777" w:rsidR="00BB44E1" w:rsidRPr="00DB0C40" w:rsidRDefault="00230B49">
            <w:pPr>
              <w:jc w:val="both"/>
            </w:pPr>
            <w:r w:rsidRPr="00DB0C40">
              <w:rPr>
                <w:color w:val="211D1E"/>
              </w:rPr>
              <w:t>Law No. 5510</w:t>
            </w:r>
          </w:p>
        </w:tc>
        <w:tc>
          <w:tcPr>
            <w:tcW w:w="2997" w:type="dxa"/>
            <w:shd w:val="clear" w:color="auto" w:fill="FBE4D5" w:themeFill="accent2" w:themeFillTint="33"/>
          </w:tcPr>
          <w:p w14:paraId="5D3F9F46" w14:textId="77777777" w:rsidR="00BB44E1" w:rsidRPr="00DB0C40" w:rsidRDefault="00230B49">
            <w:pPr>
              <w:jc w:val="both"/>
            </w:pPr>
            <w:r w:rsidRPr="00DB0C40">
              <w:t>Article 18/1d Md. 29, Art 4a</w:t>
            </w:r>
          </w:p>
        </w:tc>
        <w:tc>
          <w:tcPr>
            <w:tcW w:w="3006" w:type="dxa"/>
            <w:shd w:val="clear" w:color="auto" w:fill="FBE4D5" w:themeFill="accent2" w:themeFillTint="33"/>
          </w:tcPr>
          <w:p w14:paraId="6CCE3ADC" w14:textId="77777777" w:rsidR="00BB44E1" w:rsidRPr="00DB0C40" w:rsidRDefault="00230B49">
            <w:pPr>
              <w:jc w:val="both"/>
            </w:pPr>
            <w:r w:rsidRPr="00DB0C40">
              <w:t xml:space="preserve">maternal leave; premium calculation for maternal leave  </w:t>
            </w:r>
          </w:p>
        </w:tc>
      </w:tr>
      <w:tr w:rsidR="00BB44E1" w:rsidRPr="00DB0C40" w14:paraId="5C6AF376" w14:textId="77777777" w:rsidTr="003F7BB3">
        <w:tc>
          <w:tcPr>
            <w:tcW w:w="3007" w:type="dxa"/>
            <w:shd w:val="clear" w:color="auto" w:fill="8EAADB" w:themeFill="accent1" w:themeFillTint="99"/>
          </w:tcPr>
          <w:p w14:paraId="412D0C90" w14:textId="77777777" w:rsidR="00BB44E1" w:rsidRPr="00DB0C40" w:rsidRDefault="00230B49">
            <w:pPr>
              <w:jc w:val="both"/>
            </w:pPr>
            <w:r w:rsidRPr="00DB0C40">
              <w:rPr>
                <w:color w:val="211D1E"/>
              </w:rPr>
              <w:lastRenderedPageBreak/>
              <w:t>Law No 657</w:t>
            </w:r>
          </w:p>
        </w:tc>
        <w:tc>
          <w:tcPr>
            <w:tcW w:w="2997" w:type="dxa"/>
            <w:shd w:val="clear" w:color="auto" w:fill="FBE4D5" w:themeFill="accent2" w:themeFillTint="33"/>
          </w:tcPr>
          <w:p w14:paraId="7847CF05" w14:textId="77777777" w:rsidR="00BB44E1" w:rsidRPr="00DB0C40" w:rsidRDefault="00230B49">
            <w:pPr>
              <w:jc w:val="both"/>
            </w:pPr>
            <w:r w:rsidRPr="00DB0C40">
              <w:t>Article 101, 104a, 104b 108b</w:t>
            </w:r>
          </w:p>
        </w:tc>
        <w:tc>
          <w:tcPr>
            <w:tcW w:w="3006" w:type="dxa"/>
            <w:shd w:val="clear" w:color="auto" w:fill="FBE4D5" w:themeFill="accent2" w:themeFillTint="33"/>
          </w:tcPr>
          <w:p w14:paraId="75DDE36E" w14:textId="77777777" w:rsidR="00BB44E1" w:rsidRPr="00DB0C40" w:rsidRDefault="00230B49">
            <w:pPr>
              <w:jc w:val="both"/>
            </w:pPr>
            <w:r w:rsidRPr="00DB0C40">
              <w:t xml:space="preserve">working during pregnancy, maternal leave, paternal leave, breastfeeding leave  </w:t>
            </w:r>
          </w:p>
        </w:tc>
      </w:tr>
      <w:tr w:rsidR="00BB44E1" w:rsidRPr="00DB0C40" w14:paraId="238A67AB" w14:textId="77777777" w:rsidTr="003F7BB3">
        <w:tc>
          <w:tcPr>
            <w:tcW w:w="3007" w:type="dxa"/>
            <w:shd w:val="clear" w:color="auto" w:fill="8EAADB" w:themeFill="accent1" w:themeFillTint="99"/>
          </w:tcPr>
          <w:p w14:paraId="0E0AE37E" w14:textId="77777777" w:rsidR="00BB44E1" w:rsidRPr="00DB0C40" w:rsidRDefault="00230B49">
            <w:pPr>
              <w:jc w:val="both"/>
              <w:rPr>
                <w:color w:val="211D1E"/>
              </w:rPr>
            </w:pPr>
            <w:r w:rsidRPr="00DB0C40">
              <w:rPr>
                <w:color w:val="211D1E"/>
              </w:rPr>
              <w:t xml:space="preserve">Law No. 6331 on Occupation Health and Safety </w:t>
            </w:r>
          </w:p>
        </w:tc>
        <w:tc>
          <w:tcPr>
            <w:tcW w:w="2997" w:type="dxa"/>
            <w:shd w:val="clear" w:color="auto" w:fill="FBE4D5" w:themeFill="accent2" w:themeFillTint="33"/>
          </w:tcPr>
          <w:p w14:paraId="52C60248" w14:textId="77777777" w:rsidR="00BB44E1" w:rsidRPr="00DB0C40" w:rsidRDefault="00230B49">
            <w:pPr>
              <w:jc w:val="both"/>
            </w:pPr>
            <w:r w:rsidRPr="00DB0C40">
              <w:t>Article 10</w:t>
            </w:r>
          </w:p>
        </w:tc>
        <w:tc>
          <w:tcPr>
            <w:tcW w:w="3006" w:type="dxa"/>
            <w:shd w:val="clear" w:color="auto" w:fill="FBE4D5" w:themeFill="accent2" w:themeFillTint="33"/>
          </w:tcPr>
          <w:p w14:paraId="11527620" w14:textId="77777777" w:rsidR="00BB44E1" w:rsidRPr="00DB0C40" w:rsidRDefault="00230B49">
            <w:pPr>
              <w:jc w:val="both"/>
            </w:pPr>
            <w:r w:rsidRPr="00DB0C40">
              <w:t xml:space="preserve">Night shifts </w:t>
            </w:r>
          </w:p>
        </w:tc>
      </w:tr>
      <w:tr w:rsidR="00BB44E1" w:rsidRPr="00DB0C40" w14:paraId="169665F5" w14:textId="77777777" w:rsidTr="003F7BB3">
        <w:tc>
          <w:tcPr>
            <w:tcW w:w="3007" w:type="dxa"/>
            <w:shd w:val="clear" w:color="auto" w:fill="8EAADB" w:themeFill="accent1" w:themeFillTint="99"/>
          </w:tcPr>
          <w:p w14:paraId="0FB7CDE3" w14:textId="77777777" w:rsidR="00BB44E1" w:rsidRPr="00DB0C40" w:rsidRDefault="00230B49">
            <w:pPr>
              <w:jc w:val="both"/>
              <w:rPr>
                <w:color w:val="211D1E"/>
              </w:rPr>
            </w:pPr>
            <w:r w:rsidRPr="00DB0C40">
              <w:rPr>
                <w:color w:val="211D1E"/>
              </w:rPr>
              <w:t>Criminal Law No. 5237</w:t>
            </w:r>
          </w:p>
        </w:tc>
        <w:tc>
          <w:tcPr>
            <w:tcW w:w="2997" w:type="dxa"/>
            <w:shd w:val="clear" w:color="auto" w:fill="FBE4D5" w:themeFill="accent2" w:themeFillTint="33"/>
          </w:tcPr>
          <w:p w14:paraId="19622AE0" w14:textId="77777777" w:rsidR="00BB44E1" w:rsidRPr="00DB0C40" w:rsidRDefault="00230B49">
            <w:pPr>
              <w:jc w:val="both"/>
            </w:pPr>
            <w:r w:rsidRPr="00DB0C40">
              <w:t>Article 105, 122</w:t>
            </w:r>
          </w:p>
        </w:tc>
        <w:tc>
          <w:tcPr>
            <w:tcW w:w="3006" w:type="dxa"/>
            <w:shd w:val="clear" w:color="auto" w:fill="FBE4D5" w:themeFill="accent2" w:themeFillTint="33"/>
          </w:tcPr>
          <w:p w14:paraId="661389B2" w14:textId="77777777" w:rsidR="00BB44E1" w:rsidRPr="00DB0C40" w:rsidRDefault="00230B49">
            <w:pPr>
              <w:jc w:val="both"/>
            </w:pPr>
            <w:r w:rsidRPr="00DB0C40">
              <w:t xml:space="preserve">mobbing and harassment at workplace </w:t>
            </w:r>
          </w:p>
        </w:tc>
      </w:tr>
      <w:tr w:rsidR="00BB44E1" w:rsidRPr="00DB0C40" w14:paraId="75D1D357" w14:textId="77777777" w:rsidTr="003F7BB3">
        <w:tc>
          <w:tcPr>
            <w:tcW w:w="3007" w:type="dxa"/>
            <w:shd w:val="clear" w:color="auto" w:fill="8EAADB" w:themeFill="accent1" w:themeFillTint="99"/>
          </w:tcPr>
          <w:p w14:paraId="22D217E3" w14:textId="77777777" w:rsidR="00BB44E1" w:rsidRPr="00DB0C40" w:rsidRDefault="00230B49">
            <w:pPr>
              <w:jc w:val="both"/>
              <w:rPr>
                <w:color w:val="211D1E"/>
              </w:rPr>
            </w:pPr>
            <w:r w:rsidRPr="00DB0C40">
              <w:rPr>
                <w:color w:val="211D1E"/>
              </w:rPr>
              <w:t>Municipality Law No. 5393</w:t>
            </w:r>
          </w:p>
        </w:tc>
        <w:tc>
          <w:tcPr>
            <w:tcW w:w="2997" w:type="dxa"/>
            <w:shd w:val="clear" w:color="auto" w:fill="FBE4D5" w:themeFill="accent2" w:themeFillTint="33"/>
          </w:tcPr>
          <w:p w14:paraId="70EB158F" w14:textId="77777777" w:rsidR="00BB44E1" w:rsidRPr="00DB0C40" w:rsidRDefault="00230B49">
            <w:pPr>
              <w:jc w:val="both"/>
            </w:pPr>
            <w:r w:rsidRPr="00DB0C40">
              <w:t>Article 14</w:t>
            </w:r>
          </w:p>
        </w:tc>
        <w:tc>
          <w:tcPr>
            <w:tcW w:w="3006" w:type="dxa"/>
            <w:shd w:val="clear" w:color="auto" w:fill="FBE4D5" w:themeFill="accent2" w:themeFillTint="33"/>
          </w:tcPr>
          <w:p w14:paraId="05A714B3" w14:textId="77777777" w:rsidR="00BB44E1" w:rsidRPr="00DB0C40" w:rsidRDefault="00230B49">
            <w:pPr>
              <w:jc w:val="both"/>
            </w:pPr>
            <w:r w:rsidRPr="00DB0C40">
              <w:t xml:space="preserve">shelters for women and children </w:t>
            </w:r>
          </w:p>
        </w:tc>
      </w:tr>
      <w:tr w:rsidR="00BB44E1" w:rsidRPr="00DB0C40" w14:paraId="6FD7CE8E" w14:textId="77777777" w:rsidTr="003F7BB3">
        <w:tc>
          <w:tcPr>
            <w:tcW w:w="3007" w:type="dxa"/>
            <w:shd w:val="clear" w:color="auto" w:fill="8EAADB" w:themeFill="accent1" w:themeFillTint="99"/>
          </w:tcPr>
          <w:p w14:paraId="0DA5B947" w14:textId="77777777" w:rsidR="00BB44E1" w:rsidRPr="00DB0C40" w:rsidRDefault="00230B49">
            <w:pPr>
              <w:jc w:val="both"/>
              <w:rPr>
                <w:color w:val="211D1E"/>
              </w:rPr>
            </w:pPr>
            <w:r w:rsidRPr="00DB0C40">
              <w:rPr>
                <w:color w:val="211D1E"/>
              </w:rPr>
              <w:t xml:space="preserve">Law No. 6284 </w:t>
            </w:r>
          </w:p>
        </w:tc>
        <w:tc>
          <w:tcPr>
            <w:tcW w:w="2997" w:type="dxa"/>
            <w:shd w:val="clear" w:color="auto" w:fill="FBE4D5" w:themeFill="accent2" w:themeFillTint="33"/>
          </w:tcPr>
          <w:p w14:paraId="29C19842" w14:textId="77777777" w:rsidR="00BB44E1" w:rsidRPr="00DB0C40" w:rsidRDefault="00230B49">
            <w:pPr>
              <w:jc w:val="both"/>
            </w:pPr>
            <w:r w:rsidRPr="00DB0C40">
              <w:t>Article 3</w:t>
            </w:r>
          </w:p>
        </w:tc>
        <w:tc>
          <w:tcPr>
            <w:tcW w:w="3006" w:type="dxa"/>
            <w:shd w:val="clear" w:color="auto" w:fill="FBE4D5" w:themeFill="accent2" w:themeFillTint="33"/>
          </w:tcPr>
          <w:p w14:paraId="02FAF00D" w14:textId="77777777" w:rsidR="00BB44E1" w:rsidRPr="00DB0C40" w:rsidRDefault="00230B49">
            <w:pPr>
              <w:jc w:val="both"/>
            </w:pPr>
            <w:r w:rsidRPr="00DB0C40">
              <w:t xml:space="preserve">child care facilities for protected women  </w:t>
            </w:r>
          </w:p>
        </w:tc>
      </w:tr>
      <w:tr w:rsidR="00BB44E1" w:rsidRPr="00DB0C40" w14:paraId="773A4A05" w14:textId="77777777" w:rsidTr="003F7BB3">
        <w:tc>
          <w:tcPr>
            <w:tcW w:w="3007" w:type="dxa"/>
            <w:shd w:val="clear" w:color="auto" w:fill="8EAADB" w:themeFill="accent1" w:themeFillTint="99"/>
          </w:tcPr>
          <w:p w14:paraId="451C0165" w14:textId="77777777" w:rsidR="00BB44E1" w:rsidRPr="00DB0C40" w:rsidRDefault="00230B49">
            <w:pPr>
              <w:jc w:val="both"/>
              <w:rPr>
                <w:color w:val="211D1E"/>
              </w:rPr>
            </w:pPr>
            <w:r w:rsidRPr="00DB0C40">
              <w:rPr>
                <w:color w:val="211D1E"/>
              </w:rPr>
              <w:t xml:space="preserve">Law No. 4447 on Unemployment Insurance </w:t>
            </w:r>
          </w:p>
        </w:tc>
        <w:tc>
          <w:tcPr>
            <w:tcW w:w="2997" w:type="dxa"/>
            <w:shd w:val="clear" w:color="auto" w:fill="FBE4D5" w:themeFill="accent2" w:themeFillTint="33"/>
          </w:tcPr>
          <w:p w14:paraId="5E6E4825" w14:textId="77777777" w:rsidR="00BB44E1" w:rsidRPr="00DB0C40" w:rsidRDefault="00230B49">
            <w:pPr>
              <w:jc w:val="both"/>
            </w:pPr>
            <w:r w:rsidRPr="00DB0C40">
              <w:t>Article 7</w:t>
            </w:r>
          </w:p>
        </w:tc>
        <w:tc>
          <w:tcPr>
            <w:tcW w:w="3006" w:type="dxa"/>
            <w:shd w:val="clear" w:color="auto" w:fill="FBE4D5" w:themeFill="accent2" w:themeFillTint="33"/>
          </w:tcPr>
          <w:p w14:paraId="47D2A615" w14:textId="77777777" w:rsidR="00BB44E1" w:rsidRPr="00DB0C40" w:rsidRDefault="00230B49">
            <w:pPr>
              <w:jc w:val="both"/>
            </w:pPr>
            <w:r w:rsidRPr="00DB0C40">
              <w:t xml:space="preserve">employment incentives for women </w:t>
            </w:r>
          </w:p>
        </w:tc>
      </w:tr>
      <w:tr w:rsidR="003F7BB3" w:rsidRPr="00DB0C40" w14:paraId="663222B1" w14:textId="77777777" w:rsidTr="003F7BB3">
        <w:tc>
          <w:tcPr>
            <w:tcW w:w="9010" w:type="dxa"/>
            <w:gridSpan w:val="3"/>
            <w:shd w:val="clear" w:color="auto" w:fill="D9E2F3" w:themeFill="accent1" w:themeFillTint="33"/>
          </w:tcPr>
          <w:p w14:paraId="1908159F" w14:textId="1A29F926" w:rsidR="003F7BB3" w:rsidRPr="00DB0C40" w:rsidRDefault="003F7BB3">
            <w:pPr>
              <w:jc w:val="both"/>
            </w:pPr>
            <w:r w:rsidRPr="00DB0C40">
              <w:rPr>
                <w:b/>
                <w:color w:val="211D1E"/>
              </w:rPr>
              <w:t>REGULATIONS</w:t>
            </w:r>
          </w:p>
        </w:tc>
      </w:tr>
      <w:tr w:rsidR="00BB44E1" w:rsidRPr="00DB0C40" w14:paraId="711391DB" w14:textId="77777777" w:rsidTr="003F7BB3">
        <w:tc>
          <w:tcPr>
            <w:tcW w:w="9010" w:type="dxa"/>
            <w:gridSpan w:val="3"/>
            <w:shd w:val="clear" w:color="auto" w:fill="FBE4D5" w:themeFill="accent2" w:themeFillTint="33"/>
          </w:tcPr>
          <w:p w14:paraId="2C69C767" w14:textId="77777777" w:rsidR="00BB44E1" w:rsidRPr="00DB0C40" w:rsidRDefault="00230B49">
            <w:pPr>
              <w:jc w:val="both"/>
            </w:pPr>
            <w:r w:rsidRPr="00DB0C40">
              <w:rPr>
                <w:color w:val="211D1E"/>
              </w:rPr>
              <w:t>Regulation on Minimum Wage</w:t>
            </w:r>
          </w:p>
        </w:tc>
      </w:tr>
      <w:tr w:rsidR="00BB44E1" w:rsidRPr="00DB0C40" w14:paraId="31197258" w14:textId="77777777" w:rsidTr="003F7BB3">
        <w:tc>
          <w:tcPr>
            <w:tcW w:w="9010" w:type="dxa"/>
            <w:gridSpan w:val="3"/>
            <w:shd w:val="clear" w:color="auto" w:fill="FBE4D5" w:themeFill="accent2" w:themeFillTint="33"/>
          </w:tcPr>
          <w:p w14:paraId="16CF7DCA" w14:textId="77777777" w:rsidR="00BB44E1" w:rsidRPr="00DB0C40" w:rsidRDefault="00230B49">
            <w:pPr>
              <w:jc w:val="both"/>
            </w:pPr>
            <w:r w:rsidRPr="00DB0C40">
              <w:rPr>
                <w:color w:val="211D1E"/>
              </w:rPr>
              <w:t>Regulation on Working Conditions of Pregnant and Breastfeeding Women and Breastfeeding Rooms and Childcare Dormitories</w:t>
            </w:r>
          </w:p>
        </w:tc>
      </w:tr>
      <w:tr w:rsidR="00BB44E1" w:rsidRPr="00DB0C40" w14:paraId="33A8CE8E" w14:textId="77777777" w:rsidTr="003F7BB3">
        <w:tc>
          <w:tcPr>
            <w:tcW w:w="9010" w:type="dxa"/>
            <w:gridSpan w:val="3"/>
            <w:shd w:val="clear" w:color="auto" w:fill="FBE4D5" w:themeFill="accent2" w:themeFillTint="33"/>
          </w:tcPr>
          <w:p w14:paraId="38446A25" w14:textId="77777777" w:rsidR="00BB44E1" w:rsidRPr="00DB0C40" w:rsidRDefault="00230B49">
            <w:pPr>
              <w:jc w:val="both"/>
            </w:pPr>
            <w:r w:rsidRPr="00DB0C40">
              <w:rPr>
                <w:color w:val="211D1E"/>
              </w:rPr>
              <w:t>Regulation on Working Conditions of Women Employees in Night Shifts</w:t>
            </w:r>
          </w:p>
        </w:tc>
      </w:tr>
      <w:tr w:rsidR="00BB44E1" w:rsidRPr="00DB0C40" w14:paraId="6825CC7C" w14:textId="77777777" w:rsidTr="003F7BB3">
        <w:tc>
          <w:tcPr>
            <w:tcW w:w="9010" w:type="dxa"/>
            <w:gridSpan w:val="3"/>
            <w:shd w:val="clear" w:color="auto" w:fill="FBE4D5" w:themeFill="accent2" w:themeFillTint="33"/>
          </w:tcPr>
          <w:p w14:paraId="6E08F181" w14:textId="77777777" w:rsidR="00BB44E1" w:rsidRPr="00DB0C40" w:rsidRDefault="00230B49">
            <w:pPr>
              <w:jc w:val="both"/>
            </w:pPr>
            <w:r w:rsidRPr="00DB0C40">
              <w:rPr>
                <w:color w:val="211D1E"/>
              </w:rPr>
              <w:t>Implementing Regulation on Part-time Work after Maternity Leave or Unpaid Leave</w:t>
            </w:r>
          </w:p>
        </w:tc>
      </w:tr>
      <w:tr w:rsidR="00BB44E1" w:rsidRPr="00DB0C40" w14:paraId="03F45896" w14:textId="77777777" w:rsidTr="003F7BB3">
        <w:tc>
          <w:tcPr>
            <w:tcW w:w="9010" w:type="dxa"/>
            <w:gridSpan w:val="3"/>
            <w:shd w:val="clear" w:color="auto" w:fill="FBE4D5" w:themeFill="accent2" w:themeFillTint="33"/>
          </w:tcPr>
          <w:p w14:paraId="0D229D2C" w14:textId="77777777" w:rsidR="00BB44E1" w:rsidRPr="00DB0C40" w:rsidRDefault="00230B49">
            <w:pPr>
              <w:jc w:val="both"/>
            </w:pPr>
            <w:r w:rsidRPr="00DB0C40">
              <w:rPr>
                <w:color w:val="211D1E"/>
              </w:rPr>
              <w:t>Regulation on Dangerous and Very Dangerous Jobs</w:t>
            </w:r>
          </w:p>
        </w:tc>
      </w:tr>
    </w:tbl>
    <w:p w14:paraId="4FF71D6D" w14:textId="77777777" w:rsidR="00BB44E1" w:rsidRPr="00DB0C40" w:rsidRDefault="00BB44E1">
      <w:pPr>
        <w:jc w:val="both"/>
        <w:rPr>
          <w:sz w:val="22"/>
          <w:szCs w:val="22"/>
        </w:rPr>
      </w:pPr>
    </w:p>
    <w:p w14:paraId="5630BB82" w14:textId="77777777" w:rsidR="00BB44E1" w:rsidRPr="00DB0C40" w:rsidRDefault="00BB44E1">
      <w:pPr>
        <w:jc w:val="both"/>
        <w:rPr>
          <w:b/>
          <w:sz w:val="22"/>
          <w:szCs w:val="22"/>
        </w:rPr>
      </w:pPr>
    </w:p>
    <w:p w14:paraId="59D15769" w14:textId="062E6B93" w:rsidR="00BA33A9" w:rsidRPr="00CD2A61" w:rsidRDefault="00230B49" w:rsidP="00CD2A61">
      <w:pPr>
        <w:keepNext/>
        <w:keepLines/>
        <w:pBdr>
          <w:top w:val="nil"/>
          <w:left w:val="nil"/>
          <w:bottom w:val="nil"/>
          <w:right w:val="nil"/>
          <w:between w:val="nil"/>
        </w:pBdr>
        <w:spacing w:after="120"/>
        <w:rPr>
          <w:rFonts w:asciiTheme="majorHAnsi" w:eastAsiaTheme="majorEastAsia" w:hAnsiTheme="majorHAnsi" w:cstheme="majorBidi"/>
          <w:color w:val="1F3763" w:themeColor="accent1" w:themeShade="7F"/>
        </w:rPr>
      </w:pPr>
      <w:bookmarkStart w:id="64" w:name="_heading=h.tyjcwt" w:colFirst="0" w:colLast="0"/>
      <w:bookmarkEnd w:id="64"/>
      <w:r w:rsidRPr="00CD2A61">
        <w:rPr>
          <w:rFonts w:asciiTheme="majorHAnsi" w:eastAsiaTheme="majorEastAsia" w:hAnsiTheme="majorHAnsi" w:cstheme="majorBidi"/>
          <w:color w:val="1F3763" w:themeColor="accent1" w:themeShade="7F"/>
        </w:rPr>
        <w:t>3.</w:t>
      </w:r>
      <w:r w:rsidR="00940930" w:rsidRPr="00CD2A61">
        <w:rPr>
          <w:rFonts w:asciiTheme="majorHAnsi" w:eastAsiaTheme="majorEastAsia" w:hAnsiTheme="majorHAnsi" w:cstheme="majorBidi"/>
          <w:color w:val="1F3763" w:themeColor="accent1" w:themeShade="7F"/>
        </w:rPr>
        <w:t>7</w:t>
      </w:r>
      <w:r w:rsidRPr="00CD2A61">
        <w:rPr>
          <w:rFonts w:asciiTheme="majorHAnsi" w:eastAsiaTheme="majorEastAsia" w:hAnsiTheme="majorHAnsi" w:cstheme="majorBidi"/>
          <w:color w:val="1F3763" w:themeColor="accent1" w:themeShade="7F"/>
        </w:rPr>
        <w:t>.</w:t>
      </w:r>
      <w:r w:rsidR="00BA33A9" w:rsidRPr="00CD2A61">
        <w:rPr>
          <w:rFonts w:asciiTheme="majorHAnsi" w:eastAsiaTheme="majorEastAsia" w:hAnsiTheme="majorHAnsi" w:cstheme="majorBidi"/>
          <w:color w:val="1F3763" w:themeColor="accent1" w:themeShade="7F"/>
        </w:rPr>
        <w:t>1.</w:t>
      </w:r>
      <w:r w:rsidRPr="00CD2A61">
        <w:rPr>
          <w:rFonts w:asciiTheme="majorHAnsi" w:eastAsiaTheme="majorEastAsia" w:hAnsiTheme="majorHAnsi" w:cstheme="majorBidi"/>
          <w:color w:val="1F3763" w:themeColor="accent1" w:themeShade="7F"/>
        </w:rPr>
        <w:t xml:space="preserve"> The Constitution of 1982 </w:t>
      </w:r>
    </w:p>
    <w:p w14:paraId="26964D0F" w14:textId="1B76C925" w:rsidR="00BB44E1" w:rsidRPr="00DB0C40" w:rsidRDefault="00BA33A9">
      <w:pPr>
        <w:jc w:val="both"/>
        <w:rPr>
          <w:sz w:val="22"/>
          <w:szCs w:val="22"/>
        </w:rPr>
      </w:pPr>
      <w:r w:rsidRPr="00DB0C40">
        <w:rPr>
          <w:sz w:val="22"/>
          <w:szCs w:val="22"/>
        </w:rPr>
        <w:t xml:space="preserve">This </w:t>
      </w:r>
      <w:r w:rsidR="00230B49" w:rsidRPr="00DB0C40">
        <w:rPr>
          <w:sz w:val="22"/>
          <w:szCs w:val="22"/>
        </w:rPr>
        <w:t>is fundamental with its equality principles in front of law. With the Law No. 5170, a new paragraph was added to the 10th article of the constitution in 2004, following this first paragraph: "Women and men have equal rights. The state is obliged to ensure that this equality is realized.” Pursuant to Article 50 of the Constitution, titled “Working conditions and the right to rest”, “No one can be employed in jobs that do not comply with their age, gender and strength (f.1). Minors, women and those with physical and mental disabilities are specially protected in terms of working conditions.</w:t>
      </w:r>
    </w:p>
    <w:p w14:paraId="6F170253" w14:textId="77777777" w:rsidR="00BB44E1" w:rsidRPr="00DB0C40" w:rsidRDefault="00BB44E1">
      <w:pPr>
        <w:jc w:val="both"/>
        <w:rPr>
          <w:sz w:val="22"/>
          <w:szCs w:val="22"/>
        </w:rPr>
      </w:pPr>
    </w:p>
    <w:p w14:paraId="60C12E19" w14:textId="77777777" w:rsidR="00BB44E1" w:rsidRPr="00DB0C40" w:rsidRDefault="00230B49">
      <w:pPr>
        <w:jc w:val="both"/>
        <w:rPr>
          <w:sz w:val="22"/>
          <w:szCs w:val="22"/>
        </w:rPr>
      </w:pPr>
      <w:r w:rsidRPr="00DB0C40">
        <w:rPr>
          <w:sz w:val="22"/>
          <w:szCs w:val="22"/>
        </w:rPr>
        <w:t>In 2005, the new Penal Code (No. 5237) came into force giving priority to the protection of individuals’ rights and freedoms. With the law, offensive acts towards women are exposed and classified as an “offense against an individual” rather than a public offense. New significant changes were also introduced to the definition of sexual violence and of sexual harassment in the workplace and punishments for these offences were reinforced. Furthermore, Articles 5 and 122 of the Penal Code state “no discrimination shall be made between persons with respect of sex.”</w:t>
      </w:r>
    </w:p>
    <w:p w14:paraId="6E127056" w14:textId="77777777" w:rsidR="00BB44E1" w:rsidRPr="00DB0C40" w:rsidRDefault="00BB44E1">
      <w:pPr>
        <w:jc w:val="both"/>
        <w:rPr>
          <w:sz w:val="22"/>
          <w:szCs w:val="22"/>
        </w:rPr>
      </w:pPr>
    </w:p>
    <w:p w14:paraId="546C8BBA" w14:textId="577936D6" w:rsidR="00BB44E1" w:rsidRPr="00CD2A61" w:rsidRDefault="00230B49" w:rsidP="00CD2A61">
      <w:pPr>
        <w:keepNext/>
        <w:keepLines/>
        <w:pBdr>
          <w:top w:val="nil"/>
          <w:left w:val="nil"/>
          <w:bottom w:val="nil"/>
          <w:right w:val="nil"/>
          <w:between w:val="nil"/>
        </w:pBdr>
        <w:spacing w:after="120"/>
        <w:rPr>
          <w:rFonts w:asciiTheme="majorHAnsi" w:eastAsiaTheme="majorEastAsia" w:hAnsiTheme="majorHAnsi" w:cstheme="majorBidi"/>
          <w:color w:val="1F3763" w:themeColor="accent1" w:themeShade="7F"/>
        </w:rPr>
      </w:pPr>
      <w:bookmarkStart w:id="65" w:name="_heading=h.3dy6vkm" w:colFirst="0" w:colLast="0"/>
      <w:bookmarkEnd w:id="65"/>
      <w:r w:rsidRPr="00CD2A61">
        <w:rPr>
          <w:rFonts w:asciiTheme="majorHAnsi" w:eastAsiaTheme="majorEastAsia" w:hAnsiTheme="majorHAnsi" w:cstheme="majorBidi"/>
          <w:color w:val="1F3763" w:themeColor="accent1" w:themeShade="7F"/>
        </w:rPr>
        <w:t>3.</w:t>
      </w:r>
      <w:r w:rsidR="00940930" w:rsidRPr="00CD2A61">
        <w:rPr>
          <w:rFonts w:asciiTheme="majorHAnsi" w:eastAsiaTheme="majorEastAsia" w:hAnsiTheme="majorHAnsi" w:cstheme="majorBidi"/>
          <w:color w:val="1F3763" w:themeColor="accent1" w:themeShade="7F"/>
        </w:rPr>
        <w:t>7</w:t>
      </w:r>
      <w:r w:rsidRPr="00CD2A61">
        <w:rPr>
          <w:rFonts w:asciiTheme="majorHAnsi" w:eastAsiaTheme="majorEastAsia" w:hAnsiTheme="majorHAnsi" w:cstheme="majorBidi"/>
          <w:color w:val="1F3763" w:themeColor="accent1" w:themeShade="7F"/>
        </w:rPr>
        <w:t>.</w:t>
      </w:r>
      <w:r w:rsidR="00BA33A9" w:rsidRPr="00CD2A61">
        <w:rPr>
          <w:rFonts w:asciiTheme="majorHAnsi" w:eastAsiaTheme="majorEastAsia" w:hAnsiTheme="majorHAnsi" w:cstheme="majorBidi"/>
          <w:color w:val="1F3763" w:themeColor="accent1" w:themeShade="7F"/>
        </w:rPr>
        <w:t>2.</w:t>
      </w:r>
      <w:r w:rsidRPr="00CD2A61">
        <w:rPr>
          <w:rFonts w:asciiTheme="majorHAnsi" w:eastAsiaTheme="majorEastAsia" w:hAnsiTheme="majorHAnsi" w:cstheme="majorBidi"/>
          <w:color w:val="1F3763" w:themeColor="accent1" w:themeShade="7F"/>
        </w:rPr>
        <w:t xml:space="preserve"> Labour Law No. 4857 </w:t>
      </w:r>
    </w:p>
    <w:p w14:paraId="63393B68" w14:textId="7D303D73" w:rsidR="00BB44E1" w:rsidRPr="00DB0C40" w:rsidRDefault="00230B49">
      <w:pPr>
        <w:jc w:val="both"/>
        <w:rPr>
          <w:sz w:val="22"/>
          <w:szCs w:val="22"/>
        </w:rPr>
      </w:pPr>
      <w:r w:rsidRPr="00DB0C40">
        <w:rPr>
          <w:sz w:val="22"/>
          <w:szCs w:val="22"/>
        </w:rPr>
        <w:t>In 2003, the new Labo</w:t>
      </w:r>
      <w:r w:rsidR="00EA37BB">
        <w:rPr>
          <w:sz w:val="22"/>
          <w:szCs w:val="22"/>
        </w:rPr>
        <w:t>u</w:t>
      </w:r>
      <w:r w:rsidRPr="00DB0C40">
        <w:rPr>
          <w:sz w:val="22"/>
          <w:szCs w:val="22"/>
        </w:rPr>
        <w:t xml:space="preserve">r Law (No.4857) came into force against all manner of discrimination concerning human rights, including gender, between employer and employees. The new </w:t>
      </w:r>
      <w:r w:rsidR="00AE67F2">
        <w:rPr>
          <w:sz w:val="22"/>
          <w:szCs w:val="22"/>
        </w:rPr>
        <w:t>Labour</w:t>
      </w:r>
      <w:r w:rsidRPr="00DB0C40">
        <w:rPr>
          <w:sz w:val="22"/>
          <w:szCs w:val="22"/>
        </w:rPr>
        <w:t xml:space="preserve"> Law reinforced existing provisions including prohibiting of gender discrimination and introduced new prohibitions of discriminatory practices owing to marital status or family responsibilities including the prohibition of dismissal on grounds of pregnancy. It also brought provisions prohibiting sexual harassment in the workplace. </w:t>
      </w:r>
    </w:p>
    <w:p w14:paraId="25A8E0A5" w14:textId="77777777" w:rsidR="00BB44E1" w:rsidRPr="00DB0C40" w:rsidRDefault="00BB44E1">
      <w:pPr>
        <w:jc w:val="both"/>
        <w:rPr>
          <w:sz w:val="22"/>
          <w:szCs w:val="22"/>
        </w:rPr>
      </w:pPr>
    </w:p>
    <w:p w14:paraId="5ABEE7F1" w14:textId="49D821E5" w:rsidR="00BB44E1" w:rsidRDefault="00230B49">
      <w:pPr>
        <w:jc w:val="both"/>
        <w:rPr>
          <w:sz w:val="22"/>
          <w:szCs w:val="22"/>
        </w:rPr>
      </w:pPr>
      <w:r w:rsidRPr="00DB0C40">
        <w:rPr>
          <w:sz w:val="22"/>
          <w:szCs w:val="22"/>
        </w:rPr>
        <w:lastRenderedPageBreak/>
        <w:t>The Labo</w:t>
      </w:r>
      <w:r w:rsidR="00EA37BB">
        <w:rPr>
          <w:sz w:val="22"/>
          <w:szCs w:val="22"/>
        </w:rPr>
        <w:t>u</w:t>
      </w:r>
      <w:r w:rsidRPr="00DB0C40">
        <w:rPr>
          <w:sz w:val="22"/>
          <w:szCs w:val="22"/>
        </w:rPr>
        <w:t>r Law emphasizes the principle that no discrimination can be made in terms of fundamental human rights for any reason, including gender, from the perspective of the employee-employer relationship.</w:t>
      </w:r>
    </w:p>
    <w:p w14:paraId="039936DF" w14:textId="77777777" w:rsidR="00F23644" w:rsidRPr="00DB0C40" w:rsidRDefault="00F23644">
      <w:pPr>
        <w:jc w:val="both"/>
        <w:rPr>
          <w:sz w:val="22"/>
          <w:szCs w:val="22"/>
        </w:rPr>
      </w:pPr>
    </w:p>
    <w:p w14:paraId="68D4E5C2" w14:textId="49DA1B66" w:rsidR="00BB44E1" w:rsidRDefault="00230B49">
      <w:pPr>
        <w:jc w:val="both"/>
        <w:rPr>
          <w:sz w:val="22"/>
          <w:szCs w:val="22"/>
        </w:rPr>
      </w:pPr>
      <w:r w:rsidRPr="00DB0C40">
        <w:rPr>
          <w:sz w:val="22"/>
          <w:szCs w:val="22"/>
        </w:rPr>
        <w:t>Article 5 of the law states that:</w:t>
      </w:r>
    </w:p>
    <w:p w14:paraId="4F59F9FC" w14:textId="77777777" w:rsidR="00F23644" w:rsidRPr="00DB0C40" w:rsidRDefault="00F23644">
      <w:pPr>
        <w:jc w:val="both"/>
        <w:rPr>
          <w:sz w:val="22"/>
          <w:szCs w:val="22"/>
        </w:rPr>
      </w:pPr>
    </w:p>
    <w:p w14:paraId="4A7F422E" w14:textId="77777777" w:rsidR="00BB44E1" w:rsidRPr="00DB0C40" w:rsidRDefault="00230B49">
      <w:pPr>
        <w:numPr>
          <w:ilvl w:val="0"/>
          <w:numId w:val="1"/>
        </w:numPr>
        <w:jc w:val="both"/>
        <w:rPr>
          <w:sz w:val="22"/>
          <w:szCs w:val="22"/>
        </w:rPr>
      </w:pPr>
      <w:r w:rsidRPr="00DB0C40">
        <w:rPr>
          <w:sz w:val="22"/>
          <w:szCs w:val="22"/>
        </w:rPr>
        <w:t>No discrimination based on language, race, gender, political opinion, philosophical belief, religion, sect and similar reasons can be made in the business relationship,</w:t>
      </w:r>
    </w:p>
    <w:p w14:paraId="0F1ABE79" w14:textId="77777777" w:rsidR="00BB44E1" w:rsidRPr="00DB0C40" w:rsidRDefault="00230B49">
      <w:pPr>
        <w:numPr>
          <w:ilvl w:val="0"/>
          <w:numId w:val="1"/>
        </w:numPr>
        <w:jc w:val="both"/>
        <w:rPr>
          <w:sz w:val="22"/>
          <w:szCs w:val="22"/>
        </w:rPr>
      </w:pPr>
      <w:r w:rsidRPr="00DB0C40">
        <w:rPr>
          <w:sz w:val="22"/>
          <w:szCs w:val="22"/>
        </w:rPr>
        <w:t>Unless biological or work-related reasons necessitate, the employer cannot directly or indirectly treat a worker differently in the termination, creation, or implementation of the employment contract due to gender or pregnancy</w:t>
      </w:r>
    </w:p>
    <w:p w14:paraId="1009E0AE" w14:textId="77777777" w:rsidR="00BB44E1" w:rsidRPr="00DB0C40" w:rsidRDefault="00230B49">
      <w:pPr>
        <w:numPr>
          <w:ilvl w:val="0"/>
          <w:numId w:val="1"/>
        </w:numPr>
        <w:jc w:val="both"/>
        <w:rPr>
          <w:sz w:val="22"/>
          <w:szCs w:val="22"/>
        </w:rPr>
      </w:pPr>
      <w:r w:rsidRPr="00DB0C40">
        <w:rPr>
          <w:sz w:val="22"/>
          <w:szCs w:val="22"/>
        </w:rPr>
        <w:t>It is not possible to decide on a lower wage due to gender for a job of the same or equal value,</w:t>
      </w:r>
    </w:p>
    <w:p w14:paraId="65FD39F1" w14:textId="77777777" w:rsidR="00BB44E1" w:rsidRPr="00DB0C40" w:rsidRDefault="00230B49">
      <w:pPr>
        <w:numPr>
          <w:ilvl w:val="0"/>
          <w:numId w:val="1"/>
        </w:numPr>
        <w:jc w:val="both"/>
        <w:rPr>
          <w:sz w:val="22"/>
          <w:szCs w:val="22"/>
        </w:rPr>
      </w:pPr>
      <w:r w:rsidRPr="00DB0C40">
        <w:rPr>
          <w:sz w:val="22"/>
          <w:szCs w:val="22"/>
        </w:rPr>
        <w:t xml:space="preserve">The application of special protective provisions due to the gender of the worker does not justify the application of a lower wage. </w:t>
      </w:r>
    </w:p>
    <w:p w14:paraId="3EA4BE5F" w14:textId="77777777" w:rsidR="00BB44E1" w:rsidRPr="00DB0C40" w:rsidRDefault="00BB44E1">
      <w:pPr>
        <w:jc w:val="both"/>
        <w:rPr>
          <w:sz w:val="22"/>
          <w:szCs w:val="22"/>
        </w:rPr>
      </w:pPr>
    </w:p>
    <w:p w14:paraId="51282AF6" w14:textId="77777777" w:rsidR="00BB44E1" w:rsidRPr="00DB0C40" w:rsidRDefault="00230B49">
      <w:pPr>
        <w:jc w:val="both"/>
        <w:rPr>
          <w:sz w:val="22"/>
          <w:szCs w:val="22"/>
        </w:rPr>
      </w:pPr>
      <w:r w:rsidRPr="00DB0C40">
        <w:rPr>
          <w:sz w:val="22"/>
          <w:szCs w:val="22"/>
        </w:rPr>
        <w:t>Notwithstanding, the new Labour Act enacted in 2003 was an important step towards establishing the principle of anti-discrimination in employment and securing more equal rights between women and men. Article 5, the principle of equal treatment, clearly states that “No discrimination based on language, race, sex, political opinion, philosophical belief, religion and sex or similar reasons is permissible in the employment relationship.”</w:t>
      </w:r>
    </w:p>
    <w:p w14:paraId="0D050127" w14:textId="77777777" w:rsidR="00BB44E1" w:rsidRPr="00DB0C40" w:rsidRDefault="00BB44E1">
      <w:pPr>
        <w:jc w:val="both"/>
        <w:rPr>
          <w:sz w:val="22"/>
          <w:szCs w:val="22"/>
        </w:rPr>
      </w:pPr>
    </w:p>
    <w:p w14:paraId="1409EA38" w14:textId="5CFE212C" w:rsidR="00BB44E1" w:rsidRPr="00DB0C40" w:rsidRDefault="00230B49">
      <w:pPr>
        <w:jc w:val="both"/>
        <w:rPr>
          <w:sz w:val="22"/>
          <w:szCs w:val="22"/>
        </w:rPr>
      </w:pPr>
      <w:r w:rsidRPr="00DB0C40">
        <w:rPr>
          <w:sz w:val="22"/>
          <w:szCs w:val="22"/>
        </w:rPr>
        <w:t xml:space="preserve">Pursuant to Article 72 of the Labour Law, it is prohibited to employ men and women of any age who have not completed the age of eighteen in underground or underwater works such as mines, cable laying, sewerage and tunnel construction. In the Labour Law (art. 74), breastfeeding leave is given to female workers for a total of one and a half hours a day to breastfeed their children under the age of one. Sexual harassment is included in the “regulations on termination without notice” in the </w:t>
      </w:r>
      <w:r w:rsidR="00AE67F2">
        <w:rPr>
          <w:sz w:val="22"/>
          <w:szCs w:val="22"/>
        </w:rPr>
        <w:t>Labour</w:t>
      </w:r>
      <w:r w:rsidRPr="00DB0C40">
        <w:rPr>
          <w:sz w:val="22"/>
          <w:szCs w:val="22"/>
        </w:rPr>
        <w:t xml:space="preserve"> Law. According to Article 24 of the Labo</w:t>
      </w:r>
      <w:r w:rsidR="00EA37BB">
        <w:rPr>
          <w:sz w:val="22"/>
          <w:szCs w:val="22"/>
        </w:rPr>
        <w:t>u</w:t>
      </w:r>
      <w:r w:rsidRPr="00DB0C40">
        <w:rPr>
          <w:sz w:val="22"/>
          <w:szCs w:val="22"/>
        </w:rPr>
        <w:t xml:space="preserve">r Law, if the employer speaks or acts in a way that harms and </w:t>
      </w:r>
      <w:r w:rsidR="00E0559E" w:rsidRPr="00DB0C40">
        <w:rPr>
          <w:sz w:val="22"/>
          <w:szCs w:val="22"/>
        </w:rPr>
        <w:t>honour</w:t>
      </w:r>
      <w:r w:rsidRPr="00DB0C40">
        <w:rPr>
          <w:sz w:val="22"/>
          <w:szCs w:val="22"/>
        </w:rPr>
        <w:t xml:space="preserve"> of the employee or one of the family members, or sexually harasses the employee, the employee has the right to terminate immediately for just cause.</w:t>
      </w:r>
    </w:p>
    <w:p w14:paraId="5B6B30E5" w14:textId="77777777" w:rsidR="00BB44E1" w:rsidRPr="00DB0C40" w:rsidRDefault="00BB44E1">
      <w:pPr>
        <w:jc w:val="both"/>
        <w:rPr>
          <w:sz w:val="22"/>
          <w:szCs w:val="22"/>
        </w:rPr>
      </w:pPr>
    </w:p>
    <w:p w14:paraId="3A3FB721" w14:textId="37A8F445" w:rsidR="00BB44E1" w:rsidRPr="00DB0C40" w:rsidRDefault="00230B49">
      <w:pPr>
        <w:jc w:val="both"/>
        <w:rPr>
          <w:sz w:val="22"/>
          <w:szCs w:val="22"/>
        </w:rPr>
      </w:pPr>
      <w:r w:rsidRPr="00DB0C40">
        <w:rPr>
          <w:sz w:val="22"/>
          <w:szCs w:val="22"/>
        </w:rPr>
        <w:t>In accordance with the relevant provisions, a woman who terminated her employment due to marriage is entitled to severance pay. The Labo</w:t>
      </w:r>
      <w:r w:rsidR="00EA37BB">
        <w:rPr>
          <w:sz w:val="22"/>
          <w:szCs w:val="22"/>
        </w:rPr>
        <w:t>u</w:t>
      </w:r>
      <w:r w:rsidRPr="00DB0C40">
        <w:rPr>
          <w:sz w:val="22"/>
          <w:szCs w:val="22"/>
        </w:rPr>
        <w:t xml:space="preserve">r Law extended paid maternity leave from 12 to 16 weeks; eight weeks before and eight weeks after birth (Article 74). Under the maternity benefit scheme women receive an Incapacity for work compensation amounting to two-thirds (2/3) of their full salary from the Social Security </w:t>
      </w:r>
      <w:r w:rsidR="00E0559E" w:rsidRPr="00DB0C40">
        <w:rPr>
          <w:sz w:val="22"/>
          <w:szCs w:val="22"/>
        </w:rPr>
        <w:t>Institution. Women</w:t>
      </w:r>
      <w:r w:rsidRPr="00DB0C40">
        <w:rPr>
          <w:sz w:val="22"/>
          <w:szCs w:val="22"/>
        </w:rPr>
        <w:t xml:space="preserve"> also receive a lump sum pregnancy benefit (subject to the certification of pregnancy before the date of birth), childbirth benefit and nursing grant. 2011 law extended maternity leave to twelve months for civil servants and six months for others on an unpaid basis. It also granted a 10-day paternity leave to civil servants whose wives have given birth. However, paternity leave is voluntary and not foreseen for workers or employees in the law.</w:t>
      </w:r>
    </w:p>
    <w:p w14:paraId="39614315" w14:textId="77777777" w:rsidR="00BB44E1" w:rsidRPr="00DB0C40" w:rsidRDefault="00BB44E1">
      <w:pPr>
        <w:jc w:val="both"/>
        <w:rPr>
          <w:sz w:val="22"/>
          <w:szCs w:val="22"/>
        </w:rPr>
      </w:pPr>
    </w:p>
    <w:p w14:paraId="2CA644AF" w14:textId="6875574E" w:rsidR="00BA33A9" w:rsidRPr="00CD2A61" w:rsidRDefault="00230B49">
      <w:pPr>
        <w:jc w:val="both"/>
        <w:rPr>
          <w:rFonts w:asciiTheme="majorHAnsi" w:eastAsiaTheme="majorEastAsia" w:hAnsiTheme="majorHAnsi" w:cstheme="majorBidi"/>
          <w:color w:val="1F3763" w:themeColor="accent1" w:themeShade="7F"/>
        </w:rPr>
      </w:pPr>
      <w:bookmarkStart w:id="66" w:name="_heading=h.1t3h5sf" w:colFirst="0" w:colLast="0"/>
      <w:bookmarkEnd w:id="66"/>
      <w:r w:rsidRPr="00CD2A61">
        <w:rPr>
          <w:rFonts w:asciiTheme="majorHAnsi" w:eastAsiaTheme="majorEastAsia" w:hAnsiTheme="majorHAnsi" w:cstheme="majorBidi"/>
          <w:color w:val="1F3763" w:themeColor="accent1" w:themeShade="7F"/>
        </w:rPr>
        <w:t>3.</w:t>
      </w:r>
      <w:r w:rsidR="00940930" w:rsidRPr="00CD2A61">
        <w:rPr>
          <w:rFonts w:asciiTheme="majorHAnsi" w:eastAsiaTheme="majorEastAsia" w:hAnsiTheme="majorHAnsi" w:cstheme="majorBidi"/>
          <w:color w:val="1F3763" w:themeColor="accent1" w:themeShade="7F"/>
        </w:rPr>
        <w:t>7</w:t>
      </w:r>
      <w:r w:rsidR="00BA33A9" w:rsidRPr="00CD2A61">
        <w:rPr>
          <w:rFonts w:asciiTheme="majorHAnsi" w:eastAsiaTheme="majorEastAsia" w:hAnsiTheme="majorHAnsi" w:cstheme="majorBidi"/>
          <w:color w:val="1F3763" w:themeColor="accent1" w:themeShade="7F"/>
        </w:rPr>
        <w:t>.</w:t>
      </w:r>
      <w:r w:rsidRPr="00CD2A61">
        <w:rPr>
          <w:rFonts w:asciiTheme="majorHAnsi" w:eastAsiaTheme="majorEastAsia" w:hAnsiTheme="majorHAnsi" w:cstheme="majorBidi"/>
          <w:color w:val="1F3763" w:themeColor="accent1" w:themeShade="7F"/>
        </w:rPr>
        <w:t xml:space="preserve">3. Regulation on Minimum Wage (No. 25540) </w:t>
      </w:r>
    </w:p>
    <w:p w14:paraId="198AE0F2" w14:textId="77777777" w:rsidR="00AE67F2" w:rsidRDefault="00AE67F2">
      <w:pPr>
        <w:jc w:val="both"/>
        <w:rPr>
          <w:sz w:val="22"/>
          <w:szCs w:val="22"/>
        </w:rPr>
      </w:pPr>
    </w:p>
    <w:p w14:paraId="63574B27" w14:textId="41594A79" w:rsidR="00BB44E1" w:rsidRPr="00DB0C40" w:rsidRDefault="00BA33A9">
      <w:pPr>
        <w:jc w:val="both"/>
        <w:rPr>
          <w:sz w:val="22"/>
          <w:szCs w:val="22"/>
        </w:rPr>
      </w:pPr>
      <w:r w:rsidRPr="00DB0C40">
        <w:rPr>
          <w:sz w:val="22"/>
          <w:szCs w:val="22"/>
        </w:rPr>
        <w:t xml:space="preserve">This </w:t>
      </w:r>
      <w:r w:rsidR="00230B49" w:rsidRPr="00DB0C40">
        <w:rPr>
          <w:sz w:val="22"/>
          <w:szCs w:val="22"/>
        </w:rPr>
        <w:t xml:space="preserve">prohibits discrimination based on sex in the determination of the minimum wage. The Regulation also published in 2004 aimed to regulate the Minimum Wage Fixing Board. </w:t>
      </w:r>
      <w:r w:rsidR="00230B49" w:rsidRPr="00DB0C40">
        <w:rPr>
          <w:b/>
          <w:sz w:val="22"/>
          <w:szCs w:val="22"/>
        </w:rPr>
        <w:t>The Trade Unions and Collective Bargaining Law</w:t>
      </w:r>
      <w:r w:rsidR="00230B49" w:rsidRPr="00DB0C40">
        <w:rPr>
          <w:sz w:val="22"/>
          <w:szCs w:val="22"/>
        </w:rPr>
        <w:t xml:space="preserve"> uphold that institutions (unions and confederations) must treat members equally and take gender equality into account in their dealings.</w:t>
      </w:r>
    </w:p>
    <w:p w14:paraId="203D939B" w14:textId="77777777" w:rsidR="00BB44E1" w:rsidRPr="00DB0C40" w:rsidRDefault="00BB44E1">
      <w:pPr>
        <w:jc w:val="both"/>
        <w:rPr>
          <w:sz w:val="22"/>
          <w:szCs w:val="22"/>
        </w:rPr>
      </w:pPr>
    </w:p>
    <w:p w14:paraId="75545D53" w14:textId="3708E26F" w:rsidR="00BB44E1" w:rsidRPr="00CD2A61" w:rsidRDefault="00230B49" w:rsidP="00CD2A61">
      <w:pPr>
        <w:jc w:val="both"/>
        <w:rPr>
          <w:rFonts w:asciiTheme="majorHAnsi" w:eastAsiaTheme="majorEastAsia" w:hAnsiTheme="majorHAnsi" w:cstheme="majorBidi"/>
          <w:color w:val="1F3763" w:themeColor="accent1" w:themeShade="7F"/>
        </w:rPr>
      </w:pPr>
      <w:bookmarkStart w:id="67" w:name="_heading=h.4d34og8" w:colFirst="0" w:colLast="0"/>
      <w:bookmarkEnd w:id="67"/>
      <w:r w:rsidRPr="00CD2A61">
        <w:rPr>
          <w:rFonts w:asciiTheme="majorHAnsi" w:eastAsiaTheme="majorEastAsia" w:hAnsiTheme="majorHAnsi" w:cstheme="majorBidi"/>
          <w:color w:val="1F3763" w:themeColor="accent1" w:themeShade="7F"/>
        </w:rPr>
        <w:t>3.</w:t>
      </w:r>
      <w:r w:rsidR="00940930" w:rsidRPr="00CD2A61">
        <w:rPr>
          <w:rFonts w:asciiTheme="majorHAnsi" w:eastAsiaTheme="majorEastAsia" w:hAnsiTheme="majorHAnsi" w:cstheme="majorBidi"/>
          <w:color w:val="1F3763" w:themeColor="accent1" w:themeShade="7F"/>
        </w:rPr>
        <w:t>7</w:t>
      </w:r>
      <w:r w:rsidR="00BA33A9" w:rsidRPr="00CD2A61">
        <w:rPr>
          <w:rFonts w:asciiTheme="majorHAnsi" w:eastAsiaTheme="majorEastAsia" w:hAnsiTheme="majorHAnsi" w:cstheme="majorBidi"/>
          <w:color w:val="1F3763" w:themeColor="accent1" w:themeShade="7F"/>
        </w:rPr>
        <w:t>.</w:t>
      </w:r>
      <w:r w:rsidRPr="00CD2A61">
        <w:rPr>
          <w:rFonts w:asciiTheme="majorHAnsi" w:eastAsiaTheme="majorEastAsia" w:hAnsiTheme="majorHAnsi" w:cstheme="majorBidi"/>
          <w:color w:val="1F3763" w:themeColor="accent1" w:themeShade="7F"/>
        </w:rPr>
        <w:t>4. Law No 5510 on Social Insurance and Universal Health Insurance</w:t>
      </w:r>
    </w:p>
    <w:p w14:paraId="6682C1FF" w14:textId="77777777" w:rsidR="00AE67F2" w:rsidRDefault="00AE67F2">
      <w:pPr>
        <w:jc w:val="both"/>
        <w:rPr>
          <w:sz w:val="22"/>
          <w:szCs w:val="22"/>
        </w:rPr>
      </w:pPr>
    </w:p>
    <w:p w14:paraId="408D25F3" w14:textId="25AC854E" w:rsidR="00BB44E1" w:rsidRPr="00DB0C40" w:rsidRDefault="00230B49">
      <w:pPr>
        <w:jc w:val="both"/>
        <w:rPr>
          <w:sz w:val="22"/>
          <w:szCs w:val="22"/>
        </w:rPr>
      </w:pPr>
      <w:r w:rsidRPr="00DB0C40">
        <w:rPr>
          <w:sz w:val="22"/>
          <w:szCs w:val="22"/>
        </w:rPr>
        <w:t xml:space="preserve">The following articles of the law was amended to include equality principle: Article 28, Article 4/a, Article 41, Article 16, and 18. In particular, Article 16 regulates home-based working. </w:t>
      </w:r>
    </w:p>
    <w:p w14:paraId="01F5AB3B" w14:textId="77777777" w:rsidR="00BB44E1" w:rsidRPr="00DB0C40" w:rsidRDefault="00230B49">
      <w:pPr>
        <w:jc w:val="both"/>
        <w:rPr>
          <w:sz w:val="22"/>
          <w:szCs w:val="22"/>
        </w:rPr>
      </w:pPr>
      <w:r w:rsidRPr="00DB0C40">
        <w:rPr>
          <w:sz w:val="22"/>
          <w:szCs w:val="22"/>
        </w:rPr>
        <w:t>With the temporary article 16 added to the Law No. 5510 with the Law No. 5763, and according to the Income Tax Law No. 193 (art. 9/6), those who offer products such as the towel, bed linen, knitting work, tarhana or similar for sale in places such as bazaars, fairs, etc., without opening a workplace, have the right to be covered by social security by temporarily paying a lower premium than normal.</w:t>
      </w:r>
    </w:p>
    <w:p w14:paraId="48B6A2A4" w14:textId="77777777" w:rsidR="00BB44E1" w:rsidRPr="00DB0C40" w:rsidRDefault="00BB44E1">
      <w:pPr>
        <w:jc w:val="both"/>
        <w:rPr>
          <w:sz w:val="22"/>
          <w:szCs w:val="22"/>
        </w:rPr>
      </w:pPr>
    </w:p>
    <w:p w14:paraId="218A4DDE" w14:textId="45A21567" w:rsidR="00BB44E1" w:rsidRPr="00CD2A61" w:rsidRDefault="00230B49" w:rsidP="00CD2A61">
      <w:pPr>
        <w:jc w:val="both"/>
        <w:rPr>
          <w:rFonts w:asciiTheme="majorHAnsi" w:eastAsiaTheme="majorEastAsia" w:hAnsiTheme="majorHAnsi" w:cstheme="majorBidi"/>
          <w:color w:val="1F3763" w:themeColor="accent1" w:themeShade="7F"/>
        </w:rPr>
      </w:pPr>
      <w:bookmarkStart w:id="68" w:name="_heading=h.2s8eyo1" w:colFirst="0" w:colLast="0"/>
      <w:bookmarkEnd w:id="68"/>
      <w:r w:rsidRPr="00CD2A61">
        <w:rPr>
          <w:rFonts w:asciiTheme="majorHAnsi" w:eastAsiaTheme="majorEastAsia" w:hAnsiTheme="majorHAnsi" w:cstheme="majorBidi"/>
          <w:color w:val="1F3763" w:themeColor="accent1" w:themeShade="7F"/>
        </w:rPr>
        <w:t>3.</w:t>
      </w:r>
      <w:r w:rsidR="00940930" w:rsidRPr="00CD2A61">
        <w:rPr>
          <w:rFonts w:asciiTheme="majorHAnsi" w:eastAsiaTheme="majorEastAsia" w:hAnsiTheme="majorHAnsi" w:cstheme="majorBidi"/>
          <w:color w:val="1F3763" w:themeColor="accent1" w:themeShade="7F"/>
        </w:rPr>
        <w:t>7</w:t>
      </w:r>
      <w:r w:rsidR="00BA33A9" w:rsidRPr="00CD2A61">
        <w:rPr>
          <w:rFonts w:asciiTheme="majorHAnsi" w:eastAsiaTheme="majorEastAsia" w:hAnsiTheme="majorHAnsi" w:cstheme="majorBidi"/>
          <w:color w:val="1F3763" w:themeColor="accent1" w:themeShade="7F"/>
        </w:rPr>
        <w:t>.</w:t>
      </w:r>
      <w:r w:rsidRPr="00CD2A61">
        <w:rPr>
          <w:rFonts w:asciiTheme="majorHAnsi" w:eastAsiaTheme="majorEastAsia" w:hAnsiTheme="majorHAnsi" w:cstheme="majorBidi"/>
          <w:color w:val="1F3763" w:themeColor="accent1" w:themeShade="7F"/>
        </w:rPr>
        <w:t>5. Regulation on Working Conditions of Women Employees in Night Shifts</w:t>
      </w:r>
    </w:p>
    <w:p w14:paraId="79113F0B" w14:textId="77777777" w:rsidR="00AE67F2" w:rsidRDefault="00AE67F2">
      <w:pPr>
        <w:jc w:val="both"/>
        <w:rPr>
          <w:sz w:val="22"/>
          <w:szCs w:val="22"/>
        </w:rPr>
      </w:pPr>
    </w:p>
    <w:p w14:paraId="51D9F16C" w14:textId="762B6010" w:rsidR="00BB44E1" w:rsidRPr="00DB0C40" w:rsidRDefault="00230B49">
      <w:pPr>
        <w:jc w:val="both"/>
        <w:rPr>
          <w:sz w:val="22"/>
          <w:szCs w:val="22"/>
        </w:rPr>
      </w:pPr>
      <w:r w:rsidRPr="00DB0C40">
        <w:rPr>
          <w:sz w:val="22"/>
          <w:szCs w:val="22"/>
        </w:rPr>
        <w:t>Article 5 of the Regulation controls the procedures and principles regarding the employment of female employees over the age of 18 in night shifts. Female employees cannot work more than 7.5 hours in night shift. Women employees cannot be employed in night shifts for a period of one year from the date they are determined by a doctor's report to be pregnant, and women who are breastfeeding, from the date of birth, without prejudice to the provisions of their own legislation.</w:t>
      </w:r>
    </w:p>
    <w:p w14:paraId="310FA9C8" w14:textId="77777777" w:rsidR="00BB44E1" w:rsidRPr="00DB0C40" w:rsidRDefault="00BB44E1">
      <w:pPr>
        <w:jc w:val="both"/>
        <w:rPr>
          <w:sz w:val="22"/>
          <w:szCs w:val="22"/>
        </w:rPr>
      </w:pPr>
    </w:p>
    <w:p w14:paraId="40F12690" w14:textId="4D1A3CF7" w:rsidR="00BB44E1" w:rsidRPr="00CD2A61" w:rsidRDefault="00230B49" w:rsidP="00CD2A61">
      <w:pPr>
        <w:jc w:val="both"/>
        <w:rPr>
          <w:rFonts w:asciiTheme="majorHAnsi" w:eastAsiaTheme="majorEastAsia" w:hAnsiTheme="majorHAnsi" w:cstheme="majorBidi"/>
          <w:color w:val="1F3763" w:themeColor="accent1" w:themeShade="7F"/>
        </w:rPr>
      </w:pPr>
      <w:bookmarkStart w:id="69" w:name="_heading=h.17dp8vu" w:colFirst="0" w:colLast="0"/>
      <w:bookmarkEnd w:id="69"/>
      <w:r w:rsidRPr="00CD2A61">
        <w:rPr>
          <w:rFonts w:asciiTheme="majorHAnsi" w:eastAsiaTheme="majorEastAsia" w:hAnsiTheme="majorHAnsi" w:cstheme="majorBidi"/>
          <w:color w:val="1F3763" w:themeColor="accent1" w:themeShade="7F"/>
        </w:rPr>
        <w:t>3.</w:t>
      </w:r>
      <w:r w:rsidR="00940930" w:rsidRPr="00CD2A61">
        <w:rPr>
          <w:rFonts w:asciiTheme="majorHAnsi" w:eastAsiaTheme="majorEastAsia" w:hAnsiTheme="majorHAnsi" w:cstheme="majorBidi"/>
          <w:color w:val="1F3763" w:themeColor="accent1" w:themeShade="7F"/>
        </w:rPr>
        <w:t>7</w:t>
      </w:r>
      <w:r w:rsidR="00BA33A9" w:rsidRPr="00CD2A61">
        <w:rPr>
          <w:rFonts w:asciiTheme="majorHAnsi" w:eastAsiaTheme="majorEastAsia" w:hAnsiTheme="majorHAnsi" w:cstheme="majorBidi"/>
          <w:color w:val="1F3763" w:themeColor="accent1" w:themeShade="7F"/>
        </w:rPr>
        <w:t>.</w:t>
      </w:r>
      <w:r w:rsidRPr="00CD2A61">
        <w:rPr>
          <w:rFonts w:asciiTheme="majorHAnsi" w:eastAsiaTheme="majorEastAsia" w:hAnsiTheme="majorHAnsi" w:cstheme="majorBidi"/>
          <w:color w:val="1F3763" w:themeColor="accent1" w:themeShade="7F"/>
        </w:rPr>
        <w:t>6. Regulation on Working Conditions of Pregnant and Breastfeeding Women and Breastfeeding Rooms and Childcare Dormitories</w:t>
      </w:r>
    </w:p>
    <w:p w14:paraId="07AF9673" w14:textId="77777777" w:rsidR="00AE67F2" w:rsidRDefault="00AE67F2">
      <w:pPr>
        <w:jc w:val="both"/>
        <w:rPr>
          <w:sz w:val="22"/>
          <w:szCs w:val="22"/>
        </w:rPr>
      </w:pPr>
    </w:p>
    <w:p w14:paraId="7E613208" w14:textId="7F7D5EED" w:rsidR="00BB44E1" w:rsidRPr="00DB0C40" w:rsidRDefault="00230B49">
      <w:pPr>
        <w:jc w:val="both"/>
        <w:rPr>
          <w:sz w:val="22"/>
          <w:szCs w:val="22"/>
        </w:rPr>
      </w:pPr>
      <w:r w:rsidRPr="00DB0C40">
        <w:rPr>
          <w:sz w:val="22"/>
          <w:szCs w:val="22"/>
        </w:rPr>
        <w:t xml:space="preserve">Female employees cannot be forced to work at night from the time they are found to be pregnant with a health report until delivery. If an employee has recently given birth, she cannot be forced to work at night for a year following the delivery. Pursuant to Article 13 of the Regulation, in workplaces with 100-150 female employees, regardless of their age and marital status, it is obligatory to establish a breastfeeding room separate from the workplace and at a distance of 250 meters from the workplace at most. Regardless of their age and marital status, in workplaces with more than 150 female employees, it is obligatory for the employer to establish a dormitory close to the workplace for the care of employees’ children. </w:t>
      </w:r>
    </w:p>
    <w:p w14:paraId="71C9674C" w14:textId="77777777" w:rsidR="00BB44E1" w:rsidRPr="00DB0C40" w:rsidRDefault="00BB44E1">
      <w:pPr>
        <w:keepNext/>
        <w:keepLines/>
        <w:spacing w:before="40"/>
        <w:rPr>
          <w:color w:val="2F5496"/>
          <w:sz w:val="26"/>
          <w:szCs w:val="26"/>
        </w:rPr>
      </w:pPr>
    </w:p>
    <w:p w14:paraId="568CBB54" w14:textId="4A4D8E4E" w:rsidR="00BB44E1" w:rsidRPr="00DB0C40" w:rsidRDefault="00230B49" w:rsidP="00CD2A61">
      <w:pPr>
        <w:jc w:val="both"/>
        <w:rPr>
          <w:b/>
          <w:bCs/>
          <w:sz w:val="22"/>
          <w:szCs w:val="22"/>
        </w:rPr>
      </w:pPr>
      <w:bookmarkStart w:id="70" w:name="_heading=h.3rdcrjn" w:colFirst="0" w:colLast="0"/>
      <w:bookmarkEnd w:id="70"/>
      <w:r w:rsidRPr="00CD2A61">
        <w:rPr>
          <w:rFonts w:asciiTheme="majorHAnsi" w:eastAsiaTheme="majorEastAsia" w:hAnsiTheme="majorHAnsi" w:cstheme="majorBidi"/>
          <w:color w:val="1F3763" w:themeColor="accent1" w:themeShade="7F"/>
        </w:rPr>
        <w:t>3.</w:t>
      </w:r>
      <w:r w:rsidR="00940930" w:rsidRPr="00CD2A61">
        <w:rPr>
          <w:rFonts w:asciiTheme="majorHAnsi" w:eastAsiaTheme="majorEastAsia" w:hAnsiTheme="majorHAnsi" w:cstheme="majorBidi"/>
          <w:color w:val="1F3763" w:themeColor="accent1" w:themeShade="7F"/>
        </w:rPr>
        <w:t>7</w:t>
      </w:r>
      <w:r w:rsidR="00BA33A9" w:rsidRPr="00CD2A61">
        <w:rPr>
          <w:rFonts w:asciiTheme="majorHAnsi" w:eastAsiaTheme="majorEastAsia" w:hAnsiTheme="majorHAnsi" w:cstheme="majorBidi"/>
          <w:color w:val="1F3763" w:themeColor="accent1" w:themeShade="7F"/>
        </w:rPr>
        <w:t>.</w:t>
      </w:r>
      <w:r w:rsidRPr="00CD2A61">
        <w:rPr>
          <w:rFonts w:asciiTheme="majorHAnsi" w:eastAsiaTheme="majorEastAsia" w:hAnsiTheme="majorHAnsi" w:cstheme="majorBidi"/>
          <w:color w:val="1F3763" w:themeColor="accent1" w:themeShade="7F"/>
        </w:rPr>
        <w:t>7.</w:t>
      </w:r>
      <w:r w:rsidR="00BA33A9" w:rsidRPr="00CD2A61">
        <w:rPr>
          <w:rFonts w:asciiTheme="majorHAnsi" w:eastAsiaTheme="majorEastAsia" w:hAnsiTheme="majorHAnsi" w:cstheme="majorBidi"/>
          <w:color w:val="1F3763" w:themeColor="accent1" w:themeShade="7F"/>
        </w:rPr>
        <w:t xml:space="preserve"> </w:t>
      </w:r>
      <w:r w:rsidRPr="00CD2A61">
        <w:rPr>
          <w:rFonts w:asciiTheme="majorHAnsi" w:eastAsiaTheme="majorEastAsia" w:hAnsiTheme="majorHAnsi" w:cstheme="majorBidi"/>
          <w:color w:val="1F3763" w:themeColor="accent1" w:themeShade="7F"/>
        </w:rPr>
        <w:t>Law No. 6331 on Occupational Health and Safety</w:t>
      </w:r>
      <w:r w:rsidRPr="00DB0C40">
        <w:rPr>
          <w:b/>
          <w:bCs/>
          <w:sz w:val="22"/>
          <w:szCs w:val="22"/>
        </w:rPr>
        <w:t xml:space="preserve"> </w:t>
      </w:r>
    </w:p>
    <w:p w14:paraId="433C6862" w14:textId="77777777" w:rsidR="00AE67F2" w:rsidRDefault="00AE67F2">
      <w:pPr>
        <w:jc w:val="both"/>
        <w:rPr>
          <w:sz w:val="22"/>
          <w:szCs w:val="22"/>
        </w:rPr>
      </w:pPr>
    </w:p>
    <w:p w14:paraId="6FFB74EE" w14:textId="6BEB76E0" w:rsidR="00BB44E1" w:rsidRPr="00DB0C40" w:rsidRDefault="00230B49">
      <w:pPr>
        <w:jc w:val="both"/>
        <w:rPr>
          <w:sz w:val="22"/>
          <w:szCs w:val="22"/>
        </w:rPr>
      </w:pPr>
      <w:r w:rsidRPr="00DB0C40">
        <w:rPr>
          <w:sz w:val="22"/>
          <w:szCs w:val="22"/>
        </w:rPr>
        <w:t>In Article 10 of the Law No. 6331, titled risk assessment, control, measurement and research, it is stated that the employer is obliged to make or have a risk assessment in terms of occupational health and safety for groups that require special policies, such as pregnant or breastfeeding employees, and female employees.</w:t>
      </w:r>
    </w:p>
    <w:p w14:paraId="1CC1D27D" w14:textId="77777777" w:rsidR="00BB44E1" w:rsidRPr="00DB0C40" w:rsidRDefault="00BB44E1">
      <w:pPr>
        <w:jc w:val="both"/>
        <w:rPr>
          <w:sz w:val="22"/>
          <w:szCs w:val="22"/>
        </w:rPr>
      </w:pPr>
    </w:p>
    <w:p w14:paraId="52B4BAFC" w14:textId="1A0E4B90" w:rsidR="00BB44E1" w:rsidRPr="00CD2A61" w:rsidRDefault="00230B49" w:rsidP="00CD2A61">
      <w:pPr>
        <w:jc w:val="both"/>
        <w:rPr>
          <w:rFonts w:asciiTheme="majorHAnsi" w:eastAsiaTheme="majorEastAsia" w:hAnsiTheme="majorHAnsi" w:cstheme="majorBidi"/>
          <w:color w:val="1F3763" w:themeColor="accent1" w:themeShade="7F"/>
        </w:rPr>
      </w:pPr>
      <w:bookmarkStart w:id="71" w:name="_heading=h.26in1rg" w:colFirst="0" w:colLast="0"/>
      <w:bookmarkEnd w:id="71"/>
      <w:r w:rsidRPr="00CD2A61">
        <w:rPr>
          <w:rFonts w:asciiTheme="majorHAnsi" w:eastAsiaTheme="majorEastAsia" w:hAnsiTheme="majorHAnsi" w:cstheme="majorBidi"/>
          <w:color w:val="1F3763" w:themeColor="accent1" w:themeShade="7F"/>
        </w:rPr>
        <w:t>3.</w:t>
      </w:r>
      <w:r w:rsidR="00940930" w:rsidRPr="00CD2A61">
        <w:rPr>
          <w:rFonts w:asciiTheme="majorHAnsi" w:eastAsiaTheme="majorEastAsia" w:hAnsiTheme="majorHAnsi" w:cstheme="majorBidi"/>
          <w:color w:val="1F3763" w:themeColor="accent1" w:themeShade="7F"/>
        </w:rPr>
        <w:t>7</w:t>
      </w:r>
      <w:r w:rsidR="00BA33A9" w:rsidRPr="00CD2A61">
        <w:rPr>
          <w:rFonts w:asciiTheme="majorHAnsi" w:eastAsiaTheme="majorEastAsia" w:hAnsiTheme="majorHAnsi" w:cstheme="majorBidi"/>
          <w:color w:val="1F3763" w:themeColor="accent1" w:themeShade="7F"/>
        </w:rPr>
        <w:t>.</w:t>
      </w:r>
      <w:r w:rsidRPr="00CD2A61">
        <w:rPr>
          <w:rFonts w:asciiTheme="majorHAnsi" w:eastAsiaTheme="majorEastAsia" w:hAnsiTheme="majorHAnsi" w:cstheme="majorBidi"/>
          <w:color w:val="1F3763" w:themeColor="accent1" w:themeShade="7F"/>
        </w:rPr>
        <w:t>8. Debts Law No. 6098</w:t>
      </w:r>
    </w:p>
    <w:p w14:paraId="1F8928B5" w14:textId="77777777" w:rsidR="00AE67F2" w:rsidRDefault="00AE67F2">
      <w:pPr>
        <w:jc w:val="both"/>
        <w:rPr>
          <w:sz w:val="22"/>
          <w:szCs w:val="22"/>
        </w:rPr>
      </w:pPr>
    </w:p>
    <w:p w14:paraId="7A762A83" w14:textId="3A9920B9" w:rsidR="00BB44E1" w:rsidRPr="00DB0C40" w:rsidRDefault="00230B49">
      <w:pPr>
        <w:jc w:val="both"/>
        <w:rPr>
          <w:sz w:val="22"/>
          <w:szCs w:val="22"/>
        </w:rPr>
      </w:pPr>
      <w:r w:rsidRPr="00DB0C40">
        <w:rPr>
          <w:sz w:val="22"/>
          <w:szCs w:val="22"/>
        </w:rPr>
        <w:t xml:space="preserve">In Article 417 on the protection of the employee's personality, the employer is obliged to take the necessary measures to prevent the workers from being subjected to psychological and sexual harassment and to prevent further harm to those who have been subjected to such harassment. Article 418 stipulates that the employer should provide care and treatment for a certain period of time in case of pregnancy and childbirth of a female worker who works at home and cannot benefit from social insurance benefits. According to Article 423/3, the employer will not be able to deduct the annual paid leave period of the female worker, who cannot </w:t>
      </w:r>
      <w:r w:rsidR="00E0559E" w:rsidRPr="00DB0C40">
        <w:rPr>
          <w:sz w:val="22"/>
          <w:szCs w:val="22"/>
        </w:rPr>
        <w:t>fulfil</w:t>
      </w:r>
      <w:r w:rsidRPr="00DB0C40">
        <w:rPr>
          <w:sz w:val="22"/>
          <w:szCs w:val="22"/>
        </w:rPr>
        <w:t xml:space="preserve"> the act of working for a maximum of three months due to pregnancy and giving birth. </w:t>
      </w:r>
    </w:p>
    <w:p w14:paraId="2249E30C" w14:textId="77777777" w:rsidR="00BB44E1" w:rsidRPr="00DB0C40" w:rsidRDefault="00BB44E1">
      <w:pPr>
        <w:jc w:val="both"/>
        <w:rPr>
          <w:sz w:val="22"/>
          <w:szCs w:val="22"/>
        </w:rPr>
      </w:pPr>
    </w:p>
    <w:p w14:paraId="0797F5CA" w14:textId="65F2423C" w:rsidR="00BB44E1" w:rsidRPr="00CD2A61" w:rsidRDefault="00230B49" w:rsidP="00CD2A61">
      <w:pPr>
        <w:jc w:val="both"/>
        <w:rPr>
          <w:rFonts w:asciiTheme="majorHAnsi" w:eastAsiaTheme="majorEastAsia" w:hAnsiTheme="majorHAnsi" w:cstheme="majorBidi"/>
          <w:color w:val="1F3763" w:themeColor="accent1" w:themeShade="7F"/>
        </w:rPr>
      </w:pPr>
      <w:bookmarkStart w:id="72" w:name="_heading=h.lnxbz9" w:colFirst="0" w:colLast="0"/>
      <w:bookmarkEnd w:id="72"/>
      <w:r w:rsidRPr="00CD2A61">
        <w:rPr>
          <w:rFonts w:asciiTheme="majorHAnsi" w:eastAsiaTheme="majorEastAsia" w:hAnsiTheme="majorHAnsi" w:cstheme="majorBidi"/>
          <w:color w:val="1F3763" w:themeColor="accent1" w:themeShade="7F"/>
        </w:rPr>
        <w:t>3.</w:t>
      </w:r>
      <w:r w:rsidR="00940930" w:rsidRPr="00CD2A61">
        <w:rPr>
          <w:rFonts w:asciiTheme="majorHAnsi" w:eastAsiaTheme="majorEastAsia" w:hAnsiTheme="majorHAnsi" w:cstheme="majorBidi"/>
          <w:color w:val="1F3763" w:themeColor="accent1" w:themeShade="7F"/>
        </w:rPr>
        <w:t>7</w:t>
      </w:r>
      <w:r w:rsidR="00BA33A9" w:rsidRPr="00CD2A61">
        <w:rPr>
          <w:rFonts w:asciiTheme="majorHAnsi" w:eastAsiaTheme="majorEastAsia" w:hAnsiTheme="majorHAnsi" w:cstheme="majorBidi"/>
          <w:color w:val="1F3763" w:themeColor="accent1" w:themeShade="7F"/>
        </w:rPr>
        <w:t>.</w:t>
      </w:r>
      <w:r w:rsidR="002E58DF" w:rsidRPr="00CD2A61">
        <w:rPr>
          <w:rFonts w:asciiTheme="majorHAnsi" w:eastAsiaTheme="majorEastAsia" w:hAnsiTheme="majorHAnsi" w:cstheme="majorBidi"/>
          <w:color w:val="1F3763" w:themeColor="accent1" w:themeShade="7F"/>
        </w:rPr>
        <w:t>9</w:t>
      </w:r>
      <w:r w:rsidRPr="00CD2A61">
        <w:rPr>
          <w:rFonts w:asciiTheme="majorHAnsi" w:eastAsiaTheme="majorEastAsia" w:hAnsiTheme="majorHAnsi" w:cstheme="majorBidi"/>
          <w:color w:val="1F3763" w:themeColor="accent1" w:themeShade="7F"/>
        </w:rPr>
        <w:t xml:space="preserve"> Law No 6284 on Protection of Family and Prevention of Violence Against Women</w:t>
      </w:r>
    </w:p>
    <w:p w14:paraId="6152A537" w14:textId="77777777" w:rsidR="00AE67F2" w:rsidRDefault="00AE67F2">
      <w:pPr>
        <w:jc w:val="both"/>
        <w:rPr>
          <w:sz w:val="22"/>
          <w:szCs w:val="22"/>
        </w:rPr>
      </w:pPr>
    </w:p>
    <w:p w14:paraId="6BBD0339" w14:textId="2ADC526B" w:rsidR="00BB44E1" w:rsidRPr="00DB0C40" w:rsidRDefault="00230B49">
      <w:pPr>
        <w:jc w:val="both"/>
        <w:rPr>
          <w:sz w:val="22"/>
          <w:szCs w:val="22"/>
        </w:rPr>
      </w:pPr>
      <w:r w:rsidRPr="00DB0C40">
        <w:rPr>
          <w:sz w:val="22"/>
          <w:szCs w:val="22"/>
        </w:rPr>
        <w:t xml:space="preserve">In accordance with Article 3 of the Law, if the person protected against violence has children, nursery facilities will be provided to support their participation in working life. In addition, the law includes protective measures that can be taken for protecting woman from violence by changing her workplace and not disclosing the workplace address to the violence perpetrator. </w:t>
      </w:r>
    </w:p>
    <w:p w14:paraId="4D318E6D" w14:textId="77777777" w:rsidR="00BB44E1" w:rsidRPr="00DB0C40" w:rsidRDefault="00BB44E1">
      <w:pPr>
        <w:jc w:val="both"/>
        <w:rPr>
          <w:sz w:val="22"/>
          <w:szCs w:val="22"/>
        </w:rPr>
      </w:pPr>
    </w:p>
    <w:p w14:paraId="0131DB05" w14:textId="7339DC00" w:rsidR="00BB44E1" w:rsidRPr="00CD2A61" w:rsidRDefault="00230B49" w:rsidP="00CD2A61">
      <w:pPr>
        <w:jc w:val="both"/>
        <w:rPr>
          <w:rFonts w:asciiTheme="majorHAnsi" w:eastAsiaTheme="majorEastAsia" w:hAnsiTheme="majorHAnsi" w:cstheme="majorBidi"/>
          <w:color w:val="1F3763" w:themeColor="accent1" w:themeShade="7F"/>
        </w:rPr>
      </w:pPr>
      <w:bookmarkStart w:id="73" w:name="_heading=h.35nkun2" w:colFirst="0" w:colLast="0"/>
      <w:bookmarkEnd w:id="73"/>
      <w:r w:rsidRPr="00CD2A61">
        <w:rPr>
          <w:rFonts w:asciiTheme="majorHAnsi" w:eastAsiaTheme="majorEastAsia" w:hAnsiTheme="majorHAnsi" w:cstheme="majorBidi"/>
          <w:color w:val="1F3763" w:themeColor="accent1" w:themeShade="7F"/>
        </w:rPr>
        <w:t>3.</w:t>
      </w:r>
      <w:r w:rsidR="00940930" w:rsidRPr="00CD2A61">
        <w:rPr>
          <w:rFonts w:asciiTheme="majorHAnsi" w:eastAsiaTheme="majorEastAsia" w:hAnsiTheme="majorHAnsi" w:cstheme="majorBidi"/>
          <w:color w:val="1F3763" w:themeColor="accent1" w:themeShade="7F"/>
        </w:rPr>
        <w:t>7</w:t>
      </w:r>
      <w:r w:rsidR="002E58DF" w:rsidRPr="00CD2A61">
        <w:rPr>
          <w:rFonts w:asciiTheme="majorHAnsi" w:eastAsiaTheme="majorEastAsia" w:hAnsiTheme="majorHAnsi" w:cstheme="majorBidi"/>
          <w:color w:val="1F3763" w:themeColor="accent1" w:themeShade="7F"/>
        </w:rPr>
        <w:t>.</w:t>
      </w:r>
      <w:r w:rsidR="00940930" w:rsidRPr="00CD2A61">
        <w:rPr>
          <w:rFonts w:asciiTheme="majorHAnsi" w:eastAsiaTheme="majorEastAsia" w:hAnsiTheme="majorHAnsi" w:cstheme="majorBidi"/>
          <w:color w:val="1F3763" w:themeColor="accent1" w:themeShade="7F"/>
        </w:rPr>
        <w:t>10</w:t>
      </w:r>
      <w:r w:rsidRPr="00CD2A61">
        <w:rPr>
          <w:rFonts w:asciiTheme="majorHAnsi" w:eastAsiaTheme="majorEastAsia" w:hAnsiTheme="majorHAnsi" w:cstheme="majorBidi"/>
          <w:color w:val="1F3763" w:themeColor="accent1" w:themeShade="7F"/>
        </w:rPr>
        <w:t xml:space="preserve">. Employment </w:t>
      </w:r>
      <w:r w:rsidR="00BA33A9" w:rsidRPr="00CD2A61">
        <w:rPr>
          <w:rFonts w:asciiTheme="majorHAnsi" w:eastAsiaTheme="majorEastAsia" w:hAnsiTheme="majorHAnsi" w:cstheme="majorBidi"/>
          <w:color w:val="1F3763" w:themeColor="accent1" w:themeShade="7F"/>
        </w:rPr>
        <w:t>I</w:t>
      </w:r>
      <w:r w:rsidRPr="00CD2A61">
        <w:rPr>
          <w:rFonts w:asciiTheme="majorHAnsi" w:eastAsiaTheme="majorEastAsia" w:hAnsiTheme="majorHAnsi" w:cstheme="majorBidi"/>
          <w:color w:val="1F3763" w:themeColor="accent1" w:themeShade="7F"/>
        </w:rPr>
        <w:t>ncentives</w:t>
      </w:r>
    </w:p>
    <w:p w14:paraId="6F33A20A" w14:textId="77777777" w:rsidR="00AE67F2" w:rsidRDefault="00AE67F2">
      <w:pPr>
        <w:jc w:val="both"/>
        <w:rPr>
          <w:sz w:val="22"/>
          <w:szCs w:val="22"/>
        </w:rPr>
      </w:pPr>
    </w:p>
    <w:p w14:paraId="70AC061C" w14:textId="3549E71A" w:rsidR="00BB44E1" w:rsidRPr="00DB0C40" w:rsidRDefault="00230B49">
      <w:pPr>
        <w:jc w:val="both"/>
        <w:rPr>
          <w:sz w:val="22"/>
          <w:szCs w:val="22"/>
        </w:rPr>
      </w:pPr>
      <w:r w:rsidRPr="00DB0C40">
        <w:rPr>
          <w:sz w:val="22"/>
          <w:szCs w:val="22"/>
        </w:rPr>
        <w:t>Several laws and related articles pursue increasing women’s employment through providing incentives towards employment of women. In 2010, the Prime Minister Circular 2010/14 on Increasing Women’s employment and achieving equality of opportunity was adopted specifying the measures to be taken to increase women’s employment. In February 2011, the government passed Law No. 6111 that would discriminate positively for women over the age of 18 by granting the employers who hire female workers exemptions for social security payments. The government has also created investment incentives to underdeveloped regions; most significantly, the Regional Investment Incentives Scheme, which is specifically directed towards regional development.</w:t>
      </w:r>
    </w:p>
    <w:p w14:paraId="12736254" w14:textId="77777777" w:rsidR="00BB44E1" w:rsidRPr="00DB0C40" w:rsidRDefault="00BB44E1">
      <w:pPr>
        <w:jc w:val="both"/>
        <w:rPr>
          <w:sz w:val="22"/>
          <w:szCs w:val="22"/>
        </w:rPr>
      </w:pPr>
    </w:p>
    <w:p w14:paraId="6F8FDCCC" w14:textId="77777777" w:rsidR="00BB44E1" w:rsidRPr="00DB0C40" w:rsidRDefault="00230B49">
      <w:pPr>
        <w:jc w:val="both"/>
        <w:rPr>
          <w:sz w:val="22"/>
          <w:szCs w:val="22"/>
        </w:rPr>
      </w:pPr>
      <w:r w:rsidRPr="00DB0C40">
        <w:rPr>
          <w:sz w:val="22"/>
          <w:szCs w:val="22"/>
        </w:rPr>
        <w:t>In 2008 and 2011, important reforms were made in terms of the extension of social insurance coverage (Law No. 5754 and Law No. 6111, respectively). The first reform incorporated salaried domestic workers with steady jobs. The 2011 reform extended coverage to occupations such as casual agricultural workers and home-based workers, thereby giving a large proportion of women access to key social rights and protection mechanisms.</w:t>
      </w:r>
    </w:p>
    <w:p w14:paraId="7D16655B" w14:textId="77777777" w:rsidR="00BB44E1" w:rsidRPr="00DB0C40" w:rsidRDefault="00BB44E1">
      <w:pPr>
        <w:jc w:val="both"/>
        <w:rPr>
          <w:sz w:val="22"/>
          <w:szCs w:val="22"/>
        </w:rPr>
      </w:pPr>
    </w:p>
    <w:p w14:paraId="5F3B5FF3" w14:textId="77777777" w:rsidR="00BB44E1" w:rsidRPr="00DB0C40" w:rsidRDefault="00230B49">
      <w:pPr>
        <w:jc w:val="both"/>
        <w:rPr>
          <w:sz w:val="22"/>
          <w:szCs w:val="22"/>
        </w:rPr>
      </w:pPr>
      <w:r w:rsidRPr="00DB0C40">
        <w:rPr>
          <w:sz w:val="22"/>
          <w:szCs w:val="22"/>
        </w:rPr>
        <w:t>With the Law No. 5763, in order to encourage women's employment, an incentive has been introduced to provide employers' shares of insurance premiums from the unemployment insurance fund. In addition, the employers who are obliged to establish a kindergarten have been provided with the opportunity to outsource this service.</w:t>
      </w:r>
    </w:p>
    <w:p w14:paraId="03DCCBEA" w14:textId="77777777" w:rsidR="00BB44E1" w:rsidRPr="00DB0C40" w:rsidRDefault="00BB44E1">
      <w:pPr>
        <w:jc w:val="both"/>
        <w:rPr>
          <w:sz w:val="22"/>
          <w:szCs w:val="22"/>
        </w:rPr>
      </w:pPr>
    </w:p>
    <w:p w14:paraId="4887934B" w14:textId="77777777" w:rsidR="00BB44E1" w:rsidRPr="00DB0C40" w:rsidRDefault="00230B49">
      <w:pPr>
        <w:jc w:val="both"/>
        <w:rPr>
          <w:sz w:val="22"/>
          <w:szCs w:val="22"/>
        </w:rPr>
      </w:pPr>
      <w:r w:rsidRPr="00DB0C40">
        <w:rPr>
          <w:sz w:val="22"/>
          <w:szCs w:val="22"/>
        </w:rPr>
        <w:t xml:space="preserve">As another positive development, the discriminatory practices in job advertisements were abolished in 2006 with changes in “Procedures and Principles Regarding Those Who Will Be Taken to the Permanent Staff of Public Institutions and Organizations as Workers for the First Time”. In 2006 the General Directorate of the Turkish Employment Agency (İŞKUR) issued a communiqué prohibiting discrimination on grounds of gender in employment relationships in the public sector. </w:t>
      </w:r>
    </w:p>
    <w:p w14:paraId="142A826F" w14:textId="77777777" w:rsidR="00BB44E1" w:rsidRPr="00DB0C40" w:rsidRDefault="00BB44E1">
      <w:pPr>
        <w:jc w:val="both"/>
        <w:rPr>
          <w:sz w:val="22"/>
          <w:szCs w:val="22"/>
        </w:rPr>
      </w:pPr>
    </w:p>
    <w:p w14:paraId="3DDA9C2A" w14:textId="5F5FC1C6" w:rsidR="00BB44E1" w:rsidRPr="00DB0C40" w:rsidRDefault="00230B49">
      <w:pPr>
        <w:jc w:val="both"/>
        <w:rPr>
          <w:sz w:val="22"/>
          <w:szCs w:val="22"/>
        </w:rPr>
      </w:pPr>
      <w:r w:rsidRPr="00DB0C40">
        <w:rPr>
          <w:sz w:val="22"/>
          <w:szCs w:val="22"/>
        </w:rPr>
        <w:t xml:space="preserve">As seen, there has been a number of developments in legislations regulating women’s employment and position in the workplace based on equality and anti-discrimination principles. However, the positive developments </w:t>
      </w:r>
      <w:r w:rsidR="00E0559E" w:rsidRPr="00DB0C40">
        <w:rPr>
          <w:sz w:val="22"/>
          <w:szCs w:val="22"/>
        </w:rPr>
        <w:t>need</w:t>
      </w:r>
      <w:r w:rsidRPr="00DB0C40">
        <w:rPr>
          <w:sz w:val="22"/>
          <w:szCs w:val="22"/>
        </w:rPr>
        <w:t xml:space="preserve"> to be assessed in terms of de facto discrimination which still hinders women’s participation in the labour market mostly due to the unpaid care work. It is important to conduct the impact assessment as </w:t>
      </w:r>
      <w:r w:rsidR="00E0559E" w:rsidRPr="00DB0C40">
        <w:rPr>
          <w:sz w:val="22"/>
          <w:szCs w:val="22"/>
        </w:rPr>
        <w:t>foreseen</w:t>
      </w:r>
      <w:r w:rsidRPr="00DB0C40">
        <w:rPr>
          <w:sz w:val="22"/>
          <w:szCs w:val="22"/>
        </w:rPr>
        <w:t xml:space="preserve"> under the project to determine what is working and what is not in terms of increasing women’s employment. In addition, the national legislation should be also reviewed in terms of compliance to the future of work concept which brings new challenges for women in terms of updating their skills to match the new requirements of the digital future of work. </w:t>
      </w:r>
    </w:p>
    <w:p w14:paraId="06A5C7CF" w14:textId="77777777" w:rsidR="00BB44E1" w:rsidRPr="00DB0C40" w:rsidRDefault="00BB44E1">
      <w:pPr>
        <w:rPr>
          <w:sz w:val="22"/>
          <w:szCs w:val="22"/>
        </w:rPr>
      </w:pPr>
    </w:p>
    <w:p w14:paraId="20EF0DCB" w14:textId="3D0C6BC9" w:rsidR="00BB44E1" w:rsidRPr="00CD2A61" w:rsidRDefault="00230B49" w:rsidP="00CD2A61">
      <w:pPr>
        <w:jc w:val="both"/>
        <w:rPr>
          <w:rFonts w:asciiTheme="majorHAnsi" w:eastAsiaTheme="majorEastAsia" w:hAnsiTheme="majorHAnsi" w:cstheme="majorBidi"/>
          <w:color w:val="1F3763" w:themeColor="accent1" w:themeShade="7F"/>
        </w:rPr>
      </w:pPr>
      <w:bookmarkStart w:id="74" w:name="_heading=h.1ksv4uv" w:colFirst="0" w:colLast="0"/>
      <w:bookmarkEnd w:id="74"/>
      <w:r w:rsidRPr="00CD2A61">
        <w:rPr>
          <w:rFonts w:asciiTheme="majorHAnsi" w:eastAsiaTheme="majorEastAsia" w:hAnsiTheme="majorHAnsi" w:cstheme="majorBidi"/>
          <w:color w:val="1F3763" w:themeColor="accent1" w:themeShade="7F"/>
        </w:rPr>
        <w:t>3.</w:t>
      </w:r>
      <w:r w:rsidR="008C4D23" w:rsidRPr="00CD2A61">
        <w:rPr>
          <w:rFonts w:asciiTheme="majorHAnsi" w:eastAsiaTheme="majorEastAsia" w:hAnsiTheme="majorHAnsi" w:cstheme="majorBidi"/>
          <w:color w:val="1F3763" w:themeColor="accent1" w:themeShade="7F"/>
        </w:rPr>
        <w:t>7</w:t>
      </w:r>
      <w:r w:rsidR="002E58DF" w:rsidRPr="00CD2A61">
        <w:rPr>
          <w:rFonts w:asciiTheme="majorHAnsi" w:eastAsiaTheme="majorEastAsia" w:hAnsiTheme="majorHAnsi" w:cstheme="majorBidi"/>
          <w:color w:val="1F3763" w:themeColor="accent1" w:themeShade="7F"/>
        </w:rPr>
        <w:t>.1</w:t>
      </w:r>
      <w:r w:rsidR="008C4D23" w:rsidRPr="00CD2A61">
        <w:rPr>
          <w:rFonts w:asciiTheme="majorHAnsi" w:eastAsiaTheme="majorEastAsia" w:hAnsiTheme="majorHAnsi" w:cstheme="majorBidi"/>
          <w:color w:val="1F3763" w:themeColor="accent1" w:themeShade="7F"/>
        </w:rPr>
        <w:t>1</w:t>
      </w:r>
      <w:r w:rsidRPr="00CD2A61">
        <w:rPr>
          <w:rFonts w:asciiTheme="majorHAnsi" w:eastAsiaTheme="majorEastAsia" w:hAnsiTheme="majorHAnsi" w:cstheme="majorBidi"/>
          <w:color w:val="1F3763" w:themeColor="accent1" w:themeShade="7F"/>
        </w:rPr>
        <w:t xml:space="preserve">. Some National Policies on </w:t>
      </w:r>
      <w:r w:rsidR="00BA33A9" w:rsidRPr="00CD2A61">
        <w:rPr>
          <w:rFonts w:asciiTheme="majorHAnsi" w:eastAsiaTheme="majorEastAsia" w:hAnsiTheme="majorHAnsi" w:cstheme="majorBidi"/>
          <w:color w:val="1F3763" w:themeColor="accent1" w:themeShade="7F"/>
        </w:rPr>
        <w:t>W</w:t>
      </w:r>
      <w:r w:rsidRPr="00CD2A61">
        <w:rPr>
          <w:rFonts w:asciiTheme="majorHAnsi" w:eastAsiaTheme="majorEastAsia" w:hAnsiTheme="majorHAnsi" w:cstheme="majorBidi"/>
          <w:color w:val="1F3763" w:themeColor="accent1" w:themeShade="7F"/>
        </w:rPr>
        <w:t xml:space="preserve">omen's </w:t>
      </w:r>
      <w:r w:rsidR="00BA33A9" w:rsidRPr="00CD2A61">
        <w:rPr>
          <w:rFonts w:asciiTheme="majorHAnsi" w:eastAsiaTheme="majorEastAsia" w:hAnsiTheme="majorHAnsi" w:cstheme="majorBidi"/>
          <w:color w:val="1F3763" w:themeColor="accent1" w:themeShade="7F"/>
        </w:rPr>
        <w:t>E</w:t>
      </w:r>
      <w:r w:rsidRPr="00CD2A61">
        <w:rPr>
          <w:rFonts w:asciiTheme="majorHAnsi" w:eastAsiaTheme="majorEastAsia" w:hAnsiTheme="majorHAnsi" w:cstheme="majorBidi"/>
          <w:color w:val="1F3763" w:themeColor="accent1" w:themeShade="7F"/>
        </w:rPr>
        <w:t xml:space="preserve">mployment and </w:t>
      </w:r>
      <w:r w:rsidR="00BA33A9" w:rsidRPr="00CD2A61">
        <w:rPr>
          <w:rFonts w:asciiTheme="majorHAnsi" w:eastAsiaTheme="majorEastAsia" w:hAnsiTheme="majorHAnsi" w:cstheme="majorBidi"/>
          <w:color w:val="1F3763" w:themeColor="accent1" w:themeShade="7F"/>
        </w:rPr>
        <w:t>G</w:t>
      </w:r>
      <w:r w:rsidRPr="00CD2A61">
        <w:rPr>
          <w:rFonts w:asciiTheme="majorHAnsi" w:eastAsiaTheme="majorEastAsia" w:hAnsiTheme="majorHAnsi" w:cstheme="majorBidi"/>
          <w:color w:val="1F3763" w:themeColor="accent1" w:themeShade="7F"/>
        </w:rPr>
        <w:t xml:space="preserve">ender </w:t>
      </w:r>
      <w:r w:rsidR="00BA33A9" w:rsidRPr="00CD2A61">
        <w:rPr>
          <w:rFonts w:asciiTheme="majorHAnsi" w:eastAsiaTheme="majorEastAsia" w:hAnsiTheme="majorHAnsi" w:cstheme="majorBidi"/>
          <w:color w:val="1F3763" w:themeColor="accent1" w:themeShade="7F"/>
        </w:rPr>
        <w:t>E</w:t>
      </w:r>
      <w:r w:rsidRPr="00CD2A61">
        <w:rPr>
          <w:rFonts w:asciiTheme="majorHAnsi" w:eastAsiaTheme="majorEastAsia" w:hAnsiTheme="majorHAnsi" w:cstheme="majorBidi"/>
          <w:color w:val="1F3763" w:themeColor="accent1" w:themeShade="7F"/>
        </w:rPr>
        <w:t>quality</w:t>
      </w:r>
    </w:p>
    <w:p w14:paraId="0DF0E410" w14:textId="77777777" w:rsidR="00BB44E1" w:rsidRPr="00DB0C40" w:rsidRDefault="00BB44E1">
      <w:pPr>
        <w:rPr>
          <w:sz w:val="22"/>
          <w:szCs w:val="22"/>
        </w:rPr>
      </w:pPr>
    </w:p>
    <w:p w14:paraId="6D69FFF1" w14:textId="77777777" w:rsidR="00BB44E1" w:rsidRPr="00DB0C40" w:rsidRDefault="00230B49">
      <w:pPr>
        <w:rPr>
          <w:sz w:val="22"/>
          <w:szCs w:val="22"/>
        </w:rPr>
      </w:pPr>
      <w:r w:rsidRPr="00DB0C40">
        <w:rPr>
          <w:sz w:val="22"/>
          <w:szCs w:val="22"/>
        </w:rPr>
        <w:t>Between the main national policies on women's employment and gender equality, we can mention:</w:t>
      </w:r>
    </w:p>
    <w:p w14:paraId="168CC15B" w14:textId="77777777" w:rsidR="00BB44E1" w:rsidRPr="00DB0C40" w:rsidRDefault="00BB44E1">
      <w:pPr>
        <w:rPr>
          <w:sz w:val="22"/>
          <w:szCs w:val="22"/>
        </w:rPr>
      </w:pPr>
    </w:p>
    <w:p w14:paraId="30E27CD4" w14:textId="5BE92C7D" w:rsidR="00BB44E1" w:rsidRPr="00DB0C40" w:rsidRDefault="00230B49" w:rsidP="00FB59BE">
      <w:pPr>
        <w:numPr>
          <w:ilvl w:val="0"/>
          <w:numId w:val="13"/>
        </w:numPr>
        <w:pBdr>
          <w:top w:val="nil"/>
          <w:left w:val="nil"/>
          <w:bottom w:val="nil"/>
          <w:right w:val="nil"/>
          <w:between w:val="nil"/>
        </w:pBdr>
        <w:jc w:val="both"/>
        <w:rPr>
          <w:color w:val="000000"/>
          <w:sz w:val="22"/>
          <w:szCs w:val="22"/>
        </w:rPr>
      </w:pPr>
      <w:r w:rsidRPr="00DB0C40">
        <w:rPr>
          <w:color w:val="000000"/>
          <w:sz w:val="22"/>
          <w:szCs w:val="22"/>
        </w:rPr>
        <w:lastRenderedPageBreak/>
        <w:t xml:space="preserve">The </w:t>
      </w:r>
      <w:r w:rsidR="00AC20EA">
        <w:rPr>
          <w:color w:val="000000"/>
          <w:sz w:val="22"/>
          <w:szCs w:val="22"/>
        </w:rPr>
        <w:t>Türkiye</w:t>
      </w:r>
      <w:r w:rsidRPr="00DB0C40">
        <w:rPr>
          <w:color w:val="000000"/>
          <w:sz w:val="22"/>
          <w:szCs w:val="22"/>
        </w:rPr>
        <w:t xml:space="preserve"> Government in their Development Plans, particularly in the 11</w:t>
      </w:r>
      <w:r w:rsidRPr="00DB0C40">
        <w:rPr>
          <w:color w:val="000000"/>
          <w:sz w:val="22"/>
          <w:szCs w:val="22"/>
          <w:vertAlign w:val="superscript"/>
        </w:rPr>
        <w:t>th</w:t>
      </w:r>
      <w:r w:rsidRPr="00DB0C40">
        <w:rPr>
          <w:color w:val="000000"/>
          <w:sz w:val="22"/>
          <w:szCs w:val="22"/>
        </w:rPr>
        <w:t xml:space="preserve"> one (2019 – 2023) has a main objective regarding to women:  to prevent all kinds of discrimination against women, to ensure that women benefit from equally the rights, opportunities and facilities in all areas of the social life and to empower them. </w:t>
      </w:r>
      <w:r w:rsidRPr="00DB0C40">
        <w:rPr>
          <w:rFonts w:ascii="Times" w:eastAsia="Times" w:hAnsi="Times" w:cs="Times"/>
          <w:color w:val="000000"/>
          <w:sz w:val="26"/>
          <w:szCs w:val="26"/>
          <w:vertAlign w:val="superscript"/>
        </w:rPr>
        <w:footnoteReference w:id="22"/>
      </w:r>
      <w:r w:rsidRPr="00DB0C40">
        <w:rPr>
          <w:color w:val="000000"/>
          <w:sz w:val="22"/>
          <w:szCs w:val="22"/>
        </w:rPr>
        <w:t xml:space="preserve"> The 11</w:t>
      </w:r>
      <w:r w:rsidRPr="00DB0C40">
        <w:rPr>
          <w:color w:val="000000"/>
          <w:sz w:val="22"/>
          <w:szCs w:val="22"/>
          <w:vertAlign w:val="superscript"/>
        </w:rPr>
        <w:t>th</w:t>
      </w:r>
      <w:r w:rsidRPr="00DB0C40">
        <w:rPr>
          <w:color w:val="000000"/>
          <w:sz w:val="22"/>
          <w:szCs w:val="22"/>
        </w:rPr>
        <w:t xml:space="preserve"> Development Plan also include some policies regarding the encouragement of the active participation of women in economic, social, cultural life and decision-making mechanisms at all levels offering possibilities for entrepreneurs, and internship and on-the-job-training to increase the active participation of women in economic life. The inclusion of the women in the digital economy is another important issue included. </w:t>
      </w:r>
    </w:p>
    <w:p w14:paraId="7BDB9067" w14:textId="77777777" w:rsidR="00BB44E1" w:rsidRPr="00DB0C40" w:rsidRDefault="00BB44E1">
      <w:pPr>
        <w:jc w:val="both"/>
        <w:rPr>
          <w:sz w:val="22"/>
          <w:szCs w:val="22"/>
        </w:rPr>
      </w:pPr>
    </w:p>
    <w:p w14:paraId="313FB2E2" w14:textId="77777777" w:rsidR="00BB44E1" w:rsidRPr="00DB0C40" w:rsidRDefault="00230B49" w:rsidP="00FB59BE">
      <w:pPr>
        <w:numPr>
          <w:ilvl w:val="0"/>
          <w:numId w:val="13"/>
        </w:numPr>
        <w:pBdr>
          <w:top w:val="nil"/>
          <w:left w:val="nil"/>
          <w:bottom w:val="nil"/>
          <w:right w:val="nil"/>
          <w:between w:val="nil"/>
        </w:pBdr>
        <w:jc w:val="both"/>
        <w:rPr>
          <w:color w:val="000000"/>
          <w:sz w:val="22"/>
          <w:szCs w:val="22"/>
        </w:rPr>
      </w:pPr>
      <w:r w:rsidRPr="00DB0C40">
        <w:rPr>
          <w:color w:val="000000"/>
          <w:sz w:val="22"/>
          <w:szCs w:val="22"/>
        </w:rPr>
        <w:t>The National Employment Strategy 2014 – 2023</w:t>
      </w:r>
      <w:r w:rsidRPr="00DB0C40">
        <w:rPr>
          <w:rFonts w:ascii="Roboto" w:eastAsia="Roboto" w:hAnsi="Roboto" w:cs="Roboto"/>
          <w:color w:val="666666"/>
          <w:highlight w:val="white"/>
        </w:rPr>
        <w:t xml:space="preserve"> </w:t>
      </w:r>
      <w:r w:rsidRPr="00DB0C40">
        <w:rPr>
          <w:rFonts w:ascii="Roboto" w:eastAsia="Roboto" w:hAnsi="Roboto" w:cs="Roboto"/>
          <w:color w:val="666666"/>
          <w:sz w:val="22"/>
          <w:szCs w:val="22"/>
          <w:highlight w:val="white"/>
        </w:rPr>
        <w:t>i</w:t>
      </w:r>
      <w:r w:rsidRPr="00DB0C40">
        <w:rPr>
          <w:color w:val="000000"/>
          <w:sz w:val="22"/>
          <w:szCs w:val="22"/>
        </w:rPr>
        <w:t>s a national policy with a multi-sectoral approach. The timeframe of the Strategy is 10 years between 2014 and 2023. The overall goal of the Strategy is to reduce the unemployment rate including unregistered employment rate in the agriculture sector and to increase employment rate by 2023 with holistic approach, equal opportunities, labour protection, strengthened social dialogue and incentive approach.</w:t>
      </w:r>
      <w:r w:rsidRPr="00DB0C40">
        <w:rPr>
          <w:color w:val="000000"/>
        </w:rPr>
        <w:t xml:space="preserve"> </w:t>
      </w:r>
      <w:r w:rsidRPr="00DB0C40">
        <w:rPr>
          <w:color w:val="000000"/>
          <w:sz w:val="22"/>
          <w:szCs w:val="22"/>
        </w:rPr>
        <w:t>One of the main objectives is to achieve Equal Opportunities: “It is crucial to develop policies addressing specific conditions of certain demographic groups, in order to provide equal opportunities for all. It is definitive to ensure equal opportunities from education to all relevant sectors and anti-discrimination practices for the vulnerable people, such as women, people with disabilities, the poor, youth, and the population living in rural areas”</w:t>
      </w:r>
      <w:r w:rsidRPr="00DB0C40">
        <w:rPr>
          <w:rFonts w:ascii="Times" w:eastAsia="Times" w:hAnsi="Times" w:cs="Times"/>
          <w:color w:val="000000"/>
          <w:sz w:val="26"/>
          <w:szCs w:val="26"/>
          <w:vertAlign w:val="superscript"/>
        </w:rPr>
        <w:footnoteReference w:id="23"/>
      </w:r>
      <w:r w:rsidRPr="00DB0C40">
        <w:rPr>
          <w:color w:val="000000"/>
          <w:sz w:val="22"/>
          <w:szCs w:val="22"/>
        </w:rPr>
        <w:t xml:space="preserve">. </w:t>
      </w:r>
    </w:p>
    <w:p w14:paraId="73BE5E7E" w14:textId="77777777" w:rsidR="00BB44E1" w:rsidRPr="00DB0C40" w:rsidRDefault="00BB44E1">
      <w:pPr>
        <w:jc w:val="both"/>
        <w:rPr>
          <w:sz w:val="22"/>
          <w:szCs w:val="22"/>
        </w:rPr>
      </w:pPr>
    </w:p>
    <w:p w14:paraId="693BF22B" w14:textId="4C08D5B8" w:rsidR="00BB44E1" w:rsidRPr="00DB0C40" w:rsidRDefault="00230B49" w:rsidP="00FB59BE">
      <w:pPr>
        <w:numPr>
          <w:ilvl w:val="0"/>
          <w:numId w:val="13"/>
        </w:numPr>
        <w:pBdr>
          <w:top w:val="nil"/>
          <w:left w:val="nil"/>
          <w:bottom w:val="nil"/>
          <w:right w:val="nil"/>
          <w:between w:val="nil"/>
        </w:pBdr>
        <w:jc w:val="both"/>
        <w:rPr>
          <w:color w:val="000000"/>
          <w:sz w:val="22"/>
          <w:szCs w:val="22"/>
        </w:rPr>
      </w:pPr>
      <w:r w:rsidRPr="00DB0C40">
        <w:rPr>
          <w:color w:val="000000"/>
          <w:sz w:val="22"/>
          <w:szCs w:val="22"/>
        </w:rPr>
        <w:t xml:space="preserve">Measures on vulnerable groups especially women are included (the Strategy includes in this category: youth, long term unemployed and disabled) and specifically mentioned that the main </w:t>
      </w:r>
      <w:r w:rsidR="00E0559E" w:rsidRPr="00DB0C40">
        <w:rPr>
          <w:color w:val="000000"/>
          <w:sz w:val="22"/>
          <w:szCs w:val="22"/>
        </w:rPr>
        <w:t>characteristics</w:t>
      </w:r>
      <w:r w:rsidRPr="00DB0C40">
        <w:rPr>
          <w:color w:val="000000"/>
          <w:sz w:val="22"/>
          <w:szCs w:val="22"/>
        </w:rPr>
        <w:t xml:space="preserve"> of the group are: low labour force participation rates, work in unregistered and underpaying jobs called “indecent work” and face a higher risk of unemployment despite positive discrimination and no legal obstacles. In their diagnosis, the Strategy pointed out that besides the low level of education, social gender roles which burden the men with the responsibility of work and the women with the responsibility of homework and provision of care to children, elderly and disabled persons are among the reasons of the labour force participation and employment rates of women. Improving and extending institutional support mechanisms of care services are important for increasing the labour force participation rate of women. Among with the low level of labour force participation of women in </w:t>
      </w:r>
      <w:r w:rsidR="00AC20EA">
        <w:rPr>
          <w:color w:val="000000"/>
          <w:sz w:val="22"/>
          <w:szCs w:val="22"/>
        </w:rPr>
        <w:t>Türkiye</w:t>
      </w:r>
      <w:r w:rsidRPr="00DB0C40">
        <w:rPr>
          <w:color w:val="000000"/>
          <w:sz w:val="22"/>
          <w:szCs w:val="22"/>
        </w:rPr>
        <w:t xml:space="preserve">, the high level of unemployment rate reveals a negative picture in regards to OECD and EU countries. </w:t>
      </w:r>
    </w:p>
    <w:p w14:paraId="3BC65920" w14:textId="77777777" w:rsidR="00BB44E1" w:rsidRPr="00DB0C40" w:rsidRDefault="00BB44E1">
      <w:pPr>
        <w:jc w:val="both"/>
        <w:rPr>
          <w:sz w:val="22"/>
          <w:szCs w:val="22"/>
        </w:rPr>
      </w:pPr>
    </w:p>
    <w:p w14:paraId="435603FB" w14:textId="77777777" w:rsidR="00BB44E1" w:rsidRPr="00DB0C40" w:rsidRDefault="00230B49" w:rsidP="00FB59BE">
      <w:pPr>
        <w:numPr>
          <w:ilvl w:val="0"/>
          <w:numId w:val="13"/>
        </w:numPr>
        <w:pBdr>
          <w:top w:val="nil"/>
          <w:left w:val="nil"/>
          <w:bottom w:val="nil"/>
          <w:right w:val="nil"/>
          <w:between w:val="nil"/>
        </w:pBdr>
        <w:jc w:val="both"/>
        <w:rPr>
          <w:color w:val="000000"/>
          <w:sz w:val="22"/>
          <w:szCs w:val="22"/>
        </w:rPr>
      </w:pPr>
      <w:r w:rsidRPr="00DB0C40">
        <w:rPr>
          <w:color w:val="000000"/>
          <w:sz w:val="22"/>
          <w:szCs w:val="22"/>
        </w:rPr>
        <w:t>The Strategy also mentions the importance to eliminate the barriers for labour force and employment participation of vulnerable groups such as women, disabled, youth and long term unemployed. The main targets were: 1. Labour force participation rate of women will increase to 41 percent until 2023. 2. From 2012 to 2023, the unregistered employment of women will be reduced from 54,2 percent to 30 percent.</w:t>
      </w:r>
    </w:p>
    <w:p w14:paraId="55E3887A" w14:textId="77777777" w:rsidR="00BB44E1" w:rsidRPr="00DB0C40" w:rsidRDefault="00BB44E1">
      <w:pPr>
        <w:jc w:val="both"/>
        <w:rPr>
          <w:sz w:val="22"/>
          <w:szCs w:val="22"/>
        </w:rPr>
      </w:pPr>
    </w:p>
    <w:p w14:paraId="14F7976D" w14:textId="1143E3CE" w:rsidR="00BB44E1" w:rsidRPr="00DB0C40" w:rsidRDefault="00230B49" w:rsidP="00FB59BE">
      <w:pPr>
        <w:numPr>
          <w:ilvl w:val="0"/>
          <w:numId w:val="13"/>
        </w:numPr>
        <w:pBdr>
          <w:top w:val="nil"/>
          <w:left w:val="nil"/>
          <w:bottom w:val="nil"/>
          <w:right w:val="nil"/>
          <w:between w:val="nil"/>
        </w:pBdr>
        <w:jc w:val="both"/>
        <w:rPr>
          <w:color w:val="000000"/>
          <w:sz w:val="22"/>
          <w:szCs w:val="22"/>
        </w:rPr>
      </w:pPr>
      <w:r w:rsidRPr="00DB0C40">
        <w:rPr>
          <w:color w:val="000000"/>
          <w:sz w:val="22"/>
          <w:szCs w:val="22"/>
        </w:rPr>
        <w:t xml:space="preserve">As mentioned before, in May 2003, a new labour law, Law no.4857, revised the legislation on employment to ensure equal treatment regardless of gender, ethnicity, or race. This law, establishing the principle of anti-discrimination in employment became operational on June 10, 2003. Accordingly, on January 22, 2004, a Prime Minister Decree aimed at protecting the gender </w:t>
      </w:r>
      <w:r w:rsidRPr="00DB0C40">
        <w:rPr>
          <w:color w:val="000000"/>
          <w:sz w:val="22"/>
          <w:szCs w:val="22"/>
        </w:rPr>
        <w:lastRenderedPageBreak/>
        <w:t xml:space="preserve">equality principle in </w:t>
      </w:r>
      <w:r w:rsidR="00853140">
        <w:rPr>
          <w:color w:val="000000"/>
          <w:sz w:val="22"/>
          <w:szCs w:val="22"/>
        </w:rPr>
        <w:t xml:space="preserve">the hiring of </w:t>
      </w:r>
      <w:r w:rsidRPr="00DB0C40">
        <w:rPr>
          <w:color w:val="000000"/>
          <w:sz w:val="22"/>
          <w:szCs w:val="22"/>
        </w:rPr>
        <w:t xml:space="preserve">civil officials. The Decree ordered the public institutions to protect the gender equality principle in hiring in line with the Constitution and the international agreements that the Turkish government is party to. In line with the National Action Plan on Gender Equality, in 2008, the government amended the Labour Law to promote women’s employment under an "Employment Package". </w:t>
      </w:r>
    </w:p>
    <w:p w14:paraId="7978E1AC" w14:textId="77777777" w:rsidR="00BB44E1" w:rsidRPr="00DB0C40" w:rsidRDefault="00BB44E1">
      <w:pPr>
        <w:jc w:val="both"/>
        <w:rPr>
          <w:sz w:val="22"/>
          <w:szCs w:val="22"/>
        </w:rPr>
      </w:pPr>
    </w:p>
    <w:p w14:paraId="2D7682B7" w14:textId="447A3B31" w:rsidR="00BB44E1" w:rsidRPr="00DB0C40" w:rsidRDefault="00230B49" w:rsidP="00FB59BE">
      <w:pPr>
        <w:numPr>
          <w:ilvl w:val="0"/>
          <w:numId w:val="13"/>
        </w:numPr>
        <w:pBdr>
          <w:top w:val="nil"/>
          <w:left w:val="nil"/>
          <w:bottom w:val="nil"/>
          <w:right w:val="nil"/>
          <w:between w:val="nil"/>
        </w:pBdr>
        <w:jc w:val="both"/>
        <w:rPr>
          <w:color w:val="000000"/>
          <w:sz w:val="22"/>
          <w:szCs w:val="22"/>
        </w:rPr>
      </w:pPr>
      <w:r w:rsidRPr="00DB0C40">
        <w:rPr>
          <w:color w:val="000000"/>
          <w:sz w:val="22"/>
          <w:szCs w:val="22"/>
        </w:rPr>
        <w:t xml:space="preserve">In 2010, the Prime Minister Circular 2010/14 on “Increasing Women’s employment and achieving equality of opportunity” was adopted specifying the measures to be taken to increase women’s employment, Accordingly, the Turkish government adopted a measure that would discriminate positively the female workers over the age of 18 by granting the employers who hire them exceptions in social security payments. Turkish </w:t>
      </w:r>
      <w:r w:rsidR="00E0559E" w:rsidRPr="00DB0C40">
        <w:rPr>
          <w:color w:val="000000"/>
          <w:sz w:val="22"/>
          <w:szCs w:val="22"/>
        </w:rPr>
        <w:t>Is</w:t>
      </w:r>
      <w:r w:rsidRPr="00DB0C40">
        <w:rPr>
          <w:color w:val="000000"/>
          <w:sz w:val="22"/>
          <w:szCs w:val="22"/>
        </w:rPr>
        <w:t xml:space="preserve"> </w:t>
      </w:r>
      <w:r w:rsidR="00E0559E" w:rsidRPr="00DB0C40">
        <w:rPr>
          <w:color w:val="000000"/>
          <w:sz w:val="22"/>
          <w:szCs w:val="22"/>
        </w:rPr>
        <w:t>Kurume</w:t>
      </w:r>
      <w:r w:rsidRPr="00DB0C40">
        <w:rPr>
          <w:color w:val="000000"/>
          <w:sz w:val="22"/>
          <w:szCs w:val="22"/>
        </w:rPr>
        <w:t xml:space="preserve"> </w:t>
      </w:r>
      <w:r w:rsidR="00E0559E" w:rsidRPr="00DB0C40">
        <w:rPr>
          <w:color w:val="000000"/>
          <w:sz w:val="22"/>
          <w:szCs w:val="22"/>
        </w:rPr>
        <w:t>Gene</w:t>
      </w:r>
      <w:r w:rsidRPr="00DB0C40">
        <w:rPr>
          <w:color w:val="000000"/>
          <w:sz w:val="22"/>
          <w:szCs w:val="22"/>
        </w:rPr>
        <w:t xml:space="preserve"> Müdürlüğü and the European Commission cooperated in two different projects “Active Labour program projects I and II” for 2003-2006 and 2008-2010 periods. There was also a “Twinning project for promoting gender equality in working life” with funding from the European Commission for 2010-2012 period. A critical matter in increasing women’s employment is balancing mothering duties and work responsibilities. The social customs also act as effective barriers to women’s access to jobs.</w:t>
      </w:r>
      <w:r w:rsidRPr="00DB0C40">
        <w:rPr>
          <w:color w:val="000000"/>
          <w:vertAlign w:val="superscript"/>
        </w:rPr>
        <w:footnoteReference w:id="24"/>
      </w:r>
    </w:p>
    <w:p w14:paraId="36816A71" w14:textId="77777777" w:rsidR="00BB44E1" w:rsidRPr="00DB0C40" w:rsidRDefault="00BB44E1">
      <w:pPr>
        <w:jc w:val="both"/>
        <w:rPr>
          <w:sz w:val="22"/>
          <w:szCs w:val="22"/>
        </w:rPr>
      </w:pPr>
    </w:p>
    <w:p w14:paraId="1DDD413A" w14:textId="263405EE" w:rsidR="00BB44E1" w:rsidRPr="00DB0C40" w:rsidRDefault="00230B49" w:rsidP="00FB59BE">
      <w:pPr>
        <w:numPr>
          <w:ilvl w:val="0"/>
          <w:numId w:val="13"/>
        </w:numPr>
        <w:pBdr>
          <w:top w:val="nil"/>
          <w:left w:val="nil"/>
          <w:bottom w:val="nil"/>
          <w:right w:val="nil"/>
          <w:between w:val="nil"/>
        </w:pBdr>
        <w:jc w:val="both"/>
        <w:rPr>
          <w:color w:val="000000"/>
          <w:sz w:val="22"/>
          <w:szCs w:val="22"/>
        </w:rPr>
      </w:pPr>
      <w:r w:rsidRPr="00DB0C40">
        <w:rPr>
          <w:color w:val="000000"/>
          <w:sz w:val="22"/>
          <w:szCs w:val="22"/>
        </w:rPr>
        <w:t>Other important action was the creation of the General Directorate on the Status of Women in 1990</w:t>
      </w:r>
      <w:r w:rsidRPr="00DB0C40">
        <w:rPr>
          <w:rFonts w:ascii="Arial" w:eastAsia="Arial" w:hAnsi="Arial" w:cs="Arial"/>
          <w:color w:val="575757"/>
          <w:sz w:val="33"/>
          <w:szCs w:val="33"/>
        </w:rPr>
        <w:t xml:space="preserve">, </w:t>
      </w:r>
      <w:r w:rsidRPr="00DB0C40">
        <w:rPr>
          <w:color w:val="000000"/>
          <w:sz w:val="22"/>
          <w:szCs w:val="22"/>
        </w:rPr>
        <w:t>in line with the requirements of the United Nations Convention on Elimination of All Kinds of Discrimination against Women. Attached to the Turkish Prime Ministry, its activities are supervised by the State Ministry responsible for women and the family. Its major objectives are to protect and to promote women's rights; to improve women's social, economic, cultural, and political status; and to ensure that women enjoy equal rights and opportunities in all walks of life. To these ends, it conducts and finances research projects with a policy orientation; col</w:t>
      </w:r>
      <w:r w:rsidR="00110030">
        <w:rPr>
          <w:color w:val="000000"/>
          <w:sz w:val="22"/>
          <w:szCs w:val="22"/>
        </w:rPr>
        <w:t>l</w:t>
      </w:r>
      <w:r w:rsidR="00AE67F2">
        <w:rPr>
          <w:color w:val="000000"/>
          <w:sz w:val="22"/>
          <w:szCs w:val="22"/>
        </w:rPr>
        <w:t>abor</w:t>
      </w:r>
      <w:r w:rsidRPr="00DB0C40">
        <w:rPr>
          <w:color w:val="000000"/>
          <w:sz w:val="22"/>
          <w:szCs w:val="22"/>
        </w:rPr>
        <w:t>ates with other public institutions, local administrations, and women's associations; and raises consciousness through the mass media about women's issues.</w:t>
      </w:r>
    </w:p>
    <w:p w14:paraId="4C1C0F2F" w14:textId="77777777" w:rsidR="00BB44E1" w:rsidRPr="00DB0C40" w:rsidRDefault="00BB44E1">
      <w:pPr>
        <w:jc w:val="both"/>
        <w:rPr>
          <w:sz w:val="22"/>
          <w:szCs w:val="22"/>
        </w:rPr>
      </w:pPr>
    </w:p>
    <w:p w14:paraId="6B7F51FE" w14:textId="4F79A8B4" w:rsidR="00BB44E1" w:rsidRPr="00DB0C40" w:rsidRDefault="00230B49">
      <w:pPr>
        <w:jc w:val="both"/>
        <w:rPr>
          <w:sz w:val="22"/>
          <w:szCs w:val="22"/>
        </w:rPr>
      </w:pPr>
      <w:r w:rsidRPr="00DB0C40">
        <w:rPr>
          <w:sz w:val="22"/>
          <w:szCs w:val="22"/>
        </w:rPr>
        <w:t>The Directorate (depending of the Ministry of Family and Social Services)</w:t>
      </w:r>
      <w:r w:rsidRPr="00DB0C40">
        <w:rPr>
          <w:rFonts w:ascii="Times" w:eastAsia="Times" w:hAnsi="Times" w:cs="Times"/>
          <w:sz w:val="26"/>
          <w:szCs w:val="26"/>
          <w:vertAlign w:val="superscript"/>
        </w:rPr>
        <w:footnoteReference w:id="25"/>
      </w:r>
      <w:r w:rsidRPr="00DB0C40">
        <w:rPr>
          <w:sz w:val="22"/>
          <w:szCs w:val="22"/>
        </w:rPr>
        <w:t>, ha</w:t>
      </w:r>
      <w:r w:rsidR="00BA33A9" w:rsidRPr="00DB0C40">
        <w:rPr>
          <w:sz w:val="22"/>
          <w:szCs w:val="22"/>
        </w:rPr>
        <w:t>s</w:t>
      </w:r>
      <w:r w:rsidRPr="00DB0C40">
        <w:rPr>
          <w:sz w:val="22"/>
          <w:szCs w:val="22"/>
        </w:rPr>
        <w:t xml:space="preserve"> many policies and actions</w:t>
      </w:r>
      <w:r w:rsidR="00BA33A9" w:rsidRPr="00DB0C40">
        <w:rPr>
          <w:sz w:val="22"/>
          <w:szCs w:val="22"/>
        </w:rPr>
        <w:t xml:space="preserve"> in this area, among which are:</w:t>
      </w:r>
      <w:r w:rsidRPr="00DB0C40">
        <w:rPr>
          <w:sz w:val="22"/>
          <w:szCs w:val="22"/>
        </w:rPr>
        <w:t xml:space="preserve"> </w:t>
      </w:r>
    </w:p>
    <w:p w14:paraId="0E7967E6" w14:textId="77777777" w:rsidR="00BB44E1" w:rsidRPr="00DB0C40" w:rsidRDefault="00BB44E1">
      <w:pPr>
        <w:jc w:val="both"/>
        <w:rPr>
          <w:sz w:val="22"/>
          <w:szCs w:val="22"/>
        </w:rPr>
      </w:pPr>
    </w:p>
    <w:p w14:paraId="6293A850" w14:textId="77777777" w:rsidR="00BB44E1" w:rsidRPr="00DB0C40" w:rsidRDefault="00230B49" w:rsidP="00FB59BE">
      <w:pPr>
        <w:numPr>
          <w:ilvl w:val="0"/>
          <w:numId w:val="12"/>
        </w:numPr>
        <w:pBdr>
          <w:top w:val="nil"/>
          <w:left w:val="nil"/>
          <w:bottom w:val="nil"/>
          <w:right w:val="nil"/>
          <w:between w:val="nil"/>
        </w:pBdr>
        <w:jc w:val="both"/>
        <w:rPr>
          <w:color w:val="000000"/>
          <w:sz w:val="22"/>
          <w:szCs w:val="22"/>
        </w:rPr>
      </w:pPr>
      <w:r w:rsidRPr="00DB0C40">
        <w:rPr>
          <w:color w:val="000000"/>
          <w:sz w:val="22"/>
          <w:szCs w:val="22"/>
        </w:rPr>
        <w:t>Women's Empowerment Strategy Document and Action Plan (2018-2023), under the coordination of the Ministry of Family and Social Policies, General Directorate on the Status of Women, regulates the current situation, main objectives, targets, strategies and activities regarding five main policy axes: education, health, economy, participation in decision-making mechanisms, media.</w:t>
      </w:r>
    </w:p>
    <w:p w14:paraId="55ACE306" w14:textId="77777777" w:rsidR="00BB44E1" w:rsidRPr="00DB0C40" w:rsidRDefault="00230B49" w:rsidP="00FB59BE">
      <w:pPr>
        <w:numPr>
          <w:ilvl w:val="0"/>
          <w:numId w:val="12"/>
        </w:numPr>
        <w:pBdr>
          <w:top w:val="nil"/>
          <w:left w:val="nil"/>
          <w:bottom w:val="nil"/>
          <w:right w:val="nil"/>
          <w:between w:val="nil"/>
        </w:pBdr>
        <w:jc w:val="both"/>
        <w:rPr>
          <w:color w:val="000000"/>
          <w:sz w:val="22"/>
          <w:szCs w:val="22"/>
        </w:rPr>
      </w:pPr>
      <w:r w:rsidRPr="00DB0C40">
        <w:rPr>
          <w:color w:val="000000"/>
          <w:sz w:val="22"/>
          <w:szCs w:val="22"/>
        </w:rPr>
        <w:t xml:space="preserve">Gender Equality National Action Plan (2008-2013) Policy related to 7 critical areas (education, health, economy, participation in authority and decision-making processes, poverty, media and environment) to be used as inputs within the scope of the preparation of the "National Action Plan Draft", which will form the basis of public policies and ensure gender equality. </w:t>
      </w:r>
    </w:p>
    <w:p w14:paraId="648E2E7A" w14:textId="0B9CE962" w:rsidR="00BB44E1" w:rsidRPr="00DB0C40" w:rsidRDefault="00230B49" w:rsidP="00FB59BE">
      <w:pPr>
        <w:numPr>
          <w:ilvl w:val="0"/>
          <w:numId w:val="12"/>
        </w:numPr>
        <w:pBdr>
          <w:top w:val="nil"/>
          <w:left w:val="nil"/>
          <w:bottom w:val="nil"/>
          <w:right w:val="nil"/>
          <w:between w:val="nil"/>
        </w:pBdr>
        <w:jc w:val="both"/>
        <w:rPr>
          <w:color w:val="000000"/>
          <w:sz w:val="22"/>
          <w:szCs w:val="22"/>
        </w:rPr>
      </w:pPr>
      <w:r w:rsidRPr="00DB0C40">
        <w:rPr>
          <w:color w:val="000000"/>
          <w:sz w:val="22"/>
          <w:szCs w:val="22"/>
        </w:rPr>
        <w:t xml:space="preserve">With  UN Women </w:t>
      </w:r>
      <w:r w:rsidR="00AC20EA">
        <w:rPr>
          <w:color w:val="000000"/>
          <w:sz w:val="22"/>
          <w:szCs w:val="22"/>
        </w:rPr>
        <w:t>Türkiye</w:t>
      </w:r>
      <w:r w:rsidRPr="00DB0C40">
        <w:rPr>
          <w:color w:val="000000"/>
          <w:sz w:val="22"/>
          <w:szCs w:val="22"/>
        </w:rPr>
        <w:t xml:space="preserve"> for instance, launched the three-year project, "Implementing Gender Responsive Planning and Budgeting in </w:t>
      </w:r>
      <w:r w:rsidR="00AC20EA">
        <w:rPr>
          <w:color w:val="000000"/>
          <w:sz w:val="22"/>
          <w:szCs w:val="22"/>
        </w:rPr>
        <w:t>Türkiye</w:t>
      </w:r>
      <w:r w:rsidRPr="00DB0C40">
        <w:rPr>
          <w:color w:val="000000"/>
          <w:sz w:val="22"/>
          <w:szCs w:val="22"/>
        </w:rPr>
        <w:t xml:space="preserve">". The project aims to eradicate gender inequalities and create a society where everyone has access to equal rights, opportunities, and services. The project's main objective is to empower women and further strengthen gender equality in </w:t>
      </w:r>
      <w:r w:rsidR="00AC20EA">
        <w:rPr>
          <w:color w:val="000000"/>
          <w:sz w:val="22"/>
          <w:szCs w:val="22"/>
        </w:rPr>
        <w:t>Türkiye</w:t>
      </w:r>
      <w:r w:rsidRPr="00DB0C40">
        <w:rPr>
          <w:color w:val="000000"/>
          <w:sz w:val="22"/>
          <w:szCs w:val="22"/>
        </w:rPr>
        <w:t xml:space="preserve"> </w:t>
      </w:r>
      <w:r w:rsidRPr="00DB0C40">
        <w:rPr>
          <w:color w:val="000000"/>
          <w:sz w:val="22"/>
          <w:szCs w:val="22"/>
        </w:rPr>
        <w:lastRenderedPageBreak/>
        <w:t>through systematic and sustainable integration of gender perspectives at all stages of national and local policy-making and budgeting processes.</w:t>
      </w:r>
    </w:p>
    <w:p w14:paraId="3D99DB3B" w14:textId="748721CF" w:rsidR="00BB44E1" w:rsidRPr="00DB0C40" w:rsidRDefault="00230B49" w:rsidP="00FB59BE">
      <w:pPr>
        <w:numPr>
          <w:ilvl w:val="0"/>
          <w:numId w:val="12"/>
        </w:numPr>
        <w:pBdr>
          <w:top w:val="nil"/>
          <w:left w:val="nil"/>
          <w:bottom w:val="nil"/>
          <w:right w:val="nil"/>
          <w:between w:val="nil"/>
        </w:pBdr>
        <w:jc w:val="both"/>
        <w:rPr>
          <w:color w:val="000000"/>
          <w:sz w:val="22"/>
          <w:szCs w:val="22"/>
        </w:rPr>
      </w:pPr>
      <w:r w:rsidRPr="00DB0C40">
        <w:rPr>
          <w:color w:val="000000"/>
          <w:sz w:val="22"/>
          <w:szCs w:val="22"/>
        </w:rPr>
        <w:t xml:space="preserve">Finally, it is needed to mention the women's employment action plan currently carried out by İŞKUR. There </w:t>
      </w:r>
      <w:r w:rsidR="00E0559E" w:rsidRPr="00DB0C40">
        <w:rPr>
          <w:color w:val="000000"/>
          <w:sz w:val="22"/>
          <w:szCs w:val="22"/>
        </w:rPr>
        <w:t>are</w:t>
      </w:r>
      <w:r w:rsidRPr="00DB0C40">
        <w:rPr>
          <w:color w:val="000000"/>
          <w:sz w:val="22"/>
          <w:szCs w:val="22"/>
        </w:rPr>
        <w:t xml:space="preserve"> two projects to increase women’s employment jointly conducted by the International Labour Organization (ILO) and the Turkish Employment Organization (İŞKUR): </w:t>
      </w:r>
    </w:p>
    <w:p w14:paraId="527C4943" w14:textId="23F82C82" w:rsidR="00BB44E1" w:rsidRPr="00DB0C40" w:rsidRDefault="00230B49" w:rsidP="00FB59BE">
      <w:pPr>
        <w:numPr>
          <w:ilvl w:val="0"/>
          <w:numId w:val="12"/>
        </w:numPr>
        <w:pBdr>
          <w:top w:val="nil"/>
          <w:left w:val="nil"/>
          <w:bottom w:val="nil"/>
          <w:right w:val="nil"/>
          <w:between w:val="nil"/>
        </w:pBdr>
        <w:jc w:val="both"/>
        <w:rPr>
          <w:color w:val="000000"/>
          <w:sz w:val="22"/>
          <w:szCs w:val="22"/>
        </w:rPr>
      </w:pPr>
      <w:r w:rsidRPr="00DB0C40">
        <w:rPr>
          <w:color w:val="000000"/>
          <w:sz w:val="22"/>
          <w:szCs w:val="22"/>
        </w:rPr>
        <w:t xml:space="preserve">Phase I of the Project “More and Better Jobs for Women: Women’s Empowerment through Decent Work in </w:t>
      </w:r>
      <w:r w:rsidR="00AC20EA">
        <w:rPr>
          <w:color w:val="000000"/>
          <w:sz w:val="22"/>
          <w:szCs w:val="22"/>
        </w:rPr>
        <w:t>Türkiye</w:t>
      </w:r>
      <w:r w:rsidRPr="00DB0C40">
        <w:rPr>
          <w:color w:val="000000"/>
          <w:sz w:val="22"/>
          <w:szCs w:val="22"/>
        </w:rPr>
        <w:t xml:space="preserve">,” was implemented by the International Labour Organization (ILO) and Turkish Employment Agency (ISKUR) with funding from the Swedish International Development Cooperation Agency (SIDA) in 2013-2018. Important outcomes have been achieved in the Phase I of the Project at the policy level as well as in terms of ensuring access for women to decent work opportunities and raising awareness on gender equality and working conditions in order to support strengthening of women's employment in </w:t>
      </w:r>
      <w:r w:rsidR="00AC20EA">
        <w:rPr>
          <w:color w:val="000000"/>
          <w:sz w:val="22"/>
          <w:szCs w:val="22"/>
        </w:rPr>
        <w:t>Türkiye</w:t>
      </w:r>
      <w:r w:rsidRPr="00DB0C40">
        <w:rPr>
          <w:color w:val="000000"/>
          <w:sz w:val="22"/>
          <w:szCs w:val="22"/>
        </w:rPr>
        <w:t>.</w:t>
      </w:r>
    </w:p>
    <w:p w14:paraId="05137F96" w14:textId="0B7B1998" w:rsidR="00BB44E1" w:rsidRPr="00DB0C40" w:rsidRDefault="00230B49" w:rsidP="00FB59BE">
      <w:pPr>
        <w:numPr>
          <w:ilvl w:val="0"/>
          <w:numId w:val="12"/>
        </w:numPr>
        <w:pBdr>
          <w:top w:val="nil"/>
          <w:left w:val="nil"/>
          <w:bottom w:val="nil"/>
          <w:right w:val="nil"/>
          <w:between w:val="nil"/>
        </w:pBdr>
        <w:jc w:val="both"/>
        <w:rPr>
          <w:color w:val="000000"/>
          <w:sz w:val="22"/>
          <w:szCs w:val="22"/>
        </w:rPr>
      </w:pPr>
      <w:r w:rsidRPr="00DB0C40">
        <w:rPr>
          <w:color w:val="000000"/>
          <w:sz w:val="22"/>
          <w:szCs w:val="22"/>
        </w:rPr>
        <w:t xml:space="preserve">Phase II, which is designed as ‘More and Better Jobs for Women Programme funded by SIDA is implemented under the “Gender Equality at Work Portfolio” of the ILO Office for </w:t>
      </w:r>
      <w:r w:rsidR="00AC20EA">
        <w:rPr>
          <w:color w:val="000000"/>
          <w:sz w:val="22"/>
          <w:szCs w:val="22"/>
        </w:rPr>
        <w:t>Türkiye</w:t>
      </w:r>
      <w:r w:rsidRPr="00DB0C40">
        <w:rPr>
          <w:color w:val="000000"/>
          <w:sz w:val="22"/>
          <w:szCs w:val="22"/>
        </w:rPr>
        <w:t>.</w:t>
      </w:r>
      <w:r w:rsidRPr="00DB0C40">
        <w:rPr>
          <w:color w:val="000000"/>
          <w:sz w:val="22"/>
          <w:szCs w:val="22"/>
        </w:rPr>
        <w:br/>
        <w:t>Under the programme, various projects will be carried out in the provinces of Ankara, Bursa, Istanbul, Izmir, Kocaeli and Konya to promote women’s access to employment opportunities and improve women’s working conditions.</w:t>
      </w:r>
    </w:p>
    <w:p w14:paraId="581254B7" w14:textId="77777777" w:rsidR="00BB44E1" w:rsidRPr="00DB0C40" w:rsidRDefault="00BB44E1">
      <w:pPr>
        <w:jc w:val="both"/>
        <w:rPr>
          <w:sz w:val="22"/>
          <w:szCs w:val="22"/>
        </w:rPr>
      </w:pPr>
    </w:p>
    <w:p w14:paraId="7942D498" w14:textId="0B88F83F" w:rsidR="002557B7" w:rsidRPr="00CD2A61" w:rsidRDefault="002557B7">
      <w:pPr>
        <w:pStyle w:val="ListParagraph"/>
        <w:numPr>
          <w:ilvl w:val="1"/>
          <w:numId w:val="45"/>
        </w:numPr>
        <w:spacing w:after="160" w:line="259" w:lineRule="auto"/>
        <w:rPr>
          <w:rFonts w:asciiTheme="majorHAnsi" w:eastAsiaTheme="majorEastAsia" w:hAnsiTheme="majorHAnsi" w:cstheme="majorBidi"/>
          <w:color w:val="1F3763" w:themeColor="accent1" w:themeShade="7F"/>
        </w:rPr>
      </w:pPr>
      <w:bookmarkStart w:id="75" w:name="_Hlk107137126"/>
      <w:r w:rsidRPr="00CD2A61">
        <w:rPr>
          <w:rFonts w:asciiTheme="majorHAnsi" w:eastAsiaTheme="majorEastAsia" w:hAnsiTheme="majorHAnsi" w:cstheme="majorBidi"/>
          <w:color w:val="1F3763" w:themeColor="accent1" w:themeShade="7F"/>
        </w:rPr>
        <w:t>THE IMPACT OF LABOUR LAW ON WOMEN EMPLOYMENT IN TÜRKIYE. A BRIEF COMPARISON STUDY.</w:t>
      </w:r>
    </w:p>
    <w:p w14:paraId="13E2D46B" w14:textId="79B20407" w:rsidR="002557B7" w:rsidRPr="00CD2A61" w:rsidRDefault="00EA37BB">
      <w:pPr>
        <w:pStyle w:val="ListParagraph"/>
        <w:numPr>
          <w:ilvl w:val="2"/>
          <w:numId w:val="45"/>
        </w:numPr>
        <w:spacing w:after="160" w:line="259" w:lineRule="auto"/>
        <w:jc w:val="both"/>
        <w:rPr>
          <w:rFonts w:asciiTheme="majorHAnsi" w:eastAsiaTheme="majorEastAsia" w:hAnsiTheme="majorHAnsi" w:cstheme="majorBidi"/>
          <w:color w:val="1F3763" w:themeColor="accent1" w:themeShade="7F"/>
        </w:rPr>
      </w:pPr>
      <w:r w:rsidRPr="00EA37BB">
        <w:rPr>
          <w:rFonts w:asciiTheme="majorHAnsi" w:eastAsiaTheme="majorEastAsia" w:hAnsiTheme="majorHAnsi" w:cstheme="majorBidi"/>
          <w:color w:val="1F3763" w:themeColor="accent1" w:themeShade="7F"/>
        </w:rPr>
        <w:t xml:space="preserve">An Introduction </w:t>
      </w:r>
      <w:r>
        <w:rPr>
          <w:rFonts w:asciiTheme="majorHAnsi" w:eastAsiaTheme="majorEastAsia" w:hAnsiTheme="majorHAnsi" w:cstheme="majorBidi"/>
          <w:color w:val="1F3763" w:themeColor="accent1" w:themeShade="7F"/>
        </w:rPr>
        <w:t>t</w:t>
      </w:r>
      <w:r w:rsidRPr="00EA37BB">
        <w:rPr>
          <w:rFonts w:asciiTheme="majorHAnsi" w:eastAsiaTheme="majorEastAsia" w:hAnsiTheme="majorHAnsi" w:cstheme="majorBidi"/>
          <w:color w:val="1F3763" w:themeColor="accent1" w:themeShade="7F"/>
        </w:rPr>
        <w:t xml:space="preserve">o </w:t>
      </w:r>
      <w:r>
        <w:rPr>
          <w:rFonts w:asciiTheme="majorHAnsi" w:eastAsiaTheme="majorEastAsia" w:hAnsiTheme="majorHAnsi" w:cstheme="majorBidi"/>
          <w:color w:val="1F3763" w:themeColor="accent1" w:themeShade="7F"/>
        </w:rPr>
        <w:t>t</w:t>
      </w:r>
      <w:r w:rsidRPr="00EA37BB">
        <w:rPr>
          <w:rFonts w:asciiTheme="majorHAnsi" w:eastAsiaTheme="majorEastAsia" w:hAnsiTheme="majorHAnsi" w:cstheme="majorBidi"/>
          <w:color w:val="1F3763" w:themeColor="accent1" w:themeShade="7F"/>
        </w:rPr>
        <w:t xml:space="preserve">he Main Impacts </w:t>
      </w:r>
      <w:r>
        <w:rPr>
          <w:rFonts w:asciiTheme="majorHAnsi" w:eastAsiaTheme="majorEastAsia" w:hAnsiTheme="majorHAnsi" w:cstheme="majorBidi"/>
          <w:color w:val="1F3763" w:themeColor="accent1" w:themeShade="7F"/>
        </w:rPr>
        <w:t>o</w:t>
      </w:r>
      <w:r w:rsidRPr="00EA37BB">
        <w:rPr>
          <w:rFonts w:asciiTheme="majorHAnsi" w:eastAsiaTheme="majorEastAsia" w:hAnsiTheme="majorHAnsi" w:cstheme="majorBidi"/>
          <w:color w:val="1F3763" w:themeColor="accent1" w:themeShade="7F"/>
        </w:rPr>
        <w:t xml:space="preserve">f Laws </w:t>
      </w:r>
      <w:r>
        <w:rPr>
          <w:rFonts w:asciiTheme="majorHAnsi" w:eastAsiaTheme="majorEastAsia" w:hAnsiTheme="majorHAnsi" w:cstheme="majorBidi"/>
          <w:color w:val="1F3763" w:themeColor="accent1" w:themeShade="7F"/>
        </w:rPr>
        <w:t>a</w:t>
      </w:r>
      <w:r w:rsidRPr="00EA37BB">
        <w:rPr>
          <w:rFonts w:asciiTheme="majorHAnsi" w:eastAsiaTheme="majorEastAsia" w:hAnsiTheme="majorHAnsi" w:cstheme="majorBidi"/>
          <w:color w:val="1F3763" w:themeColor="accent1" w:themeShade="7F"/>
        </w:rPr>
        <w:t xml:space="preserve">nd Policies </w:t>
      </w:r>
      <w:r>
        <w:rPr>
          <w:rFonts w:asciiTheme="majorHAnsi" w:eastAsiaTheme="majorEastAsia" w:hAnsiTheme="majorHAnsi" w:cstheme="majorBidi"/>
          <w:color w:val="1F3763" w:themeColor="accent1" w:themeShade="7F"/>
        </w:rPr>
        <w:t>o</w:t>
      </w:r>
      <w:r w:rsidRPr="00EA37BB">
        <w:rPr>
          <w:rFonts w:asciiTheme="majorHAnsi" w:eastAsiaTheme="majorEastAsia" w:hAnsiTheme="majorHAnsi" w:cstheme="majorBidi"/>
          <w:color w:val="1F3763" w:themeColor="accent1" w:themeShade="7F"/>
        </w:rPr>
        <w:t>n Female Labour</w:t>
      </w:r>
      <w:r w:rsidR="002557B7" w:rsidRPr="00CD2A61">
        <w:rPr>
          <w:rFonts w:asciiTheme="majorHAnsi" w:eastAsiaTheme="majorEastAsia" w:hAnsiTheme="majorHAnsi" w:cstheme="majorBidi"/>
          <w:color w:val="1F3763" w:themeColor="accent1" w:themeShade="7F"/>
        </w:rPr>
        <w:t xml:space="preserve"> </w:t>
      </w:r>
      <w:r w:rsidRPr="00EA37BB">
        <w:rPr>
          <w:rFonts w:asciiTheme="majorHAnsi" w:eastAsiaTheme="majorEastAsia" w:hAnsiTheme="majorHAnsi" w:cstheme="majorBidi"/>
          <w:color w:val="1F3763" w:themeColor="accent1" w:themeShade="7F"/>
        </w:rPr>
        <w:t>Participation</w:t>
      </w:r>
    </w:p>
    <w:p w14:paraId="7FFBC763" w14:textId="77777777" w:rsidR="002557B7" w:rsidRPr="00DB0C40" w:rsidRDefault="002557B7" w:rsidP="002557B7">
      <w:pPr>
        <w:spacing w:after="160" w:line="259" w:lineRule="auto"/>
        <w:jc w:val="both"/>
        <w:rPr>
          <w:rFonts w:asciiTheme="minorHAnsi" w:eastAsiaTheme="minorHAnsi" w:hAnsiTheme="minorHAnsi" w:cstheme="minorHAnsi"/>
          <w:sz w:val="22"/>
          <w:szCs w:val="22"/>
        </w:rPr>
      </w:pPr>
      <w:bookmarkStart w:id="76" w:name="_Hlk106374285"/>
      <w:bookmarkEnd w:id="75"/>
      <w:r w:rsidRPr="00DB0C40">
        <w:rPr>
          <w:rFonts w:asciiTheme="minorHAnsi" w:eastAsiaTheme="minorHAnsi" w:hAnsiTheme="minorHAnsi" w:cstheme="minorHAnsi"/>
          <w:sz w:val="22"/>
          <w:szCs w:val="22"/>
        </w:rPr>
        <w:t xml:space="preserve">The impact of laws and government policies as the key drivers of female labour force participation can be summarised as follows: </w:t>
      </w:r>
    </w:p>
    <w:p w14:paraId="791D1BD8" w14:textId="77777777" w:rsidR="002557B7" w:rsidRPr="00DB0C40" w:rsidRDefault="002557B7">
      <w:pPr>
        <w:numPr>
          <w:ilvl w:val="0"/>
          <w:numId w:val="28"/>
        </w:numPr>
        <w:spacing w:after="160" w:line="259" w:lineRule="auto"/>
        <w:contextualSpacing/>
        <w:jc w:val="both"/>
        <w:rPr>
          <w:rFonts w:asciiTheme="minorHAnsi" w:eastAsiaTheme="minorHAnsi" w:hAnsiTheme="minorHAnsi" w:cstheme="minorHAnsi"/>
          <w:sz w:val="22"/>
          <w:szCs w:val="22"/>
        </w:rPr>
      </w:pPr>
      <w:r w:rsidRPr="00DB0C40">
        <w:rPr>
          <w:rFonts w:asciiTheme="minorHAnsi" w:eastAsiaTheme="minorHAnsi" w:hAnsiTheme="minorHAnsi" w:cstheme="minorHAnsi"/>
          <w:sz w:val="22"/>
          <w:szCs w:val="22"/>
        </w:rPr>
        <w:t>Previous empirical work</w:t>
      </w:r>
      <w:r w:rsidRPr="00DB0C40">
        <w:rPr>
          <w:rFonts w:asciiTheme="minorHAnsi" w:eastAsiaTheme="minorHAnsi" w:hAnsiTheme="minorHAnsi" w:cstheme="minorHAnsi"/>
          <w:sz w:val="22"/>
          <w:szCs w:val="22"/>
          <w:vertAlign w:val="superscript"/>
        </w:rPr>
        <w:footnoteReference w:id="26"/>
      </w:r>
      <w:r w:rsidRPr="00DB0C40">
        <w:rPr>
          <w:rFonts w:asciiTheme="minorHAnsi" w:eastAsiaTheme="minorHAnsi" w:hAnsiTheme="minorHAnsi" w:cstheme="minorHAnsi"/>
          <w:sz w:val="22"/>
          <w:szCs w:val="22"/>
        </w:rPr>
        <w:t xml:space="preserve"> has identified laws and government policies as the key drivers of female labour force participation. Government expenditure policies, including maternity leave and child benefits as well as tax policies, have also been shown to significantly affect women’s economic participation. The effect of legal gender-based restrictions on women’s labour force participation, however, has been less explored in a systematic way. </w:t>
      </w:r>
    </w:p>
    <w:p w14:paraId="6CC22979" w14:textId="77777777" w:rsidR="002557B7" w:rsidRPr="00DB0C40" w:rsidRDefault="002557B7">
      <w:pPr>
        <w:numPr>
          <w:ilvl w:val="0"/>
          <w:numId w:val="28"/>
        </w:numPr>
        <w:spacing w:after="160" w:line="259" w:lineRule="auto"/>
        <w:contextualSpacing/>
        <w:jc w:val="both"/>
        <w:rPr>
          <w:rFonts w:asciiTheme="minorHAnsi" w:eastAsiaTheme="minorHAnsi" w:hAnsiTheme="minorHAnsi" w:cstheme="minorHAnsi"/>
          <w:sz w:val="22"/>
          <w:szCs w:val="22"/>
        </w:rPr>
      </w:pPr>
      <w:r w:rsidRPr="00DB0C40">
        <w:rPr>
          <w:rFonts w:asciiTheme="minorHAnsi" w:eastAsiaTheme="minorHAnsi" w:hAnsiTheme="minorHAnsi" w:cstheme="minorHAnsi"/>
          <w:sz w:val="22"/>
          <w:szCs w:val="22"/>
        </w:rPr>
        <w:t>The World Bank’s Women, Business and the Law Database (WBL)</w:t>
      </w:r>
      <w:r w:rsidRPr="00DB0C40">
        <w:rPr>
          <w:rFonts w:asciiTheme="minorHAnsi" w:eastAsiaTheme="minorHAnsi" w:hAnsiTheme="minorHAnsi" w:cstheme="minorHAnsi"/>
          <w:sz w:val="22"/>
          <w:szCs w:val="22"/>
          <w:vertAlign w:val="superscript"/>
        </w:rPr>
        <w:footnoteReference w:id="27"/>
      </w:r>
      <w:r w:rsidRPr="00DB0C40">
        <w:rPr>
          <w:rFonts w:asciiTheme="minorHAnsi" w:eastAsiaTheme="minorHAnsi" w:hAnsiTheme="minorHAnsi" w:cstheme="minorHAnsi"/>
          <w:sz w:val="22"/>
          <w:szCs w:val="22"/>
        </w:rPr>
        <w:t xml:space="preserve"> presents a number of indicators on legal restrictions and regulations relating to women’s economic participation and entrepreneurship, including limitations related to accessing institutions, owning and managing property, getting a job (such as restrictions on women’s work, including working at night or in certain industries), building credit, and going to court. The database provides detailed information on the manner in which laws and regulations have been used to establish differences on the basis of gender, generally to the disadvantage of women. For selected indicators, the database allows </w:t>
      </w:r>
      <w:r w:rsidRPr="00DB0C40">
        <w:rPr>
          <w:rFonts w:asciiTheme="minorHAnsi" w:eastAsiaTheme="minorHAnsi" w:hAnsiTheme="minorHAnsi" w:cstheme="minorHAnsi"/>
          <w:sz w:val="22"/>
          <w:szCs w:val="22"/>
        </w:rPr>
        <w:lastRenderedPageBreak/>
        <w:t xml:space="preserve">for tracking legal changes back to 1960, providing ample information to assess the economic effects of such restrictions. </w:t>
      </w:r>
    </w:p>
    <w:p w14:paraId="6FBDF879" w14:textId="77777777" w:rsidR="002557B7" w:rsidRPr="00DB0C40" w:rsidRDefault="002557B7">
      <w:pPr>
        <w:numPr>
          <w:ilvl w:val="0"/>
          <w:numId w:val="28"/>
        </w:numPr>
        <w:spacing w:after="160" w:line="259" w:lineRule="auto"/>
        <w:contextualSpacing/>
        <w:jc w:val="both"/>
        <w:rPr>
          <w:rFonts w:asciiTheme="minorHAnsi" w:eastAsiaTheme="minorHAnsi" w:hAnsiTheme="minorHAnsi" w:cstheme="minorHAnsi"/>
          <w:sz w:val="22"/>
          <w:szCs w:val="22"/>
        </w:rPr>
      </w:pPr>
      <w:r w:rsidRPr="00DB0C40">
        <w:rPr>
          <w:rFonts w:asciiTheme="minorHAnsi" w:eastAsiaTheme="minorHAnsi" w:hAnsiTheme="minorHAnsi" w:cstheme="minorHAnsi"/>
          <w:sz w:val="22"/>
          <w:szCs w:val="22"/>
        </w:rPr>
        <w:t xml:space="preserve">Less legal discrimination against women is strongly associated with higher female labour force participation. The empirical results highlight that legal equality in economic rights significantly contributes to explaining the variation of labour force participation gaps across countries and time. In particular, the following factors are all related to a statistically significant decrease in the gender gap in labour force participation: legally guaranteed equality between men and women; equal property rights; equal inheritance rights for sons and daughters; joint titling for married couples; women’s liberty to pursue a profession, obtain a job, or open a bank account; a woman’s right to initiate legal proceedings without her husband’s permission; right to sign a contract; and a woman’s right to be the head of a household. These effects come in addition to other factors, such as demographics, education, and family policies that have the expected sign and are statistically significant in the regression analysis. </w:t>
      </w:r>
      <w:r w:rsidRPr="00DB0C40">
        <w:rPr>
          <w:rFonts w:asciiTheme="minorHAnsi" w:eastAsiaTheme="minorHAnsi" w:hAnsiTheme="minorHAnsi" w:cstheme="minorHAnsi"/>
          <w:sz w:val="22"/>
          <w:szCs w:val="22"/>
          <w:vertAlign w:val="superscript"/>
        </w:rPr>
        <w:footnoteReference w:id="28"/>
      </w:r>
    </w:p>
    <w:p w14:paraId="65F21AFD" w14:textId="77777777" w:rsidR="002557B7" w:rsidRPr="00DB0C40" w:rsidRDefault="002557B7">
      <w:pPr>
        <w:numPr>
          <w:ilvl w:val="0"/>
          <w:numId w:val="28"/>
        </w:numPr>
        <w:spacing w:after="160" w:line="259" w:lineRule="auto"/>
        <w:contextualSpacing/>
        <w:jc w:val="both"/>
        <w:rPr>
          <w:rFonts w:asciiTheme="minorHAnsi" w:eastAsiaTheme="minorHAnsi" w:hAnsiTheme="minorHAnsi" w:cstheme="minorHAnsi"/>
          <w:sz w:val="22"/>
          <w:szCs w:val="22"/>
        </w:rPr>
      </w:pPr>
      <w:r w:rsidRPr="00DB0C40">
        <w:rPr>
          <w:rFonts w:asciiTheme="minorHAnsi" w:eastAsiaTheme="minorHAnsi" w:hAnsiTheme="minorHAnsi" w:cstheme="minorHAnsi"/>
          <w:sz w:val="22"/>
          <w:szCs w:val="22"/>
        </w:rPr>
        <w:t xml:space="preserve">Changes in the law may follow from changes in social attitudes that themselves can lead to changes in women’s economic behaviour. At the same time, legal changes enable women to enter into economic activity, which may change social attitudes. </w:t>
      </w:r>
    </w:p>
    <w:p w14:paraId="14023E72" w14:textId="77777777" w:rsidR="002557B7" w:rsidRPr="00DB0C40" w:rsidRDefault="002557B7">
      <w:pPr>
        <w:numPr>
          <w:ilvl w:val="0"/>
          <w:numId w:val="28"/>
        </w:numPr>
        <w:spacing w:after="160" w:line="259" w:lineRule="auto"/>
        <w:contextualSpacing/>
        <w:jc w:val="both"/>
        <w:rPr>
          <w:rFonts w:asciiTheme="minorHAnsi" w:eastAsiaTheme="minorHAnsi" w:hAnsiTheme="minorHAnsi" w:cstheme="minorHAnsi"/>
          <w:sz w:val="22"/>
          <w:szCs w:val="22"/>
        </w:rPr>
      </w:pPr>
      <w:r w:rsidRPr="00DB0C40">
        <w:rPr>
          <w:rFonts w:asciiTheme="minorHAnsi" w:eastAsiaTheme="minorHAnsi" w:hAnsiTheme="minorHAnsi" w:cstheme="minorHAnsi"/>
          <w:sz w:val="22"/>
          <w:szCs w:val="22"/>
        </w:rPr>
        <w:t>As for expenditure policy, better access to comprehensive, affordable, and high-quality child care frees up women’s time for formal employment</w:t>
      </w:r>
      <w:r w:rsidRPr="00DB0C40">
        <w:rPr>
          <w:rFonts w:asciiTheme="minorHAnsi" w:eastAsiaTheme="minorHAnsi" w:hAnsiTheme="minorHAnsi" w:cstheme="minorHAnsi"/>
          <w:sz w:val="22"/>
          <w:szCs w:val="22"/>
          <w:vertAlign w:val="superscript"/>
        </w:rPr>
        <w:footnoteReference w:id="29"/>
      </w:r>
      <w:r w:rsidRPr="00DB0C40">
        <w:rPr>
          <w:rFonts w:asciiTheme="minorHAnsi" w:eastAsiaTheme="minorHAnsi" w:hAnsiTheme="minorHAnsi" w:cstheme="minorHAnsi"/>
          <w:sz w:val="22"/>
          <w:szCs w:val="22"/>
        </w:rPr>
        <w:t xml:space="preserve"> . Thus, reducing the price of childcare by 50 percent could be associated with an increase of 6.5 to 10 percent in the labour supply of young mothers. Other studies document the importance of public infrastructure to boost the participation of women in the labour force. Inadequate infrastructure affects women’s participation more than that of men because women are more often responsible for household activities.  </w:t>
      </w:r>
      <w:r w:rsidRPr="00DB0C40">
        <w:rPr>
          <w:rFonts w:asciiTheme="minorHAnsi" w:eastAsiaTheme="minorHAnsi" w:hAnsiTheme="minorHAnsi" w:cstheme="minorHAnsi"/>
          <w:sz w:val="22"/>
          <w:szCs w:val="22"/>
          <w:vertAlign w:val="superscript"/>
        </w:rPr>
        <w:footnoteReference w:id="30"/>
      </w:r>
    </w:p>
    <w:p w14:paraId="3522496C" w14:textId="77777777" w:rsidR="002557B7" w:rsidRPr="00DB0C40" w:rsidRDefault="002557B7">
      <w:pPr>
        <w:numPr>
          <w:ilvl w:val="0"/>
          <w:numId w:val="28"/>
        </w:numPr>
        <w:spacing w:after="160" w:line="259" w:lineRule="auto"/>
        <w:contextualSpacing/>
        <w:jc w:val="both"/>
        <w:rPr>
          <w:rFonts w:asciiTheme="minorHAnsi" w:eastAsiaTheme="minorHAnsi" w:hAnsiTheme="minorHAnsi" w:cstheme="minorHAnsi"/>
          <w:sz w:val="22"/>
          <w:szCs w:val="22"/>
        </w:rPr>
      </w:pPr>
      <w:r w:rsidRPr="00DB0C40">
        <w:rPr>
          <w:rFonts w:asciiTheme="minorHAnsi" w:eastAsiaTheme="minorHAnsi" w:hAnsiTheme="minorHAnsi" w:cstheme="minorHAnsi"/>
          <w:sz w:val="22"/>
          <w:szCs w:val="22"/>
        </w:rPr>
        <w:t xml:space="preserve">The availability of maternity leave can encourage greater participation, but its effects can be nonlinear. In other words, while properly designed family benefits can help support female labour force participation, long periods outside the labour market also risk reducing skills and earnings </w:t>
      </w:r>
      <w:r w:rsidRPr="00DB0C40">
        <w:rPr>
          <w:rFonts w:asciiTheme="minorHAnsi" w:eastAsiaTheme="minorHAnsi" w:hAnsiTheme="minorHAnsi" w:cstheme="minorHAnsi"/>
          <w:sz w:val="22"/>
          <w:szCs w:val="22"/>
          <w:vertAlign w:val="superscript"/>
        </w:rPr>
        <w:footnoteReference w:id="31"/>
      </w:r>
      <w:r w:rsidRPr="00DB0C40">
        <w:rPr>
          <w:rFonts w:asciiTheme="minorHAnsi" w:eastAsiaTheme="minorHAnsi" w:hAnsiTheme="minorHAnsi" w:cstheme="minorHAnsi"/>
          <w:sz w:val="22"/>
          <w:szCs w:val="22"/>
        </w:rPr>
        <w:t xml:space="preserve">. As parental leave is mostly taken by women, it can indirectly encourage employer discrimination and discourage employers from hiring women for positions that require costly qualification and training periods. This implies that policies that encourage greater parity between paternity and maternity leave could support a more rapid return to work among mothers and help shift underlying gender norms </w:t>
      </w:r>
      <w:r w:rsidRPr="00DB0C40">
        <w:rPr>
          <w:rFonts w:asciiTheme="minorHAnsi" w:eastAsiaTheme="minorHAnsi" w:hAnsiTheme="minorHAnsi" w:cstheme="minorHAnsi"/>
          <w:sz w:val="22"/>
          <w:szCs w:val="22"/>
          <w:vertAlign w:val="superscript"/>
        </w:rPr>
        <w:footnoteReference w:id="32"/>
      </w:r>
      <w:r w:rsidRPr="00DB0C40">
        <w:rPr>
          <w:rFonts w:asciiTheme="minorHAnsi" w:eastAsiaTheme="minorHAnsi" w:hAnsiTheme="minorHAnsi" w:cstheme="minorHAnsi"/>
          <w:sz w:val="22"/>
          <w:szCs w:val="22"/>
        </w:rPr>
        <w:t xml:space="preserve">. </w:t>
      </w:r>
    </w:p>
    <w:p w14:paraId="7F677BF0" w14:textId="77777777" w:rsidR="002557B7" w:rsidRPr="00DB0C40" w:rsidRDefault="002557B7">
      <w:pPr>
        <w:numPr>
          <w:ilvl w:val="0"/>
          <w:numId w:val="28"/>
        </w:numPr>
        <w:spacing w:after="160" w:line="259" w:lineRule="auto"/>
        <w:contextualSpacing/>
        <w:jc w:val="both"/>
        <w:rPr>
          <w:rFonts w:asciiTheme="minorHAnsi" w:eastAsiaTheme="minorHAnsi" w:hAnsiTheme="minorHAnsi" w:cstheme="minorHAnsi"/>
          <w:sz w:val="22"/>
          <w:szCs w:val="22"/>
        </w:rPr>
      </w:pPr>
      <w:r w:rsidRPr="00DB0C40">
        <w:rPr>
          <w:rFonts w:asciiTheme="minorHAnsi" w:eastAsiaTheme="minorHAnsi" w:hAnsiTheme="minorHAnsi" w:cstheme="minorHAnsi"/>
          <w:sz w:val="22"/>
          <w:szCs w:val="22"/>
        </w:rPr>
        <w:t xml:space="preserve">Institutions Gender-based legal restrictions impede women’s empowerment and thus their economic participation. In addition, weak or restrictive laws related to family, gender-based violence, and economic opportunities are most likely to impede women’s empowerment, with a </w:t>
      </w:r>
      <w:r w:rsidRPr="00DB0C40">
        <w:rPr>
          <w:rFonts w:asciiTheme="minorHAnsi" w:eastAsiaTheme="minorHAnsi" w:hAnsiTheme="minorHAnsi" w:cstheme="minorHAnsi"/>
          <w:sz w:val="22"/>
          <w:szCs w:val="22"/>
        </w:rPr>
        <w:lastRenderedPageBreak/>
        <w:t>lack of gender parity in business and institutional laws strongly associated with lower levels of economic participation by women</w:t>
      </w:r>
      <w:r w:rsidRPr="00DB0C40">
        <w:rPr>
          <w:rFonts w:asciiTheme="minorHAnsi" w:eastAsiaTheme="minorHAnsi" w:hAnsiTheme="minorHAnsi" w:cstheme="minorHAnsi"/>
          <w:sz w:val="22"/>
          <w:szCs w:val="22"/>
          <w:vertAlign w:val="superscript"/>
        </w:rPr>
        <w:footnoteReference w:id="33"/>
      </w:r>
      <w:r w:rsidRPr="00DB0C40">
        <w:rPr>
          <w:rFonts w:asciiTheme="minorHAnsi" w:eastAsiaTheme="minorHAnsi" w:hAnsiTheme="minorHAnsi" w:cstheme="minorHAnsi"/>
          <w:sz w:val="22"/>
          <w:szCs w:val="22"/>
        </w:rPr>
        <w:t xml:space="preserve">. </w:t>
      </w:r>
    </w:p>
    <w:bookmarkEnd w:id="76"/>
    <w:p w14:paraId="400A9FDF" w14:textId="77777777" w:rsidR="002557B7" w:rsidRPr="00DB0C40" w:rsidRDefault="002557B7" w:rsidP="002557B7">
      <w:pPr>
        <w:spacing w:after="160" w:line="259" w:lineRule="auto"/>
        <w:ind w:left="720"/>
        <w:contextualSpacing/>
        <w:jc w:val="both"/>
        <w:rPr>
          <w:rFonts w:asciiTheme="minorHAnsi" w:eastAsiaTheme="minorHAnsi" w:hAnsiTheme="minorHAnsi" w:cstheme="minorHAnsi"/>
          <w:sz w:val="22"/>
          <w:szCs w:val="22"/>
        </w:rPr>
      </w:pPr>
    </w:p>
    <w:p w14:paraId="72A40740" w14:textId="11891A6A" w:rsidR="002557B7" w:rsidRPr="00CD2A61" w:rsidRDefault="00EF6EB8">
      <w:pPr>
        <w:pStyle w:val="ListParagraph"/>
        <w:numPr>
          <w:ilvl w:val="2"/>
          <w:numId w:val="45"/>
        </w:numPr>
        <w:spacing w:after="160" w:line="259" w:lineRule="auto"/>
        <w:jc w:val="both"/>
        <w:rPr>
          <w:rFonts w:asciiTheme="majorHAnsi" w:eastAsiaTheme="majorEastAsia" w:hAnsiTheme="majorHAnsi" w:cstheme="majorBidi"/>
          <w:color w:val="1F3763" w:themeColor="accent1" w:themeShade="7F"/>
        </w:rPr>
      </w:pPr>
      <w:bookmarkStart w:id="77" w:name="_Hlk107137210"/>
      <w:r w:rsidRPr="00CD2A61">
        <w:rPr>
          <w:rFonts w:asciiTheme="majorHAnsi" w:eastAsiaTheme="majorEastAsia" w:hAnsiTheme="majorHAnsi" w:cstheme="majorBidi"/>
          <w:color w:val="1F3763" w:themeColor="accent1" w:themeShade="7F"/>
        </w:rPr>
        <w:t>A Comparison of Türkiye with Other Countries</w:t>
      </w:r>
    </w:p>
    <w:p w14:paraId="1DDD5A11" w14:textId="3FB6137B" w:rsidR="002557B7" w:rsidRPr="00CD2A61" w:rsidRDefault="002557B7">
      <w:pPr>
        <w:pStyle w:val="ListParagraph"/>
        <w:numPr>
          <w:ilvl w:val="3"/>
          <w:numId w:val="45"/>
        </w:numPr>
        <w:spacing w:after="160" w:line="259" w:lineRule="auto"/>
        <w:jc w:val="both"/>
        <w:rPr>
          <w:rFonts w:asciiTheme="majorHAnsi" w:eastAsiaTheme="majorEastAsia" w:hAnsiTheme="majorHAnsi" w:cstheme="majorBidi"/>
          <w:color w:val="1F3763" w:themeColor="accent1" w:themeShade="7F"/>
        </w:rPr>
      </w:pPr>
      <w:bookmarkStart w:id="78" w:name="_Hlk107137315"/>
      <w:bookmarkEnd w:id="77"/>
      <w:r w:rsidRPr="00CD2A61">
        <w:rPr>
          <w:rFonts w:asciiTheme="majorHAnsi" w:eastAsiaTheme="majorEastAsia" w:hAnsiTheme="majorHAnsi" w:cstheme="majorBidi"/>
          <w:color w:val="1F3763" w:themeColor="accent1" w:themeShade="7F"/>
        </w:rPr>
        <w:t xml:space="preserve">A Brief Analysis of G20 Countries </w:t>
      </w:r>
    </w:p>
    <w:bookmarkEnd w:id="78"/>
    <w:p w14:paraId="4FD4F0FA" w14:textId="77777777" w:rsidR="002557B7" w:rsidRPr="00DB0C40" w:rsidRDefault="002557B7" w:rsidP="002557B7">
      <w:pPr>
        <w:spacing w:after="160" w:line="259" w:lineRule="auto"/>
        <w:jc w:val="both"/>
        <w:rPr>
          <w:rFonts w:asciiTheme="minorHAnsi" w:eastAsiaTheme="minorHAnsi" w:hAnsiTheme="minorHAnsi" w:cstheme="minorHAnsi"/>
          <w:sz w:val="22"/>
          <w:szCs w:val="22"/>
        </w:rPr>
      </w:pPr>
      <w:r w:rsidRPr="00DB0C40">
        <w:rPr>
          <w:rFonts w:asciiTheme="minorHAnsi" w:eastAsiaTheme="minorHAnsi" w:hAnsiTheme="minorHAnsi" w:cstheme="minorHAnsi"/>
          <w:sz w:val="22"/>
          <w:szCs w:val="22"/>
        </w:rPr>
        <w:t xml:space="preserve">At the 2014 Summit in Brisbane, G20 leaders committed to reduce the gender gap in labour force participation by 25 per cent by the year 2025 compared to 2012 (the 25x25 goal). G20 Ministers of Labour further agreed on a set of key principles to improve the quality of women’s employment. At the request of the Japanese Presidency of the G20, the ILO and the OECD have prepared a paper in 2019 to assess progress in reducing gender gaps in the labour market and recent policy development as reported by G20 countries using the template agreed upon during the Turkish presidency in 2015. </w:t>
      </w:r>
    </w:p>
    <w:p w14:paraId="372D8681" w14:textId="0CB0910F" w:rsidR="002557B7" w:rsidRPr="00DB0C40" w:rsidRDefault="002557B7" w:rsidP="002557B7">
      <w:pPr>
        <w:spacing w:after="160" w:line="259" w:lineRule="auto"/>
        <w:jc w:val="both"/>
        <w:rPr>
          <w:rFonts w:asciiTheme="minorHAnsi" w:eastAsiaTheme="minorHAnsi" w:hAnsiTheme="minorHAnsi" w:cstheme="minorHAnsi"/>
          <w:iCs/>
          <w:sz w:val="22"/>
          <w:szCs w:val="22"/>
        </w:rPr>
      </w:pPr>
      <w:r w:rsidRPr="00DB0C40">
        <w:rPr>
          <w:rFonts w:asciiTheme="minorHAnsi" w:eastAsiaTheme="minorHAnsi" w:hAnsiTheme="minorHAnsi" w:cstheme="minorHAnsi"/>
          <w:sz w:val="22"/>
          <w:szCs w:val="22"/>
        </w:rPr>
        <w:t>The comparison between the countries allows to understand some causes of the delay in achieve the reduction of the gender gap. In all G20 economies, there was an increase in the labour force participation rate of women aged 15‐64 between 2012 and 2018.</w:t>
      </w:r>
      <w:r w:rsidRPr="00DB0C40">
        <w:rPr>
          <w:rFonts w:asciiTheme="minorHAnsi" w:eastAsiaTheme="minorHAnsi" w:hAnsiTheme="minorHAnsi" w:cstheme="minorHAnsi"/>
          <w:sz w:val="22"/>
          <w:szCs w:val="22"/>
          <w:vertAlign w:val="superscript"/>
        </w:rPr>
        <w:t>2</w:t>
      </w:r>
      <w:r w:rsidRPr="00DB0C40">
        <w:rPr>
          <w:rFonts w:asciiTheme="minorHAnsi" w:eastAsiaTheme="minorHAnsi" w:hAnsiTheme="minorHAnsi" w:cstheme="minorHAnsi"/>
          <w:sz w:val="22"/>
          <w:szCs w:val="22"/>
        </w:rPr>
        <w:t xml:space="preserve"> Nevertheless, there remain large country differences in the participation of women and, consequently, in the gender gap in participation. As a result of rising female participation rates, and either smaller rises in male rates or even declines, </w:t>
      </w:r>
      <w:r w:rsidRPr="00DB0C40">
        <w:rPr>
          <w:rFonts w:asciiTheme="minorHAnsi" w:eastAsiaTheme="minorHAnsi" w:hAnsiTheme="minorHAnsi" w:cstheme="minorHAnsi"/>
          <w:iCs/>
          <w:sz w:val="22"/>
          <w:szCs w:val="22"/>
        </w:rPr>
        <w:t>there has been a decline in the gender gap in participation in almost all G20 economies for which data are available with the exception of Russia (Figure</w:t>
      </w:r>
      <w:r w:rsidR="00853140">
        <w:rPr>
          <w:rFonts w:asciiTheme="minorHAnsi" w:eastAsiaTheme="minorHAnsi" w:hAnsiTheme="minorHAnsi" w:cstheme="minorHAnsi"/>
          <w:iCs/>
          <w:sz w:val="22"/>
          <w:szCs w:val="22"/>
        </w:rPr>
        <w:t xml:space="preserve"> 2</w:t>
      </w:r>
      <w:r w:rsidRPr="00DB0C40">
        <w:rPr>
          <w:rFonts w:asciiTheme="minorHAnsi" w:eastAsiaTheme="minorHAnsi" w:hAnsiTheme="minorHAnsi" w:cstheme="minorHAnsi"/>
          <w:iCs/>
          <w:sz w:val="22"/>
          <w:szCs w:val="22"/>
        </w:rPr>
        <w:t>).</w:t>
      </w:r>
      <w:r w:rsidRPr="00DB0C40">
        <w:rPr>
          <w:rFonts w:asciiTheme="minorHAnsi" w:eastAsiaTheme="minorHAnsi" w:hAnsiTheme="minorHAnsi" w:cstheme="minorHAnsi"/>
          <w:iCs/>
          <w:sz w:val="22"/>
          <w:szCs w:val="22"/>
          <w:vertAlign w:val="superscript"/>
        </w:rPr>
        <w:t>3</w:t>
      </w:r>
      <w:r w:rsidRPr="00DB0C40">
        <w:rPr>
          <w:rFonts w:asciiTheme="minorHAnsi" w:eastAsiaTheme="minorHAnsi" w:hAnsiTheme="minorHAnsi" w:cstheme="minorHAnsi"/>
          <w:iCs/>
          <w:sz w:val="22"/>
          <w:szCs w:val="22"/>
        </w:rPr>
        <w:t xml:space="preserve"> </w:t>
      </w:r>
    </w:p>
    <w:p w14:paraId="688DDAFA" w14:textId="77777777" w:rsidR="002557B7" w:rsidRPr="00DB0C40" w:rsidRDefault="002557B7" w:rsidP="002557B7">
      <w:pPr>
        <w:spacing w:after="160" w:line="259" w:lineRule="auto"/>
        <w:jc w:val="both"/>
        <w:rPr>
          <w:rFonts w:asciiTheme="minorHAnsi" w:eastAsiaTheme="minorHAnsi" w:hAnsiTheme="minorHAnsi" w:cstheme="minorHAnsi"/>
          <w:iCs/>
          <w:sz w:val="22"/>
          <w:szCs w:val="22"/>
        </w:rPr>
      </w:pPr>
      <w:r w:rsidRPr="00DB0C40">
        <w:rPr>
          <w:rFonts w:asciiTheme="minorHAnsi" w:eastAsiaTheme="minorHAnsi" w:hAnsiTheme="minorHAnsi" w:cstheme="minorHAnsi"/>
          <w:iCs/>
          <w:sz w:val="22"/>
          <w:szCs w:val="22"/>
        </w:rPr>
        <w:t>In around half of G20 members, the decline in the gender gap is in line with, or better than the targeted progress towards meeting the 2025 goal of a 25% reduction in the gender gap in each country from its value in 2012. In other words, the actual decline in the gender gap between 2012 and 2018 has been around the same or greater than what would be expected assuming a linear decline in the gap each year to reach the 2025 goal. Among this group of countries, particularly large reductions occurred in Japan, Argentina, Brazil and Korea. The actual decline was also noticeably greater than the expected decline in Australia, the United Kingdom and Germany. Of the G20 economies where the decline in the gap was less than expected, there was, nevertheless, a sizeable reduction in Türkiye.</w:t>
      </w:r>
    </w:p>
    <w:p w14:paraId="27982003" w14:textId="77777777" w:rsidR="00853140" w:rsidRDefault="00853140" w:rsidP="002557B7">
      <w:pPr>
        <w:spacing w:after="160" w:line="259" w:lineRule="auto"/>
        <w:jc w:val="center"/>
        <w:rPr>
          <w:rFonts w:asciiTheme="minorHAnsi" w:eastAsiaTheme="minorHAnsi" w:hAnsiTheme="minorHAnsi" w:cstheme="minorHAnsi"/>
          <w:b/>
          <w:sz w:val="22"/>
          <w:szCs w:val="22"/>
        </w:rPr>
      </w:pPr>
      <w:bookmarkStart w:id="79" w:name="_Hlk107137367"/>
    </w:p>
    <w:p w14:paraId="2E69B79E" w14:textId="77777777" w:rsidR="00853140" w:rsidRDefault="00853140" w:rsidP="002557B7">
      <w:pPr>
        <w:spacing w:after="160" w:line="259" w:lineRule="auto"/>
        <w:jc w:val="center"/>
        <w:rPr>
          <w:rFonts w:asciiTheme="minorHAnsi" w:eastAsiaTheme="minorHAnsi" w:hAnsiTheme="minorHAnsi" w:cstheme="minorHAnsi"/>
          <w:b/>
          <w:sz w:val="22"/>
          <w:szCs w:val="22"/>
        </w:rPr>
      </w:pPr>
    </w:p>
    <w:p w14:paraId="66F70D0F" w14:textId="77777777" w:rsidR="00853140" w:rsidRDefault="00853140" w:rsidP="002557B7">
      <w:pPr>
        <w:spacing w:after="160" w:line="259" w:lineRule="auto"/>
        <w:jc w:val="center"/>
        <w:rPr>
          <w:rFonts w:asciiTheme="minorHAnsi" w:eastAsiaTheme="minorHAnsi" w:hAnsiTheme="minorHAnsi" w:cstheme="minorHAnsi"/>
          <w:b/>
          <w:sz w:val="22"/>
          <w:szCs w:val="22"/>
        </w:rPr>
      </w:pPr>
    </w:p>
    <w:p w14:paraId="1E6320F8" w14:textId="77777777" w:rsidR="00853140" w:rsidRDefault="00853140" w:rsidP="002557B7">
      <w:pPr>
        <w:spacing w:after="160" w:line="259" w:lineRule="auto"/>
        <w:jc w:val="center"/>
        <w:rPr>
          <w:rFonts w:asciiTheme="minorHAnsi" w:eastAsiaTheme="minorHAnsi" w:hAnsiTheme="minorHAnsi" w:cstheme="minorHAnsi"/>
          <w:b/>
          <w:sz w:val="22"/>
          <w:szCs w:val="22"/>
        </w:rPr>
      </w:pPr>
    </w:p>
    <w:p w14:paraId="4FAFC29F" w14:textId="77777777" w:rsidR="00853140" w:rsidRDefault="00853140" w:rsidP="002557B7">
      <w:pPr>
        <w:spacing w:after="160" w:line="259" w:lineRule="auto"/>
        <w:jc w:val="center"/>
        <w:rPr>
          <w:rFonts w:asciiTheme="minorHAnsi" w:eastAsiaTheme="minorHAnsi" w:hAnsiTheme="minorHAnsi" w:cstheme="minorHAnsi"/>
          <w:b/>
          <w:sz w:val="22"/>
          <w:szCs w:val="22"/>
        </w:rPr>
      </w:pPr>
    </w:p>
    <w:p w14:paraId="7B3886C9" w14:textId="77777777" w:rsidR="00853140" w:rsidRDefault="00853140" w:rsidP="002557B7">
      <w:pPr>
        <w:spacing w:after="160" w:line="259" w:lineRule="auto"/>
        <w:jc w:val="center"/>
        <w:rPr>
          <w:rFonts w:asciiTheme="minorHAnsi" w:eastAsiaTheme="minorHAnsi" w:hAnsiTheme="minorHAnsi" w:cstheme="minorHAnsi"/>
          <w:b/>
          <w:sz w:val="22"/>
          <w:szCs w:val="22"/>
        </w:rPr>
      </w:pPr>
    </w:p>
    <w:p w14:paraId="53A62118" w14:textId="77777777" w:rsidR="00853140" w:rsidRDefault="00853140" w:rsidP="002557B7">
      <w:pPr>
        <w:spacing w:after="160" w:line="259" w:lineRule="auto"/>
        <w:jc w:val="center"/>
        <w:rPr>
          <w:rFonts w:asciiTheme="minorHAnsi" w:eastAsiaTheme="minorHAnsi" w:hAnsiTheme="minorHAnsi" w:cstheme="minorHAnsi"/>
          <w:b/>
          <w:sz w:val="22"/>
          <w:szCs w:val="22"/>
        </w:rPr>
      </w:pPr>
    </w:p>
    <w:p w14:paraId="25169A0A" w14:textId="4297C67A" w:rsidR="002557B7" w:rsidRPr="00DB0C40" w:rsidRDefault="002557B7" w:rsidP="002557B7">
      <w:pPr>
        <w:spacing w:after="160" w:line="259" w:lineRule="auto"/>
        <w:jc w:val="center"/>
        <w:rPr>
          <w:rFonts w:asciiTheme="minorHAnsi" w:eastAsiaTheme="minorHAnsi" w:hAnsiTheme="minorHAnsi" w:cstheme="minorHAnsi"/>
          <w:b/>
          <w:sz w:val="22"/>
          <w:szCs w:val="22"/>
        </w:rPr>
      </w:pPr>
      <w:r w:rsidRPr="00DB0C40">
        <w:rPr>
          <w:rFonts w:asciiTheme="minorHAnsi" w:eastAsiaTheme="minorHAnsi" w:hAnsiTheme="minorHAnsi" w:cstheme="minorHAnsi"/>
          <w:b/>
          <w:sz w:val="22"/>
          <w:szCs w:val="22"/>
        </w:rPr>
        <w:lastRenderedPageBreak/>
        <w:t xml:space="preserve">Figure </w:t>
      </w:r>
      <w:r w:rsidR="000E3BF5" w:rsidRPr="00DB0C40">
        <w:rPr>
          <w:rFonts w:asciiTheme="minorHAnsi" w:eastAsiaTheme="minorHAnsi" w:hAnsiTheme="minorHAnsi" w:cstheme="minorHAnsi"/>
          <w:b/>
          <w:sz w:val="22"/>
          <w:szCs w:val="22"/>
        </w:rPr>
        <w:t xml:space="preserve">2. </w:t>
      </w:r>
      <w:r w:rsidRPr="00DB0C40">
        <w:rPr>
          <w:rFonts w:asciiTheme="minorHAnsi" w:eastAsiaTheme="minorHAnsi" w:hAnsiTheme="minorHAnsi" w:cstheme="minorHAnsi"/>
          <w:b/>
          <w:sz w:val="22"/>
          <w:szCs w:val="22"/>
        </w:rPr>
        <w:t xml:space="preserve"> Actual versus expected decline in the gender gap in participation</w:t>
      </w:r>
      <w:r w:rsidR="000E3BF5" w:rsidRPr="00DB0C40">
        <w:rPr>
          <w:rFonts w:asciiTheme="minorHAnsi" w:eastAsiaTheme="minorHAnsi" w:hAnsiTheme="minorHAnsi" w:cstheme="minorHAnsi"/>
          <w:b/>
          <w:sz w:val="22"/>
          <w:szCs w:val="22"/>
        </w:rPr>
        <w:t xml:space="preserve"> for G20 countries</w:t>
      </w:r>
      <w:r w:rsidRPr="00DB0C40">
        <w:rPr>
          <w:rFonts w:asciiTheme="minorHAnsi" w:eastAsiaTheme="minorHAnsi" w:hAnsiTheme="minorHAnsi" w:cstheme="minorHAnsi"/>
          <w:b/>
          <w:sz w:val="22"/>
          <w:szCs w:val="22"/>
        </w:rPr>
        <w:t>, 2012-2018</w:t>
      </w:r>
    </w:p>
    <w:bookmarkEnd w:id="79"/>
    <w:p w14:paraId="6F2036B7" w14:textId="77777777" w:rsidR="002557B7" w:rsidRPr="00DB0C40" w:rsidRDefault="002557B7" w:rsidP="002557B7">
      <w:pPr>
        <w:spacing w:after="160" w:line="259" w:lineRule="auto"/>
        <w:jc w:val="center"/>
        <w:rPr>
          <w:rFonts w:asciiTheme="minorHAnsi" w:eastAsiaTheme="minorHAnsi" w:hAnsiTheme="minorHAnsi" w:cstheme="minorHAnsi"/>
          <w:sz w:val="22"/>
          <w:szCs w:val="22"/>
        </w:rPr>
      </w:pPr>
      <w:r w:rsidRPr="00DB0C40">
        <w:rPr>
          <w:rFonts w:asciiTheme="minorHAnsi" w:eastAsiaTheme="minorHAnsi" w:hAnsiTheme="minorHAnsi" w:cstheme="minorHAnsi"/>
          <w:sz w:val="22"/>
          <w:szCs w:val="22"/>
        </w:rPr>
        <w:t>Percentage points</w:t>
      </w:r>
    </w:p>
    <w:p w14:paraId="41DFF674" w14:textId="77777777" w:rsidR="002557B7" w:rsidRPr="00DB0C40" w:rsidRDefault="002557B7" w:rsidP="002557B7">
      <w:pPr>
        <w:spacing w:after="160" w:line="259" w:lineRule="auto"/>
        <w:jc w:val="both"/>
        <w:rPr>
          <w:rFonts w:asciiTheme="minorHAnsi" w:eastAsiaTheme="minorHAnsi" w:hAnsiTheme="minorHAnsi" w:cstheme="minorHAnsi"/>
          <w:sz w:val="22"/>
          <w:szCs w:val="22"/>
        </w:rPr>
      </w:pPr>
      <w:r w:rsidRPr="00DB0C40">
        <w:rPr>
          <w:rFonts w:asciiTheme="minorHAnsi" w:eastAsiaTheme="minorHAnsi" w:hAnsiTheme="minorHAnsi" w:cstheme="minorHAnsi"/>
          <w:noProof/>
          <w:sz w:val="22"/>
          <w:szCs w:val="22"/>
          <w:lang w:eastAsia="en-GB"/>
        </w:rPr>
        <w:drawing>
          <wp:inline distT="0" distB="0" distL="0" distR="0" wp14:anchorId="19356B03" wp14:editId="3157245D">
            <wp:extent cx="5943600" cy="358013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3580130"/>
                    </a:xfrm>
                    <a:prstGeom prst="rect">
                      <a:avLst/>
                    </a:prstGeom>
                  </pic:spPr>
                </pic:pic>
              </a:graphicData>
            </a:graphic>
          </wp:inline>
        </w:drawing>
      </w:r>
    </w:p>
    <w:p w14:paraId="47FE903D" w14:textId="77777777" w:rsidR="002557B7" w:rsidRPr="00DB0C40" w:rsidRDefault="002557B7" w:rsidP="002557B7">
      <w:pPr>
        <w:spacing w:before="41" w:after="120" w:line="259" w:lineRule="auto"/>
        <w:ind w:right="155"/>
        <w:jc w:val="both"/>
        <w:rPr>
          <w:rFonts w:asciiTheme="minorHAnsi" w:eastAsia="Calibri Light" w:hAnsiTheme="minorHAnsi" w:cstheme="minorHAnsi"/>
          <w:sz w:val="22"/>
          <w:szCs w:val="22"/>
        </w:rPr>
      </w:pPr>
      <w:r w:rsidRPr="00DB0C40">
        <w:rPr>
          <w:rFonts w:asciiTheme="minorHAnsi" w:eastAsiaTheme="minorHAnsi" w:hAnsiTheme="minorHAnsi" w:cstheme="minorHAnsi"/>
          <w:iCs/>
          <w:sz w:val="22"/>
          <w:szCs w:val="22"/>
        </w:rPr>
        <w:t>A special remark was made in the Report that w</w:t>
      </w:r>
      <w:r w:rsidRPr="00DB0C40">
        <w:rPr>
          <w:rFonts w:asciiTheme="minorHAnsi" w:eastAsia="Calibri Light" w:hAnsiTheme="minorHAnsi" w:cstheme="minorHAnsi"/>
          <w:sz w:val="22"/>
          <w:szCs w:val="22"/>
        </w:rPr>
        <w:t>omen</w:t>
      </w:r>
      <w:r w:rsidRPr="00DB0C40">
        <w:rPr>
          <w:rFonts w:asciiTheme="minorHAnsi" w:eastAsia="Calibri Light" w:hAnsiTheme="minorHAnsi" w:cstheme="minorHAnsi"/>
          <w:spacing w:val="-4"/>
          <w:sz w:val="22"/>
          <w:szCs w:val="22"/>
        </w:rPr>
        <w:t xml:space="preserve"> </w:t>
      </w:r>
      <w:r w:rsidRPr="00DB0C40">
        <w:rPr>
          <w:rFonts w:asciiTheme="minorHAnsi" w:eastAsia="Calibri Light" w:hAnsiTheme="minorHAnsi" w:cstheme="minorHAnsi"/>
          <w:sz w:val="22"/>
          <w:szCs w:val="22"/>
        </w:rPr>
        <w:t>are</w:t>
      </w:r>
      <w:r w:rsidRPr="00DB0C40">
        <w:rPr>
          <w:rFonts w:asciiTheme="minorHAnsi" w:eastAsia="Calibri Light" w:hAnsiTheme="minorHAnsi" w:cstheme="minorHAnsi"/>
          <w:spacing w:val="-5"/>
          <w:sz w:val="22"/>
          <w:szCs w:val="22"/>
        </w:rPr>
        <w:t xml:space="preserve"> </w:t>
      </w:r>
      <w:r w:rsidRPr="00DB0C40">
        <w:rPr>
          <w:rFonts w:asciiTheme="minorHAnsi" w:eastAsia="Calibri Light" w:hAnsiTheme="minorHAnsi" w:cstheme="minorHAnsi"/>
          <w:sz w:val="22"/>
          <w:szCs w:val="22"/>
        </w:rPr>
        <w:t>also</w:t>
      </w:r>
      <w:r w:rsidRPr="00DB0C40">
        <w:rPr>
          <w:rFonts w:asciiTheme="minorHAnsi" w:eastAsia="Calibri Light" w:hAnsiTheme="minorHAnsi" w:cstheme="minorHAnsi"/>
          <w:spacing w:val="-5"/>
          <w:sz w:val="22"/>
          <w:szCs w:val="22"/>
        </w:rPr>
        <w:t xml:space="preserve"> </w:t>
      </w:r>
      <w:r w:rsidRPr="00DB0C40">
        <w:rPr>
          <w:rFonts w:asciiTheme="minorHAnsi" w:eastAsia="Calibri Light" w:hAnsiTheme="minorHAnsi" w:cstheme="minorHAnsi"/>
          <w:sz w:val="22"/>
          <w:szCs w:val="22"/>
        </w:rPr>
        <w:t>more</w:t>
      </w:r>
      <w:r w:rsidRPr="00DB0C40">
        <w:rPr>
          <w:rFonts w:asciiTheme="minorHAnsi" w:eastAsia="Calibri Light" w:hAnsiTheme="minorHAnsi" w:cstheme="minorHAnsi"/>
          <w:spacing w:val="-3"/>
          <w:sz w:val="22"/>
          <w:szCs w:val="22"/>
        </w:rPr>
        <w:t xml:space="preserve"> </w:t>
      </w:r>
      <w:r w:rsidRPr="00DB0C40">
        <w:rPr>
          <w:rFonts w:asciiTheme="minorHAnsi" w:eastAsia="Calibri Light" w:hAnsiTheme="minorHAnsi" w:cstheme="minorHAnsi"/>
          <w:sz w:val="22"/>
          <w:szCs w:val="22"/>
        </w:rPr>
        <w:t>likely</w:t>
      </w:r>
      <w:r w:rsidRPr="00DB0C40">
        <w:rPr>
          <w:rFonts w:asciiTheme="minorHAnsi" w:eastAsia="Calibri Light" w:hAnsiTheme="minorHAnsi" w:cstheme="minorHAnsi"/>
          <w:spacing w:val="-4"/>
          <w:sz w:val="22"/>
          <w:szCs w:val="22"/>
        </w:rPr>
        <w:t xml:space="preserve"> </w:t>
      </w:r>
      <w:r w:rsidRPr="00DB0C40">
        <w:rPr>
          <w:rFonts w:asciiTheme="minorHAnsi" w:eastAsia="Calibri Light" w:hAnsiTheme="minorHAnsi" w:cstheme="minorHAnsi"/>
          <w:sz w:val="22"/>
          <w:szCs w:val="22"/>
        </w:rPr>
        <w:t>than</w:t>
      </w:r>
      <w:r w:rsidRPr="00DB0C40">
        <w:rPr>
          <w:rFonts w:asciiTheme="minorHAnsi" w:eastAsia="Calibri Light" w:hAnsiTheme="minorHAnsi" w:cstheme="minorHAnsi"/>
          <w:spacing w:val="-5"/>
          <w:sz w:val="22"/>
          <w:szCs w:val="22"/>
        </w:rPr>
        <w:t xml:space="preserve"> </w:t>
      </w:r>
      <w:r w:rsidRPr="00DB0C40">
        <w:rPr>
          <w:rFonts w:asciiTheme="minorHAnsi" w:eastAsia="Calibri Light" w:hAnsiTheme="minorHAnsi" w:cstheme="minorHAnsi"/>
          <w:sz w:val="22"/>
          <w:szCs w:val="22"/>
        </w:rPr>
        <w:t>men</w:t>
      </w:r>
      <w:r w:rsidRPr="00DB0C40">
        <w:rPr>
          <w:rFonts w:asciiTheme="minorHAnsi" w:eastAsia="Calibri Light" w:hAnsiTheme="minorHAnsi" w:cstheme="minorHAnsi"/>
          <w:spacing w:val="-3"/>
          <w:sz w:val="22"/>
          <w:szCs w:val="22"/>
        </w:rPr>
        <w:t xml:space="preserve"> </w:t>
      </w:r>
      <w:r w:rsidRPr="00DB0C40">
        <w:rPr>
          <w:rFonts w:asciiTheme="minorHAnsi" w:eastAsia="Calibri Light" w:hAnsiTheme="minorHAnsi" w:cstheme="minorHAnsi"/>
          <w:sz w:val="22"/>
          <w:szCs w:val="22"/>
        </w:rPr>
        <w:t>to</w:t>
      </w:r>
      <w:r w:rsidRPr="00DB0C40">
        <w:rPr>
          <w:rFonts w:asciiTheme="minorHAnsi" w:eastAsia="Calibri Light" w:hAnsiTheme="minorHAnsi" w:cstheme="minorHAnsi"/>
          <w:spacing w:val="-5"/>
          <w:sz w:val="22"/>
          <w:szCs w:val="22"/>
        </w:rPr>
        <w:t xml:space="preserve"> </w:t>
      </w:r>
      <w:r w:rsidRPr="00DB0C40">
        <w:rPr>
          <w:rFonts w:asciiTheme="minorHAnsi" w:eastAsia="Calibri Light" w:hAnsiTheme="minorHAnsi" w:cstheme="minorHAnsi"/>
          <w:sz w:val="22"/>
          <w:szCs w:val="22"/>
        </w:rPr>
        <w:t>work</w:t>
      </w:r>
      <w:r w:rsidRPr="00DB0C40">
        <w:rPr>
          <w:rFonts w:asciiTheme="minorHAnsi" w:eastAsia="Calibri Light" w:hAnsiTheme="minorHAnsi" w:cstheme="minorHAnsi"/>
          <w:spacing w:val="-4"/>
          <w:sz w:val="22"/>
          <w:szCs w:val="22"/>
        </w:rPr>
        <w:t xml:space="preserve"> </w:t>
      </w:r>
      <w:r w:rsidRPr="00DB0C40">
        <w:rPr>
          <w:rFonts w:asciiTheme="minorHAnsi" w:eastAsia="Calibri Light" w:hAnsiTheme="minorHAnsi" w:cstheme="minorHAnsi"/>
          <w:sz w:val="22"/>
          <w:szCs w:val="22"/>
        </w:rPr>
        <w:t>in</w:t>
      </w:r>
      <w:r w:rsidRPr="00DB0C40">
        <w:rPr>
          <w:rFonts w:asciiTheme="minorHAnsi" w:eastAsia="Calibri Light" w:hAnsiTheme="minorHAnsi" w:cstheme="minorHAnsi"/>
          <w:spacing w:val="-4"/>
          <w:sz w:val="22"/>
          <w:szCs w:val="22"/>
        </w:rPr>
        <w:t xml:space="preserve"> </w:t>
      </w:r>
      <w:r w:rsidRPr="00DB0C40">
        <w:rPr>
          <w:rFonts w:asciiTheme="minorHAnsi" w:eastAsia="Calibri Light" w:hAnsiTheme="minorHAnsi" w:cstheme="minorHAnsi"/>
          <w:sz w:val="22"/>
          <w:szCs w:val="22"/>
        </w:rPr>
        <w:t>some</w:t>
      </w:r>
      <w:r w:rsidRPr="00DB0C40">
        <w:rPr>
          <w:rFonts w:asciiTheme="minorHAnsi" w:eastAsia="Calibri Light" w:hAnsiTheme="minorHAnsi" w:cstheme="minorHAnsi"/>
          <w:spacing w:val="-4"/>
          <w:sz w:val="22"/>
          <w:szCs w:val="22"/>
        </w:rPr>
        <w:t xml:space="preserve"> </w:t>
      </w:r>
      <w:r w:rsidRPr="00DB0C40">
        <w:rPr>
          <w:rFonts w:asciiTheme="minorHAnsi" w:eastAsia="Calibri Light" w:hAnsiTheme="minorHAnsi" w:cstheme="minorHAnsi"/>
          <w:sz w:val="22"/>
          <w:szCs w:val="22"/>
        </w:rPr>
        <w:t>non‐standard</w:t>
      </w:r>
      <w:r w:rsidRPr="00DB0C40">
        <w:rPr>
          <w:rFonts w:asciiTheme="minorHAnsi" w:eastAsia="Calibri Light" w:hAnsiTheme="minorHAnsi" w:cstheme="minorHAnsi"/>
          <w:spacing w:val="-4"/>
          <w:sz w:val="22"/>
          <w:szCs w:val="22"/>
        </w:rPr>
        <w:t xml:space="preserve"> </w:t>
      </w:r>
      <w:r w:rsidRPr="00DB0C40">
        <w:rPr>
          <w:rFonts w:asciiTheme="minorHAnsi" w:eastAsia="Calibri Light" w:hAnsiTheme="minorHAnsi" w:cstheme="minorHAnsi"/>
          <w:sz w:val="22"/>
          <w:szCs w:val="22"/>
        </w:rPr>
        <w:t>forms</w:t>
      </w:r>
      <w:r w:rsidRPr="00DB0C40">
        <w:rPr>
          <w:rFonts w:asciiTheme="minorHAnsi" w:eastAsia="Calibri Light" w:hAnsiTheme="minorHAnsi" w:cstheme="minorHAnsi"/>
          <w:spacing w:val="-4"/>
          <w:sz w:val="22"/>
          <w:szCs w:val="22"/>
        </w:rPr>
        <w:t xml:space="preserve"> </w:t>
      </w:r>
      <w:r w:rsidRPr="00DB0C40">
        <w:rPr>
          <w:rFonts w:asciiTheme="minorHAnsi" w:eastAsia="Calibri Light" w:hAnsiTheme="minorHAnsi" w:cstheme="minorHAnsi"/>
          <w:sz w:val="22"/>
          <w:szCs w:val="22"/>
        </w:rPr>
        <w:t>of</w:t>
      </w:r>
      <w:r w:rsidRPr="00DB0C40">
        <w:rPr>
          <w:rFonts w:asciiTheme="minorHAnsi" w:eastAsia="Calibri Light" w:hAnsiTheme="minorHAnsi" w:cstheme="minorHAnsi"/>
          <w:spacing w:val="-2"/>
          <w:sz w:val="22"/>
          <w:szCs w:val="22"/>
        </w:rPr>
        <w:t xml:space="preserve"> </w:t>
      </w:r>
      <w:r w:rsidRPr="00DB0C40">
        <w:rPr>
          <w:rFonts w:asciiTheme="minorHAnsi" w:eastAsia="Calibri Light" w:hAnsiTheme="minorHAnsi" w:cstheme="minorHAnsi"/>
          <w:sz w:val="22"/>
          <w:szCs w:val="22"/>
        </w:rPr>
        <w:t>employment</w:t>
      </w:r>
      <w:r w:rsidRPr="00DB0C40">
        <w:rPr>
          <w:rFonts w:asciiTheme="minorHAnsi" w:eastAsia="Calibri Light" w:hAnsiTheme="minorHAnsi" w:cstheme="minorHAnsi"/>
          <w:spacing w:val="-3"/>
          <w:sz w:val="22"/>
          <w:szCs w:val="22"/>
        </w:rPr>
        <w:t xml:space="preserve"> </w:t>
      </w:r>
      <w:r w:rsidRPr="00DB0C40">
        <w:rPr>
          <w:rFonts w:asciiTheme="minorHAnsi" w:eastAsia="Calibri Light" w:hAnsiTheme="minorHAnsi" w:cstheme="minorHAnsi"/>
          <w:sz w:val="22"/>
          <w:szCs w:val="22"/>
        </w:rPr>
        <w:t>(NSFE),</w:t>
      </w:r>
      <w:r w:rsidRPr="00DB0C40">
        <w:rPr>
          <w:rFonts w:asciiTheme="minorHAnsi" w:eastAsia="Calibri Light" w:hAnsiTheme="minorHAnsi" w:cstheme="minorHAnsi"/>
          <w:spacing w:val="-4"/>
          <w:sz w:val="22"/>
          <w:szCs w:val="22"/>
        </w:rPr>
        <w:t xml:space="preserve"> </w:t>
      </w:r>
      <w:r w:rsidRPr="00DB0C40">
        <w:rPr>
          <w:rFonts w:asciiTheme="minorHAnsi" w:eastAsia="Calibri Light" w:hAnsiTheme="minorHAnsi" w:cstheme="minorHAnsi"/>
          <w:sz w:val="22"/>
          <w:szCs w:val="22"/>
        </w:rPr>
        <w:t>i.e.</w:t>
      </w:r>
      <w:r w:rsidRPr="00DB0C40">
        <w:rPr>
          <w:rFonts w:asciiTheme="minorHAnsi" w:eastAsia="Calibri Light" w:hAnsiTheme="minorHAnsi" w:cstheme="minorHAnsi"/>
          <w:spacing w:val="-47"/>
          <w:sz w:val="22"/>
          <w:szCs w:val="22"/>
        </w:rPr>
        <w:t xml:space="preserve">  </w:t>
      </w:r>
      <w:r w:rsidRPr="00DB0C40">
        <w:rPr>
          <w:rFonts w:asciiTheme="minorHAnsi" w:eastAsia="Calibri Light" w:hAnsiTheme="minorHAnsi" w:cstheme="minorHAnsi"/>
          <w:sz w:val="22"/>
          <w:szCs w:val="22"/>
        </w:rPr>
        <w:t>temporary employment, part‐time and on‐call work, temporary agency work and other multi-party</w:t>
      </w:r>
      <w:r w:rsidRPr="00DB0C40">
        <w:rPr>
          <w:rFonts w:asciiTheme="minorHAnsi" w:eastAsia="Calibri Light" w:hAnsiTheme="minorHAnsi" w:cstheme="minorHAnsi"/>
          <w:spacing w:val="1"/>
          <w:sz w:val="22"/>
          <w:szCs w:val="22"/>
        </w:rPr>
        <w:t xml:space="preserve"> </w:t>
      </w:r>
      <w:r w:rsidRPr="00DB0C40">
        <w:rPr>
          <w:rFonts w:asciiTheme="minorHAnsi" w:eastAsia="Calibri Light" w:hAnsiTheme="minorHAnsi" w:cstheme="minorHAnsi"/>
          <w:sz w:val="22"/>
          <w:szCs w:val="22"/>
        </w:rPr>
        <w:t>employment</w:t>
      </w:r>
      <w:r w:rsidRPr="00DB0C40">
        <w:rPr>
          <w:rFonts w:asciiTheme="minorHAnsi" w:eastAsia="Calibri Light" w:hAnsiTheme="minorHAnsi" w:cstheme="minorHAnsi"/>
          <w:spacing w:val="-6"/>
          <w:sz w:val="22"/>
          <w:szCs w:val="22"/>
        </w:rPr>
        <w:t xml:space="preserve"> </w:t>
      </w:r>
      <w:r w:rsidRPr="00DB0C40">
        <w:rPr>
          <w:rFonts w:asciiTheme="minorHAnsi" w:eastAsia="Calibri Light" w:hAnsiTheme="minorHAnsi" w:cstheme="minorHAnsi"/>
          <w:sz w:val="22"/>
          <w:szCs w:val="22"/>
        </w:rPr>
        <w:t>relationships,</w:t>
      </w:r>
      <w:r w:rsidRPr="00DB0C40">
        <w:rPr>
          <w:rFonts w:asciiTheme="minorHAnsi" w:eastAsia="Calibri Light" w:hAnsiTheme="minorHAnsi" w:cstheme="minorHAnsi"/>
          <w:spacing w:val="-7"/>
          <w:sz w:val="22"/>
          <w:szCs w:val="22"/>
        </w:rPr>
        <w:t xml:space="preserve"> </w:t>
      </w:r>
      <w:r w:rsidRPr="00DB0C40">
        <w:rPr>
          <w:rFonts w:asciiTheme="minorHAnsi" w:eastAsia="Calibri Light" w:hAnsiTheme="minorHAnsi" w:cstheme="minorHAnsi"/>
          <w:sz w:val="22"/>
          <w:szCs w:val="22"/>
        </w:rPr>
        <w:t>as</w:t>
      </w:r>
      <w:r w:rsidRPr="00DB0C40">
        <w:rPr>
          <w:rFonts w:asciiTheme="minorHAnsi" w:eastAsia="Calibri Light" w:hAnsiTheme="minorHAnsi" w:cstheme="minorHAnsi"/>
          <w:spacing w:val="-7"/>
          <w:sz w:val="22"/>
          <w:szCs w:val="22"/>
        </w:rPr>
        <w:t xml:space="preserve"> </w:t>
      </w:r>
      <w:r w:rsidRPr="00DB0C40">
        <w:rPr>
          <w:rFonts w:asciiTheme="minorHAnsi" w:eastAsia="Calibri Light" w:hAnsiTheme="minorHAnsi" w:cstheme="minorHAnsi"/>
          <w:sz w:val="22"/>
          <w:szCs w:val="22"/>
        </w:rPr>
        <w:t>well</w:t>
      </w:r>
      <w:r w:rsidRPr="00DB0C40">
        <w:rPr>
          <w:rFonts w:asciiTheme="minorHAnsi" w:eastAsia="Calibri Light" w:hAnsiTheme="minorHAnsi" w:cstheme="minorHAnsi"/>
          <w:spacing w:val="-7"/>
          <w:sz w:val="22"/>
          <w:szCs w:val="22"/>
        </w:rPr>
        <w:t xml:space="preserve"> </w:t>
      </w:r>
      <w:r w:rsidRPr="00DB0C40">
        <w:rPr>
          <w:rFonts w:asciiTheme="minorHAnsi" w:eastAsia="Calibri Light" w:hAnsiTheme="minorHAnsi" w:cstheme="minorHAnsi"/>
          <w:sz w:val="22"/>
          <w:szCs w:val="22"/>
        </w:rPr>
        <w:t>as</w:t>
      </w:r>
      <w:r w:rsidRPr="00DB0C40">
        <w:rPr>
          <w:rFonts w:asciiTheme="minorHAnsi" w:eastAsia="Calibri Light" w:hAnsiTheme="minorHAnsi" w:cstheme="minorHAnsi"/>
          <w:spacing w:val="-6"/>
          <w:sz w:val="22"/>
          <w:szCs w:val="22"/>
        </w:rPr>
        <w:t xml:space="preserve"> </w:t>
      </w:r>
      <w:r w:rsidRPr="00DB0C40">
        <w:rPr>
          <w:rFonts w:asciiTheme="minorHAnsi" w:eastAsia="Calibri Light" w:hAnsiTheme="minorHAnsi" w:cstheme="minorHAnsi"/>
          <w:sz w:val="22"/>
          <w:szCs w:val="22"/>
        </w:rPr>
        <w:t>disguised</w:t>
      </w:r>
      <w:r w:rsidRPr="00DB0C40">
        <w:rPr>
          <w:rFonts w:asciiTheme="minorHAnsi" w:eastAsia="Calibri Light" w:hAnsiTheme="minorHAnsi" w:cstheme="minorHAnsi"/>
          <w:spacing w:val="-6"/>
          <w:sz w:val="22"/>
          <w:szCs w:val="22"/>
        </w:rPr>
        <w:t xml:space="preserve"> </w:t>
      </w:r>
      <w:r w:rsidRPr="00DB0C40">
        <w:rPr>
          <w:rFonts w:asciiTheme="minorHAnsi" w:eastAsia="Calibri Light" w:hAnsiTheme="minorHAnsi" w:cstheme="minorHAnsi"/>
          <w:sz w:val="22"/>
          <w:szCs w:val="22"/>
        </w:rPr>
        <w:t>employment</w:t>
      </w:r>
      <w:r w:rsidRPr="00DB0C40">
        <w:rPr>
          <w:rFonts w:asciiTheme="minorHAnsi" w:eastAsia="Calibri Light" w:hAnsiTheme="minorHAnsi" w:cstheme="minorHAnsi"/>
          <w:spacing w:val="-8"/>
          <w:sz w:val="22"/>
          <w:szCs w:val="22"/>
        </w:rPr>
        <w:t xml:space="preserve"> </w:t>
      </w:r>
      <w:r w:rsidRPr="00DB0C40">
        <w:rPr>
          <w:rFonts w:asciiTheme="minorHAnsi" w:eastAsia="Calibri Light" w:hAnsiTheme="minorHAnsi" w:cstheme="minorHAnsi"/>
          <w:sz w:val="22"/>
          <w:szCs w:val="22"/>
        </w:rPr>
        <w:t>and</w:t>
      </w:r>
      <w:r w:rsidRPr="00DB0C40">
        <w:rPr>
          <w:rFonts w:asciiTheme="minorHAnsi" w:eastAsia="Calibri Light" w:hAnsiTheme="minorHAnsi" w:cstheme="minorHAnsi"/>
          <w:spacing w:val="-7"/>
          <w:sz w:val="22"/>
          <w:szCs w:val="22"/>
        </w:rPr>
        <w:t xml:space="preserve"> </w:t>
      </w:r>
      <w:r w:rsidRPr="00DB0C40">
        <w:rPr>
          <w:rFonts w:asciiTheme="minorHAnsi" w:eastAsia="Calibri Light" w:hAnsiTheme="minorHAnsi" w:cstheme="minorHAnsi"/>
          <w:sz w:val="22"/>
          <w:szCs w:val="22"/>
        </w:rPr>
        <w:t>dependent</w:t>
      </w:r>
      <w:r w:rsidRPr="00DB0C40">
        <w:rPr>
          <w:rFonts w:asciiTheme="minorHAnsi" w:eastAsia="Calibri Light" w:hAnsiTheme="minorHAnsi" w:cstheme="minorHAnsi"/>
          <w:spacing w:val="-7"/>
          <w:sz w:val="22"/>
          <w:szCs w:val="22"/>
        </w:rPr>
        <w:t xml:space="preserve"> </w:t>
      </w:r>
      <w:r w:rsidRPr="00DB0C40">
        <w:rPr>
          <w:rFonts w:asciiTheme="minorHAnsi" w:eastAsia="Calibri Light" w:hAnsiTheme="minorHAnsi" w:cstheme="minorHAnsi"/>
          <w:sz w:val="22"/>
          <w:szCs w:val="22"/>
        </w:rPr>
        <w:t>self‐employment.</w:t>
      </w:r>
      <w:r w:rsidRPr="00DB0C40">
        <w:rPr>
          <w:rFonts w:asciiTheme="minorHAnsi" w:eastAsia="Calibri Light" w:hAnsiTheme="minorHAnsi" w:cstheme="minorHAnsi"/>
          <w:spacing w:val="-6"/>
          <w:sz w:val="22"/>
          <w:szCs w:val="22"/>
        </w:rPr>
        <w:t xml:space="preserve"> </w:t>
      </w:r>
      <w:r w:rsidRPr="00DB0C40">
        <w:rPr>
          <w:rFonts w:asciiTheme="minorHAnsi" w:eastAsia="Calibri Light" w:hAnsiTheme="minorHAnsi" w:cstheme="minorHAnsi"/>
          <w:sz w:val="22"/>
          <w:szCs w:val="22"/>
        </w:rPr>
        <w:t>In</w:t>
      </w:r>
      <w:r w:rsidRPr="00DB0C40">
        <w:rPr>
          <w:rFonts w:asciiTheme="minorHAnsi" w:eastAsia="Calibri Light" w:hAnsiTheme="minorHAnsi" w:cstheme="minorHAnsi"/>
          <w:spacing w:val="-8"/>
          <w:sz w:val="22"/>
          <w:szCs w:val="22"/>
        </w:rPr>
        <w:t xml:space="preserve"> </w:t>
      </w:r>
      <w:r w:rsidRPr="00DB0C40">
        <w:rPr>
          <w:rFonts w:asciiTheme="minorHAnsi" w:eastAsia="Calibri Light" w:hAnsiTheme="minorHAnsi" w:cstheme="minorHAnsi"/>
          <w:sz w:val="22"/>
          <w:szCs w:val="22"/>
        </w:rPr>
        <w:t>2017,</w:t>
      </w:r>
      <w:r w:rsidRPr="00DB0C40">
        <w:rPr>
          <w:rFonts w:asciiTheme="minorHAnsi" w:eastAsia="Calibri Light" w:hAnsiTheme="minorHAnsi" w:cstheme="minorHAnsi"/>
          <w:spacing w:val="-47"/>
          <w:sz w:val="22"/>
          <w:szCs w:val="22"/>
        </w:rPr>
        <w:t xml:space="preserve"> </w:t>
      </w:r>
      <w:r w:rsidRPr="00DB0C40">
        <w:rPr>
          <w:rFonts w:asciiTheme="minorHAnsi" w:eastAsia="Calibri Light" w:hAnsiTheme="minorHAnsi" w:cstheme="minorHAnsi"/>
          <w:sz w:val="22"/>
          <w:szCs w:val="22"/>
        </w:rPr>
        <w:t>in all G20 countries, the share of part‐time employment in total employment was higher for women</w:t>
      </w:r>
      <w:r w:rsidRPr="00DB0C40">
        <w:rPr>
          <w:rFonts w:asciiTheme="minorHAnsi" w:eastAsia="Calibri Light" w:hAnsiTheme="minorHAnsi" w:cstheme="minorHAnsi"/>
          <w:spacing w:val="1"/>
          <w:sz w:val="22"/>
          <w:szCs w:val="22"/>
        </w:rPr>
        <w:t xml:space="preserve"> </w:t>
      </w:r>
      <w:r w:rsidRPr="00DB0C40">
        <w:rPr>
          <w:rFonts w:asciiTheme="minorHAnsi" w:eastAsia="Calibri Light" w:hAnsiTheme="minorHAnsi" w:cstheme="minorHAnsi"/>
          <w:sz w:val="22"/>
          <w:szCs w:val="22"/>
        </w:rPr>
        <w:t>than</w:t>
      </w:r>
      <w:r w:rsidRPr="00DB0C40">
        <w:rPr>
          <w:rFonts w:asciiTheme="minorHAnsi" w:eastAsia="Calibri Light" w:hAnsiTheme="minorHAnsi" w:cstheme="minorHAnsi"/>
          <w:spacing w:val="-12"/>
          <w:sz w:val="22"/>
          <w:szCs w:val="22"/>
        </w:rPr>
        <w:t xml:space="preserve"> </w:t>
      </w:r>
      <w:r w:rsidRPr="00DB0C40">
        <w:rPr>
          <w:rFonts w:asciiTheme="minorHAnsi" w:eastAsia="Calibri Light" w:hAnsiTheme="minorHAnsi" w:cstheme="minorHAnsi"/>
          <w:sz w:val="22"/>
          <w:szCs w:val="22"/>
        </w:rPr>
        <w:t>men.</w:t>
      </w:r>
      <w:r w:rsidRPr="00DB0C40">
        <w:rPr>
          <w:rFonts w:asciiTheme="minorHAnsi" w:eastAsia="Calibri Light" w:hAnsiTheme="minorHAnsi" w:cstheme="minorHAnsi"/>
          <w:spacing w:val="-10"/>
          <w:sz w:val="22"/>
          <w:szCs w:val="22"/>
        </w:rPr>
        <w:t xml:space="preserve"> </w:t>
      </w:r>
      <w:r w:rsidRPr="00DB0C40">
        <w:rPr>
          <w:rFonts w:asciiTheme="minorHAnsi" w:eastAsia="Calibri Light" w:hAnsiTheme="minorHAnsi" w:cstheme="minorHAnsi"/>
          <w:sz w:val="22"/>
          <w:szCs w:val="22"/>
        </w:rPr>
        <w:t>The</w:t>
      </w:r>
      <w:r w:rsidRPr="00DB0C40">
        <w:rPr>
          <w:rFonts w:asciiTheme="minorHAnsi" w:eastAsia="Calibri Light" w:hAnsiTheme="minorHAnsi" w:cstheme="minorHAnsi"/>
          <w:spacing w:val="-12"/>
          <w:sz w:val="22"/>
          <w:szCs w:val="22"/>
        </w:rPr>
        <w:t xml:space="preserve"> </w:t>
      </w:r>
      <w:r w:rsidRPr="00DB0C40">
        <w:rPr>
          <w:rFonts w:asciiTheme="minorHAnsi" w:eastAsia="Calibri Light" w:hAnsiTheme="minorHAnsi" w:cstheme="minorHAnsi"/>
          <w:sz w:val="22"/>
          <w:szCs w:val="22"/>
        </w:rPr>
        <w:t>gender</w:t>
      </w:r>
      <w:r w:rsidRPr="00DB0C40">
        <w:rPr>
          <w:rFonts w:asciiTheme="minorHAnsi" w:eastAsia="Calibri Light" w:hAnsiTheme="minorHAnsi" w:cstheme="minorHAnsi"/>
          <w:spacing w:val="-12"/>
          <w:sz w:val="22"/>
          <w:szCs w:val="22"/>
        </w:rPr>
        <w:t xml:space="preserve"> </w:t>
      </w:r>
      <w:r w:rsidRPr="00DB0C40">
        <w:rPr>
          <w:rFonts w:asciiTheme="minorHAnsi" w:eastAsia="Calibri Light" w:hAnsiTheme="minorHAnsi" w:cstheme="minorHAnsi"/>
          <w:sz w:val="22"/>
          <w:szCs w:val="22"/>
        </w:rPr>
        <w:t>gap</w:t>
      </w:r>
      <w:r w:rsidRPr="00DB0C40">
        <w:rPr>
          <w:rFonts w:asciiTheme="minorHAnsi" w:eastAsia="Calibri Light" w:hAnsiTheme="minorHAnsi" w:cstheme="minorHAnsi"/>
          <w:spacing w:val="-11"/>
          <w:sz w:val="22"/>
          <w:szCs w:val="22"/>
        </w:rPr>
        <w:t xml:space="preserve"> </w:t>
      </w:r>
      <w:r w:rsidRPr="00DB0C40">
        <w:rPr>
          <w:rFonts w:asciiTheme="minorHAnsi" w:eastAsia="Calibri Light" w:hAnsiTheme="minorHAnsi" w:cstheme="minorHAnsi"/>
          <w:sz w:val="22"/>
          <w:szCs w:val="22"/>
        </w:rPr>
        <w:t>in</w:t>
      </w:r>
      <w:r w:rsidRPr="00DB0C40">
        <w:rPr>
          <w:rFonts w:asciiTheme="minorHAnsi" w:eastAsia="Calibri Light" w:hAnsiTheme="minorHAnsi" w:cstheme="minorHAnsi"/>
          <w:spacing w:val="-11"/>
          <w:sz w:val="22"/>
          <w:szCs w:val="22"/>
        </w:rPr>
        <w:t xml:space="preserve"> </w:t>
      </w:r>
      <w:r w:rsidRPr="00DB0C40">
        <w:rPr>
          <w:rFonts w:asciiTheme="minorHAnsi" w:eastAsia="Calibri Light" w:hAnsiTheme="minorHAnsi" w:cstheme="minorHAnsi"/>
          <w:sz w:val="22"/>
          <w:szCs w:val="22"/>
        </w:rPr>
        <w:t>part‐time</w:t>
      </w:r>
      <w:r w:rsidRPr="00DB0C40">
        <w:rPr>
          <w:rFonts w:asciiTheme="minorHAnsi" w:eastAsia="Calibri Light" w:hAnsiTheme="minorHAnsi" w:cstheme="minorHAnsi"/>
          <w:spacing w:val="-12"/>
          <w:sz w:val="22"/>
          <w:szCs w:val="22"/>
        </w:rPr>
        <w:t xml:space="preserve"> </w:t>
      </w:r>
      <w:r w:rsidRPr="00DB0C40">
        <w:rPr>
          <w:rFonts w:asciiTheme="minorHAnsi" w:eastAsia="Calibri Light" w:hAnsiTheme="minorHAnsi" w:cstheme="minorHAnsi"/>
          <w:sz w:val="22"/>
          <w:szCs w:val="22"/>
        </w:rPr>
        <w:t>share</w:t>
      </w:r>
      <w:r w:rsidRPr="00DB0C40">
        <w:rPr>
          <w:rFonts w:asciiTheme="minorHAnsi" w:eastAsia="Calibri Light" w:hAnsiTheme="minorHAnsi" w:cstheme="minorHAnsi"/>
          <w:spacing w:val="-11"/>
          <w:sz w:val="22"/>
          <w:szCs w:val="22"/>
        </w:rPr>
        <w:t xml:space="preserve"> </w:t>
      </w:r>
      <w:r w:rsidRPr="00DB0C40">
        <w:rPr>
          <w:rFonts w:asciiTheme="minorHAnsi" w:eastAsia="Calibri Light" w:hAnsiTheme="minorHAnsi" w:cstheme="minorHAnsi"/>
          <w:sz w:val="22"/>
          <w:szCs w:val="22"/>
        </w:rPr>
        <w:t>of</w:t>
      </w:r>
      <w:r w:rsidRPr="00DB0C40">
        <w:rPr>
          <w:rFonts w:asciiTheme="minorHAnsi" w:eastAsia="Calibri Light" w:hAnsiTheme="minorHAnsi" w:cstheme="minorHAnsi"/>
          <w:spacing w:val="-10"/>
          <w:sz w:val="22"/>
          <w:szCs w:val="22"/>
        </w:rPr>
        <w:t xml:space="preserve"> </w:t>
      </w:r>
      <w:r w:rsidRPr="00DB0C40">
        <w:rPr>
          <w:rFonts w:asciiTheme="minorHAnsi" w:eastAsia="Calibri Light" w:hAnsiTheme="minorHAnsi" w:cstheme="minorHAnsi"/>
          <w:sz w:val="22"/>
          <w:szCs w:val="22"/>
        </w:rPr>
        <w:t>employment</w:t>
      </w:r>
      <w:r w:rsidRPr="00DB0C40">
        <w:rPr>
          <w:rFonts w:asciiTheme="minorHAnsi" w:eastAsia="Calibri Light" w:hAnsiTheme="minorHAnsi" w:cstheme="minorHAnsi"/>
          <w:spacing w:val="-12"/>
          <w:sz w:val="22"/>
          <w:szCs w:val="22"/>
        </w:rPr>
        <w:t xml:space="preserve"> </w:t>
      </w:r>
      <w:r w:rsidRPr="00DB0C40">
        <w:rPr>
          <w:rFonts w:asciiTheme="minorHAnsi" w:eastAsia="Calibri Light" w:hAnsiTheme="minorHAnsi" w:cstheme="minorHAnsi"/>
          <w:sz w:val="22"/>
          <w:szCs w:val="22"/>
        </w:rPr>
        <w:t>is</w:t>
      </w:r>
      <w:r w:rsidRPr="00DB0C40">
        <w:rPr>
          <w:rFonts w:asciiTheme="minorHAnsi" w:eastAsia="Calibri Light" w:hAnsiTheme="minorHAnsi" w:cstheme="minorHAnsi"/>
          <w:spacing w:val="-10"/>
          <w:sz w:val="22"/>
          <w:szCs w:val="22"/>
        </w:rPr>
        <w:t xml:space="preserve"> </w:t>
      </w:r>
      <w:r w:rsidRPr="00DB0C40">
        <w:rPr>
          <w:rFonts w:asciiTheme="minorHAnsi" w:eastAsia="Calibri Light" w:hAnsiTheme="minorHAnsi" w:cstheme="minorHAnsi"/>
          <w:sz w:val="22"/>
          <w:szCs w:val="22"/>
        </w:rPr>
        <w:t>around</w:t>
      </w:r>
      <w:r w:rsidRPr="00DB0C40">
        <w:rPr>
          <w:rFonts w:asciiTheme="minorHAnsi" w:eastAsia="Calibri Light" w:hAnsiTheme="minorHAnsi" w:cstheme="minorHAnsi"/>
          <w:spacing w:val="-12"/>
          <w:sz w:val="22"/>
          <w:szCs w:val="22"/>
        </w:rPr>
        <w:t xml:space="preserve"> </w:t>
      </w:r>
      <w:r w:rsidRPr="00DB0C40">
        <w:rPr>
          <w:rFonts w:asciiTheme="minorHAnsi" w:eastAsia="Calibri Light" w:hAnsiTheme="minorHAnsi" w:cstheme="minorHAnsi"/>
          <w:sz w:val="22"/>
          <w:szCs w:val="22"/>
        </w:rPr>
        <w:t>30</w:t>
      </w:r>
      <w:r w:rsidRPr="00DB0C40">
        <w:rPr>
          <w:rFonts w:asciiTheme="minorHAnsi" w:eastAsia="Calibri Light" w:hAnsiTheme="minorHAnsi" w:cstheme="minorHAnsi"/>
          <w:spacing w:val="-11"/>
          <w:sz w:val="22"/>
          <w:szCs w:val="22"/>
        </w:rPr>
        <w:t xml:space="preserve"> </w:t>
      </w:r>
      <w:r w:rsidRPr="00DB0C40">
        <w:rPr>
          <w:rFonts w:asciiTheme="minorHAnsi" w:eastAsia="Calibri Light" w:hAnsiTheme="minorHAnsi" w:cstheme="minorHAnsi"/>
          <w:sz w:val="22"/>
          <w:szCs w:val="22"/>
        </w:rPr>
        <w:t>percentage</w:t>
      </w:r>
      <w:r w:rsidRPr="00DB0C40">
        <w:rPr>
          <w:rFonts w:asciiTheme="minorHAnsi" w:eastAsia="Calibri Light" w:hAnsiTheme="minorHAnsi" w:cstheme="minorHAnsi"/>
          <w:spacing w:val="-11"/>
          <w:sz w:val="22"/>
          <w:szCs w:val="22"/>
        </w:rPr>
        <w:t xml:space="preserve"> </w:t>
      </w:r>
      <w:r w:rsidRPr="00DB0C40">
        <w:rPr>
          <w:rFonts w:asciiTheme="minorHAnsi" w:eastAsia="Calibri Light" w:hAnsiTheme="minorHAnsi" w:cstheme="minorHAnsi"/>
          <w:sz w:val="22"/>
          <w:szCs w:val="22"/>
        </w:rPr>
        <w:t>points</w:t>
      </w:r>
      <w:r w:rsidRPr="00DB0C40">
        <w:rPr>
          <w:rFonts w:asciiTheme="minorHAnsi" w:eastAsia="Calibri Light" w:hAnsiTheme="minorHAnsi" w:cstheme="minorHAnsi"/>
          <w:spacing w:val="-48"/>
          <w:sz w:val="22"/>
          <w:szCs w:val="22"/>
        </w:rPr>
        <w:t xml:space="preserve"> </w:t>
      </w:r>
      <w:r w:rsidRPr="00DB0C40">
        <w:rPr>
          <w:rFonts w:asciiTheme="minorHAnsi" w:eastAsia="Calibri Light" w:hAnsiTheme="minorHAnsi" w:cstheme="minorHAnsi"/>
          <w:sz w:val="22"/>
          <w:szCs w:val="22"/>
        </w:rPr>
        <w:t>or</w:t>
      </w:r>
      <w:r w:rsidRPr="00DB0C40">
        <w:rPr>
          <w:rFonts w:asciiTheme="minorHAnsi" w:eastAsia="Calibri Light" w:hAnsiTheme="minorHAnsi" w:cstheme="minorHAnsi"/>
          <w:spacing w:val="-4"/>
          <w:sz w:val="22"/>
          <w:szCs w:val="22"/>
        </w:rPr>
        <w:t xml:space="preserve"> </w:t>
      </w:r>
      <w:r w:rsidRPr="00DB0C40">
        <w:rPr>
          <w:rFonts w:asciiTheme="minorHAnsi" w:eastAsia="Calibri Light" w:hAnsiTheme="minorHAnsi" w:cstheme="minorHAnsi"/>
          <w:sz w:val="22"/>
          <w:szCs w:val="22"/>
        </w:rPr>
        <w:t>more</w:t>
      </w:r>
      <w:r w:rsidRPr="00DB0C40">
        <w:rPr>
          <w:rFonts w:asciiTheme="minorHAnsi" w:eastAsia="Calibri Light" w:hAnsiTheme="minorHAnsi" w:cstheme="minorHAnsi"/>
          <w:spacing w:val="-5"/>
          <w:sz w:val="22"/>
          <w:szCs w:val="22"/>
        </w:rPr>
        <w:t xml:space="preserve"> </w:t>
      </w:r>
      <w:r w:rsidRPr="00DB0C40">
        <w:rPr>
          <w:rFonts w:asciiTheme="minorHAnsi" w:eastAsia="Calibri Light" w:hAnsiTheme="minorHAnsi" w:cstheme="minorHAnsi"/>
          <w:sz w:val="22"/>
          <w:szCs w:val="22"/>
        </w:rPr>
        <w:t>in</w:t>
      </w:r>
      <w:r w:rsidRPr="00DB0C40">
        <w:rPr>
          <w:rFonts w:asciiTheme="minorHAnsi" w:eastAsia="Calibri Light" w:hAnsiTheme="minorHAnsi" w:cstheme="minorHAnsi"/>
          <w:spacing w:val="-4"/>
          <w:sz w:val="22"/>
          <w:szCs w:val="22"/>
        </w:rPr>
        <w:t xml:space="preserve"> </w:t>
      </w:r>
      <w:r w:rsidRPr="00DB0C40">
        <w:rPr>
          <w:rFonts w:asciiTheme="minorHAnsi" w:eastAsia="Calibri Light" w:hAnsiTheme="minorHAnsi" w:cstheme="minorHAnsi"/>
          <w:sz w:val="22"/>
          <w:szCs w:val="22"/>
        </w:rPr>
        <w:t>Germany,</w:t>
      </w:r>
      <w:r w:rsidRPr="00DB0C40">
        <w:rPr>
          <w:rFonts w:asciiTheme="minorHAnsi" w:eastAsia="Calibri Light" w:hAnsiTheme="minorHAnsi" w:cstheme="minorHAnsi"/>
          <w:spacing w:val="-2"/>
          <w:sz w:val="22"/>
          <w:szCs w:val="22"/>
        </w:rPr>
        <w:t xml:space="preserve"> </w:t>
      </w:r>
      <w:r w:rsidRPr="00DB0C40">
        <w:rPr>
          <w:rFonts w:asciiTheme="minorHAnsi" w:eastAsia="Calibri Light" w:hAnsiTheme="minorHAnsi" w:cstheme="minorHAnsi"/>
          <w:sz w:val="22"/>
          <w:szCs w:val="22"/>
        </w:rPr>
        <w:t>Italy,</w:t>
      </w:r>
      <w:r w:rsidRPr="00DB0C40">
        <w:rPr>
          <w:rFonts w:asciiTheme="minorHAnsi" w:eastAsia="Calibri Light" w:hAnsiTheme="minorHAnsi" w:cstheme="minorHAnsi"/>
          <w:spacing w:val="-3"/>
          <w:sz w:val="22"/>
          <w:szCs w:val="22"/>
        </w:rPr>
        <w:t xml:space="preserve"> </w:t>
      </w:r>
      <w:r w:rsidRPr="00DB0C40">
        <w:rPr>
          <w:rFonts w:asciiTheme="minorHAnsi" w:eastAsia="Calibri Light" w:hAnsiTheme="minorHAnsi" w:cstheme="minorHAnsi"/>
          <w:sz w:val="22"/>
          <w:szCs w:val="22"/>
        </w:rPr>
        <w:t>the</w:t>
      </w:r>
      <w:r w:rsidRPr="00DB0C40">
        <w:rPr>
          <w:rFonts w:asciiTheme="minorHAnsi" w:eastAsia="Calibri Light" w:hAnsiTheme="minorHAnsi" w:cstheme="minorHAnsi"/>
          <w:spacing w:val="-4"/>
          <w:sz w:val="22"/>
          <w:szCs w:val="22"/>
        </w:rPr>
        <w:t xml:space="preserve"> </w:t>
      </w:r>
      <w:r w:rsidRPr="00DB0C40">
        <w:rPr>
          <w:rFonts w:asciiTheme="minorHAnsi" w:eastAsia="Calibri Light" w:hAnsiTheme="minorHAnsi" w:cstheme="minorHAnsi"/>
          <w:sz w:val="22"/>
          <w:szCs w:val="22"/>
        </w:rPr>
        <w:t>United</w:t>
      </w:r>
      <w:r w:rsidRPr="00DB0C40">
        <w:rPr>
          <w:rFonts w:asciiTheme="minorHAnsi" w:eastAsia="Calibri Light" w:hAnsiTheme="minorHAnsi" w:cstheme="minorHAnsi"/>
          <w:spacing w:val="-2"/>
          <w:sz w:val="22"/>
          <w:szCs w:val="22"/>
        </w:rPr>
        <w:t xml:space="preserve"> </w:t>
      </w:r>
      <w:r w:rsidRPr="00DB0C40">
        <w:rPr>
          <w:rFonts w:asciiTheme="minorHAnsi" w:eastAsia="Calibri Light" w:hAnsiTheme="minorHAnsi" w:cstheme="minorHAnsi"/>
          <w:sz w:val="22"/>
          <w:szCs w:val="22"/>
        </w:rPr>
        <w:t>Kingdom,</w:t>
      </w:r>
      <w:r w:rsidRPr="00DB0C40">
        <w:rPr>
          <w:rFonts w:asciiTheme="minorHAnsi" w:eastAsia="Calibri Light" w:hAnsiTheme="minorHAnsi" w:cstheme="minorHAnsi"/>
          <w:spacing w:val="-4"/>
          <w:sz w:val="22"/>
          <w:szCs w:val="22"/>
        </w:rPr>
        <w:t xml:space="preserve"> </w:t>
      </w:r>
      <w:r w:rsidRPr="00DB0C40">
        <w:rPr>
          <w:rFonts w:asciiTheme="minorHAnsi" w:eastAsia="Calibri Light" w:hAnsiTheme="minorHAnsi" w:cstheme="minorHAnsi"/>
          <w:sz w:val="22"/>
          <w:szCs w:val="22"/>
        </w:rPr>
        <w:t>Argentina,</w:t>
      </w:r>
      <w:r w:rsidRPr="00DB0C40">
        <w:rPr>
          <w:rFonts w:asciiTheme="minorHAnsi" w:eastAsia="Calibri Light" w:hAnsiTheme="minorHAnsi" w:cstheme="minorHAnsi"/>
          <w:spacing w:val="-4"/>
          <w:sz w:val="22"/>
          <w:szCs w:val="22"/>
        </w:rPr>
        <w:t xml:space="preserve"> </w:t>
      </w:r>
      <w:r w:rsidRPr="00DB0C40">
        <w:rPr>
          <w:rFonts w:asciiTheme="minorHAnsi" w:eastAsia="Calibri Light" w:hAnsiTheme="minorHAnsi" w:cstheme="minorHAnsi"/>
          <w:sz w:val="22"/>
          <w:szCs w:val="22"/>
        </w:rPr>
        <w:t>Australia</w:t>
      </w:r>
      <w:r w:rsidRPr="00DB0C40">
        <w:rPr>
          <w:rFonts w:asciiTheme="minorHAnsi" w:eastAsia="Calibri Light" w:hAnsiTheme="minorHAnsi" w:cstheme="minorHAnsi"/>
          <w:spacing w:val="-3"/>
          <w:sz w:val="22"/>
          <w:szCs w:val="22"/>
        </w:rPr>
        <w:t xml:space="preserve"> </w:t>
      </w:r>
      <w:r w:rsidRPr="00DB0C40">
        <w:rPr>
          <w:rFonts w:asciiTheme="minorHAnsi" w:eastAsia="Calibri Light" w:hAnsiTheme="minorHAnsi" w:cstheme="minorHAnsi"/>
          <w:sz w:val="22"/>
          <w:szCs w:val="22"/>
        </w:rPr>
        <w:t>and</w:t>
      </w:r>
      <w:r w:rsidRPr="00DB0C40">
        <w:rPr>
          <w:rFonts w:asciiTheme="minorHAnsi" w:eastAsia="Calibri Light" w:hAnsiTheme="minorHAnsi" w:cstheme="minorHAnsi"/>
          <w:spacing w:val="-3"/>
          <w:sz w:val="22"/>
          <w:szCs w:val="22"/>
        </w:rPr>
        <w:t xml:space="preserve"> </w:t>
      </w:r>
      <w:r w:rsidRPr="00DB0C40">
        <w:rPr>
          <w:rFonts w:asciiTheme="minorHAnsi" w:eastAsia="Calibri Light" w:hAnsiTheme="minorHAnsi" w:cstheme="minorHAnsi"/>
          <w:sz w:val="22"/>
          <w:szCs w:val="22"/>
        </w:rPr>
        <w:t>Japan.</w:t>
      </w:r>
      <w:r w:rsidRPr="00DB0C40">
        <w:rPr>
          <w:rFonts w:asciiTheme="minorHAnsi" w:eastAsia="Calibri Light" w:hAnsiTheme="minorHAnsi" w:cstheme="minorHAnsi"/>
          <w:spacing w:val="-3"/>
          <w:sz w:val="22"/>
          <w:szCs w:val="22"/>
        </w:rPr>
        <w:t xml:space="preserve"> </w:t>
      </w:r>
      <w:r w:rsidRPr="00DB0C40">
        <w:rPr>
          <w:rFonts w:asciiTheme="minorHAnsi" w:eastAsia="Calibri Light" w:hAnsiTheme="minorHAnsi" w:cstheme="minorHAnsi"/>
          <w:sz w:val="22"/>
          <w:szCs w:val="22"/>
        </w:rPr>
        <w:t>Since</w:t>
      </w:r>
      <w:r w:rsidRPr="00DB0C40">
        <w:rPr>
          <w:rFonts w:asciiTheme="minorHAnsi" w:eastAsia="Calibri Light" w:hAnsiTheme="minorHAnsi" w:cstheme="minorHAnsi"/>
          <w:spacing w:val="-5"/>
          <w:sz w:val="22"/>
          <w:szCs w:val="22"/>
        </w:rPr>
        <w:t xml:space="preserve"> </w:t>
      </w:r>
      <w:r w:rsidRPr="00DB0C40">
        <w:rPr>
          <w:rFonts w:asciiTheme="minorHAnsi" w:eastAsia="Calibri Light" w:hAnsiTheme="minorHAnsi" w:cstheme="minorHAnsi"/>
          <w:sz w:val="22"/>
          <w:szCs w:val="22"/>
        </w:rPr>
        <w:t>2012,</w:t>
      </w:r>
      <w:r w:rsidRPr="00DB0C40">
        <w:rPr>
          <w:rFonts w:asciiTheme="minorHAnsi" w:eastAsia="Calibri Light" w:hAnsiTheme="minorHAnsi" w:cstheme="minorHAnsi"/>
          <w:spacing w:val="-3"/>
          <w:sz w:val="22"/>
          <w:szCs w:val="22"/>
        </w:rPr>
        <w:t xml:space="preserve"> </w:t>
      </w:r>
      <w:r w:rsidRPr="00DB0C40">
        <w:rPr>
          <w:rFonts w:asciiTheme="minorHAnsi" w:eastAsia="Calibri Light" w:hAnsiTheme="minorHAnsi" w:cstheme="minorHAnsi"/>
          <w:sz w:val="22"/>
          <w:szCs w:val="22"/>
        </w:rPr>
        <w:t>there</w:t>
      </w:r>
      <w:r w:rsidRPr="00DB0C40">
        <w:rPr>
          <w:rFonts w:asciiTheme="minorHAnsi" w:eastAsia="Calibri Light" w:hAnsiTheme="minorHAnsi" w:cstheme="minorHAnsi"/>
          <w:spacing w:val="-5"/>
          <w:sz w:val="22"/>
          <w:szCs w:val="22"/>
        </w:rPr>
        <w:t xml:space="preserve"> </w:t>
      </w:r>
      <w:r w:rsidRPr="00DB0C40">
        <w:rPr>
          <w:rFonts w:asciiTheme="minorHAnsi" w:eastAsia="Calibri Light" w:hAnsiTheme="minorHAnsi" w:cstheme="minorHAnsi"/>
          <w:sz w:val="22"/>
          <w:szCs w:val="22"/>
        </w:rPr>
        <w:t xml:space="preserve">have </w:t>
      </w:r>
      <w:r w:rsidRPr="00DB0C40">
        <w:rPr>
          <w:rFonts w:asciiTheme="minorHAnsi" w:eastAsia="Calibri Light" w:hAnsiTheme="minorHAnsi" w:cstheme="minorHAnsi"/>
          <w:spacing w:val="-47"/>
          <w:sz w:val="22"/>
          <w:szCs w:val="22"/>
        </w:rPr>
        <w:t xml:space="preserve"> </w:t>
      </w:r>
      <w:r w:rsidRPr="00DB0C40">
        <w:rPr>
          <w:rFonts w:asciiTheme="minorHAnsi" w:eastAsia="Calibri Light" w:hAnsiTheme="minorHAnsi" w:cstheme="minorHAnsi"/>
          <w:sz w:val="22"/>
          <w:szCs w:val="22"/>
        </w:rPr>
        <w:t>been mixed trends across G20 countries in the importance of part‐time work as a share of total</w:t>
      </w:r>
      <w:r w:rsidRPr="00DB0C40">
        <w:rPr>
          <w:rFonts w:asciiTheme="minorHAnsi" w:eastAsia="Calibri Light" w:hAnsiTheme="minorHAnsi" w:cstheme="minorHAnsi"/>
          <w:spacing w:val="1"/>
          <w:sz w:val="22"/>
          <w:szCs w:val="22"/>
        </w:rPr>
        <w:t xml:space="preserve"> </w:t>
      </w:r>
      <w:r w:rsidRPr="00DB0C40">
        <w:rPr>
          <w:rFonts w:asciiTheme="minorHAnsi" w:eastAsia="Calibri Light" w:hAnsiTheme="minorHAnsi" w:cstheme="minorHAnsi"/>
          <w:spacing w:val="-1"/>
          <w:sz w:val="22"/>
          <w:szCs w:val="22"/>
        </w:rPr>
        <w:t>employment.</w:t>
      </w:r>
      <w:r w:rsidRPr="00DB0C40">
        <w:rPr>
          <w:rFonts w:asciiTheme="minorHAnsi" w:eastAsia="Calibri Light" w:hAnsiTheme="minorHAnsi" w:cstheme="minorHAnsi"/>
          <w:spacing w:val="-10"/>
          <w:sz w:val="22"/>
          <w:szCs w:val="22"/>
        </w:rPr>
        <w:t xml:space="preserve"> </w:t>
      </w:r>
      <w:r w:rsidRPr="00DB0C40">
        <w:rPr>
          <w:rFonts w:asciiTheme="minorHAnsi" w:eastAsia="Calibri Light" w:hAnsiTheme="minorHAnsi" w:cstheme="minorHAnsi"/>
          <w:spacing w:val="-1"/>
          <w:sz w:val="22"/>
          <w:szCs w:val="22"/>
        </w:rPr>
        <w:t>There</w:t>
      </w:r>
      <w:r w:rsidRPr="00DB0C40">
        <w:rPr>
          <w:rFonts w:asciiTheme="minorHAnsi" w:eastAsia="Calibri Light" w:hAnsiTheme="minorHAnsi" w:cstheme="minorHAnsi"/>
          <w:spacing w:val="-11"/>
          <w:sz w:val="22"/>
          <w:szCs w:val="22"/>
        </w:rPr>
        <w:t xml:space="preserve"> </w:t>
      </w:r>
      <w:r w:rsidRPr="00DB0C40">
        <w:rPr>
          <w:rFonts w:asciiTheme="minorHAnsi" w:eastAsia="Calibri Light" w:hAnsiTheme="minorHAnsi" w:cstheme="minorHAnsi"/>
          <w:spacing w:val="-1"/>
          <w:sz w:val="22"/>
          <w:szCs w:val="22"/>
        </w:rPr>
        <w:t>have</w:t>
      </w:r>
      <w:r w:rsidRPr="00DB0C40">
        <w:rPr>
          <w:rFonts w:asciiTheme="minorHAnsi" w:eastAsia="Calibri Light" w:hAnsiTheme="minorHAnsi" w:cstheme="minorHAnsi"/>
          <w:spacing w:val="-11"/>
          <w:sz w:val="22"/>
          <w:szCs w:val="22"/>
        </w:rPr>
        <w:t xml:space="preserve"> </w:t>
      </w:r>
      <w:r w:rsidRPr="00DB0C40">
        <w:rPr>
          <w:rFonts w:asciiTheme="minorHAnsi" w:eastAsia="Calibri Light" w:hAnsiTheme="minorHAnsi" w:cstheme="minorHAnsi"/>
          <w:spacing w:val="-1"/>
          <w:sz w:val="22"/>
          <w:szCs w:val="22"/>
        </w:rPr>
        <w:t>been</w:t>
      </w:r>
      <w:r w:rsidRPr="00DB0C40">
        <w:rPr>
          <w:rFonts w:asciiTheme="minorHAnsi" w:eastAsia="Calibri Light" w:hAnsiTheme="minorHAnsi" w:cstheme="minorHAnsi"/>
          <w:spacing w:val="-11"/>
          <w:sz w:val="22"/>
          <w:szCs w:val="22"/>
        </w:rPr>
        <w:t xml:space="preserve"> </w:t>
      </w:r>
      <w:r w:rsidRPr="00DB0C40">
        <w:rPr>
          <w:rFonts w:asciiTheme="minorHAnsi" w:eastAsia="Calibri Light" w:hAnsiTheme="minorHAnsi" w:cstheme="minorHAnsi"/>
          <w:spacing w:val="-1"/>
          <w:sz w:val="22"/>
          <w:szCs w:val="22"/>
        </w:rPr>
        <w:t>small</w:t>
      </w:r>
      <w:r w:rsidRPr="00DB0C40">
        <w:rPr>
          <w:rFonts w:asciiTheme="minorHAnsi" w:eastAsia="Calibri Light" w:hAnsiTheme="minorHAnsi" w:cstheme="minorHAnsi"/>
          <w:spacing w:val="-10"/>
          <w:sz w:val="22"/>
          <w:szCs w:val="22"/>
        </w:rPr>
        <w:t xml:space="preserve"> </w:t>
      </w:r>
      <w:r w:rsidRPr="00DB0C40">
        <w:rPr>
          <w:rFonts w:asciiTheme="minorHAnsi" w:eastAsia="Calibri Light" w:hAnsiTheme="minorHAnsi" w:cstheme="minorHAnsi"/>
          <w:sz w:val="22"/>
          <w:szCs w:val="22"/>
        </w:rPr>
        <w:t>rises</w:t>
      </w:r>
      <w:r w:rsidRPr="00DB0C40">
        <w:rPr>
          <w:rFonts w:asciiTheme="minorHAnsi" w:eastAsia="Calibri Light" w:hAnsiTheme="minorHAnsi" w:cstheme="minorHAnsi"/>
          <w:spacing w:val="-12"/>
          <w:sz w:val="22"/>
          <w:szCs w:val="22"/>
        </w:rPr>
        <w:t xml:space="preserve"> </w:t>
      </w:r>
      <w:r w:rsidRPr="00DB0C40">
        <w:rPr>
          <w:rFonts w:asciiTheme="minorHAnsi" w:eastAsia="Calibri Light" w:hAnsiTheme="minorHAnsi" w:cstheme="minorHAnsi"/>
          <w:sz w:val="22"/>
          <w:szCs w:val="22"/>
        </w:rPr>
        <w:t>in</w:t>
      </w:r>
      <w:r w:rsidRPr="00DB0C40">
        <w:rPr>
          <w:rFonts w:asciiTheme="minorHAnsi" w:eastAsia="Calibri Light" w:hAnsiTheme="minorHAnsi" w:cstheme="minorHAnsi"/>
          <w:spacing w:val="-11"/>
          <w:sz w:val="22"/>
          <w:szCs w:val="22"/>
        </w:rPr>
        <w:t xml:space="preserve"> </w:t>
      </w:r>
      <w:r w:rsidRPr="00DB0C40">
        <w:rPr>
          <w:rFonts w:asciiTheme="minorHAnsi" w:eastAsia="Calibri Light" w:hAnsiTheme="minorHAnsi" w:cstheme="minorHAnsi"/>
          <w:sz w:val="22"/>
          <w:szCs w:val="22"/>
        </w:rPr>
        <w:t>some</w:t>
      </w:r>
      <w:r w:rsidRPr="00DB0C40">
        <w:rPr>
          <w:rFonts w:asciiTheme="minorHAnsi" w:eastAsia="Calibri Light" w:hAnsiTheme="minorHAnsi" w:cstheme="minorHAnsi"/>
          <w:spacing w:val="-11"/>
          <w:sz w:val="22"/>
          <w:szCs w:val="22"/>
        </w:rPr>
        <w:t xml:space="preserve"> </w:t>
      </w:r>
      <w:r w:rsidRPr="00DB0C40">
        <w:rPr>
          <w:rFonts w:asciiTheme="minorHAnsi" w:eastAsia="Calibri Light" w:hAnsiTheme="minorHAnsi" w:cstheme="minorHAnsi"/>
          <w:sz w:val="22"/>
          <w:szCs w:val="22"/>
        </w:rPr>
        <w:t>countries</w:t>
      </w:r>
      <w:r w:rsidRPr="00DB0C40">
        <w:rPr>
          <w:rFonts w:asciiTheme="minorHAnsi" w:eastAsia="Calibri Light" w:hAnsiTheme="minorHAnsi" w:cstheme="minorHAnsi"/>
          <w:spacing w:val="-11"/>
          <w:sz w:val="22"/>
          <w:szCs w:val="22"/>
        </w:rPr>
        <w:t xml:space="preserve"> </w:t>
      </w:r>
      <w:r w:rsidRPr="00DB0C40">
        <w:rPr>
          <w:rFonts w:asciiTheme="minorHAnsi" w:eastAsia="Calibri Light" w:hAnsiTheme="minorHAnsi" w:cstheme="minorHAnsi"/>
          <w:sz w:val="22"/>
          <w:szCs w:val="22"/>
        </w:rPr>
        <w:t>but</w:t>
      </w:r>
      <w:r w:rsidRPr="00DB0C40">
        <w:rPr>
          <w:rFonts w:asciiTheme="minorHAnsi" w:eastAsia="Calibri Light" w:hAnsiTheme="minorHAnsi" w:cstheme="minorHAnsi"/>
          <w:spacing w:val="-10"/>
          <w:sz w:val="22"/>
          <w:szCs w:val="22"/>
        </w:rPr>
        <w:t xml:space="preserve"> </w:t>
      </w:r>
      <w:r w:rsidRPr="00DB0C40">
        <w:rPr>
          <w:rFonts w:asciiTheme="minorHAnsi" w:eastAsia="Calibri Light" w:hAnsiTheme="minorHAnsi" w:cstheme="minorHAnsi"/>
          <w:sz w:val="22"/>
          <w:szCs w:val="22"/>
        </w:rPr>
        <w:t>also</w:t>
      </w:r>
      <w:r w:rsidRPr="00DB0C40">
        <w:rPr>
          <w:rFonts w:asciiTheme="minorHAnsi" w:eastAsia="Calibri Light" w:hAnsiTheme="minorHAnsi" w:cstheme="minorHAnsi"/>
          <w:spacing w:val="-13"/>
          <w:sz w:val="22"/>
          <w:szCs w:val="22"/>
        </w:rPr>
        <w:t xml:space="preserve"> </w:t>
      </w:r>
      <w:r w:rsidRPr="00DB0C40">
        <w:rPr>
          <w:rFonts w:asciiTheme="minorHAnsi" w:eastAsia="Calibri Light" w:hAnsiTheme="minorHAnsi" w:cstheme="minorHAnsi"/>
          <w:sz w:val="22"/>
          <w:szCs w:val="22"/>
        </w:rPr>
        <w:t>small</w:t>
      </w:r>
      <w:r w:rsidRPr="00DB0C40">
        <w:rPr>
          <w:rFonts w:asciiTheme="minorHAnsi" w:eastAsia="Calibri Light" w:hAnsiTheme="minorHAnsi" w:cstheme="minorHAnsi"/>
          <w:spacing w:val="-12"/>
          <w:sz w:val="22"/>
          <w:szCs w:val="22"/>
        </w:rPr>
        <w:t xml:space="preserve"> </w:t>
      </w:r>
      <w:r w:rsidRPr="00DB0C40">
        <w:rPr>
          <w:rFonts w:asciiTheme="minorHAnsi" w:eastAsia="Calibri Light" w:hAnsiTheme="minorHAnsi" w:cstheme="minorHAnsi"/>
          <w:sz w:val="22"/>
          <w:szCs w:val="22"/>
        </w:rPr>
        <w:t>falls</w:t>
      </w:r>
      <w:r w:rsidRPr="00DB0C40">
        <w:rPr>
          <w:rFonts w:asciiTheme="minorHAnsi" w:eastAsia="Calibri Light" w:hAnsiTheme="minorHAnsi" w:cstheme="minorHAnsi"/>
          <w:spacing w:val="-11"/>
          <w:sz w:val="22"/>
          <w:szCs w:val="22"/>
        </w:rPr>
        <w:t xml:space="preserve"> </w:t>
      </w:r>
      <w:r w:rsidRPr="00DB0C40">
        <w:rPr>
          <w:rFonts w:asciiTheme="minorHAnsi" w:eastAsia="Calibri Light" w:hAnsiTheme="minorHAnsi" w:cstheme="minorHAnsi"/>
          <w:sz w:val="22"/>
          <w:szCs w:val="22"/>
        </w:rPr>
        <w:t>in</w:t>
      </w:r>
      <w:r w:rsidRPr="00DB0C40">
        <w:rPr>
          <w:rFonts w:asciiTheme="minorHAnsi" w:eastAsia="Calibri Light" w:hAnsiTheme="minorHAnsi" w:cstheme="minorHAnsi"/>
          <w:spacing w:val="-10"/>
          <w:sz w:val="22"/>
          <w:szCs w:val="22"/>
        </w:rPr>
        <w:t xml:space="preserve"> </w:t>
      </w:r>
      <w:r w:rsidRPr="00DB0C40">
        <w:rPr>
          <w:rFonts w:asciiTheme="minorHAnsi" w:eastAsia="Calibri Light" w:hAnsiTheme="minorHAnsi" w:cstheme="minorHAnsi"/>
          <w:sz w:val="22"/>
          <w:szCs w:val="22"/>
        </w:rPr>
        <w:t>others.</w:t>
      </w:r>
      <w:r w:rsidRPr="00DB0C40">
        <w:rPr>
          <w:rFonts w:asciiTheme="minorHAnsi" w:eastAsia="Calibri Light" w:hAnsiTheme="minorHAnsi" w:cstheme="minorHAnsi"/>
          <w:spacing w:val="-10"/>
          <w:sz w:val="22"/>
          <w:szCs w:val="22"/>
        </w:rPr>
        <w:t xml:space="preserve"> </w:t>
      </w:r>
      <w:r w:rsidRPr="00DB0C40">
        <w:rPr>
          <w:rFonts w:asciiTheme="minorHAnsi" w:eastAsia="Calibri Light" w:hAnsiTheme="minorHAnsi" w:cstheme="minorHAnsi"/>
          <w:sz w:val="22"/>
          <w:szCs w:val="22"/>
        </w:rPr>
        <w:t>These</w:t>
      </w:r>
      <w:r w:rsidRPr="00DB0C40">
        <w:rPr>
          <w:rFonts w:asciiTheme="minorHAnsi" w:eastAsia="Calibri Light" w:hAnsiTheme="minorHAnsi" w:cstheme="minorHAnsi"/>
          <w:spacing w:val="-11"/>
          <w:sz w:val="22"/>
          <w:szCs w:val="22"/>
        </w:rPr>
        <w:t xml:space="preserve"> </w:t>
      </w:r>
      <w:r w:rsidRPr="00DB0C40">
        <w:rPr>
          <w:rFonts w:asciiTheme="minorHAnsi" w:eastAsia="Calibri Light" w:hAnsiTheme="minorHAnsi" w:cstheme="minorHAnsi"/>
          <w:sz w:val="22"/>
          <w:szCs w:val="22"/>
        </w:rPr>
        <w:t>changes</w:t>
      </w:r>
      <w:r w:rsidRPr="00DB0C40">
        <w:rPr>
          <w:rFonts w:asciiTheme="minorHAnsi" w:eastAsia="Calibri Light" w:hAnsiTheme="minorHAnsi" w:cstheme="minorHAnsi"/>
          <w:spacing w:val="-47"/>
          <w:sz w:val="22"/>
          <w:szCs w:val="22"/>
        </w:rPr>
        <w:t xml:space="preserve"> </w:t>
      </w:r>
      <w:r w:rsidRPr="00DB0C40">
        <w:rPr>
          <w:rFonts w:asciiTheme="minorHAnsi" w:eastAsia="Calibri Light" w:hAnsiTheme="minorHAnsi" w:cstheme="minorHAnsi"/>
          <w:sz w:val="22"/>
          <w:szCs w:val="22"/>
        </w:rPr>
        <w:t>have</w:t>
      </w:r>
      <w:r w:rsidRPr="00DB0C40">
        <w:rPr>
          <w:rFonts w:asciiTheme="minorHAnsi" w:eastAsia="Calibri Light" w:hAnsiTheme="minorHAnsi" w:cstheme="minorHAnsi"/>
          <w:spacing w:val="-12"/>
          <w:sz w:val="22"/>
          <w:szCs w:val="22"/>
        </w:rPr>
        <w:t xml:space="preserve"> </w:t>
      </w:r>
      <w:r w:rsidRPr="00DB0C40">
        <w:rPr>
          <w:rFonts w:asciiTheme="minorHAnsi" w:eastAsia="Calibri Light" w:hAnsiTheme="minorHAnsi" w:cstheme="minorHAnsi"/>
          <w:sz w:val="22"/>
          <w:szCs w:val="22"/>
        </w:rPr>
        <w:t>been</w:t>
      </w:r>
      <w:r w:rsidRPr="00DB0C40">
        <w:rPr>
          <w:rFonts w:asciiTheme="minorHAnsi" w:eastAsia="Calibri Light" w:hAnsiTheme="minorHAnsi" w:cstheme="minorHAnsi"/>
          <w:spacing w:val="-11"/>
          <w:sz w:val="22"/>
          <w:szCs w:val="22"/>
        </w:rPr>
        <w:t xml:space="preserve"> </w:t>
      </w:r>
      <w:r w:rsidRPr="00DB0C40">
        <w:rPr>
          <w:rFonts w:asciiTheme="minorHAnsi" w:eastAsia="Calibri Light" w:hAnsiTheme="minorHAnsi" w:cstheme="minorHAnsi"/>
          <w:sz w:val="22"/>
          <w:szCs w:val="22"/>
        </w:rPr>
        <w:t>similar</w:t>
      </w:r>
      <w:r w:rsidRPr="00DB0C40">
        <w:rPr>
          <w:rFonts w:asciiTheme="minorHAnsi" w:eastAsia="Calibri Light" w:hAnsiTheme="minorHAnsi" w:cstheme="minorHAnsi"/>
          <w:spacing w:val="-9"/>
          <w:sz w:val="22"/>
          <w:szCs w:val="22"/>
        </w:rPr>
        <w:t xml:space="preserve"> </w:t>
      </w:r>
      <w:r w:rsidRPr="00DB0C40">
        <w:rPr>
          <w:rFonts w:asciiTheme="minorHAnsi" w:eastAsia="Calibri Light" w:hAnsiTheme="minorHAnsi" w:cstheme="minorHAnsi"/>
          <w:sz w:val="22"/>
          <w:szCs w:val="22"/>
        </w:rPr>
        <w:t>for</w:t>
      </w:r>
      <w:r w:rsidRPr="00DB0C40">
        <w:rPr>
          <w:rFonts w:asciiTheme="minorHAnsi" w:eastAsia="Calibri Light" w:hAnsiTheme="minorHAnsi" w:cstheme="minorHAnsi"/>
          <w:spacing w:val="-11"/>
          <w:sz w:val="22"/>
          <w:szCs w:val="22"/>
        </w:rPr>
        <w:t xml:space="preserve"> </w:t>
      </w:r>
      <w:r w:rsidRPr="00DB0C40">
        <w:rPr>
          <w:rFonts w:asciiTheme="minorHAnsi" w:eastAsia="Calibri Light" w:hAnsiTheme="minorHAnsi" w:cstheme="minorHAnsi"/>
          <w:sz w:val="22"/>
          <w:szCs w:val="22"/>
        </w:rPr>
        <w:t>women</w:t>
      </w:r>
      <w:r w:rsidRPr="00DB0C40">
        <w:rPr>
          <w:rFonts w:asciiTheme="minorHAnsi" w:eastAsia="Calibri Light" w:hAnsiTheme="minorHAnsi" w:cstheme="minorHAnsi"/>
          <w:spacing w:val="-10"/>
          <w:sz w:val="22"/>
          <w:szCs w:val="22"/>
        </w:rPr>
        <w:t xml:space="preserve"> </w:t>
      </w:r>
      <w:r w:rsidRPr="00DB0C40">
        <w:rPr>
          <w:rFonts w:asciiTheme="minorHAnsi" w:eastAsia="Calibri Light" w:hAnsiTheme="minorHAnsi" w:cstheme="minorHAnsi"/>
          <w:sz w:val="22"/>
          <w:szCs w:val="22"/>
        </w:rPr>
        <w:t>and</w:t>
      </w:r>
      <w:r w:rsidRPr="00DB0C40">
        <w:rPr>
          <w:rFonts w:asciiTheme="minorHAnsi" w:eastAsia="Calibri Light" w:hAnsiTheme="minorHAnsi" w:cstheme="minorHAnsi"/>
          <w:spacing w:val="-11"/>
          <w:sz w:val="22"/>
          <w:szCs w:val="22"/>
        </w:rPr>
        <w:t xml:space="preserve"> </w:t>
      </w:r>
      <w:r w:rsidRPr="00DB0C40">
        <w:rPr>
          <w:rFonts w:asciiTheme="minorHAnsi" w:eastAsia="Calibri Light" w:hAnsiTheme="minorHAnsi" w:cstheme="minorHAnsi"/>
          <w:sz w:val="22"/>
          <w:szCs w:val="22"/>
        </w:rPr>
        <w:t>men</w:t>
      </w:r>
      <w:r w:rsidRPr="00DB0C40">
        <w:rPr>
          <w:rFonts w:asciiTheme="minorHAnsi" w:eastAsia="Calibri Light" w:hAnsiTheme="minorHAnsi" w:cstheme="minorHAnsi"/>
          <w:spacing w:val="-10"/>
          <w:sz w:val="22"/>
          <w:szCs w:val="22"/>
        </w:rPr>
        <w:t xml:space="preserve"> </w:t>
      </w:r>
      <w:r w:rsidRPr="00DB0C40">
        <w:rPr>
          <w:rFonts w:asciiTheme="minorHAnsi" w:eastAsia="Calibri Light" w:hAnsiTheme="minorHAnsi" w:cstheme="minorHAnsi"/>
          <w:sz w:val="22"/>
          <w:szCs w:val="22"/>
        </w:rPr>
        <w:t>in</w:t>
      </w:r>
      <w:r w:rsidRPr="00DB0C40">
        <w:rPr>
          <w:rFonts w:asciiTheme="minorHAnsi" w:eastAsia="Calibri Light" w:hAnsiTheme="minorHAnsi" w:cstheme="minorHAnsi"/>
          <w:spacing w:val="-10"/>
          <w:sz w:val="22"/>
          <w:szCs w:val="22"/>
        </w:rPr>
        <w:t xml:space="preserve"> </w:t>
      </w:r>
      <w:r w:rsidRPr="00DB0C40">
        <w:rPr>
          <w:rFonts w:asciiTheme="minorHAnsi" w:eastAsia="Calibri Light" w:hAnsiTheme="minorHAnsi" w:cstheme="minorHAnsi"/>
          <w:sz w:val="22"/>
          <w:szCs w:val="22"/>
        </w:rPr>
        <w:t>most</w:t>
      </w:r>
      <w:r w:rsidRPr="00DB0C40">
        <w:rPr>
          <w:rFonts w:asciiTheme="minorHAnsi" w:eastAsia="Calibri Light" w:hAnsiTheme="minorHAnsi" w:cstheme="minorHAnsi"/>
          <w:spacing w:val="-11"/>
          <w:sz w:val="22"/>
          <w:szCs w:val="22"/>
        </w:rPr>
        <w:t xml:space="preserve"> </w:t>
      </w:r>
      <w:r w:rsidRPr="00DB0C40">
        <w:rPr>
          <w:rFonts w:asciiTheme="minorHAnsi" w:eastAsia="Calibri Light" w:hAnsiTheme="minorHAnsi" w:cstheme="minorHAnsi"/>
          <w:sz w:val="22"/>
          <w:szCs w:val="22"/>
        </w:rPr>
        <w:t>countries,</w:t>
      </w:r>
      <w:r w:rsidRPr="00DB0C40">
        <w:rPr>
          <w:rFonts w:asciiTheme="minorHAnsi" w:eastAsia="Calibri Light" w:hAnsiTheme="minorHAnsi" w:cstheme="minorHAnsi"/>
          <w:spacing w:val="-9"/>
          <w:sz w:val="22"/>
          <w:szCs w:val="22"/>
        </w:rPr>
        <w:t xml:space="preserve"> </w:t>
      </w:r>
      <w:r w:rsidRPr="00DB0C40">
        <w:rPr>
          <w:rFonts w:asciiTheme="minorHAnsi" w:eastAsia="Calibri Light" w:hAnsiTheme="minorHAnsi" w:cstheme="minorHAnsi"/>
          <w:sz w:val="22"/>
          <w:szCs w:val="22"/>
        </w:rPr>
        <w:t>and</w:t>
      </w:r>
      <w:r w:rsidRPr="00DB0C40">
        <w:rPr>
          <w:rFonts w:asciiTheme="minorHAnsi" w:eastAsia="Calibri Light" w:hAnsiTheme="minorHAnsi" w:cstheme="minorHAnsi"/>
          <w:spacing w:val="-10"/>
          <w:sz w:val="22"/>
          <w:szCs w:val="22"/>
        </w:rPr>
        <w:t xml:space="preserve"> </w:t>
      </w:r>
      <w:r w:rsidRPr="00DB0C40">
        <w:rPr>
          <w:rFonts w:asciiTheme="minorHAnsi" w:eastAsia="Calibri Light" w:hAnsiTheme="minorHAnsi" w:cstheme="minorHAnsi"/>
          <w:sz w:val="22"/>
          <w:szCs w:val="22"/>
        </w:rPr>
        <w:t>consequently</w:t>
      </w:r>
      <w:r w:rsidRPr="00DB0C40">
        <w:rPr>
          <w:rFonts w:asciiTheme="minorHAnsi" w:eastAsia="Calibri Light" w:hAnsiTheme="minorHAnsi" w:cstheme="minorHAnsi"/>
          <w:spacing w:val="-12"/>
          <w:sz w:val="22"/>
          <w:szCs w:val="22"/>
        </w:rPr>
        <w:t xml:space="preserve"> </w:t>
      </w:r>
      <w:r w:rsidRPr="00DB0C40">
        <w:rPr>
          <w:rFonts w:asciiTheme="minorHAnsi" w:eastAsia="Calibri Light" w:hAnsiTheme="minorHAnsi" w:cstheme="minorHAnsi"/>
          <w:sz w:val="22"/>
          <w:szCs w:val="22"/>
        </w:rPr>
        <w:t>there</w:t>
      </w:r>
      <w:r w:rsidRPr="00DB0C40">
        <w:rPr>
          <w:rFonts w:asciiTheme="minorHAnsi" w:eastAsia="Calibri Light" w:hAnsiTheme="minorHAnsi" w:cstheme="minorHAnsi"/>
          <w:spacing w:val="-12"/>
          <w:sz w:val="22"/>
          <w:szCs w:val="22"/>
        </w:rPr>
        <w:t xml:space="preserve"> </w:t>
      </w:r>
      <w:r w:rsidRPr="00DB0C40">
        <w:rPr>
          <w:rFonts w:asciiTheme="minorHAnsi" w:eastAsia="Calibri Light" w:hAnsiTheme="minorHAnsi" w:cstheme="minorHAnsi"/>
          <w:sz w:val="22"/>
          <w:szCs w:val="22"/>
        </w:rPr>
        <w:t>has</w:t>
      </w:r>
      <w:r w:rsidRPr="00DB0C40">
        <w:rPr>
          <w:rFonts w:asciiTheme="minorHAnsi" w:eastAsia="Calibri Light" w:hAnsiTheme="minorHAnsi" w:cstheme="minorHAnsi"/>
          <w:spacing w:val="-13"/>
          <w:sz w:val="22"/>
          <w:szCs w:val="22"/>
        </w:rPr>
        <w:t xml:space="preserve"> </w:t>
      </w:r>
      <w:r w:rsidRPr="00DB0C40">
        <w:rPr>
          <w:rFonts w:asciiTheme="minorHAnsi" w:eastAsia="Calibri Light" w:hAnsiTheme="minorHAnsi" w:cstheme="minorHAnsi"/>
          <w:sz w:val="22"/>
          <w:szCs w:val="22"/>
        </w:rPr>
        <w:t>been</w:t>
      </w:r>
      <w:r w:rsidRPr="00DB0C40">
        <w:rPr>
          <w:rFonts w:asciiTheme="minorHAnsi" w:eastAsia="Calibri Light" w:hAnsiTheme="minorHAnsi" w:cstheme="minorHAnsi"/>
          <w:spacing w:val="-12"/>
          <w:sz w:val="22"/>
          <w:szCs w:val="22"/>
        </w:rPr>
        <w:t xml:space="preserve"> </w:t>
      </w:r>
      <w:r w:rsidRPr="00DB0C40">
        <w:rPr>
          <w:rFonts w:asciiTheme="minorHAnsi" w:eastAsia="Calibri Light" w:hAnsiTheme="minorHAnsi" w:cstheme="minorHAnsi"/>
          <w:sz w:val="22"/>
          <w:szCs w:val="22"/>
        </w:rPr>
        <w:t>little</w:t>
      </w:r>
      <w:r w:rsidRPr="00DB0C40">
        <w:rPr>
          <w:rFonts w:asciiTheme="minorHAnsi" w:eastAsia="Calibri Light" w:hAnsiTheme="minorHAnsi" w:cstheme="minorHAnsi"/>
          <w:spacing w:val="-12"/>
          <w:sz w:val="22"/>
          <w:szCs w:val="22"/>
        </w:rPr>
        <w:t xml:space="preserve"> </w:t>
      </w:r>
      <w:r w:rsidRPr="00DB0C40">
        <w:rPr>
          <w:rFonts w:asciiTheme="minorHAnsi" w:eastAsia="Calibri Light" w:hAnsiTheme="minorHAnsi" w:cstheme="minorHAnsi"/>
          <w:sz w:val="22"/>
          <w:szCs w:val="22"/>
        </w:rPr>
        <w:t>change</w:t>
      </w:r>
      <w:r w:rsidRPr="00DB0C40">
        <w:rPr>
          <w:rFonts w:asciiTheme="minorHAnsi" w:eastAsia="Calibri Light" w:hAnsiTheme="minorHAnsi" w:cstheme="minorHAnsi"/>
          <w:spacing w:val="-48"/>
          <w:sz w:val="22"/>
          <w:szCs w:val="22"/>
        </w:rPr>
        <w:t xml:space="preserve"> </w:t>
      </w:r>
      <w:r w:rsidRPr="00DB0C40">
        <w:rPr>
          <w:rFonts w:asciiTheme="minorHAnsi" w:eastAsia="Calibri Light" w:hAnsiTheme="minorHAnsi" w:cstheme="minorHAnsi"/>
          <w:spacing w:val="-2"/>
          <w:sz w:val="22"/>
          <w:szCs w:val="22"/>
        </w:rPr>
        <w:t>in</w:t>
      </w:r>
      <w:r w:rsidRPr="00DB0C40">
        <w:rPr>
          <w:rFonts w:asciiTheme="minorHAnsi" w:eastAsia="Calibri Light" w:hAnsiTheme="minorHAnsi" w:cstheme="minorHAnsi"/>
          <w:spacing w:val="-13"/>
          <w:sz w:val="22"/>
          <w:szCs w:val="22"/>
        </w:rPr>
        <w:t xml:space="preserve"> </w:t>
      </w:r>
      <w:r w:rsidRPr="00DB0C40">
        <w:rPr>
          <w:rFonts w:asciiTheme="minorHAnsi" w:eastAsia="Calibri Light" w:hAnsiTheme="minorHAnsi" w:cstheme="minorHAnsi"/>
          <w:spacing w:val="-2"/>
          <w:sz w:val="22"/>
          <w:szCs w:val="22"/>
        </w:rPr>
        <w:t>the</w:t>
      </w:r>
      <w:r w:rsidRPr="00DB0C40">
        <w:rPr>
          <w:rFonts w:asciiTheme="minorHAnsi" w:eastAsia="Calibri Light" w:hAnsiTheme="minorHAnsi" w:cstheme="minorHAnsi"/>
          <w:spacing w:val="-15"/>
          <w:sz w:val="22"/>
          <w:szCs w:val="22"/>
        </w:rPr>
        <w:t xml:space="preserve"> </w:t>
      </w:r>
      <w:r w:rsidRPr="00DB0C40">
        <w:rPr>
          <w:rFonts w:asciiTheme="minorHAnsi" w:eastAsia="Calibri Light" w:hAnsiTheme="minorHAnsi" w:cstheme="minorHAnsi"/>
          <w:spacing w:val="-2"/>
          <w:sz w:val="22"/>
          <w:szCs w:val="22"/>
        </w:rPr>
        <w:t>often</w:t>
      </w:r>
      <w:r w:rsidRPr="00DB0C40">
        <w:rPr>
          <w:rFonts w:asciiTheme="minorHAnsi" w:eastAsia="Calibri Light" w:hAnsiTheme="minorHAnsi" w:cstheme="minorHAnsi"/>
          <w:spacing w:val="-12"/>
          <w:sz w:val="22"/>
          <w:szCs w:val="22"/>
        </w:rPr>
        <w:t>-large</w:t>
      </w:r>
      <w:r w:rsidRPr="00DB0C40">
        <w:rPr>
          <w:rFonts w:asciiTheme="minorHAnsi" w:eastAsia="Calibri Light" w:hAnsiTheme="minorHAnsi" w:cstheme="minorHAnsi"/>
          <w:spacing w:val="-2"/>
          <w:sz w:val="22"/>
          <w:szCs w:val="22"/>
        </w:rPr>
        <w:t xml:space="preserve"> gender</w:t>
      </w:r>
      <w:r w:rsidRPr="00DB0C40">
        <w:rPr>
          <w:rFonts w:asciiTheme="minorHAnsi" w:eastAsia="Calibri Light" w:hAnsiTheme="minorHAnsi" w:cstheme="minorHAnsi"/>
          <w:spacing w:val="-13"/>
          <w:sz w:val="22"/>
          <w:szCs w:val="22"/>
        </w:rPr>
        <w:t xml:space="preserve"> </w:t>
      </w:r>
      <w:r w:rsidRPr="00DB0C40">
        <w:rPr>
          <w:rFonts w:asciiTheme="minorHAnsi" w:eastAsia="Calibri Light" w:hAnsiTheme="minorHAnsi" w:cstheme="minorHAnsi"/>
          <w:spacing w:val="-2"/>
          <w:sz w:val="22"/>
          <w:szCs w:val="22"/>
        </w:rPr>
        <w:t>gap</w:t>
      </w:r>
      <w:r w:rsidRPr="00DB0C40">
        <w:rPr>
          <w:rFonts w:asciiTheme="minorHAnsi" w:eastAsia="Calibri Light" w:hAnsiTheme="minorHAnsi" w:cstheme="minorHAnsi"/>
          <w:spacing w:val="-12"/>
          <w:sz w:val="22"/>
          <w:szCs w:val="22"/>
        </w:rPr>
        <w:t xml:space="preserve"> </w:t>
      </w:r>
      <w:r w:rsidRPr="00DB0C40">
        <w:rPr>
          <w:rFonts w:asciiTheme="minorHAnsi" w:eastAsia="Calibri Light" w:hAnsiTheme="minorHAnsi" w:cstheme="minorHAnsi"/>
          <w:spacing w:val="-2"/>
          <w:sz w:val="22"/>
          <w:szCs w:val="22"/>
        </w:rPr>
        <w:t>in</w:t>
      </w:r>
      <w:r w:rsidRPr="00DB0C40">
        <w:rPr>
          <w:rFonts w:asciiTheme="minorHAnsi" w:eastAsia="Calibri Light" w:hAnsiTheme="minorHAnsi" w:cstheme="minorHAnsi"/>
          <w:spacing w:val="-13"/>
          <w:sz w:val="22"/>
          <w:szCs w:val="22"/>
        </w:rPr>
        <w:t xml:space="preserve"> </w:t>
      </w:r>
      <w:r w:rsidRPr="00DB0C40">
        <w:rPr>
          <w:rFonts w:asciiTheme="minorHAnsi" w:eastAsia="Calibri Light" w:hAnsiTheme="minorHAnsi" w:cstheme="minorHAnsi"/>
          <w:spacing w:val="-2"/>
          <w:sz w:val="22"/>
          <w:szCs w:val="22"/>
        </w:rPr>
        <w:t>the</w:t>
      </w:r>
      <w:r w:rsidRPr="00DB0C40">
        <w:rPr>
          <w:rFonts w:asciiTheme="minorHAnsi" w:eastAsia="Calibri Light" w:hAnsiTheme="minorHAnsi" w:cstheme="minorHAnsi"/>
          <w:spacing w:val="-15"/>
          <w:sz w:val="22"/>
          <w:szCs w:val="22"/>
        </w:rPr>
        <w:t xml:space="preserve"> </w:t>
      </w:r>
      <w:r w:rsidRPr="00DB0C40">
        <w:rPr>
          <w:rFonts w:asciiTheme="minorHAnsi" w:eastAsia="Calibri Light" w:hAnsiTheme="minorHAnsi" w:cstheme="minorHAnsi"/>
          <w:spacing w:val="-2"/>
          <w:sz w:val="22"/>
          <w:szCs w:val="22"/>
        </w:rPr>
        <w:t>incidence</w:t>
      </w:r>
      <w:r w:rsidRPr="00DB0C40">
        <w:rPr>
          <w:rFonts w:asciiTheme="minorHAnsi" w:eastAsia="Calibri Light" w:hAnsiTheme="minorHAnsi" w:cstheme="minorHAnsi"/>
          <w:spacing w:val="-14"/>
          <w:sz w:val="22"/>
          <w:szCs w:val="22"/>
        </w:rPr>
        <w:t xml:space="preserve"> </w:t>
      </w:r>
      <w:r w:rsidRPr="00DB0C40">
        <w:rPr>
          <w:rFonts w:asciiTheme="minorHAnsi" w:eastAsia="Calibri Light" w:hAnsiTheme="minorHAnsi" w:cstheme="minorHAnsi"/>
          <w:spacing w:val="-1"/>
          <w:sz w:val="22"/>
          <w:szCs w:val="22"/>
        </w:rPr>
        <w:t>of</w:t>
      </w:r>
      <w:r w:rsidRPr="00DB0C40">
        <w:rPr>
          <w:rFonts w:asciiTheme="minorHAnsi" w:eastAsia="Calibri Light" w:hAnsiTheme="minorHAnsi" w:cstheme="minorHAnsi"/>
          <w:spacing w:val="-13"/>
          <w:sz w:val="22"/>
          <w:szCs w:val="22"/>
        </w:rPr>
        <w:t xml:space="preserve"> </w:t>
      </w:r>
      <w:r w:rsidRPr="00DB0C40">
        <w:rPr>
          <w:rFonts w:asciiTheme="minorHAnsi" w:eastAsia="Calibri Light" w:hAnsiTheme="minorHAnsi" w:cstheme="minorHAnsi"/>
          <w:spacing w:val="-1"/>
          <w:sz w:val="22"/>
          <w:szCs w:val="22"/>
        </w:rPr>
        <w:t>part‐time</w:t>
      </w:r>
      <w:r w:rsidRPr="00DB0C40">
        <w:rPr>
          <w:rFonts w:asciiTheme="minorHAnsi" w:eastAsia="Calibri Light" w:hAnsiTheme="minorHAnsi" w:cstheme="minorHAnsi"/>
          <w:spacing w:val="-14"/>
          <w:sz w:val="22"/>
          <w:szCs w:val="22"/>
        </w:rPr>
        <w:t xml:space="preserve"> </w:t>
      </w:r>
      <w:r w:rsidRPr="00DB0C40">
        <w:rPr>
          <w:rFonts w:asciiTheme="minorHAnsi" w:eastAsia="Calibri Light" w:hAnsiTheme="minorHAnsi" w:cstheme="minorHAnsi"/>
          <w:spacing w:val="-1"/>
          <w:sz w:val="22"/>
          <w:szCs w:val="22"/>
        </w:rPr>
        <w:t>work.</w:t>
      </w:r>
      <w:r w:rsidRPr="00DB0C40">
        <w:rPr>
          <w:rFonts w:asciiTheme="minorHAnsi" w:eastAsia="Calibri Light" w:hAnsiTheme="minorHAnsi" w:cstheme="minorHAnsi"/>
          <w:spacing w:val="-11"/>
          <w:sz w:val="22"/>
          <w:szCs w:val="22"/>
        </w:rPr>
        <w:t xml:space="preserve"> </w:t>
      </w:r>
      <w:r w:rsidRPr="00DB0C40">
        <w:rPr>
          <w:rFonts w:asciiTheme="minorHAnsi" w:eastAsia="Calibri Light" w:hAnsiTheme="minorHAnsi" w:cstheme="minorHAnsi"/>
          <w:spacing w:val="-1"/>
          <w:sz w:val="22"/>
          <w:szCs w:val="22"/>
        </w:rPr>
        <w:t>Women</w:t>
      </w:r>
      <w:r w:rsidRPr="00DB0C40">
        <w:rPr>
          <w:rFonts w:asciiTheme="minorHAnsi" w:eastAsia="Calibri Light" w:hAnsiTheme="minorHAnsi" w:cstheme="minorHAnsi"/>
          <w:spacing w:val="-11"/>
          <w:sz w:val="22"/>
          <w:szCs w:val="22"/>
        </w:rPr>
        <w:t xml:space="preserve"> </w:t>
      </w:r>
      <w:r w:rsidRPr="00DB0C40">
        <w:rPr>
          <w:rFonts w:asciiTheme="minorHAnsi" w:eastAsia="Calibri Light" w:hAnsiTheme="minorHAnsi" w:cstheme="minorHAnsi"/>
          <w:spacing w:val="-1"/>
          <w:sz w:val="22"/>
          <w:szCs w:val="22"/>
        </w:rPr>
        <w:t>are</w:t>
      </w:r>
      <w:r w:rsidRPr="00DB0C40">
        <w:rPr>
          <w:rFonts w:asciiTheme="minorHAnsi" w:eastAsia="Calibri Light" w:hAnsiTheme="minorHAnsi" w:cstheme="minorHAnsi"/>
          <w:spacing w:val="-10"/>
          <w:sz w:val="22"/>
          <w:szCs w:val="22"/>
        </w:rPr>
        <w:t xml:space="preserve"> </w:t>
      </w:r>
      <w:r w:rsidRPr="00DB0C40">
        <w:rPr>
          <w:rFonts w:asciiTheme="minorHAnsi" w:eastAsia="Calibri Light" w:hAnsiTheme="minorHAnsi" w:cstheme="minorHAnsi"/>
          <w:spacing w:val="-1"/>
          <w:sz w:val="22"/>
          <w:szCs w:val="22"/>
        </w:rPr>
        <w:t>also</w:t>
      </w:r>
      <w:r w:rsidRPr="00DB0C40">
        <w:rPr>
          <w:rFonts w:asciiTheme="minorHAnsi" w:eastAsia="Calibri Light" w:hAnsiTheme="minorHAnsi" w:cstheme="minorHAnsi"/>
          <w:spacing w:val="-11"/>
          <w:sz w:val="22"/>
          <w:szCs w:val="22"/>
        </w:rPr>
        <w:t xml:space="preserve"> </w:t>
      </w:r>
      <w:r w:rsidRPr="00DB0C40">
        <w:rPr>
          <w:rFonts w:asciiTheme="minorHAnsi" w:eastAsia="Calibri Light" w:hAnsiTheme="minorHAnsi" w:cstheme="minorHAnsi"/>
          <w:spacing w:val="-1"/>
          <w:sz w:val="22"/>
          <w:szCs w:val="22"/>
        </w:rPr>
        <w:t>often</w:t>
      </w:r>
      <w:r w:rsidRPr="00DB0C40">
        <w:rPr>
          <w:rFonts w:asciiTheme="minorHAnsi" w:eastAsia="Calibri Light" w:hAnsiTheme="minorHAnsi" w:cstheme="minorHAnsi"/>
          <w:spacing w:val="-10"/>
          <w:sz w:val="22"/>
          <w:szCs w:val="22"/>
        </w:rPr>
        <w:t xml:space="preserve"> </w:t>
      </w:r>
      <w:r w:rsidRPr="00DB0C40">
        <w:rPr>
          <w:rFonts w:asciiTheme="minorHAnsi" w:eastAsia="Calibri Light" w:hAnsiTheme="minorHAnsi" w:cstheme="minorHAnsi"/>
          <w:spacing w:val="-1"/>
          <w:sz w:val="22"/>
          <w:szCs w:val="22"/>
        </w:rPr>
        <w:t>over‐represented</w:t>
      </w:r>
      <w:r w:rsidRPr="00DB0C40">
        <w:rPr>
          <w:rFonts w:asciiTheme="minorHAnsi" w:eastAsia="Calibri Light" w:hAnsiTheme="minorHAnsi" w:cstheme="minorHAnsi"/>
          <w:sz w:val="22"/>
          <w:szCs w:val="22"/>
        </w:rPr>
        <w:t xml:space="preserve"> in temporary jobs. Various factors explain the higher presence of women in NSFE: their greater care‐</w:t>
      </w:r>
      <w:r w:rsidRPr="00DB0C40">
        <w:rPr>
          <w:rFonts w:asciiTheme="minorHAnsi" w:eastAsia="Calibri Light" w:hAnsiTheme="minorHAnsi" w:cstheme="minorHAnsi"/>
          <w:spacing w:val="1"/>
          <w:sz w:val="22"/>
          <w:szCs w:val="22"/>
        </w:rPr>
        <w:t xml:space="preserve"> </w:t>
      </w:r>
      <w:r w:rsidRPr="00DB0C40">
        <w:rPr>
          <w:rFonts w:asciiTheme="minorHAnsi" w:eastAsia="Calibri Light" w:hAnsiTheme="minorHAnsi" w:cstheme="minorHAnsi"/>
          <w:sz w:val="22"/>
          <w:szCs w:val="22"/>
        </w:rPr>
        <w:t>giving</w:t>
      </w:r>
      <w:r w:rsidRPr="00DB0C40">
        <w:rPr>
          <w:rFonts w:asciiTheme="minorHAnsi" w:eastAsia="Calibri Light" w:hAnsiTheme="minorHAnsi" w:cstheme="minorHAnsi"/>
          <w:spacing w:val="-10"/>
          <w:sz w:val="22"/>
          <w:szCs w:val="22"/>
        </w:rPr>
        <w:t xml:space="preserve"> </w:t>
      </w:r>
      <w:r w:rsidRPr="00DB0C40">
        <w:rPr>
          <w:rFonts w:asciiTheme="minorHAnsi" w:eastAsia="Calibri Light" w:hAnsiTheme="minorHAnsi" w:cstheme="minorHAnsi"/>
          <w:sz w:val="22"/>
          <w:szCs w:val="22"/>
        </w:rPr>
        <w:t>responsibilities,</w:t>
      </w:r>
      <w:r w:rsidRPr="00DB0C40">
        <w:rPr>
          <w:rFonts w:asciiTheme="minorHAnsi" w:eastAsia="Calibri Light" w:hAnsiTheme="minorHAnsi" w:cstheme="minorHAnsi"/>
          <w:spacing w:val="-9"/>
          <w:sz w:val="22"/>
          <w:szCs w:val="22"/>
        </w:rPr>
        <w:t xml:space="preserve"> </w:t>
      </w:r>
      <w:r w:rsidRPr="00DB0C40">
        <w:rPr>
          <w:rFonts w:asciiTheme="minorHAnsi" w:eastAsia="Calibri Light" w:hAnsiTheme="minorHAnsi" w:cstheme="minorHAnsi"/>
          <w:sz w:val="22"/>
          <w:szCs w:val="22"/>
        </w:rPr>
        <w:t>their</w:t>
      </w:r>
      <w:r w:rsidRPr="00DB0C40">
        <w:rPr>
          <w:rFonts w:asciiTheme="minorHAnsi" w:eastAsia="Calibri Light" w:hAnsiTheme="minorHAnsi" w:cstheme="minorHAnsi"/>
          <w:spacing w:val="-8"/>
          <w:sz w:val="22"/>
          <w:szCs w:val="22"/>
        </w:rPr>
        <w:t xml:space="preserve"> </w:t>
      </w:r>
      <w:r w:rsidRPr="00DB0C40">
        <w:rPr>
          <w:rFonts w:asciiTheme="minorHAnsi" w:eastAsia="Calibri Light" w:hAnsiTheme="minorHAnsi" w:cstheme="minorHAnsi"/>
          <w:sz w:val="22"/>
          <w:szCs w:val="22"/>
        </w:rPr>
        <w:t>higher</w:t>
      </w:r>
      <w:r w:rsidRPr="00DB0C40">
        <w:rPr>
          <w:rFonts w:asciiTheme="minorHAnsi" w:eastAsia="Calibri Light" w:hAnsiTheme="minorHAnsi" w:cstheme="minorHAnsi"/>
          <w:spacing w:val="-8"/>
          <w:sz w:val="22"/>
          <w:szCs w:val="22"/>
        </w:rPr>
        <w:t xml:space="preserve"> </w:t>
      </w:r>
      <w:r w:rsidRPr="00DB0C40">
        <w:rPr>
          <w:rFonts w:asciiTheme="minorHAnsi" w:eastAsia="Calibri Light" w:hAnsiTheme="minorHAnsi" w:cstheme="minorHAnsi"/>
          <w:sz w:val="22"/>
          <w:szCs w:val="22"/>
        </w:rPr>
        <w:t>presence</w:t>
      </w:r>
      <w:r w:rsidRPr="00DB0C40">
        <w:rPr>
          <w:rFonts w:asciiTheme="minorHAnsi" w:eastAsia="Calibri Light" w:hAnsiTheme="minorHAnsi" w:cstheme="minorHAnsi"/>
          <w:spacing w:val="-8"/>
          <w:sz w:val="22"/>
          <w:szCs w:val="22"/>
        </w:rPr>
        <w:t xml:space="preserve"> </w:t>
      </w:r>
      <w:r w:rsidRPr="00DB0C40">
        <w:rPr>
          <w:rFonts w:asciiTheme="minorHAnsi" w:eastAsia="Calibri Light" w:hAnsiTheme="minorHAnsi" w:cstheme="minorHAnsi"/>
          <w:sz w:val="22"/>
          <w:szCs w:val="22"/>
        </w:rPr>
        <w:t>in</w:t>
      </w:r>
      <w:r w:rsidRPr="00DB0C40">
        <w:rPr>
          <w:rFonts w:asciiTheme="minorHAnsi" w:eastAsia="Calibri Light" w:hAnsiTheme="minorHAnsi" w:cstheme="minorHAnsi"/>
          <w:spacing w:val="-9"/>
          <w:sz w:val="22"/>
          <w:szCs w:val="22"/>
        </w:rPr>
        <w:t xml:space="preserve"> </w:t>
      </w:r>
      <w:r w:rsidRPr="00DB0C40">
        <w:rPr>
          <w:rFonts w:asciiTheme="minorHAnsi" w:eastAsia="Calibri Light" w:hAnsiTheme="minorHAnsi" w:cstheme="minorHAnsi"/>
          <w:sz w:val="22"/>
          <w:szCs w:val="22"/>
        </w:rPr>
        <w:t>occupations</w:t>
      </w:r>
      <w:r w:rsidRPr="00DB0C40">
        <w:rPr>
          <w:rFonts w:asciiTheme="minorHAnsi" w:eastAsia="Calibri Light" w:hAnsiTheme="minorHAnsi" w:cstheme="minorHAnsi"/>
          <w:spacing w:val="-8"/>
          <w:sz w:val="22"/>
          <w:szCs w:val="22"/>
        </w:rPr>
        <w:t xml:space="preserve"> </w:t>
      </w:r>
      <w:r w:rsidRPr="00DB0C40">
        <w:rPr>
          <w:rFonts w:asciiTheme="minorHAnsi" w:eastAsia="Calibri Light" w:hAnsiTheme="minorHAnsi" w:cstheme="minorHAnsi"/>
          <w:sz w:val="22"/>
          <w:szCs w:val="22"/>
        </w:rPr>
        <w:t>that</w:t>
      </w:r>
      <w:r w:rsidRPr="00DB0C40">
        <w:rPr>
          <w:rFonts w:asciiTheme="minorHAnsi" w:eastAsia="Calibri Light" w:hAnsiTheme="minorHAnsi" w:cstheme="minorHAnsi"/>
          <w:spacing w:val="-8"/>
          <w:sz w:val="22"/>
          <w:szCs w:val="22"/>
        </w:rPr>
        <w:t xml:space="preserve"> </w:t>
      </w:r>
      <w:r w:rsidRPr="00DB0C40">
        <w:rPr>
          <w:rFonts w:asciiTheme="minorHAnsi" w:eastAsia="Calibri Light" w:hAnsiTheme="minorHAnsi" w:cstheme="minorHAnsi"/>
          <w:sz w:val="22"/>
          <w:szCs w:val="22"/>
        </w:rPr>
        <w:t>typically</w:t>
      </w:r>
      <w:r w:rsidRPr="00DB0C40">
        <w:rPr>
          <w:rFonts w:asciiTheme="minorHAnsi" w:eastAsia="Calibri Light" w:hAnsiTheme="minorHAnsi" w:cstheme="minorHAnsi"/>
          <w:spacing w:val="-7"/>
          <w:sz w:val="22"/>
          <w:szCs w:val="22"/>
        </w:rPr>
        <w:t xml:space="preserve"> </w:t>
      </w:r>
      <w:r w:rsidRPr="00DB0C40">
        <w:rPr>
          <w:rFonts w:asciiTheme="minorHAnsi" w:eastAsia="Calibri Light" w:hAnsiTheme="minorHAnsi" w:cstheme="minorHAnsi"/>
          <w:sz w:val="22"/>
          <w:szCs w:val="22"/>
        </w:rPr>
        <w:t>recruit</w:t>
      </w:r>
      <w:r w:rsidRPr="00DB0C40">
        <w:rPr>
          <w:rFonts w:asciiTheme="minorHAnsi" w:eastAsia="Calibri Light" w:hAnsiTheme="minorHAnsi" w:cstheme="minorHAnsi"/>
          <w:spacing w:val="-10"/>
          <w:sz w:val="22"/>
          <w:szCs w:val="22"/>
        </w:rPr>
        <w:t xml:space="preserve"> </w:t>
      </w:r>
      <w:r w:rsidRPr="00DB0C40">
        <w:rPr>
          <w:rFonts w:asciiTheme="minorHAnsi" w:eastAsia="Calibri Light" w:hAnsiTheme="minorHAnsi" w:cstheme="minorHAnsi"/>
          <w:sz w:val="22"/>
          <w:szCs w:val="22"/>
        </w:rPr>
        <w:t>on</w:t>
      </w:r>
      <w:r w:rsidRPr="00DB0C40">
        <w:rPr>
          <w:rFonts w:asciiTheme="minorHAnsi" w:eastAsia="Calibri Light" w:hAnsiTheme="minorHAnsi" w:cstheme="minorHAnsi"/>
          <w:spacing w:val="-9"/>
          <w:sz w:val="22"/>
          <w:szCs w:val="22"/>
        </w:rPr>
        <w:t xml:space="preserve"> </w:t>
      </w:r>
      <w:r w:rsidRPr="00DB0C40">
        <w:rPr>
          <w:rFonts w:asciiTheme="minorHAnsi" w:eastAsia="Calibri Light" w:hAnsiTheme="minorHAnsi" w:cstheme="minorHAnsi"/>
          <w:sz w:val="22"/>
          <w:szCs w:val="22"/>
        </w:rPr>
        <w:t>an</w:t>
      </w:r>
      <w:r w:rsidRPr="00DB0C40">
        <w:rPr>
          <w:rFonts w:asciiTheme="minorHAnsi" w:eastAsia="Calibri Light" w:hAnsiTheme="minorHAnsi" w:cstheme="minorHAnsi"/>
          <w:spacing w:val="-8"/>
          <w:sz w:val="22"/>
          <w:szCs w:val="22"/>
        </w:rPr>
        <w:t xml:space="preserve"> </w:t>
      </w:r>
      <w:r w:rsidRPr="00DB0C40">
        <w:rPr>
          <w:rFonts w:asciiTheme="minorHAnsi" w:eastAsia="Calibri Light" w:hAnsiTheme="minorHAnsi" w:cstheme="minorHAnsi"/>
          <w:sz w:val="22"/>
          <w:szCs w:val="22"/>
        </w:rPr>
        <w:t>on‐call</w:t>
      </w:r>
      <w:r w:rsidRPr="00DB0C40">
        <w:rPr>
          <w:rFonts w:asciiTheme="minorHAnsi" w:eastAsia="Calibri Light" w:hAnsiTheme="minorHAnsi" w:cstheme="minorHAnsi"/>
          <w:spacing w:val="-8"/>
          <w:sz w:val="22"/>
          <w:szCs w:val="22"/>
        </w:rPr>
        <w:t xml:space="preserve"> </w:t>
      </w:r>
      <w:r w:rsidRPr="00DB0C40">
        <w:rPr>
          <w:rFonts w:asciiTheme="minorHAnsi" w:eastAsia="Calibri Light" w:hAnsiTheme="minorHAnsi" w:cstheme="minorHAnsi"/>
          <w:sz w:val="22"/>
          <w:szCs w:val="22"/>
        </w:rPr>
        <w:t>basis,</w:t>
      </w:r>
      <w:r w:rsidRPr="00DB0C40">
        <w:rPr>
          <w:rFonts w:asciiTheme="minorHAnsi" w:eastAsia="Calibri Light" w:hAnsiTheme="minorHAnsi" w:cstheme="minorHAnsi"/>
          <w:spacing w:val="-9"/>
          <w:sz w:val="22"/>
          <w:szCs w:val="22"/>
        </w:rPr>
        <w:t xml:space="preserve"> the structure</w:t>
      </w:r>
      <w:r w:rsidRPr="00DB0C40">
        <w:rPr>
          <w:rFonts w:asciiTheme="minorHAnsi" w:eastAsia="Calibri Light" w:hAnsiTheme="minorHAnsi" w:cstheme="minorHAnsi"/>
          <w:sz w:val="22"/>
          <w:szCs w:val="22"/>
        </w:rPr>
        <w:t xml:space="preserve"> of the economy and women’s lower bargaining power because of their lower unionization</w:t>
      </w:r>
      <w:r w:rsidRPr="00DB0C40">
        <w:rPr>
          <w:rFonts w:asciiTheme="minorHAnsi" w:eastAsia="Calibri Light" w:hAnsiTheme="minorHAnsi" w:cstheme="minorHAnsi"/>
          <w:spacing w:val="1"/>
          <w:sz w:val="22"/>
          <w:szCs w:val="22"/>
        </w:rPr>
        <w:t xml:space="preserve"> </w:t>
      </w:r>
      <w:r w:rsidRPr="00DB0C40">
        <w:rPr>
          <w:rFonts w:asciiTheme="minorHAnsi" w:eastAsia="Calibri Light" w:hAnsiTheme="minorHAnsi" w:cstheme="minorHAnsi"/>
          <w:sz w:val="22"/>
          <w:szCs w:val="22"/>
        </w:rPr>
        <w:t>rate</w:t>
      </w:r>
      <w:r w:rsidRPr="00DB0C40">
        <w:rPr>
          <w:rFonts w:asciiTheme="minorHAnsi" w:eastAsia="Calibri Light" w:hAnsiTheme="minorHAnsi" w:cstheme="minorHAnsi"/>
          <w:spacing w:val="-2"/>
          <w:sz w:val="22"/>
          <w:szCs w:val="22"/>
        </w:rPr>
        <w:t xml:space="preserve"> </w:t>
      </w:r>
      <w:r w:rsidRPr="00DB0C40">
        <w:rPr>
          <w:rFonts w:asciiTheme="minorHAnsi" w:eastAsia="Calibri Light" w:hAnsiTheme="minorHAnsi" w:cstheme="minorHAnsi"/>
          <w:sz w:val="22"/>
          <w:szCs w:val="22"/>
        </w:rPr>
        <w:t>and</w:t>
      </w:r>
      <w:r w:rsidRPr="00DB0C40">
        <w:rPr>
          <w:rFonts w:asciiTheme="minorHAnsi" w:eastAsia="Calibri Light" w:hAnsiTheme="minorHAnsi" w:cstheme="minorHAnsi"/>
          <w:spacing w:val="-1"/>
          <w:sz w:val="22"/>
          <w:szCs w:val="22"/>
        </w:rPr>
        <w:t xml:space="preserve"> </w:t>
      </w:r>
      <w:r w:rsidRPr="00DB0C40">
        <w:rPr>
          <w:rFonts w:asciiTheme="minorHAnsi" w:eastAsia="Calibri Light" w:hAnsiTheme="minorHAnsi" w:cstheme="minorHAnsi"/>
          <w:sz w:val="22"/>
          <w:szCs w:val="22"/>
        </w:rPr>
        <w:t>lower</w:t>
      </w:r>
      <w:r w:rsidRPr="00DB0C40">
        <w:rPr>
          <w:rFonts w:asciiTheme="minorHAnsi" w:eastAsia="Calibri Light" w:hAnsiTheme="minorHAnsi" w:cstheme="minorHAnsi"/>
          <w:spacing w:val="-1"/>
          <w:sz w:val="22"/>
          <w:szCs w:val="22"/>
        </w:rPr>
        <w:t xml:space="preserve"> </w:t>
      </w:r>
      <w:r w:rsidRPr="00DB0C40">
        <w:rPr>
          <w:rFonts w:asciiTheme="minorHAnsi" w:eastAsia="Calibri Light" w:hAnsiTheme="minorHAnsi" w:cstheme="minorHAnsi"/>
          <w:sz w:val="22"/>
          <w:szCs w:val="22"/>
        </w:rPr>
        <w:t>coverage by collective</w:t>
      </w:r>
      <w:r w:rsidRPr="00DB0C40">
        <w:rPr>
          <w:rFonts w:asciiTheme="minorHAnsi" w:eastAsia="Calibri Light" w:hAnsiTheme="minorHAnsi" w:cstheme="minorHAnsi"/>
          <w:spacing w:val="-1"/>
          <w:sz w:val="22"/>
          <w:szCs w:val="22"/>
        </w:rPr>
        <w:t xml:space="preserve"> </w:t>
      </w:r>
      <w:r w:rsidRPr="00DB0C40">
        <w:rPr>
          <w:rFonts w:asciiTheme="minorHAnsi" w:eastAsia="Calibri Light" w:hAnsiTheme="minorHAnsi" w:cstheme="minorHAnsi"/>
          <w:sz w:val="22"/>
          <w:szCs w:val="22"/>
        </w:rPr>
        <w:t>agreements.</w:t>
      </w:r>
    </w:p>
    <w:p w14:paraId="0BF054AC" w14:textId="165DCF7A" w:rsidR="002557B7" w:rsidRDefault="002557B7" w:rsidP="002557B7">
      <w:pPr>
        <w:widowControl w:val="0"/>
        <w:autoSpaceDE w:val="0"/>
        <w:autoSpaceDN w:val="0"/>
        <w:spacing w:before="118" w:line="259" w:lineRule="auto"/>
        <w:ind w:right="156"/>
        <w:jc w:val="both"/>
        <w:rPr>
          <w:rFonts w:asciiTheme="minorHAnsi" w:eastAsia="Calibri Light" w:hAnsiTheme="minorHAnsi" w:cstheme="minorHAnsi"/>
          <w:sz w:val="22"/>
          <w:szCs w:val="22"/>
        </w:rPr>
      </w:pPr>
      <w:r w:rsidRPr="00DB0C40">
        <w:rPr>
          <w:rFonts w:asciiTheme="minorHAnsi" w:eastAsia="Calibri Light" w:hAnsiTheme="minorHAnsi" w:cstheme="minorHAnsi"/>
          <w:spacing w:val="-1"/>
          <w:sz w:val="22"/>
          <w:szCs w:val="22"/>
        </w:rPr>
        <w:t>Part‐time</w:t>
      </w:r>
      <w:r w:rsidRPr="00DB0C40">
        <w:rPr>
          <w:rFonts w:asciiTheme="minorHAnsi" w:eastAsia="Calibri Light" w:hAnsiTheme="minorHAnsi" w:cstheme="minorHAnsi"/>
          <w:spacing w:val="-13"/>
          <w:sz w:val="22"/>
          <w:szCs w:val="22"/>
        </w:rPr>
        <w:t xml:space="preserve"> </w:t>
      </w:r>
      <w:r w:rsidRPr="00DB0C40">
        <w:rPr>
          <w:rFonts w:asciiTheme="minorHAnsi" w:eastAsia="Calibri Light" w:hAnsiTheme="minorHAnsi" w:cstheme="minorHAnsi"/>
          <w:spacing w:val="-1"/>
          <w:sz w:val="22"/>
          <w:szCs w:val="22"/>
        </w:rPr>
        <w:t>and</w:t>
      </w:r>
      <w:r w:rsidRPr="00DB0C40">
        <w:rPr>
          <w:rFonts w:asciiTheme="minorHAnsi" w:eastAsia="Calibri Light" w:hAnsiTheme="minorHAnsi" w:cstheme="minorHAnsi"/>
          <w:spacing w:val="-12"/>
          <w:sz w:val="22"/>
          <w:szCs w:val="22"/>
        </w:rPr>
        <w:t xml:space="preserve"> </w:t>
      </w:r>
      <w:r w:rsidRPr="00DB0C40">
        <w:rPr>
          <w:rFonts w:asciiTheme="minorHAnsi" w:eastAsia="Calibri Light" w:hAnsiTheme="minorHAnsi" w:cstheme="minorHAnsi"/>
          <w:spacing w:val="-1"/>
          <w:sz w:val="22"/>
          <w:szCs w:val="22"/>
        </w:rPr>
        <w:t>temporary</w:t>
      </w:r>
      <w:r w:rsidRPr="00DB0C40">
        <w:rPr>
          <w:rFonts w:asciiTheme="minorHAnsi" w:eastAsia="Calibri Light" w:hAnsiTheme="minorHAnsi" w:cstheme="minorHAnsi"/>
          <w:spacing w:val="-11"/>
          <w:sz w:val="22"/>
          <w:szCs w:val="22"/>
        </w:rPr>
        <w:t xml:space="preserve"> </w:t>
      </w:r>
      <w:r w:rsidRPr="00DB0C40">
        <w:rPr>
          <w:rFonts w:asciiTheme="minorHAnsi" w:eastAsia="Calibri Light" w:hAnsiTheme="minorHAnsi" w:cstheme="minorHAnsi"/>
          <w:spacing w:val="-1"/>
          <w:sz w:val="22"/>
          <w:szCs w:val="22"/>
        </w:rPr>
        <w:t>work</w:t>
      </w:r>
      <w:r w:rsidRPr="00DB0C40">
        <w:rPr>
          <w:rFonts w:asciiTheme="minorHAnsi" w:eastAsia="Calibri Light" w:hAnsiTheme="minorHAnsi" w:cstheme="minorHAnsi"/>
          <w:spacing w:val="-13"/>
          <w:sz w:val="22"/>
          <w:szCs w:val="22"/>
        </w:rPr>
        <w:t xml:space="preserve"> </w:t>
      </w:r>
      <w:r w:rsidRPr="00DB0C40">
        <w:rPr>
          <w:rFonts w:asciiTheme="minorHAnsi" w:eastAsia="Calibri Light" w:hAnsiTheme="minorHAnsi" w:cstheme="minorHAnsi"/>
          <w:spacing w:val="-1"/>
          <w:sz w:val="22"/>
          <w:szCs w:val="22"/>
        </w:rPr>
        <w:t>can</w:t>
      </w:r>
      <w:r w:rsidRPr="00DB0C40">
        <w:rPr>
          <w:rFonts w:asciiTheme="minorHAnsi" w:eastAsia="Calibri Light" w:hAnsiTheme="minorHAnsi" w:cstheme="minorHAnsi"/>
          <w:spacing w:val="-12"/>
          <w:sz w:val="22"/>
          <w:szCs w:val="22"/>
        </w:rPr>
        <w:t xml:space="preserve"> </w:t>
      </w:r>
      <w:r w:rsidRPr="00DB0C40">
        <w:rPr>
          <w:rFonts w:asciiTheme="minorHAnsi" w:eastAsia="Calibri Light" w:hAnsiTheme="minorHAnsi" w:cstheme="minorHAnsi"/>
          <w:spacing w:val="-1"/>
          <w:sz w:val="22"/>
          <w:szCs w:val="22"/>
        </w:rPr>
        <w:t>be</w:t>
      </w:r>
      <w:r w:rsidRPr="00DB0C40">
        <w:rPr>
          <w:rFonts w:asciiTheme="minorHAnsi" w:eastAsia="Calibri Light" w:hAnsiTheme="minorHAnsi" w:cstheme="minorHAnsi"/>
          <w:spacing w:val="-12"/>
          <w:sz w:val="22"/>
          <w:szCs w:val="22"/>
        </w:rPr>
        <w:t xml:space="preserve"> </w:t>
      </w:r>
      <w:r w:rsidRPr="00DB0C40">
        <w:rPr>
          <w:rFonts w:asciiTheme="minorHAnsi" w:eastAsia="Calibri Light" w:hAnsiTheme="minorHAnsi" w:cstheme="minorHAnsi"/>
          <w:spacing w:val="-1"/>
          <w:sz w:val="22"/>
          <w:szCs w:val="22"/>
        </w:rPr>
        <w:t>an</w:t>
      </w:r>
      <w:r w:rsidRPr="00DB0C40">
        <w:rPr>
          <w:rFonts w:asciiTheme="minorHAnsi" w:eastAsia="Calibri Light" w:hAnsiTheme="minorHAnsi" w:cstheme="minorHAnsi"/>
          <w:spacing w:val="-11"/>
          <w:sz w:val="22"/>
          <w:szCs w:val="22"/>
        </w:rPr>
        <w:t xml:space="preserve"> </w:t>
      </w:r>
      <w:r w:rsidRPr="00DB0C40">
        <w:rPr>
          <w:rFonts w:asciiTheme="minorHAnsi" w:eastAsia="Calibri Light" w:hAnsiTheme="minorHAnsi" w:cstheme="minorHAnsi"/>
          <w:spacing w:val="-1"/>
          <w:sz w:val="22"/>
          <w:szCs w:val="22"/>
        </w:rPr>
        <w:t>important</w:t>
      </w:r>
      <w:r w:rsidRPr="00DB0C40">
        <w:rPr>
          <w:rFonts w:asciiTheme="minorHAnsi" w:eastAsia="Calibri Light" w:hAnsiTheme="minorHAnsi" w:cstheme="minorHAnsi"/>
          <w:spacing w:val="-14"/>
          <w:sz w:val="22"/>
          <w:szCs w:val="22"/>
        </w:rPr>
        <w:t xml:space="preserve"> </w:t>
      </w:r>
      <w:r w:rsidRPr="00DB0C40">
        <w:rPr>
          <w:rFonts w:asciiTheme="minorHAnsi" w:eastAsia="Calibri Light" w:hAnsiTheme="minorHAnsi" w:cstheme="minorHAnsi"/>
          <w:sz w:val="22"/>
          <w:szCs w:val="22"/>
        </w:rPr>
        <w:t>means</w:t>
      </w:r>
      <w:r w:rsidRPr="00DB0C40">
        <w:rPr>
          <w:rFonts w:asciiTheme="minorHAnsi" w:eastAsia="Calibri Light" w:hAnsiTheme="minorHAnsi" w:cstheme="minorHAnsi"/>
          <w:spacing w:val="-13"/>
          <w:sz w:val="22"/>
          <w:szCs w:val="22"/>
        </w:rPr>
        <w:t xml:space="preserve"> </w:t>
      </w:r>
      <w:r w:rsidRPr="00DB0C40">
        <w:rPr>
          <w:rFonts w:asciiTheme="minorHAnsi" w:eastAsia="Calibri Light" w:hAnsiTheme="minorHAnsi" w:cstheme="minorHAnsi"/>
          <w:sz w:val="22"/>
          <w:szCs w:val="22"/>
        </w:rPr>
        <w:t>for</w:t>
      </w:r>
      <w:r w:rsidRPr="00DB0C40">
        <w:rPr>
          <w:rFonts w:asciiTheme="minorHAnsi" w:eastAsia="Calibri Light" w:hAnsiTheme="minorHAnsi" w:cstheme="minorHAnsi"/>
          <w:spacing w:val="-12"/>
          <w:sz w:val="22"/>
          <w:szCs w:val="22"/>
        </w:rPr>
        <w:t xml:space="preserve"> </w:t>
      </w:r>
      <w:r w:rsidRPr="00DB0C40">
        <w:rPr>
          <w:rFonts w:asciiTheme="minorHAnsi" w:eastAsia="Calibri Light" w:hAnsiTheme="minorHAnsi" w:cstheme="minorHAnsi"/>
          <w:sz w:val="22"/>
          <w:szCs w:val="22"/>
        </w:rPr>
        <w:t>women</w:t>
      </w:r>
      <w:r w:rsidRPr="00DB0C40">
        <w:rPr>
          <w:rFonts w:asciiTheme="minorHAnsi" w:eastAsia="Calibri Light" w:hAnsiTheme="minorHAnsi" w:cstheme="minorHAnsi"/>
          <w:spacing w:val="-13"/>
          <w:sz w:val="22"/>
          <w:szCs w:val="22"/>
        </w:rPr>
        <w:t xml:space="preserve"> </w:t>
      </w:r>
      <w:r w:rsidRPr="00DB0C40">
        <w:rPr>
          <w:rFonts w:asciiTheme="minorHAnsi" w:eastAsia="Calibri Light" w:hAnsiTheme="minorHAnsi" w:cstheme="minorHAnsi"/>
          <w:sz w:val="22"/>
          <w:szCs w:val="22"/>
        </w:rPr>
        <w:t>to</w:t>
      </w:r>
      <w:r w:rsidRPr="00DB0C40">
        <w:rPr>
          <w:rFonts w:asciiTheme="minorHAnsi" w:eastAsia="Calibri Light" w:hAnsiTheme="minorHAnsi" w:cstheme="minorHAnsi"/>
          <w:spacing w:val="-12"/>
          <w:sz w:val="22"/>
          <w:szCs w:val="22"/>
        </w:rPr>
        <w:t xml:space="preserve"> </w:t>
      </w:r>
      <w:r w:rsidRPr="00DB0C40">
        <w:rPr>
          <w:rFonts w:asciiTheme="minorHAnsi" w:eastAsia="Calibri Light" w:hAnsiTheme="minorHAnsi" w:cstheme="minorHAnsi"/>
          <w:sz w:val="22"/>
          <w:szCs w:val="22"/>
        </w:rPr>
        <w:t>integrate</w:t>
      </w:r>
      <w:r w:rsidRPr="00DB0C40">
        <w:rPr>
          <w:rFonts w:asciiTheme="minorHAnsi" w:eastAsia="Calibri Light" w:hAnsiTheme="minorHAnsi" w:cstheme="minorHAnsi"/>
          <w:spacing w:val="-12"/>
          <w:sz w:val="22"/>
          <w:szCs w:val="22"/>
        </w:rPr>
        <w:t xml:space="preserve"> </w:t>
      </w:r>
      <w:r w:rsidRPr="00DB0C40">
        <w:rPr>
          <w:rFonts w:asciiTheme="minorHAnsi" w:eastAsia="Calibri Light" w:hAnsiTheme="minorHAnsi" w:cstheme="minorHAnsi"/>
          <w:sz w:val="22"/>
          <w:szCs w:val="22"/>
        </w:rPr>
        <w:t>into</w:t>
      </w:r>
      <w:r w:rsidRPr="00DB0C40">
        <w:rPr>
          <w:rFonts w:asciiTheme="minorHAnsi" w:eastAsia="Calibri Light" w:hAnsiTheme="minorHAnsi" w:cstheme="minorHAnsi"/>
          <w:spacing w:val="-12"/>
          <w:sz w:val="22"/>
          <w:szCs w:val="22"/>
        </w:rPr>
        <w:t xml:space="preserve"> </w:t>
      </w:r>
      <w:r w:rsidRPr="00DB0C40">
        <w:rPr>
          <w:rFonts w:asciiTheme="minorHAnsi" w:eastAsia="Calibri Light" w:hAnsiTheme="minorHAnsi" w:cstheme="minorHAnsi"/>
          <w:sz w:val="22"/>
          <w:szCs w:val="22"/>
        </w:rPr>
        <w:t>the</w:t>
      </w:r>
      <w:r w:rsidRPr="00DB0C40">
        <w:rPr>
          <w:rFonts w:asciiTheme="minorHAnsi" w:eastAsia="Calibri Light" w:hAnsiTheme="minorHAnsi" w:cstheme="minorHAnsi"/>
          <w:spacing w:val="-11"/>
          <w:sz w:val="22"/>
          <w:szCs w:val="22"/>
        </w:rPr>
        <w:t xml:space="preserve"> </w:t>
      </w:r>
      <w:r w:rsidRPr="00DB0C40">
        <w:rPr>
          <w:rFonts w:asciiTheme="minorHAnsi" w:eastAsia="Calibri Light" w:hAnsiTheme="minorHAnsi" w:cstheme="minorHAnsi"/>
          <w:sz w:val="22"/>
          <w:szCs w:val="22"/>
        </w:rPr>
        <w:t>labour</w:t>
      </w:r>
      <w:r w:rsidRPr="00DB0C40">
        <w:rPr>
          <w:rFonts w:asciiTheme="minorHAnsi" w:eastAsia="Calibri Light" w:hAnsiTheme="minorHAnsi" w:cstheme="minorHAnsi"/>
          <w:spacing w:val="-14"/>
          <w:sz w:val="22"/>
          <w:szCs w:val="22"/>
        </w:rPr>
        <w:t xml:space="preserve"> </w:t>
      </w:r>
      <w:r w:rsidRPr="00DB0C40">
        <w:rPr>
          <w:rFonts w:asciiTheme="minorHAnsi" w:eastAsia="Calibri Light" w:hAnsiTheme="minorHAnsi" w:cstheme="minorHAnsi"/>
          <w:sz w:val="22"/>
          <w:szCs w:val="22"/>
        </w:rPr>
        <w:t>force.</w:t>
      </w:r>
      <w:r w:rsidRPr="00DB0C40">
        <w:rPr>
          <w:rFonts w:asciiTheme="minorHAnsi" w:eastAsia="Calibri Light" w:hAnsiTheme="minorHAnsi" w:cstheme="minorHAnsi"/>
          <w:spacing w:val="1"/>
          <w:sz w:val="22"/>
          <w:szCs w:val="22"/>
        </w:rPr>
        <w:t xml:space="preserve"> </w:t>
      </w:r>
      <w:r w:rsidRPr="00DB0C40">
        <w:rPr>
          <w:rFonts w:asciiTheme="minorHAnsi" w:eastAsia="Calibri Light" w:hAnsiTheme="minorHAnsi" w:cstheme="minorHAnsi"/>
          <w:sz w:val="22"/>
          <w:szCs w:val="22"/>
        </w:rPr>
        <w:t>However,</w:t>
      </w:r>
      <w:r w:rsidRPr="00DB0C40">
        <w:rPr>
          <w:rFonts w:asciiTheme="minorHAnsi" w:eastAsia="Calibri Light" w:hAnsiTheme="minorHAnsi" w:cstheme="minorHAnsi"/>
          <w:spacing w:val="-9"/>
          <w:sz w:val="22"/>
          <w:szCs w:val="22"/>
        </w:rPr>
        <w:t xml:space="preserve"> </w:t>
      </w:r>
      <w:r w:rsidRPr="00DB0C40">
        <w:rPr>
          <w:rFonts w:asciiTheme="minorHAnsi" w:eastAsia="Calibri Light" w:hAnsiTheme="minorHAnsi" w:cstheme="minorHAnsi"/>
          <w:sz w:val="22"/>
          <w:szCs w:val="22"/>
        </w:rPr>
        <w:t>especially</w:t>
      </w:r>
      <w:r w:rsidRPr="00DB0C40">
        <w:rPr>
          <w:rFonts w:asciiTheme="minorHAnsi" w:eastAsia="Calibri Light" w:hAnsiTheme="minorHAnsi" w:cstheme="minorHAnsi"/>
          <w:spacing w:val="-7"/>
          <w:sz w:val="22"/>
          <w:szCs w:val="22"/>
        </w:rPr>
        <w:t xml:space="preserve"> </w:t>
      </w:r>
      <w:r w:rsidRPr="00DB0C40">
        <w:rPr>
          <w:rFonts w:asciiTheme="minorHAnsi" w:eastAsia="Calibri Light" w:hAnsiTheme="minorHAnsi" w:cstheme="minorHAnsi"/>
          <w:sz w:val="22"/>
          <w:szCs w:val="22"/>
        </w:rPr>
        <w:t>when</w:t>
      </w:r>
      <w:r w:rsidRPr="00DB0C40">
        <w:rPr>
          <w:rFonts w:asciiTheme="minorHAnsi" w:eastAsia="Calibri Light" w:hAnsiTheme="minorHAnsi" w:cstheme="minorHAnsi"/>
          <w:spacing w:val="-8"/>
          <w:sz w:val="22"/>
          <w:szCs w:val="22"/>
        </w:rPr>
        <w:t xml:space="preserve"> </w:t>
      </w:r>
      <w:r w:rsidRPr="00DB0C40">
        <w:rPr>
          <w:rFonts w:asciiTheme="minorHAnsi" w:eastAsia="Calibri Light" w:hAnsiTheme="minorHAnsi" w:cstheme="minorHAnsi"/>
          <w:sz w:val="22"/>
          <w:szCs w:val="22"/>
        </w:rPr>
        <w:t>involuntary,</w:t>
      </w:r>
      <w:r w:rsidRPr="00DB0C40">
        <w:rPr>
          <w:rFonts w:asciiTheme="minorHAnsi" w:eastAsia="Calibri Light" w:hAnsiTheme="minorHAnsi" w:cstheme="minorHAnsi"/>
          <w:spacing w:val="-9"/>
          <w:sz w:val="22"/>
          <w:szCs w:val="22"/>
        </w:rPr>
        <w:t xml:space="preserve"> </w:t>
      </w:r>
      <w:r w:rsidRPr="00DB0C40">
        <w:rPr>
          <w:rFonts w:asciiTheme="minorHAnsi" w:eastAsia="Calibri Light" w:hAnsiTheme="minorHAnsi" w:cstheme="minorHAnsi"/>
          <w:sz w:val="22"/>
          <w:szCs w:val="22"/>
        </w:rPr>
        <w:t>these</w:t>
      </w:r>
      <w:r w:rsidRPr="00DB0C40">
        <w:rPr>
          <w:rFonts w:asciiTheme="minorHAnsi" w:eastAsia="Calibri Light" w:hAnsiTheme="minorHAnsi" w:cstheme="minorHAnsi"/>
          <w:spacing w:val="-9"/>
          <w:sz w:val="22"/>
          <w:szCs w:val="22"/>
        </w:rPr>
        <w:t xml:space="preserve"> </w:t>
      </w:r>
      <w:r w:rsidRPr="00DB0C40">
        <w:rPr>
          <w:rFonts w:asciiTheme="minorHAnsi" w:eastAsia="Calibri Light" w:hAnsiTheme="minorHAnsi" w:cstheme="minorHAnsi"/>
          <w:sz w:val="22"/>
          <w:szCs w:val="22"/>
        </w:rPr>
        <w:t>forms</w:t>
      </w:r>
      <w:r w:rsidRPr="00DB0C40">
        <w:rPr>
          <w:rFonts w:asciiTheme="minorHAnsi" w:eastAsia="Calibri Light" w:hAnsiTheme="minorHAnsi" w:cstheme="minorHAnsi"/>
          <w:spacing w:val="-8"/>
          <w:sz w:val="22"/>
          <w:szCs w:val="22"/>
        </w:rPr>
        <w:t xml:space="preserve"> </w:t>
      </w:r>
      <w:r w:rsidRPr="00DB0C40">
        <w:rPr>
          <w:rFonts w:asciiTheme="minorHAnsi" w:eastAsia="Calibri Light" w:hAnsiTheme="minorHAnsi" w:cstheme="minorHAnsi"/>
          <w:sz w:val="22"/>
          <w:szCs w:val="22"/>
        </w:rPr>
        <w:t>of</w:t>
      </w:r>
      <w:r w:rsidRPr="00DB0C40">
        <w:rPr>
          <w:rFonts w:asciiTheme="minorHAnsi" w:eastAsia="Calibri Light" w:hAnsiTheme="minorHAnsi" w:cstheme="minorHAnsi"/>
          <w:spacing w:val="-7"/>
          <w:sz w:val="22"/>
          <w:szCs w:val="22"/>
        </w:rPr>
        <w:t xml:space="preserve"> </w:t>
      </w:r>
      <w:r w:rsidRPr="00DB0C40">
        <w:rPr>
          <w:rFonts w:asciiTheme="minorHAnsi" w:eastAsia="Calibri Light" w:hAnsiTheme="minorHAnsi" w:cstheme="minorHAnsi"/>
          <w:sz w:val="22"/>
          <w:szCs w:val="22"/>
        </w:rPr>
        <w:t>work</w:t>
      </w:r>
      <w:r w:rsidRPr="00DB0C40">
        <w:rPr>
          <w:rFonts w:asciiTheme="minorHAnsi" w:eastAsia="Calibri Light" w:hAnsiTheme="minorHAnsi" w:cstheme="minorHAnsi"/>
          <w:spacing w:val="-8"/>
          <w:sz w:val="22"/>
          <w:szCs w:val="22"/>
        </w:rPr>
        <w:t xml:space="preserve"> </w:t>
      </w:r>
      <w:r w:rsidRPr="00DB0C40">
        <w:rPr>
          <w:rFonts w:asciiTheme="minorHAnsi" w:eastAsia="Calibri Light" w:hAnsiTheme="minorHAnsi" w:cstheme="minorHAnsi"/>
          <w:sz w:val="22"/>
          <w:szCs w:val="22"/>
        </w:rPr>
        <w:t>may</w:t>
      </w:r>
      <w:r w:rsidRPr="00DB0C40">
        <w:rPr>
          <w:rFonts w:asciiTheme="minorHAnsi" w:eastAsia="Calibri Light" w:hAnsiTheme="minorHAnsi" w:cstheme="minorHAnsi"/>
          <w:spacing w:val="-7"/>
          <w:sz w:val="22"/>
          <w:szCs w:val="22"/>
        </w:rPr>
        <w:t xml:space="preserve"> </w:t>
      </w:r>
      <w:r w:rsidRPr="00DB0C40">
        <w:rPr>
          <w:rFonts w:asciiTheme="minorHAnsi" w:eastAsia="Calibri Light" w:hAnsiTheme="minorHAnsi" w:cstheme="minorHAnsi"/>
          <w:sz w:val="22"/>
          <w:szCs w:val="22"/>
        </w:rPr>
        <w:t>be</w:t>
      </w:r>
      <w:r w:rsidRPr="00DB0C40">
        <w:rPr>
          <w:rFonts w:asciiTheme="minorHAnsi" w:eastAsia="Calibri Light" w:hAnsiTheme="minorHAnsi" w:cstheme="minorHAnsi"/>
          <w:spacing w:val="-8"/>
          <w:sz w:val="22"/>
          <w:szCs w:val="22"/>
        </w:rPr>
        <w:t xml:space="preserve"> </w:t>
      </w:r>
      <w:r w:rsidRPr="00DB0C40">
        <w:rPr>
          <w:rFonts w:asciiTheme="minorHAnsi" w:eastAsia="Calibri Light" w:hAnsiTheme="minorHAnsi" w:cstheme="minorHAnsi"/>
          <w:sz w:val="22"/>
          <w:szCs w:val="22"/>
        </w:rPr>
        <w:t>associated</w:t>
      </w:r>
      <w:r w:rsidRPr="00DB0C40">
        <w:rPr>
          <w:rFonts w:asciiTheme="minorHAnsi" w:eastAsia="Calibri Light" w:hAnsiTheme="minorHAnsi" w:cstheme="minorHAnsi"/>
          <w:spacing w:val="-8"/>
          <w:sz w:val="22"/>
          <w:szCs w:val="22"/>
        </w:rPr>
        <w:t xml:space="preserve"> </w:t>
      </w:r>
      <w:r w:rsidRPr="00DB0C40">
        <w:rPr>
          <w:rFonts w:asciiTheme="minorHAnsi" w:eastAsia="Calibri Light" w:hAnsiTheme="minorHAnsi" w:cstheme="minorHAnsi"/>
          <w:sz w:val="22"/>
          <w:szCs w:val="22"/>
        </w:rPr>
        <w:t>with</w:t>
      </w:r>
      <w:r w:rsidRPr="00DB0C40">
        <w:rPr>
          <w:rFonts w:asciiTheme="minorHAnsi" w:eastAsia="Calibri Light" w:hAnsiTheme="minorHAnsi" w:cstheme="minorHAnsi"/>
          <w:spacing w:val="-9"/>
          <w:sz w:val="22"/>
          <w:szCs w:val="22"/>
        </w:rPr>
        <w:t xml:space="preserve"> </w:t>
      </w:r>
      <w:r w:rsidRPr="00DB0C40">
        <w:rPr>
          <w:rFonts w:asciiTheme="minorHAnsi" w:eastAsia="Calibri Light" w:hAnsiTheme="minorHAnsi" w:cstheme="minorHAnsi"/>
          <w:sz w:val="22"/>
          <w:szCs w:val="22"/>
        </w:rPr>
        <w:t>lower</w:t>
      </w:r>
      <w:r w:rsidRPr="00DB0C40">
        <w:rPr>
          <w:rFonts w:asciiTheme="minorHAnsi" w:eastAsia="Calibri Light" w:hAnsiTheme="minorHAnsi" w:cstheme="minorHAnsi"/>
          <w:spacing w:val="-8"/>
          <w:sz w:val="22"/>
          <w:szCs w:val="22"/>
        </w:rPr>
        <w:t xml:space="preserve"> </w:t>
      </w:r>
      <w:r w:rsidRPr="00DB0C40">
        <w:rPr>
          <w:rFonts w:asciiTheme="minorHAnsi" w:eastAsia="Calibri Light" w:hAnsiTheme="minorHAnsi" w:cstheme="minorHAnsi"/>
          <w:sz w:val="22"/>
          <w:szCs w:val="22"/>
        </w:rPr>
        <w:t>hourly</w:t>
      </w:r>
      <w:r w:rsidRPr="00DB0C40">
        <w:rPr>
          <w:rFonts w:asciiTheme="minorHAnsi" w:eastAsia="Calibri Light" w:hAnsiTheme="minorHAnsi" w:cstheme="minorHAnsi"/>
          <w:spacing w:val="-9"/>
          <w:sz w:val="22"/>
          <w:szCs w:val="22"/>
        </w:rPr>
        <w:t xml:space="preserve"> </w:t>
      </w:r>
      <w:r w:rsidRPr="00DB0C40">
        <w:rPr>
          <w:rFonts w:asciiTheme="minorHAnsi" w:eastAsia="Calibri Light" w:hAnsiTheme="minorHAnsi" w:cstheme="minorHAnsi"/>
          <w:sz w:val="22"/>
          <w:szCs w:val="22"/>
        </w:rPr>
        <w:t>wages</w:t>
      </w:r>
      <w:r w:rsidRPr="00DB0C40">
        <w:rPr>
          <w:rFonts w:asciiTheme="minorHAnsi" w:eastAsia="Calibri Light" w:hAnsiTheme="minorHAnsi" w:cstheme="minorHAnsi"/>
          <w:spacing w:val="-47"/>
          <w:sz w:val="22"/>
          <w:szCs w:val="22"/>
        </w:rPr>
        <w:t xml:space="preserve"> </w:t>
      </w:r>
      <w:r w:rsidRPr="00DB0C40">
        <w:rPr>
          <w:rFonts w:asciiTheme="minorHAnsi" w:eastAsia="Calibri Light" w:hAnsiTheme="minorHAnsi" w:cstheme="minorHAnsi"/>
          <w:sz w:val="22"/>
          <w:szCs w:val="22"/>
        </w:rPr>
        <w:t>than full‐time work, lower social security benefits and fewer training opportunities, which jeopardises</w:t>
      </w:r>
      <w:r w:rsidRPr="00DB0C40">
        <w:rPr>
          <w:rFonts w:asciiTheme="minorHAnsi" w:eastAsia="Calibri Light" w:hAnsiTheme="minorHAnsi" w:cstheme="minorHAnsi"/>
          <w:spacing w:val="1"/>
          <w:sz w:val="22"/>
          <w:szCs w:val="22"/>
        </w:rPr>
        <w:t xml:space="preserve"> </w:t>
      </w:r>
      <w:r w:rsidRPr="00DB0C40">
        <w:rPr>
          <w:rFonts w:asciiTheme="minorHAnsi" w:eastAsia="Calibri Light" w:hAnsiTheme="minorHAnsi" w:cstheme="minorHAnsi"/>
          <w:sz w:val="22"/>
          <w:szCs w:val="22"/>
        </w:rPr>
        <w:t>women’s</w:t>
      </w:r>
      <w:r w:rsidRPr="00DB0C40">
        <w:rPr>
          <w:rFonts w:asciiTheme="minorHAnsi" w:eastAsia="Calibri Light" w:hAnsiTheme="minorHAnsi" w:cstheme="minorHAnsi"/>
          <w:spacing w:val="-2"/>
          <w:sz w:val="22"/>
          <w:szCs w:val="22"/>
        </w:rPr>
        <w:t xml:space="preserve"> </w:t>
      </w:r>
      <w:r w:rsidRPr="00DB0C40">
        <w:rPr>
          <w:rFonts w:asciiTheme="minorHAnsi" w:eastAsia="Calibri Light" w:hAnsiTheme="minorHAnsi" w:cstheme="minorHAnsi"/>
          <w:sz w:val="22"/>
          <w:szCs w:val="22"/>
        </w:rPr>
        <w:t>chances to obtain</w:t>
      </w:r>
      <w:r w:rsidRPr="00DB0C40">
        <w:rPr>
          <w:rFonts w:asciiTheme="minorHAnsi" w:eastAsia="Calibri Light" w:hAnsiTheme="minorHAnsi" w:cstheme="minorHAnsi"/>
          <w:spacing w:val="-1"/>
          <w:sz w:val="22"/>
          <w:szCs w:val="22"/>
        </w:rPr>
        <w:t xml:space="preserve"> </w:t>
      </w:r>
      <w:r w:rsidRPr="00DB0C40">
        <w:rPr>
          <w:rFonts w:asciiTheme="minorHAnsi" w:eastAsia="Calibri Light" w:hAnsiTheme="minorHAnsi" w:cstheme="minorHAnsi"/>
          <w:sz w:val="22"/>
          <w:szCs w:val="22"/>
        </w:rPr>
        <w:t>better‐quality</w:t>
      </w:r>
      <w:r w:rsidRPr="00DB0C40">
        <w:rPr>
          <w:rFonts w:asciiTheme="minorHAnsi" w:eastAsia="Calibri Light" w:hAnsiTheme="minorHAnsi" w:cstheme="minorHAnsi"/>
          <w:spacing w:val="-1"/>
          <w:sz w:val="22"/>
          <w:szCs w:val="22"/>
        </w:rPr>
        <w:t xml:space="preserve"> </w:t>
      </w:r>
      <w:r w:rsidRPr="00DB0C40">
        <w:rPr>
          <w:rFonts w:asciiTheme="minorHAnsi" w:eastAsia="Calibri Light" w:hAnsiTheme="minorHAnsi" w:cstheme="minorHAnsi"/>
          <w:sz w:val="22"/>
          <w:szCs w:val="22"/>
        </w:rPr>
        <w:t>jobs.</w:t>
      </w:r>
    </w:p>
    <w:p w14:paraId="27ED32D8" w14:textId="51C452CC" w:rsidR="00A45334" w:rsidRDefault="00A45334" w:rsidP="002557B7">
      <w:pPr>
        <w:widowControl w:val="0"/>
        <w:autoSpaceDE w:val="0"/>
        <w:autoSpaceDN w:val="0"/>
        <w:spacing w:before="118" w:line="259" w:lineRule="auto"/>
        <w:ind w:right="156"/>
        <w:jc w:val="both"/>
        <w:rPr>
          <w:rFonts w:asciiTheme="minorHAnsi" w:eastAsia="Calibri Light" w:hAnsiTheme="minorHAnsi" w:cstheme="minorHAnsi"/>
          <w:sz w:val="22"/>
          <w:szCs w:val="22"/>
        </w:rPr>
      </w:pPr>
    </w:p>
    <w:p w14:paraId="73A93D24" w14:textId="3E9B7089" w:rsidR="00A45334" w:rsidRDefault="00A45334" w:rsidP="002557B7">
      <w:pPr>
        <w:widowControl w:val="0"/>
        <w:autoSpaceDE w:val="0"/>
        <w:autoSpaceDN w:val="0"/>
        <w:spacing w:before="118" w:line="259" w:lineRule="auto"/>
        <w:ind w:right="156"/>
        <w:jc w:val="both"/>
        <w:rPr>
          <w:rFonts w:asciiTheme="minorHAnsi" w:eastAsia="Calibri Light" w:hAnsiTheme="minorHAnsi" w:cstheme="minorHAnsi"/>
          <w:sz w:val="22"/>
          <w:szCs w:val="22"/>
        </w:rPr>
      </w:pPr>
    </w:p>
    <w:p w14:paraId="6C390551" w14:textId="628DF48D" w:rsidR="00A45334" w:rsidRDefault="00A45334" w:rsidP="002557B7">
      <w:pPr>
        <w:widowControl w:val="0"/>
        <w:autoSpaceDE w:val="0"/>
        <w:autoSpaceDN w:val="0"/>
        <w:spacing w:before="118" w:line="259" w:lineRule="auto"/>
        <w:ind w:right="156"/>
        <w:jc w:val="both"/>
        <w:rPr>
          <w:rFonts w:asciiTheme="minorHAnsi" w:eastAsia="Calibri Light" w:hAnsiTheme="minorHAnsi" w:cstheme="minorHAnsi"/>
          <w:sz w:val="22"/>
          <w:szCs w:val="22"/>
        </w:rPr>
      </w:pPr>
    </w:p>
    <w:p w14:paraId="7AEBB670" w14:textId="77777777" w:rsidR="00A45334" w:rsidRPr="00DB0C40" w:rsidRDefault="00A45334" w:rsidP="002557B7">
      <w:pPr>
        <w:widowControl w:val="0"/>
        <w:autoSpaceDE w:val="0"/>
        <w:autoSpaceDN w:val="0"/>
        <w:spacing w:before="118" w:line="259" w:lineRule="auto"/>
        <w:ind w:right="156"/>
        <w:jc w:val="both"/>
        <w:rPr>
          <w:rFonts w:asciiTheme="minorHAnsi" w:eastAsia="Calibri Light" w:hAnsiTheme="minorHAnsi" w:cstheme="minorHAnsi"/>
          <w:sz w:val="22"/>
          <w:szCs w:val="22"/>
        </w:rPr>
      </w:pPr>
    </w:p>
    <w:p w14:paraId="1DECFC2A" w14:textId="77777777" w:rsidR="002557B7" w:rsidRPr="00DB0C40" w:rsidRDefault="002557B7" w:rsidP="002557B7">
      <w:pPr>
        <w:widowControl w:val="0"/>
        <w:autoSpaceDE w:val="0"/>
        <w:autoSpaceDN w:val="0"/>
        <w:spacing w:before="4"/>
        <w:rPr>
          <w:rFonts w:asciiTheme="minorHAnsi" w:eastAsia="Calibri Light" w:hAnsiTheme="minorHAnsi" w:cstheme="minorHAnsi"/>
          <w:sz w:val="22"/>
          <w:szCs w:val="22"/>
        </w:rPr>
      </w:pPr>
    </w:p>
    <w:p w14:paraId="27929B25" w14:textId="3C75A056" w:rsidR="002557B7" w:rsidRPr="00DB0C40" w:rsidRDefault="002557B7" w:rsidP="002557B7">
      <w:pPr>
        <w:widowControl w:val="0"/>
        <w:autoSpaceDE w:val="0"/>
        <w:autoSpaceDN w:val="0"/>
        <w:ind w:left="971" w:right="1006"/>
        <w:jc w:val="center"/>
        <w:rPr>
          <w:rFonts w:asciiTheme="minorHAnsi" w:eastAsia="Calibri Light" w:hAnsiTheme="minorHAnsi" w:cstheme="minorHAnsi"/>
          <w:b/>
          <w:sz w:val="22"/>
          <w:szCs w:val="22"/>
        </w:rPr>
      </w:pPr>
      <w:bookmarkStart w:id="80" w:name="_Hlk107137502"/>
      <w:r w:rsidRPr="00DB0C40">
        <w:rPr>
          <w:rFonts w:asciiTheme="minorHAnsi" w:eastAsia="Calibri Light" w:hAnsiTheme="minorHAnsi" w:cstheme="minorHAnsi"/>
          <w:b/>
          <w:sz w:val="22"/>
          <w:szCs w:val="22"/>
        </w:rPr>
        <w:t>Figure</w:t>
      </w:r>
      <w:r w:rsidR="00044DE2" w:rsidRPr="00DB0C40">
        <w:rPr>
          <w:rFonts w:asciiTheme="minorHAnsi" w:eastAsia="Calibri Light" w:hAnsiTheme="minorHAnsi" w:cstheme="minorHAnsi"/>
          <w:b/>
          <w:sz w:val="22"/>
          <w:szCs w:val="22"/>
        </w:rPr>
        <w:t xml:space="preserve"> 3</w:t>
      </w:r>
      <w:r w:rsidRPr="00DB0C40">
        <w:rPr>
          <w:rFonts w:asciiTheme="minorHAnsi" w:eastAsia="Calibri Light" w:hAnsiTheme="minorHAnsi" w:cstheme="minorHAnsi"/>
          <w:b/>
          <w:sz w:val="22"/>
          <w:szCs w:val="22"/>
        </w:rPr>
        <w:t>.</w:t>
      </w:r>
      <w:r w:rsidRPr="00DB0C40">
        <w:rPr>
          <w:rFonts w:asciiTheme="minorHAnsi" w:eastAsia="Calibri Light" w:hAnsiTheme="minorHAnsi" w:cstheme="minorHAnsi"/>
          <w:b/>
          <w:spacing w:val="-4"/>
          <w:sz w:val="22"/>
          <w:szCs w:val="22"/>
        </w:rPr>
        <w:t xml:space="preserve"> </w:t>
      </w:r>
      <w:r w:rsidRPr="00DB0C40">
        <w:rPr>
          <w:rFonts w:asciiTheme="minorHAnsi" w:eastAsia="Calibri Light" w:hAnsiTheme="minorHAnsi" w:cstheme="minorHAnsi"/>
          <w:b/>
          <w:sz w:val="22"/>
          <w:szCs w:val="22"/>
        </w:rPr>
        <w:t>The</w:t>
      </w:r>
      <w:r w:rsidRPr="00DB0C40">
        <w:rPr>
          <w:rFonts w:asciiTheme="minorHAnsi" w:eastAsia="Calibri Light" w:hAnsiTheme="minorHAnsi" w:cstheme="minorHAnsi"/>
          <w:b/>
          <w:spacing w:val="-4"/>
          <w:sz w:val="22"/>
          <w:szCs w:val="22"/>
        </w:rPr>
        <w:t xml:space="preserve"> </w:t>
      </w:r>
      <w:r w:rsidRPr="00DB0C40">
        <w:rPr>
          <w:rFonts w:asciiTheme="minorHAnsi" w:eastAsia="Calibri Light" w:hAnsiTheme="minorHAnsi" w:cstheme="minorHAnsi"/>
          <w:b/>
          <w:sz w:val="22"/>
          <w:szCs w:val="22"/>
        </w:rPr>
        <w:t>gender</w:t>
      </w:r>
      <w:r w:rsidRPr="00DB0C40">
        <w:rPr>
          <w:rFonts w:asciiTheme="minorHAnsi" w:eastAsia="Calibri Light" w:hAnsiTheme="minorHAnsi" w:cstheme="minorHAnsi"/>
          <w:b/>
          <w:spacing w:val="-4"/>
          <w:sz w:val="22"/>
          <w:szCs w:val="22"/>
        </w:rPr>
        <w:t xml:space="preserve"> </w:t>
      </w:r>
      <w:r w:rsidRPr="00DB0C40">
        <w:rPr>
          <w:rFonts w:asciiTheme="minorHAnsi" w:eastAsia="Calibri Light" w:hAnsiTheme="minorHAnsi" w:cstheme="minorHAnsi"/>
          <w:b/>
          <w:sz w:val="22"/>
          <w:szCs w:val="22"/>
        </w:rPr>
        <w:t>gap</w:t>
      </w:r>
      <w:r w:rsidRPr="00DB0C40">
        <w:rPr>
          <w:rFonts w:asciiTheme="minorHAnsi" w:eastAsia="Calibri Light" w:hAnsiTheme="minorHAnsi" w:cstheme="minorHAnsi"/>
          <w:b/>
          <w:spacing w:val="-5"/>
          <w:sz w:val="22"/>
          <w:szCs w:val="22"/>
        </w:rPr>
        <w:t xml:space="preserve"> </w:t>
      </w:r>
      <w:r w:rsidRPr="00DB0C40">
        <w:rPr>
          <w:rFonts w:asciiTheme="minorHAnsi" w:eastAsia="Calibri Light" w:hAnsiTheme="minorHAnsi" w:cstheme="minorHAnsi"/>
          <w:b/>
          <w:sz w:val="22"/>
          <w:szCs w:val="22"/>
        </w:rPr>
        <w:t>in</w:t>
      </w:r>
      <w:r w:rsidRPr="00DB0C40">
        <w:rPr>
          <w:rFonts w:asciiTheme="minorHAnsi" w:eastAsia="Calibri Light" w:hAnsiTheme="minorHAnsi" w:cstheme="minorHAnsi"/>
          <w:b/>
          <w:spacing w:val="-4"/>
          <w:sz w:val="22"/>
          <w:szCs w:val="22"/>
        </w:rPr>
        <w:t xml:space="preserve"> </w:t>
      </w:r>
      <w:r w:rsidRPr="00DB0C40">
        <w:rPr>
          <w:rFonts w:asciiTheme="minorHAnsi" w:eastAsia="Calibri Light" w:hAnsiTheme="minorHAnsi" w:cstheme="minorHAnsi"/>
          <w:b/>
          <w:sz w:val="22"/>
          <w:szCs w:val="22"/>
        </w:rPr>
        <w:t>part-time</w:t>
      </w:r>
      <w:r w:rsidRPr="00DB0C40">
        <w:rPr>
          <w:rFonts w:asciiTheme="minorHAnsi" w:eastAsia="Calibri Light" w:hAnsiTheme="minorHAnsi" w:cstheme="minorHAnsi"/>
          <w:b/>
          <w:spacing w:val="-6"/>
          <w:sz w:val="22"/>
          <w:szCs w:val="22"/>
        </w:rPr>
        <w:t xml:space="preserve"> </w:t>
      </w:r>
      <w:r w:rsidRPr="00DB0C40">
        <w:rPr>
          <w:rFonts w:asciiTheme="minorHAnsi" w:eastAsia="Calibri Light" w:hAnsiTheme="minorHAnsi" w:cstheme="minorHAnsi"/>
          <w:b/>
          <w:sz w:val="22"/>
          <w:szCs w:val="22"/>
        </w:rPr>
        <w:t>work</w:t>
      </w:r>
      <w:r w:rsidRPr="00DB0C40">
        <w:rPr>
          <w:rFonts w:asciiTheme="minorHAnsi" w:eastAsia="Calibri Light" w:hAnsiTheme="minorHAnsi" w:cstheme="minorHAnsi"/>
          <w:b/>
          <w:spacing w:val="-4"/>
          <w:sz w:val="22"/>
          <w:szCs w:val="22"/>
        </w:rPr>
        <w:t xml:space="preserve"> </w:t>
      </w:r>
      <w:r w:rsidRPr="00DB0C40">
        <w:rPr>
          <w:rFonts w:asciiTheme="minorHAnsi" w:eastAsia="Calibri Light" w:hAnsiTheme="minorHAnsi" w:cstheme="minorHAnsi"/>
          <w:b/>
          <w:sz w:val="22"/>
          <w:szCs w:val="22"/>
        </w:rPr>
        <w:t>remains</w:t>
      </w:r>
      <w:r w:rsidRPr="00DB0C40">
        <w:rPr>
          <w:rFonts w:asciiTheme="minorHAnsi" w:eastAsia="Calibri Light" w:hAnsiTheme="minorHAnsi" w:cstheme="minorHAnsi"/>
          <w:b/>
          <w:spacing w:val="-4"/>
          <w:sz w:val="22"/>
          <w:szCs w:val="22"/>
        </w:rPr>
        <w:t xml:space="preserve"> </w:t>
      </w:r>
      <w:r w:rsidRPr="00DB0C40">
        <w:rPr>
          <w:rFonts w:asciiTheme="minorHAnsi" w:eastAsia="Calibri Light" w:hAnsiTheme="minorHAnsi" w:cstheme="minorHAnsi"/>
          <w:b/>
          <w:sz w:val="22"/>
          <w:szCs w:val="22"/>
        </w:rPr>
        <w:t>large</w:t>
      </w:r>
      <w:r w:rsidR="00044DE2" w:rsidRPr="00DB0C40">
        <w:rPr>
          <w:rFonts w:asciiTheme="minorHAnsi" w:eastAsia="Calibri Light" w:hAnsiTheme="minorHAnsi" w:cstheme="minorHAnsi"/>
          <w:b/>
          <w:sz w:val="22"/>
          <w:szCs w:val="22"/>
        </w:rPr>
        <w:t xml:space="preserve"> in G20 countries</w:t>
      </w:r>
      <w:r w:rsidRPr="00DB0C40">
        <w:rPr>
          <w:rFonts w:asciiTheme="minorHAnsi" w:eastAsia="Calibri Light" w:hAnsiTheme="minorHAnsi" w:cstheme="minorHAnsi"/>
          <w:b/>
          <w:sz w:val="22"/>
          <w:szCs w:val="22"/>
        </w:rPr>
        <w:t>,</w:t>
      </w:r>
      <w:r w:rsidRPr="00DB0C40">
        <w:rPr>
          <w:rFonts w:asciiTheme="minorHAnsi" w:eastAsia="Calibri Light" w:hAnsiTheme="minorHAnsi" w:cstheme="minorHAnsi"/>
          <w:b/>
          <w:spacing w:val="-4"/>
          <w:sz w:val="22"/>
          <w:szCs w:val="22"/>
        </w:rPr>
        <w:t xml:space="preserve"> </w:t>
      </w:r>
      <w:r w:rsidRPr="00DB0C40">
        <w:rPr>
          <w:rFonts w:asciiTheme="minorHAnsi" w:eastAsia="Calibri Light" w:hAnsiTheme="minorHAnsi" w:cstheme="minorHAnsi"/>
          <w:b/>
          <w:sz w:val="22"/>
          <w:szCs w:val="22"/>
        </w:rPr>
        <w:t>2012-2017</w:t>
      </w:r>
    </w:p>
    <w:bookmarkEnd w:id="80"/>
    <w:p w14:paraId="3E56A3A6" w14:textId="77777777" w:rsidR="002557B7" w:rsidRPr="00DB0C40" w:rsidRDefault="002557B7" w:rsidP="002557B7">
      <w:pPr>
        <w:widowControl w:val="0"/>
        <w:autoSpaceDE w:val="0"/>
        <w:autoSpaceDN w:val="0"/>
        <w:rPr>
          <w:rFonts w:asciiTheme="minorHAnsi" w:eastAsia="Calibri Light" w:hAnsiTheme="minorHAnsi" w:cstheme="minorHAnsi"/>
          <w:sz w:val="22"/>
          <w:szCs w:val="22"/>
        </w:rPr>
      </w:pPr>
    </w:p>
    <w:p w14:paraId="1CD0DC8A" w14:textId="77777777" w:rsidR="002557B7" w:rsidRPr="00DB0C40" w:rsidRDefault="002557B7" w:rsidP="002557B7">
      <w:pPr>
        <w:widowControl w:val="0"/>
        <w:autoSpaceDE w:val="0"/>
        <w:autoSpaceDN w:val="0"/>
        <w:rPr>
          <w:rFonts w:asciiTheme="minorHAnsi" w:eastAsia="Calibri Light" w:hAnsiTheme="minorHAnsi" w:cstheme="minorHAnsi"/>
          <w:sz w:val="22"/>
          <w:szCs w:val="22"/>
        </w:rPr>
      </w:pPr>
      <w:r w:rsidRPr="00DB0C40">
        <w:rPr>
          <w:rFonts w:asciiTheme="minorHAnsi" w:eastAsia="Calibri Light" w:hAnsiTheme="minorHAnsi" w:cstheme="minorHAnsi"/>
          <w:noProof/>
          <w:sz w:val="22"/>
          <w:szCs w:val="22"/>
          <w:lang w:eastAsia="en-GB"/>
        </w:rPr>
        <w:drawing>
          <wp:inline distT="0" distB="0" distL="0" distR="0" wp14:anchorId="771AC831" wp14:editId="597EF9C8">
            <wp:extent cx="5943600" cy="3141980"/>
            <wp:effectExtent l="0" t="0" r="0" b="1270"/>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3141980"/>
                    </a:xfrm>
                    <a:prstGeom prst="rect">
                      <a:avLst/>
                    </a:prstGeom>
                  </pic:spPr>
                </pic:pic>
              </a:graphicData>
            </a:graphic>
          </wp:inline>
        </w:drawing>
      </w:r>
    </w:p>
    <w:p w14:paraId="13A96DAE" w14:textId="77777777" w:rsidR="002557B7" w:rsidRPr="00DB0C40" w:rsidRDefault="002557B7" w:rsidP="002557B7">
      <w:pPr>
        <w:widowControl w:val="0"/>
        <w:autoSpaceDE w:val="0"/>
        <w:autoSpaceDN w:val="0"/>
        <w:ind w:right="156"/>
        <w:jc w:val="both"/>
        <w:rPr>
          <w:rFonts w:asciiTheme="minorHAnsi" w:eastAsia="Calibri Light" w:hAnsiTheme="minorHAnsi" w:cstheme="minorHAnsi"/>
          <w:sz w:val="18"/>
          <w:szCs w:val="18"/>
        </w:rPr>
      </w:pPr>
      <w:r w:rsidRPr="00DB0C40">
        <w:rPr>
          <w:rFonts w:asciiTheme="minorHAnsi" w:eastAsia="Calibri Light" w:hAnsiTheme="minorHAnsi" w:cstheme="minorHAnsi"/>
          <w:sz w:val="18"/>
          <w:szCs w:val="18"/>
        </w:rPr>
        <w:t>Note: All persons in employment, wage and salary workers only in the United States. Usual hours worked per week except for</w:t>
      </w:r>
      <w:r w:rsidRPr="00DB0C40">
        <w:rPr>
          <w:rFonts w:asciiTheme="minorHAnsi" w:eastAsia="Calibri Light" w:hAnsiTheme="minorHAnsi" w:cstheme="minorHAnsi"/>
          <w:spacing w:val="1"/>
          <w:sz w:val="18"/>
          <w:szCs w:val="18"/>
        </w:rPr>
        <w:t xml:space="preserve"> </w:t>
      </w:r>
      <w:r w:rsidRPr="00DB0C40">
        <w:rPr>
          <w:rFonts w:asciiTheme="minorHAnsi" w:eastAsia="Calibri Light" w:hAnsiTheme="minorHAnsi" w:cstheme="minorHAnsi"/>
          <w:sz w:val="18"/>
          <w:szCs w:val="18"/>
        </w:rPr>
        <w:t>Argentina, China, Japan, Korea and Saudi Arabia. The data for 2012 refer to 2010 for China and the data for 2017 refer to 2015</w:t>
      </w:r>
      <w:r w:rsidRPr="00DB0C40">
        <w:rPr>
          <w:rFonts w:asciiTheme="minorHAnsi" w:eastAsia="Calibri Light" w:hAnsiTheme="minorHAnsi" w:cstheme="minorHAnsi"/>
          <w:spacing w:val="-42"/>
          <w:sz w:val="18"/>
          <w:szCs w:val="18"/>
        </w:rPr>
        <w:t xml:space="preserve"> </w:t>
      </w:r>
      <w:r w:rsidRPr="00DB0C40">
        <w:rPr>
          <w:rFonts w:asciiTheme="minorHAnsi" w:eastAsia="Calibri Light" w:hAnsiTheme="minorHAnsi" w:cstheme="minorHAnsi"/>
          <w:sz w:val="18"/>
          <w:szCs w:val="18"/>
        </w:rPr>
        <w:t>for</w:t>
      </w:r>
      <w:r w:rsidRPr="00DB0C40">
        <w:rPr>
          <w:rFonts w:asciiTheme="minorHAnsi" w:eastAsia="Calibri Light" w:hAnsiTheme="minorHAnsi" w:cstheme="minorHAnsi"/>
          <w:spacing w:val="-1"/>
          <w:sz w:val="18"/>
          <w:szCs w:val="18"/>
        </w:rPr>
        <w:t xml:space="preserve"> </w:t>
      </w:r>
      <w:r w:rsidRPr="00DB0C40">
        <w:rPr>
          <w:rFonts w:asciiTheme="minorHAnsi" w:eastAsia="Calibri Light" w:hAnsiTheme="minorHAnsi" w:cstheme="minorHAnsi"/>
          <w:sz w:val="18"/>
          <w:szCs w:val="18"/>
        </w:rPr>
        <w:t>Brazil and Saudi Arabia.</w:t>
      </w:r>
    </w:p>
    <w:p w14:paraId="65E173FE" w14:textId="77777777" w:rsidR="002557B7" w:rsidRPr="00DB0C40" w:rsidRDefault="002557B7" w:rsidP="002557B7">
      <w:pPr>
        <w:widowControl w:val="0"/>
        <w:autoSpaceDE w:val="0"/>
        <w:autoSpaceDN w:val="0"/>
        <w:spacing w:before="120"/>
        <w:ind w:right="158"/>
        <w:jc w:val="both"/>
        <w:rPr>
          <w:rFonts w:asciiTheme="minorHAnsi" w:eastAsia="Calibri Light" w:hAnsiTheme="minorHAnsi" w:cstheme="minorHAnsi"/>
          <w:sz w:val="18"/>
          <w:szCs w:val="18"/>
        </w:rPr>
      </w:pPr>
      <w:r w:rsidRPr="00DB0C40">
        <w:rPr>
          <w:rFonts w:asciiTheme="minorHAnsi" w:eastAsia="Calibri Light" w:hAnsiTheme="minorHAnsi" w:cstheme="minorHAnsi"/>
          <w:sz w:val="18"/>
          <w:szCs w:val="18"/>
        </w:rPr>
        <w:t>Source: OECD Employment Database, Census 2010 data for China, results of the labour force survey for Saudi Arabia and</w:t>
      </w:r>
      <w:r w:rsidRPr="00DB0C40">
        <w:rPr>
          <w:rFonts w:asciiTheme="minorHAnsi" w:eastAsia="Calibri Light" w:hAnsiTheme="minorHAnsi" w:cstheme="minorHAnsi"/>
          <w:spacing w:val="1"/>
          <w:sz w:val="18"/>
          <w:szCs w:val="18"/>
        </w:rPr>
        <w:t xml:space="preserve"> </w:t>
      </w:r>
      <w:r w:rsidRPr="00DB0C40">
        <w:rPr>
          <w:rFonts w:asciiTheme="minorHAnsi" w:eastAsia="Calibri Light" w:hAnsiTheme="minorHAnsi" w:cstheme="minorHAnsi"/>
          <w:sz w:val="18"/>
          <w:szCs w:val="18"/>
        </w:rPr>
        <w:t>OECD</w:t>
      </w:r>
      <w:r w:rsidRPr="00DB0C40">
        <w:rPr>
          <w:rFonts w:asciiTheme="minorHAnsi" w:eastAsia="Calibri Light" w:hAnsiTheme="minorHAnsi" w:cstheme="minorHAnsi"/>
          <w:spacing w:val="-1"/>
          <w:sz w:val="18"/>
          <w:szCs w:val="18"/>
        </w:rPr>
        <w:t xml:space="preserve"> </w:t>
      </w:r>
      <w:r w:rsidRPr="00DB0C40">
        <w:rPr>
          <w:rFonts w:asciiTheme="minorHAnsi" w:eastAsia="Calibri Light" w:hAnsiTheme="minorHAnsi" w:cstheme="minorHAnsi"/>
          <w:sz w:val="18"/>
          <w:szCs w:val="18"/>
        </w:rPr>
        <w:t>estimates</w:t>
      </w:r>
      <w:r w:rsidRPr="00DB0C40">
        <w:rPr>
          <w:rFonts w:asciiTheme="minorHAnsi" w:eastAsia="Calibri Light" w:hAnsiTheme="minorHAnsi" w:cstheme="minorHAnsi"/>
          <w:spacing w:val="1"/>
          <w:sz w:val="18"/>
          <w:szCs w:val="18"/>
        </w:rPr>
        <w:t xml:space="preserve"> </w:t>
      </w:r>
      <w:r w:rsidRPr="00DB0C40">
        <w:rPr>
          <w:rFonts w:asciiTheme="minorHAnsi" w:eastAsia="Calibri Light" w:hAnsiTheme="minorHAnsi" w:cstheme="minorHAnsi"/>
          <w:sz w:val="18"/>
          <w:szCs w:val="18"/>
        </w:rPr>
        <w:t>based on</w:t>
      </w:r>
      <w:r w:rsidRPr="00DB0C40">
        <w:rPr>
          <w:rFonts w:asciiTheme="minorHAnsi" w:eastAsia="Calibri Light" w:hAnsiTheme="minorHAnsi" w:cstheme="minorHAnsi"/>
          <w:spacing w:val="-1"/>
          <w:sz w:val="18"/>
          <w:szCs w:val="18"/>
        </w:rPr>
        <w:t xml:space="preserve"> </w:t>
      </w:r>
      <w:r w:rsidRPr="00DB0C40">
        <w:rPr>
          <w:rFonts w:asciiTheme="minorHAnsi" w:eastAsia="Calibri Light" w:hAnsiTheme="minorHAnsi" w:cstheme="minorHAnsi"/>
          <w:sz w:val="18"/>
          <w:szCs w:val="18"/>
        </w:rPr>
        <w:t>the Encuesta Permanente</w:t>
      </w:r>
      <w:r w:rsidRPr="00DB0C40">
        <w:rPr>
          <w:rFonts w:asciiTheme="minorHAnsi" w:eastAsia="Calibri Light" w:hAnsiTheme="minorHAnsi" w:cstheme="minorHAnsi"/>
          <w:spacing w:val="-1"/>
          <w:sz w:val="18"/>
          <w:szCs w:val="18"/>
        </w:rPr>
        <w:t xml:space="preserve"> </w:t>
      </w:r>
      <w:r w:rsidRPr="00DB0C40">
        <w:rPr>
          <w:rFonts w:asciiTheme="minorHAnsi" w:eastAsia="Calibri Light" w:hAnsiTheme="minorHAnsi" w:cstheme="minorHAnsi"/>
          <w:sz w:val="18"/>
          <w:szCs w:val="18"/>
        </w:rPr>
        <w:t>de</w:t>
      </w:r>
      <w:r w:rsidRPr="00DB0C40">
        <w:rPr>
          <w:rFonts w:asciiTheme="minorHAnsi" w:eastAsia="Calibri Light" w:hAnsiTheme="minorHAnsi" w:cstheme="minorHAnsi"/>
          <w:spacing w:val="1"/>
          <w:sz w:val="18"/>
          <w:szCs w:val="18"/>
        </w:rPr>
        <w:t xml:space="preserve"> </w:t>
      </w:r>
      <w:r w:rsidRPr="00DB0C40">
        <w:rPr>
          <w:rFonts w:asciiTheme="minorHAnsi" w:eastAsia="Calibri Light" w:hAnsiTheme="minorHAnsi" w:cstheme="minorHAnsi"/>
          <w:sz w:val="18"/>
          <w:szCs w:val="18"/>
        </w:rPr>
        <w:t>Hogares for</w:t>
      </w:r>
      <w:r w:rsidRPr="00DB0C40">
        <w:rPr>
          <w:rFonts w:asciiTheme="minorHAnsi" w:eastAsia="Calibri Light" w:hAnsiTheme="minorHAnsi" w:cstheme="minorHAnsi"/>
          <w:spacing w:val="-1"/>
          <w:sz w:val="18"/>
          <w:szCs w:val="18"/>
        </w:rPr>
        <w:t xml:space="preserve"> </w:t>
      </w:r>
      <w:r w:rsidRPr="00DB0C40">
        <w:rPr>
          <w:rFonts w:asciiTheme="minorHAnsi" w:eastAsia="Calibri Light" w:hAnsiTheme="minorHAnsi" w:cstheme="minorHAnsi"/>
          <w:sz w:val="18"/>
          <w:szCs w:val="18"/>
        </w:rPr>
        <w:t>Argentina</w:t>
      </w:r>
      <w:r w:rsidRPr="00DB0C40">
        <w:rPr>
          <w:rFonts w:asciiTheme="minorHAnsi" w:eastAsia="Calibri Light" w:hAnsiTheme="minorHAnsi" w:cstheme="minorHAnsi"/>
          <w:spacing w:val="1"/>
          <w:sz w:val="18"/>
          <w:szCs w:val="18"/>
        </w:rPr>
        <w:t xml:space="preserve"> </w:t>
      </w:r>
      <w:r w:rsidRPr="00DB0C40">
        <w:rPr>
          <w:rFonts w:asciiTheme="minorHAnsi" w:eastAsia="Calibri Light" w:hAnsiTheme="minorHAnsi" w:cstheme="minorHAnsi"/>
          <w:sz w:val="18"/>
          <w:szCs w:val="18"/>
        </w:rPr>
        <w:t>and</w:t>
      </w:r>
      <w:r w:rsidRPr="00DB0C40">
        <w:rPr>
          <w:rFonts w:asciiTheme="minorHAnsi" w:eastAsia="Calibri Light" w:hAnsiTheme="minorHAnsi" w:cstheme="minorHAnsi"/>
          <w:spacing w:val="1"/>
          <w:sz w:val="18"/>
          <w:szCs w:val="18"/>
        </w:rPr>
        <w:t xml:space="preserve"> </w:t>
      </w:r>
      <w:r w:rsidRPr="00DB0C40">
        <w:rPr>
          <w:rFonts w:asciiTheme="minorHAnsi" w:eastAsia="Calibri Light" w:hAnsiTheme="minorHAnsi" w:cstheme="minorHAnsi"/>
          <w:sz w:val="18"/>
          <w:szCs w:val="18"/>
        </w:rPr>
        <w:t>Sakernas for</w:t>
      </w:r>
      <w:r w:rsidRPr="00DB0C40">
        <w:rPr>
          <w:rFonts w:asciiTheme="minorHAnsi" w:eastAsia="Calibri Light" w:hAnsiTheme="minorHAnsi" w:cstheme="minorHAnsi"/>
          <w:spacing w:val="-1"/>
          <w:sz w:val="18"/>
          <w:szCs w:val="18"/>
        </w:rPr>
        <w:t xml:space="preserve"> </w:t>
      </w:r>
      <w:r w:rsidRPr="00DB0C40">
        <w:rPr>
          <w:rFonts w:asciiTheme="minorHAnsi" w:eastAsia="Calibri Light" w:hAnsiTheme="minorHAnsi" w:cstheme="minorHAnsi"/>
          <w:sz w:val="18"/>
          <w:szCs w:val="18"/>
        </w:rPr>
        <w:t>Indonesia.</w:t>
      </w:r>
    </w:p>
    <w:p w14:paraId="152BB191" w14:textId="77777777" w:rsidR="002557B7" w:rsidRPr="00DB0C40" w:rsidRDefault="002557B7" w:rsidP="002557B7">
      <w:pPr>
        <w:spacing w:after="160" w:line="259" w:lineRule="auto"/>
        <w:jc w:val="both"/>
        <w:rPr>
          <w:rFonts w:asciiTheme="minorHAnsi" w:eastAsiaTheme="minorHAnsi" w:hAnsiTheme="minorHAnsi" w:cstheme="minorHAnsi"/>
          <w:iCs/>
          <w:sz w:val="22"/>
          <w:szCs w:val="22"/>
        </w:rPr>
      </w:pPr>
    </w:p>
    <w:p w14:paraId="4847B66E" w14:textId="77777777" w:rsidR="002557B7" w:rsidRPr="00DB0C40" w:rsidRDefault="002557B7" w:rsidP="002557B7">
      <w:pPr>
        <w:spacing w:after="160" w:line="259" w:lineRule="auto"/>
        <w:jc w:val="both"/>
        <w:rPr>
          <w:rFonts w:asciiTheme="minorHAnsi" w:eastAsiaTheme="minorHAnsi" w:hAnsiTheme="minorHAnsi" w:cstheme="minorHAnsi"/>
          <w:iCs/>
          <w:sz w:val="22"/>
          <w:szCs w:val="22"/>
        </w:rPr>
      </w:pPr>
      <w:r w:rsidRPr="00DB0C40">
        <w:rPr>
          <w:rFonts w:asciiTheme="minorHAnsi" w:eastAsiaTheme="minorHAnsi" w:hAnsiTheme="minorHAnsi" w:cstheme="minorHAnsi"/>
          <w:iCs/>
          <w:sz w:val="22"/>
          <w:szCs w:val="22"/>
        </w:rPr>
        <w:t xml:space="preserve">All G20 countries have introduced national gender equality plans and strategies aimed at advancing the agenda of women at work (e.g., Argentina, Australia, EU, France, India, Spain and Türkiye). These policy frameworks bring together measures under the responsibility of different governmental agencies, including the need to collect more and accurate gender‐disaggregated data. For instance, in 2018 the Australian Government issued the Women’s Economic Security Package, a $119.2 million package of initiatives over four years focusing on three key pillars: workforce participation; earning potential; and economic independence. The Package contains several measures, including a new Time-Use Survey, a Reducing-Barriers-to-Work Forum and a new entrepreneurship grant programmed Boosting Female Founders. In Canada, the Gender Results Framework seeks, among others, to promote equal opportunities for women and men as well as diversified paths in education and skills development; equal and full participation in the economy and gender equality in leadership roles and at all levels of decision‐making. In Australia, the targeted policy measures are supported by the </w:t>
      </w:r>
      <w:r w:rsidRPr="00DB0C40">
        <w:rPr>
          <w:rFonts w:asciiTheme="minorHAnsi" w:eastAsiaTheme="minorHAnsi" w:hAnsiTheme="minorHAnsi" w:cstheme="minorHAnsi"/>
          <w:i/>
          <w:iCs/>
          <w:sz w:val="22"/>
          <w:szCs w:val="22"/>
        </w:rPr>
        <w:t>Towards 2025 Strategy</w:t>
      </w:r>
      <w:r w:rsidRPr="00DB0C40">
        <w:rPr>
          <w:rFonts w:asciiTheme="minorHAnsi" w:eastAsiaTheme="minorHAnsi" w:hAnsiTheme="minorHAnsi" w:cstheme="minorHAnsi"/>
          <w:iCs/>
          <w:sz w:val="22"/>
          <w:szCs w:val="22"/>
        </w:rPr>
        <w:t xml:space="preserve">, a whole‐of‐government strategy led by the Office for Women under the Prime Minister’s department. In the EU, </w:t>
      </w:r>
      <w:r w:rsidRPr="00DB0C40">
        <w:rPr>
          <w:rFonts w:asciiTheme="minorHAnsi" w:eastAsiaTheme="minorHAnsi" w:hAnsiTheme="minorHAnsi" w:cstheme="minorHAnsi"/>
          <w:iCs/>
          <w:sz w:val="22"/>
          <w:szCs w:val="22"/>
        </w:rPr>
        <w:lastRenderedPageBreak/>
        <w:t>in 2017, the European Commission adopted, in the context of the European Pillar of Social Rights, the initiative on Work‐life balance for working parents and cares.</w:t>
      </w:r>
    </w:p>
    <w:p w14:paraId="022E80FE" w14:textId="77777777" w:rsidR="002557B7" w:rsidRPr="00DB0C40" w:rsidRDefault="002557B7" w:rsidP="002557B7">
      <w:pPr>
        <w:spacing w:after="160" w:line="259" w:lineRule="auto"/>
        <w:jc w:val="both"/>
        <w:rPr>
          <w:rFonts w:asciiTheme="minorHAnsi" w:eastAsiaTheme="minorHAnsi" w:hAnsiTheme="minorHAnsi" w:cstheme="minorHAnsi"/>
          <w:iCs/>
          <w:sz w:val="22"/>
          <w:szCs w:val="22"/>
        </w:rPr>
      </w:pPr>
      <w:r w:rsidRPr="00DB0C40">
        <w:rPr>
          <w:rFonts w:asciiTheme="minorHAnsi" w:eastAsiaTheme="minorHAnsi" w:hAnsiTheme="minorHAnsi" w:cstheme="minorHAnsi"/>
          <w:iCs/>
          <w:sz w:val="22"/>
          <w:szCs w:val="22"/>
        </w:rPr>
        <w:t>Some countries have also taken steps towards the elimination of legal barriers to women’s employment (e.g. the Russian Federation) or night work (e.g. India, where women are now permitted to work at night subject to the provision of shelter, rest room, night crèche, women’s toilet, protection from sexual harassment and transportation). In this regard, measures have been introduced to increase the participation of women in male‐dominated sectors, by providing apprenticeship incentive grants or training in sectors such as construction and other male‐dominated trades (e.g., Argentina, Canada). France has adopted sectorial action plans through social dialogue and established the specific target of reaching an employment share of one third of women in male‐dominated sectors by 2025 (currently 12%).</w:t>
      </w:r>
    </w:p>
    <w:p w14:paraId="4D173A62" w14:textId="77777777" w:rsidR="002557B7" w:rsidRPr="00DB0C40" w:rsidRDefault="002557B7" w:rsidP="002557B7">
      <w:pPr>
        <w:spacing w:after="160" w:line="259" w:lineRule="auto"/>
        <w:jc w:val="both"/>
        <w:rPr>
          <w:rFonts w:asciiTheme="minorHAnsi" w:eastAsiaTheme="minorHAnsi" w:hAnsiTheme="minorHAnsi" w:cstheme="minorHAnsi"/>
          <w:iCs/>
          <w:sz w:val="22"/>
          <w:szCs w:val="22"/>
        </w:rPr>
      </w:pPr>
      <w:r w:rsidRPr="00DB0C40">
        <w:rPr>
          <w:rFonts w:asciiTheme="minorHAnsi" w:eastAsiaTheme="minorHAnsi" w:hAnsiTheme="minorHAnsi" w:cstheme="minorHAnsi"/>
          <w:iCs/>
          <w:sz w:val="22"/>
          <w:szCs w:val="22"/>
        </w:rPr>
        <w:t>The OECD Report</w:t>
      </w:r>
      <w:r w:rsidRPr="00DB0C40">
        <w:rPr>
          <w:rFonts w:asciiTheme="minorHAnsi" w:eastAsiaTheme="minorHAnsi" w:hAnsiTheme="minorHAnsi" w:cstheme="minorHAnsi"/>
          <w:iCs/>
          <w:sz w:val="22"/>
          <w:szCs w:val="22"/>
          <w:vertAlign w:val="superscript"/>
        </w:rPr>
        <w:footnoteReference w:id="34"/>
      </w:r>
      <w:r w:rsidRPr="00DB0C40">
        <w:rPr>
          <w:rFonts w:asciiTheme="minorHAnsi" w:eastAsiaTheme="minorHAnsi" w:hAnsiTheme="minorHAnsi" w:cstheme="minorHAnsi"/>
          <w:iCs/>
          <w:sz w:val="22"/>
          <w:szCs w:val="22"/>
        </w:rPr>
        <w:t xml:space="preserve"> shows that despite the fact that all the G20 countries have new Labour Laws or policies to improve the female participation in the Labour market during the period 2012 – 2018, and that further progress was made,  in some countries the gender gap is particularly large, achieving the goal remains challenging and approximately half of G20 members is not on track to meet the goal (assuming a linear reduction in the participation gap year‐on‐year). This is in part linked to the fact that women continue to shoulder a disproportionate share of unpaid work, which increases notably with the presence of young children in the household. In addition, very long hours of work and overtime continue to be more widespread among men. A culture of long working hours not only has detrimental effects on workers’ health and productivity, but may also lead to stigma against workers who choose flexible working time arrangements, such as reduced hours or teleworking, thereby reinforcing the gender gap in unpaid work.</w:t>
      </w:r>
      <w:r w:rsidRPr="00DB0C40">
        <w:rPr>
          <w:rFonts w:asciiTheme="minorHAnsi" w:eastAsiaTheme="minorHAnsi" w:hAnsiTheme="minorHAnsi" w:cstheme="minorHAnsi"/>
          <w:iCs/>
          <w:sz w:val="22"/>
          <w:szCs w:val="22"/>
          <w:vertAlign w:val="superscript"/>
        </w:rPr>
        <w:footnoteReference w:id="35"/>
      </w:r>
      <w:r w:rsidRPr="00DB0C40">
        <w:rPr>
          <w:rFonts w:asciiTheme="minorHAnsi" w:eastAsiaTheme="minorHAnsi" w:hAnsiTheme="minorHAnsi" w:cstheme="minorHAnsi"/>
          <w:iCs/>
          <w:sz w:val="22"/>
          <w:szCs w:val="22"/>
        </w:rPr>
        <w:t xml:space="preserve"> The persistent and large gender gap in the sharing of family responsibilities and domestic chores not only hinders progress in the reduction of the gender participation gap, it also has implications for the quality of work for men and women.</w:t>
      </w:r>
    </w:p>
    <w:p w14:paraId="0F279E98" w14:textId="77777777" w:rsidR="002557B7" w:rsidRPr="00DB0C40" w:rsidRDefault="002557B7" w:rsidP="002557B7">
      <w:pPr>
        <w:spacing w:after="160" w:line="259" w:lineRule="auto"/>
        <w:jc w:val="both"/>
        <w:rPr>
          <w:rFonts w:asciiTheme="minorHAnsi" w:eastAsiaTheme="minorHAnsi" w:hAnsiTheme="minorHAnsi" w:cstheme="minorHAnsi"/>
          <w:iCs/>
          <w:sz w:val="22"/>
          <w:szCs w:val="22"/>
        </w:rPr>
      </w:pPr>
      <w:r w:rsidRPr="00DB0C40">
        <w:rPr>
          <w:rFonts w:asciiTheme="minorHAnsi" w:eastAsiaTheme="minorHAnsi" w:hAnsiTheme="minorHAnsi" w:cstheme="minorHAnsi"/>
          <w:iCs/>
          <w:sz w:val="22"/>
          <w:szCs w:val="22"/>
        </w:rPr>
        <w:t>Gender gaps in job quality also remain substantial. The gender pay gap remains substantial in most G20 economies, and only very modest progress has been made in closing this gap. This is reflected in persistently large gender gaps in the incidence of low‐paid work, access to managerial jobs and the incidence of non‐standard forms of employment such as part‐time work. Raising the quality of job opportunities available to women that allow for a better work‐life balance would improve their well‐ being, enhance their incentives to participate in the labour market and reduce the underutilisation of their skills.</w:t>
      </w:r>
    </w:p>
    <w:p w14:paraId="7DFBE14A" w14:textId="77777777" w:rsidR="002557B7" w:rsidRPr="00DB0C40" w:rsidRDefault="002557B7" w:rsidP="002557B7">
      <w:pPr>
        <w:spacing w:after="160" w:line="259" w:lineRule="auto"/>
        <w:jc w:val="both"/>
        <w:rPr>
          <w:rFonts w:asciiTheme="minorHAnsi" w:eastAsiaTheme="minorHAnsi" w:hAnsiTheme="minorHAnsi" w:cstheme="minorHAnsi"/>
          <w:iCs/>
          <w:sz w:val="22"/>
          <w:szCs w:val="22"/>
        </w:rPr>
      </w:pPr>
      <w:r w:rsidRPr="00DB0C40">
        <w:rPr>
          <w:rFonts w:asciiTheme="minorHAnsi" w:eastAsiaTheme="minorHAnsi" w:hAnsiTheme="minorHAnsi" w:cstheme="minorHAnsi"/>
          <w:iCs/>
          <w:sz w:val="22"/>
          <w:szCs w:val="22"/>
        </w:rPr>
        <w:t xml:space="preserve">Women continue to earn substantially less than men in most G20 countries. In terms of median full‐ time earnings, women earn between 30‐35% less than men in Korea and India, down to a gap of 10% or less in France, Türkiye and Italy. </w:t>
      </w:r>
    </w:p>
    <w:p w14:paraId="42FEDD4D" w14:textId="77777777" w:rsidR="002557B7" w:rsidRPr="00DB0C40" w:rsidRDefault="002557B7" w:rsidP="002557B7">
      <w:pPr>
        <w:spacing w:after="160" w:line="259" w:lineRule="auto"/>
        <w:jc w:val="both"/>
        <w:rPr>
          <w:rFonts w:asciiTheme="minorHAnsi" w:eastAsiaTheme="minorHAnsi" w:hAnsiTheme="minorHAnsi" w:cstheme="minorHAnsi"/>
          <w:iCs/>
          <w:sz w:val="22"/>
          <w:szCs w:val="22"/>
        </w:rPr>
      </w:pPr>
      <w:r w:rsidRPr="00DB0C40">
        <w:rPr>
          <w:rFonts w:asciiTheme="minorHAnsi" w:eastAsiaTheme="minorHAnsi" w:hAnsiTheme="minorHAnsi" w:cstheme="minorHAnsi"/>
          <w:iCs/>
          <w:sz w:val="22"/>
          <w:szCs w:val="22"/>
        </w:rPr>
        <w:t>There has been a small reduction in the gender pay gap over the past decade in nearly all G20 countries. However, the pace at which the gap is closing remains weak in most countries and has even stalled in some countries in recent years.</w:t>
      </w:r>
    </w:p>
    <w:p w14:paraId="467CB1E8" w14:textId="7AA3859D" w:rsidR="002557B7" w:rsidRPr="00DB0C40" w:rsidRDefault="002557B7" w:rsidP="002557B7">
      <w:pPr>
        <w:widowControl w:val="0"/>
        <w:autoSpaceDE w:val="0"/>
        <w:autoSpaceDN w:val="0"/>
        <w:spacing w:before="1"/>
        <w:ind w:left="971" w:right="1007"/>
        <w:jc w:val="center"/>
        <w:rPr>
          <w:rFonts w:asciiTheme="minorHAnsi" w:eastAsia="Calibri Light" w:hAnsiTheme="minorHAnsi" w:cstheme="minorHAnsi"/>
          <w:b/>
          <w:sz w:val="22"/>
          <w:szCs w:val="22"/>
        </w:rPr>
      </w:pPr>
      <w:bookmarkStart w:id="81" w:name="_Hlk107137574"/>
      <w:r w:rsidRPr="00DB0C40">
        <w:rPr>
          <w:rFonts w:asciiTheme="minorHAnsi" w:eastAsia="Calibri Light" w:hAnsiTheme="minorHAnsi" w:cstheme="minorHAnsi"/>
          <w:b/>
          <w:sz w:val="22"/>
          <w:szCs w:val="22"/>
        </w:rPr>
        <w:lastRenderedPageBreak/>
        <w:t>Figure</w:t>
      </w:r>
      <w:r w:rsidRPr="00DB0C40">
        <w:rPr>
          <w:rFonts w:asciiTheme="minorHAnsi" w:eastAsia="Calibri Light" w:hAnsiTheme="minorHAnsi" w:cstheme="minorHAnsi"/>
          <w:b/>
          <w:spacing w:val="-3"/>
          <w:sz w:val="22"/>
          <w:szCs w:val="22"/>
        </w:rPr>
        <w:t xml:space="preserve"> </w:t>
      </w:r>
      <w:r w:rsidR="00044DE2" w:rsidRPr="00DB0C40">
        <w:rPr>
          <w:rFonts w:asciiTheme="minorHAnsi" w:eastAsia="Calibri Light" w:hAnsiTheme="minorHAnsi" w:cstheme="minorHAnsi"/>
          <w:b/>
          <w:spacing w:val="-3"/>
          <w:sz w:val="22"/>
          <w:szCs w:val="22"/>
        </w:rPr>
        <w:t>4</w:t>
      </w:r>
      <w:r w:rsidRPr="00DB0C40">
        <w:rPr>
          <w:rFonts w:asciiTheme="minorHAnsi" w:eastAsia="Calibri Light" w:hAnsiTheme="minorHAnsi" w:cstheme="minorHAnsi"/>
          <w:b/>
          <w:sz w:val="22"/>
          <w:szCs w:val="22"/>
        </w:rPr>
        <w:t>.</w:t>
      </w:r>
      <w:r w:rsidRPr="00DB0C40">
        <w:rPr>
          <w:rFonts w:asciiTheme="minorHAnsi" w:eastAsia="Calibri Light" w:hAnsiTheme="minorHAnsi" w:cstheme="minorHAnsi"/>
          <w:b/>
          <w:spacing w:val="-5"/>
          <w:sz w:val="22"/>
          <w:szCs w:val="22"/>
        </w:rPr>
        <w:t xml:space="preserve"> </w:t>
      </w:r>
      <w:r w:rsidRPr="00DB0C40">
        <w:rPr>
          <w:rFonts w:asciiTheme="minorHAnsi" w:eastAsia="Calibri Light" w:hAnsiTheme="minorHAnsi" w:cstheme="minorHAnsi"/>
          <w:b/>
          <w:sz w:val="22"/>
          <w:szCs w:val="22"/>
        </w:rPr>
        <w:t>Gender</w:t>
      </w:r>
      <w:r w:rsidRPr="00DB0C40">
        <w:rPr>
          <w:rFonts w:asciiTheme="minorHAnsi" w:eastAsia="Calibri Light" w:hAnsiTheme="minorHAnsi" w:cstheme="minorHAnsi"/>
          <w:b/>
          <w:spacing w:val="-2"/>
          <w:sz w:val="22"/>
          <w:szCs w:val="22"/>
        </w:rPr>
        <w:t xml:space="preserve"> </w:t>
      </w:r>
      <w:r w:rsidRPr="00DB0C40">
        <w:rPr>
          <w:rFonts w:asciiTheme="minorHAnsi" w:eastAsia="Calibri Light" w:hAnsiTheme="minorHAnsi" w:cstheme="minorHAnsi"/>
          <w:b/>
          <w:sz w:val="22"/>
          <w:szCs w:val="22"/>
        </w:rPr>
        <w:t>pay</w:t>
      </w:r>
      <w:r w:rsidRPr="00DB0C40">
        <w:rPr>
          <w:rFonts w:asciiTheme="minorHAnsi" w:eastAsia="Calibri Light" w:hAnsiTheme="minorHAnsi" w:cstheme="minorHAnsi"/>
          <w:b/>
          <w:spacing w:val="-5"/>
          <w:sz w:val="22"/>
          <w:szCs w:val="22"/>
        </w:rPr>
        <w:t xml:space="preserve"> </w:t>
      </w:r>
      <w:r w:rsidRPr="00DB0C40">
        <w:rPr>
          <w:rFonts w:asciiTheme="minorHAnsi" w:eastAsia="Calibri Light" w:hAnsiTheme="minorHAnsi" w:cstheme="minorHAnsi"/>
          <w:b/>
          <w:sz w:val="22"/>
          <w:szCs w:val="22"/>
        </w:rPr>
        <w:t>gaps</w:t>
      </w:r>
      <w:r w:rsidRPr="00DB0C40">
        <w:rPr>
          <w:rFonts w:asciiTheme="minorHAnsi" w:eastAsia="Calibri Light" w:hAnsiTheme="minorHAnsi" w:cstheme="minorHAnsi"/>
          <w:b/>
          <w:spacing w:val="-3"/>
          <w:sz w:val="22"/>
          <w:szCs w:val="22"/>
        </w:rPr>
        <w:t xml:space="preserve"> </w:t>
      </w:r>
      <w:r w:rsidRPr="00DB0C40">
        <w:rPr>
          <w:rFonts w:asciiTheme="minorHAnsi" w:eastAsia="Calibri Light" w:hAnsiTheme="minorHAnsi" w:cstheme="minorHAnsi"/>
          <w:b/>
          <w:sz w:val="22"/>
          <w:szCs w:val="22"/>
        </w:rPr>
        <w:t>remain</w:t>
      </w:r>
      <w:r w:rsidRPr="00DB0C40">
        <w:rPr>
          <w:rFonts w:asciiTheme="minorHAnsi" w:eastAsia="Calibri Light" w:hAnsiTheme="minorHAnsi" w:cstheme="minorHAnsi"/>
          <w:b/>
          <w:spacing w:val="-3"/>
          <w:sz w:val="22"/>
          <w:szCs w:val="22"/>
        </w:rPr>
        <w:t xml:space="preserve"> </w:t>
      </w:r>
      <w:r w:rsidRPr="00DB0C40">
        <w:rPr>
          <w:rFonts w:asciiTheme="minorHAnsi" w:eastAsia="Calibri Light" w:hAnsiTheme="minorHAnsi" w:cstheme="minorHAnsi"/>
          <w:b/>
          <w:sz w:val="22"/>
          <w:szCs w:val="22"/>
        </w:rPr>
        <w:t>substantial</w:t>
      </w:r>
      <w:r w:rsidR="00044DE2" w:rsidRPr="00DB0C40">
        <w:rPr>
          <w:rFonts w:asciiTheme="minorHAnsi" w:eastAsia="Calibri Light" w:hAnsiTheme="minorHAnsi" w:cstheme="minorHAnsi"/>
          <w:b/>
          <w:sz w:val="22"/>
          <w:szCs w:val="22"/>
        </w:rPr>
        <w:t xml:space="preserve"> in G20 countries</w:t>
      </w:r>
      <w:r w:rsidRPr="00DB0C40">
        <w:rPr>
          <w:rFonts w:asciiTheme="minorHAnsi" w:eastAsia="Calibri Light" w:hAnsiTheme="minorHAnsi" w:cstheme="minorHAnsi"/>
          <w:b/>
          <w:sz w:val="22"/>
          <w:szCs w:val="22"/>
        </w:rPr>
        <w:t>,</w:t>
      </w:r>
      <w:r w:rsidRPr="00DB0C40">
        <w:rPr>
          <w:rFonts w:asciiTheme="minorHAnsi" w:eastAsia="Calibri Light" w:hAnsiTheme="minorHAnsi" w:cstheme="minorHAnsi"/>
          <w:b/>
          <w:spacing w:val="-2"/>
          <w:sz w:val="22"/>
          <w:szCs w:val="22"/>
        </w:rPr>
        <w:t xml:space="preserve"> </w:t>
      </w:r>
      <w:r w:rsidRPr="00DB0C40">
        <w:rPr>
          <w:rFonts w:asciiTheme="minorHAnsi" w:eastAsia="Calibri Light" w:hAnsiTheme="minorHAnsi" w:cstheme="minorHAnsi"/>
          <w:b/>
          <w:sz w:val="22"/>
          <w:szCs w:val="22"/>
        </w:rPr>
        <w:t>2006</w:t>
      </w:r>
      <w:r w:rsidRPr="00DB0C40">
        <w:rPr>
          <w:rFonts w:asciiTheme="minorHAnsi" w:eastAsia="Calibri Light" w:hAnsiTheme="minorHAnsi" w:cstheme="minorHAnsi"/>
          <w:b/>
          <w:spacing w:val="-3"/>
          <w:sz w:val="22"/>
          <w:szCs w:val="22"/>
        </w:rPr>
        <w:t xml:space="preserve"> </w:t>
      </w:r>
      <w:r w:rsidRPr="00DB0C40">
        <w:rPr>
          <w:rFonts w:asciiTheme="minorHAnsi" w:eastAsia="Calibri Light" w:hAnsiTheme="minorHAnsi" w:cstheme="minorHAnsi"/>
          <w:b/>
          <w:sz w:val="22"/>
          <w:szCs w:val="22"/>
        </w:rPr>
        <w:t>and</w:t>
      </w:r>
      <w:r w:rsidRPr="00DB0C40">
        <w:rPr>
          <w:rFonts w:asciiTheme="minorHAnsi" w:eastAsia="Calibri Light" w:hAnsiTheme="minorHAnsi" w:cstheme="minorHAnsi"/>
          <w:b/>
          <w:spacing w:val="-3"/>
          <w:sz w:val="22"/>
          <w:szCs w:val="22"/>
        </w:rPr>
        <w:t xml:space="preserve"> </w:t>
      </w:r>
      <w:r w:rsidRPr="00DB0C40">
        <w:rPr>
          <w:rFonts w:asciiTheme="minorHAnsi" w:eastAsia="Calibri Light" w:hAnsiTheme="minorHAnsi" w:cstheme="minorHAnsi"/>
          <w:b/>
          <w:sz w:val="22"/>
          <w:szCs w:val="22"/>
        </w:rPr>
        <w:t>2018</w:t>
      </w:r>
    </w:p>
    <w:bookmarkEnd w:id="81"/>
    <w:p w14:paraId="38C1F071" w14:textId="77777777" w:rsidR="002557B7" w:rsidRPr="00DB0C40" w:rsidRDefault="002557B7" w:rsidP="002557B7">
      <w:pPr>
        <w:widowControl w:val="0"/>
        <w:autoSpaceDE w:val="0"/>
        <w:autoSpaceDN w:val="0"/>
        <w:spacing w:before="121"/>
        <w:ind w:left="375" w:right="410"/>
        <w:jc w:val="center"/>
        <w:rPr>
          <w:rFonts w:asciiTheme="minorHAnsi" w:eastAsia="Calibri Light" w:hAnsiTheme="minorHAnsi" w:cstheme="minorHAnsi"/>
          <w:sz w:val="22"/>
          <w:szCs w:val="22"/>
        </w:rPr>
      </w:pPr>
      <w:r w:rsidRPr="00DB0C40">
        <w:rPr>
          <w:rFonts w:asciiTheme="minorHAnsi" w:eastAsia="Calibri Light" w:hAnsiTheme="minorHAnsi" w:cstheme="minorHAnsi"/>
          <w:sz w:val="22"/>
          <w:szCs w:val="22"/>
        </w:rPr>
        <w:t>For</w:t>
      </w:r>
      <w:r w:rsidRPr="00DB0C40">
        <w:rPr>
          <w:rFonts w:asciiTheme="minorHAnsi" w:eastAsia="Calibri Light" w:hAnsiTheme="minorHAnsi" w:cstheme="minorHAnsi"/>
          <w:spacing w:val="-4"/>
          <w:sz w:val="22"/>
          <w:szCs w:val="22"/>
        </w:rPr>
        <w:t xml:space="preserve"> </w:t>
      </w:r>
      <w:r w:rsidRPr="00DB0C40">
        <w:rPr>
          <w:rFonts w:asciiTheme="minorHAnsi" w:eastAsia="Calibri Light" w:hAnsiTheme="minorHAnsi" w:cstheme="minorHAnsi"/>
          <w:sz w:val="22"/>
          <w:szCs w:val="22"/>
        </w:rPr>
        <w:t>full-time</w:t>
      </w:r>
      <w:r w:rsidRPr="00DB0C40">
        <w:rPr>
          <w:rFonts w:asciiTheme="minorHAnsi" w:eastAsia="Calibri Light" w:hAnsiTheme="minorHAnsi" w:cstheme="minorHAnsi"/>
          <w:spacing w:val="-4"/>
          <w:sz w:val="22"/>
          <w:szCs w:val="22"/>
        </w:rPr>
        <w:t xml:space="preserve"> </w:t>
      </w:r>
      <w:r w:rsidRPr="00DB0C40">
        <w:rPr>
          <w:rFonts w:asciiTheme="minorHAnsi" w:eastAsia="Calibri Light" w:hAnsiTheme="minorHAnsi" w:cstheme="minorHAnsi"/>
          <w:sz w:val="22"/>
          <w:szCs w:val="22"/>
        </w:rPr>
        <w:t>median</w:t>
      </w:r>
      <w:r w:rsidRPr="00DB0C40">
        <w:rPr>
          <w:rFonts w:asciiTheme="minorHAnsi" w:eastAsia="Calibri Light" w:hAnsiTheme="minorHAnsi" w:cstheme="minorHAnsi"/>
          <w:spacing w:val="-4"/>
          <w:sz w:val="22"/>
          <w:szCs w:val="22"/>
        </w:rPr>
        <w:t xml:space="preserve"> </w:t>
      </w:r>
      <w:r w:rsidRPr="00DB0C40">
        <w:rPr>
          <w:rFonts w:asciiTheme="minorHAnsi" w:eastAsia="Calibri Light" w:hAnsiTheme="minorHAnsi" w:cstheme="minorHAnsi"/>
          <w:sz w:val="22"/>
          <w:szCs w:val="22"/>
        </w:rPr>
        <w:t>earnings,</w:t>
      </w:r>
      <w:r w:rsidRPr="00DB0C40">
        <w:rPr>
          <w:rFonts w:asciiTheme="minorHAnsi" w:eastAsia="Calibri Light" w:hAnsiTheme="minorHAnsi" w:cstheme="minorHAnsi"/>
          <w:spacing w:val="-4"/>
          <w:sz w:val="22"/>
          <w:szCs w:val="22"/>
        </w:rPr>
        <w:t xml:space="preserve"> </w:t>
      </w:r>
      <w:r w:rsidRPr="00DB0C40">
        <w:rPr>
          <w:rFonts w:asciiTheme="minorHAnsi" w:eastAsia="Calibri Light" w:hAnsiTheme="minorHAnsi" w:cstheme="minorHAnsi"/>
          <w:sz w:val="22"/>
          <w:szCs w:val="22"/>
        </w:rPr>
        <w:t>difference</w:t>
      </w:r>
      <w:r w:rsidRPr="00DB0C40">
        <w:rPr>
          <w:rFonts w:asciiTheme="minorHAnsi" w:eastAsia="Calibri Light" w:hAnsiTheme="minorHAnsi" w:cstheme="minorHAnsi"/>
          <w:spacing w:val="-4"/>
          <w:sz w:val="22"/>
          <w:szCs w:val="22"/>
        </w:rPr>
        <w:t xml:space="preserve"> </w:t>
      </w:r>
      <w:r w:rsidRPr="00DB0C40">
        <w:rPr>
          <w:rFonts w:asciiTheme="minorHAnsi" w:eastAsia="Calibri Light" w:hAnsiTheme="minorHAnsi" w:cstheme="minorHAnsi"/>
          <w:sz w:val="22"/>
          <w:szCs w:val="22"/>
        </w:rPr>
        <w:t>between</w:t>
      </w:r>
      <w:r w:rsidRPr="00DB0C40">
        <w:rPr>
          <w:rFonts w:asciiTheme="minorHAnsi" w:eastAsia="Calibri Light" w:hAnsiTheme="minorHAnsi" w:cstheme="minorHAnsi"/>
          <w:spacing w:val="-5"/>
          <w:sz w:val="22"/>
          <w:szCs w:val="22"/>
        </w:rPr>
        <w:t xml:space="preserve"> </w:t>
      </w:r>
      <w:r w:rsidRPr="00DB0C40">
        <w:rPr>
          <w:rFonts w:asciiTheme="minorHAnsi" w:eastAsia="Calibri Light" w:hAnsiTheme="minorHAnsi" w:cstheme="minorHAnsi"/>
          <w:sz w:val="22"/>
          <w:szCs w:val="22"/>
        </w:rPr>
        <w:t>male</w:t>
      </w:r>
      <w:r w:rsidRPr="00DB0C40">
        <w:rPr>
          <w:rFonts w:asciiTheme="minorHAnsi" w:eastAsia="Calibri Light" w:hAnsiTheme="minorHAnsi" w:cstheme="minorHAnsi"/>
          <w:spacing w:val="-5"/>
          <w:sz w:val="22"/>
          <w:szCs w:val="22"/>
        </w:rPr>
        <w:t xml:space="preserve"> </w:t>
      </w:r>
      <w:r w:rsidRPr="00DB0C40">
        <w:rPr>
          <w:rFonts w:asciiTheme="minorHAnsi" w:eastAsia="Calibri Light" w:hAnsiTheme="minorHAnsi" w:cstheme="minorHAnsi"/>
          <w:sz w:val="22"/>
          <w:szCs w:val="22"/>
        </w:rPr>
        <w:t>and</w:t>
      </w:r>
      <w:r w:rsidRPr="00DB0C40">
        <w:rPr>
          <w:rFonts w:asciiTheme="minorHAnsi" w:eastAsia="Calibri Light" w:hAnsiTheme="minorHAnsi" w:cstheme="minorHAnsi"/>
          <w:spacing w:val="-3"/>
          <w:sz w:val="22"/>
          <w:szCs w:val="22"/>
        </w:rPr>
        <w:t xml:space="preserve"> </w:t>
      </w:r>
      <w:r w:rsidRPr="00DB0C40">
        <w:rPr>
          <w:rFonts w:asciiTheme="minorHAnsi" w:eastAsia="Calibri Light" w:hAnsiTheme="minorHAnsi" w:cstheme="minorHAnsi"/>
          <w:sz w:val="22"/>
          <w:szCs w:val="22"/>
        </w:rPr>
        <w:t>female</w:t>
      </w:r>
      <w:r w:rsidRPr="00DB0C40">
        <w:rPr>
          <w:rFonts w:asciiTheme="minorHAnsi" w:eastAsia="Calibri Light" w:hAnsiTheme="minorHAnsi" w:cstheme="minorHAnsi"/>
          <w:spacing w:val="-4"/>
          <w:sz w:val="22"/>
          <w:szCs w:val="22"/>
        </w:rPr>
        <w:t xml:space="preserve"> </w:t>
      </w:r>
      <w:r w:rsidRPr="00DB0C40">
        <w:rPr>
          <w:rFonts w:asciiTheme="minorHAnsi" w:eastAsia="Calibri Light" w:hAnsiTheme="minorHAnsi" w:cstheme="minorHAnsi"/>
          <w:sz w:val="22"/>
          <w:szCs w:val="22"/>
        </w:rPr>
        <w:t>earnings</w:t>
      </w:r>
      <w:r w:rsidRPr="00DB0C40">
        <w:rPr>
          <w:rFonts w:asciiTheme="minorHAnsi" w:eastAsia="Calibri Light" w:hAnsiTheme="minorHAnsi" w:cstheme="minorHAnsi"/>
          <w:spacing w:val="-4"/>
          <w:sz w:val="22"/>
          <w:szCs w:val="22"/>
        </w:rPr>
        <w:t xml:space="preserve"> </w:t>
      </w:r>
      <w:r w:rsidRPr="00DB0C40">
        <w:rPr>
          <w:rFonts w:asciiTheme="minorHAnsi" w:eastAsia="Calibri Light" w:hAnsiTheme="minorHAnsi" w:cstheme="minorHAnsi"/>
          <w:sz w:val="22"/>
          <w:szCs w:val="22"/>
        </w:rPr>
        <w:t>divided</w:t>
      </w:r>
      <w:r w:rsidRPr="00DB0C40">
        <w:rPr>
          <w:rFonts w:asciiTheme="minorHAnsi" w:eastAsia="Calibri Light" w:hAnsiTheme="minorHAnsi" w:cstheme="minorHAnsi"/>
          <w:spacing w:val="-3"/>
          <w:sz w:val="22"/>
          <w:szCs w:val="22"/>
        </w:rPr>
        <w:t xml:space="preserve"> </w:t>
      </w:r>
      <w:r w:rsidRPr="00DB0C40">
        <w:rPr>
          <w:rFonts w:asciiTheme="minorHAnsi" w:eastAsia="Calibri Light" w:hAnsiTheme="minorHAnsi" w:cstheme="minorHAnsi"/>
          <w:sz w:val="22"/>
          <w:szCs w:val="22"/>
        </w:rPr>
        <w:t>by</w:t>
      </w:r>
      <w:r w:rsidRPr="00DB0C40">
        <w:rPr>
          <w:rFonts w:asciiTheme="minorHAnsi" w:eastAsia="Calibri Light" w:hAnsiTheme="minorHAnsi" w:cstheme="minorHAnsi"/>
          <w:spacing w:val="-5"/>
          <w:sz w:val="22"/>
          <w:szCs w:val="22"/>
        </w:rPr>
        <w:t xml:space="preserve"> </w:t>
      </w:r>
      <w:r w:rsidRPr="00DB0C40">
        <w:rPr>
          <w:rFonts w:asciiTheme="minorHAnsi" w:eastAsia="Calibri Light" w:hAnsiTheme="minorHAnsi" w:cstheme="minorHAnsi"/>
          <w:sz w:val="22"/>
          <w:szCs w:val="22"/>
        </w:rPr>
        <w:t>male</w:t>
      </w:r>
      <w:r w:rsidRPr="00DB0C40">
        <w:rPr>
          <w:rFonts w:asciiTheme="minorHAnsi" w:eastAsia="Calibri Light" w:hAnsiTheme="minorHAnsi" w:cstheme="minorHAnsi"/>
          <w:spacing w:val="-4"/>
          <w:sz w:val="22"/>
          <w:szCs w:val="22"/>
        </w:rPr>
        <w:t xml:space="preserve"> </w:t>
      </w:r>
      <w:r w:rsidRPr="00DB0C40">
        <w:rPr>
          <w:rFonts w:asciiTheme="minorHAnsi" w:eastAsia="Calibri Light" w:hAnsiTheme="minorHAnsi" w:cstheme="minorHAnsi"/>
          <w:sz w:val="22"/>
          <w:szCs w:val="22"/>
        </w:rPr>
        <w:t>earnings</w:t>
      </w:r>
      <w:r w:rsidRPr="00DB0C40">
        <w:rPr>
          <w:rFonts w:asciiTheme="minorHAnsi" w:eastAsia="Calibri Light" w:hAnsiTheme="minorHAnsi" w:cstheme="minorHAnsi"/>
          <w:spacing w:val="-3"/>
          <w:sz w:val="22"/>
          <w:szCs w:val="22"/>
        </w:rPr>
        <w:t xml:space="preserve"> </w:t>
      </w:r>
      <w:r w:rsidRPr="00DB0C40">
        <w:rPr>
          <w:rFonts w:asciiTheme="minorHAnsi" w:eastAsia="Calibri Light" w:hAnsiTheme="minorHAnsi" w:cstheme="minorHAnsi"/>
          <w:sz w:val="22"/>
          <w:szCs w:val="22"/>
        </w:rPr>
        <w:t>(%)</w:t>
      </w:r>
    </w:p>
    <w:p w14:paraId="0331ECC1" w14:textId="77777777" w:rsidR="002557B7" w:rsidRPr="00DB0C40" w:rsidRDefault="002557B7" w:rsidP="002557B7">
      <w:pPr>
        <w:widowControl w:val="0"/>
        <w:autoSpaceDE w:val="0"/>
        <w:autoSpaceDN w:val="0"/>
        <w:spacing w:before="1"/>
        <w:rPr>
          <w:rFonts w:asciiTheme="minorHAnsi" w:eastAsia="Calibri Light" w:hAnsiTheme="minorHAnsi" w:cstheme="minorHAnsi"/>
          <w:sz w:val="22"/>
          <w:szCs w:val="22"/>
        </w:rPr>
      </w:pPr>
      <w:r w:rsidRPr="00DB0C40">
        <w:rPr>
          <w:rFonts w:asciiTheme="minorHAnsi" w:eastAsia="Calibri Light" w:hAnsiTheme="minorHAnsi" w:cstheme="minorHAnsi"/>
          <w:noProof/>
          <w:sz w:val="22"/>
          <w:szCs w:val="22"/>
          <w:lang w:eastAsia="en-GB"/>
        </w:rPr>
        <mc:AlternateContent>
          <mc:Choice Requires="wpg">
            <w:drawing>
              <wp:anchor distT="0" distB="0" distL="0" distR="0" simplePos="0" relativeHeight="251691008" behindDoc="1" locked="0" layoutInCell="1" allowOverlap="1" wp14:anchorId="774162C4" wp14:editId="2276F5BC">
                <wp:simplePos x="0" y="0"/>
                <wp:positionH relativeFrom="page">
                  <wp:posOffset>1406525</wp:posOffset>
                </wp:positionH>
                <wp:positionV relativeFrom="paragraph">
                  <wp:posOffset>142240</wp:posOffset>
                </wp:positionV>
                <wp:extent cx="4998720" cy="175260"/>
                <wp:effectExtent l="0" t="0" r="0" b="0"/>
                <wp:wrapTopAndBottom/>
                <wp:docPr id="377" name="Group 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8720" cy="175260"/>
                          <a:chOff x="2215" y="224"/>
                          <a:chExt cx="7872" cy="276"/>
                        </a:xfrm>
                      </wpg:grpSpPr>
                      <wps:wsp>
                        <wps:cNvPr id="378" name="Rectangle 367"/>
                        <wps:cNvSpPr>
                          <a:spLocks noChangeArrowheads="1"/>
                        </wps:cNvSpPr>
                        <wps:spPr bwMode="auto">
                          <a:xfrm>
                            <a:off x="2215" y="224"/>
                            <a:ext cx="7872" cy="276"/>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9" name="Freeform 368"/>
                        <wps:cNvSpPr>
                          <a:spLocks/>
                        </wps:cNvSpPr>
                        <wps:spPr bwMode="auto">
                          <a:xfrm>
                            <a:off x="4267" y="308"/>
                            <a:ext cx="96" cy="96"/>
                          </a:xfrm>
                          <a:custGeom>
                            <a:avLst/>
                            <a:gdLst>
                              <a:gd name="T0" fmla="+- 0 4315 4267"/>
                              <a:gd name="T1" fmla="*/ T0 w 96"/>
                              <a:gd name="T2" fmla="+- 0 308 308"/>
                              <a:gd name="T3" fmla="*/ 308 h 96"/>
                              <a:gd name="T4" fmla="+- 0 4297 4267"/>
                              <a:gd name="T5" fmla="*/ T4 w 96"/>
                              <a:gd name="T6" fmla="+- 0 312 308"/>
                              <a:gd name="T7" fmla="*/ 312 h 96"/>
                              <a:gd name="T8" fmla="+- 0 4281 4267"/>
                              <a:gd name="T9" fmla="*/ T8 w 96"/>
                              <a:gd name="T10" fmla="+- 0 322 308"/>
                              <a:gd name="T11" fmla="*/ 322 h 96"/>
                              <a:gd name="T12" fmla="+- 0 4271 4267"/>
                              <a:gd name="T13" fmla="*/ T12 w 96"/>
                              <a:gd name="T14" fmla="+- 0 338 308"/>
                              <a:gd name="T15" fmla="*/ 338 h 96"/>
                              <a:gd name="T16" fmla="+- 0 4267 4267"/>
                              <a:gd name="T17" fmla="*/ T16 w 96"/>
                              <a:gd name="T18" fmla="+- 0 356 308"/>
                              <a:gd name="T19" fmla="*/ 356 h 96"/>
                              <a:gd name="T20" fmla="+- 0 4271 4267"/>
                              <a:gd name="T21" fmla="*/ T20 w 96"/>
                              <a:gd name="T22" fmla="+- 0 375 308"/>
                              <a:gd name="T23" fmla="*/ 375 h 96"/>
                              <a:gd name="T24" fmla="+- 0 4281 4267"/>
                              <a:gd name="T25" fmla="*/ T24 w 96"/>
                              <a:gd name="T26" fmla="+- 0 390 308"/>
                              <a:gd name="T27" fmla="*/ 390 h 96"/>
                              <a:gd name="T28" fmla="+- 0 4297 4267"/>
                              <a:gd name="T29" fmla="*/ T28 w 96"/>
                              <a:gd name="T30" fmla="+- 0 400 308"/>
                              <a:gd name="T31" fmla="*/ 400 h 96"/>
                              <a:gd name="T32" fmla="+- 0 4315 4267"/>
                              <a:gd name="T33" fmla="*/ T32 w 96"/>
                              <a:gd name="T34" fmla="+- 0 404 308"/>
                              <a:gd name="T35" fmla="*/ 404 h 96"/>
                              <a:gd name="T36" fmla="+- 0 4334 4267"/>
                              <a:gd name="T37" fmla="*/ T36 w 96"/>
                              <a:gd name="T38" fmla="+- 0 400 308"/>
                              <a:gd name="T39" fmla="*/ 400 h 96"/>
                              <a:gd name="T40" fmla="+- 0 4349 4267"/>
                              <a:gd name="T41" fmla="*/ T40 w 96"/>
                              <a:gd name="T42" fmla="+- 0 390 308"/>
                              <a:gd name="T43" fmla="*/ 390 h 96"/>
                              <a:gd name="T44" fmla="+- 0 4359 4267"/>
                              <a:gd name="T45" fmla="*/ T44 w 96"/>
                              <a:gd name="T46" fmla="+- 0 375 308"/>
                              <a:gd name="T47" fmla="*/ 375 h 96"/>
                              <a:gd name="T48" fmla="+- 0 4363 4267"/>
                              <a:gd name="T49" fmla="*/ T48 w 96"/>
                              <a:gd name="T50" fmla="+- 0 356 308"/>
                              <a:gd name="T51" fmla="*/ 356 h 96"/>
                              <a:gd name="T52" fmla="+- 0 4359 4267"/>
                              <a:gd name="T53" fmla="*/ T52 w 96"/>
                              <a:gd name="T54" fmla="+- 0 338 308"/>
                              <a:gd name="T55" fmla="*/ 338 h 96"/>
                              <a:gd name="T56" fmla="+- 0 4349 4267"/>
                              <a:gd name="T57" fmla="*/ T56 w 96"/>
                              <a:gd name="T58" fmla="+- 0 322 308"/>
                              <a:gd name="T59" fmla="*/ 322 h 96"/>
                              <a:gd name="T60" fmla="+- 0 4334 4267"/>
                              <a:gd name="T61" fmla="*/ T60 w 96"/>
                              <a:gd name="T62" fmla="+- 0 312 308"/>
                              <a:gd name="T63" fmla="*/ 312 h 96"/>
                              <a:gd name="T64" fmla="+- 0 4315 4267"/>
                              <a:gd name="T65" fmla="*/ T64 w 96"/>
                              <a:gd name="T66" fmla="+- 0 308 308"/>
                              <a:gd name="T67" fmla="*/ 308 h 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6" h="96">
                                <a:moveTo>
                                  <a:pt x="48" y="0"/>
                                </a:moveTo>
                                <a:lnTo>
                                  <a:pt x="30" y="4"/>
                                </a:lnTo>
                                <a:lnTo>
                                  <a:pt x="14" y="14"/>
                                </a:lnTo>
                                <a:lnTo>
                                  <a:pt x="4" y="30"/>
                                </a:lnTo>
                                <a:lnTo>
                                  <a:pt x="0" y="48"/>
                                </a:lnTo>
                                <a:lnTo>
                                  <a:pt x="4" y="67"/>
                                </a:lnTo>
                                <a:lnTo>
                                  <a:pt x="14" y="82"/>
                                </a:lnTo>
                                <a:lnTo>
                                  <a:pt x="30" y="92"/>
                                </a:lnTo>
                                <a:lnTo>
                                  <a:pt x="48" y="96"/>
                                </a:lnTo>
                                <a:lnTo>
                                  <a:pt x="67" y="92"/>
                                </a:lnTo>
                                <a:lnTo>
                                  <a:pt x="82" y="82"/>
                                </a:lnTo>
                                <a:lnTo>
                                  <a:pt x="92" y="67"/>
                                </a:lnTo>
                                <a:lnTo>
                                  <a:pt x="96" y="48"/>
                                </a:lnTo>
                                <a:lnTo>
                                  <a:pt x="92" y="30"/>
                                </a:lnTo>
                                <a:lnTo>
                                  <a:pt x="82" y="14"/>
                                </a:lnTo>
                                <a:lnTo>
                                  <a:pt x="67" y="4"/>
                                </a:lnTo>
                                <a:lnTo>
                                  <a:pt x="48" y="0"/>
                                </a:lnTo>
                                <a:close/>
                              </a:path>
                            </a:pathLst>
                          </a:custGeom>
                          <a:solidFill>
                            <a:srgbClr val="ED7D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 name="Freeform 369"/>
                        <wps:cNvSpPr>
                          <a:spLocks/>
                        </wps:cNvSpPr>
                        <wps:spPr bwMode="auto">
                          <a:xfrm>
                            <a:off x="6859" y="308"/>
                            <a:ext cx="96" cy="96"/>
                          </a:xfrm>
                          <a:custGeom>
                            <a:avLst/>
                            <a:gdLst>
                              <a:gd name="T0" fmla="+- 0 6907 6859"/>
                              <a:gd name="T1" fmla="*/ T0 w 96"/>
                              <a:gd name="T2" fmla="+- 0 308 308"/>
                              <a:gd name="T3" fmla="*/ 308 h 96"/>
                              <a:gd name="T4" fmla="+- 0 6859 6859"/>
                              <a:gd name="T5" fmla="*/ T4 w 96"/>
                              <a:gd name="T6" fmla="+- 0 356 308"/>
                              <a:gd name="T7" fmla="*/ 356 h 96"/>
                              <a:gd name="T8" fmla="+- 0 6907 6859"/>
                              <a:gd name="T9" fmla="*/ T8 w 96"/>
                              <a:gd name="T10" fmla="+- 0 404 308"/>
                              <a:gd name="T11" fmla="*/ 404 h 96"/>
                              <a:gd name="T12" fmla="+- 0 6955 6859"/>
                              <a:gd name="T13" fmla="*/ T12 w 96"/>
                              <a:gd name="T14" fmla="+- 0 356 308"/>
                              <a:gd name="T15" fmla="*/ 356 h 96"/>
                              <a:gd name="T16" fmla="+- 0 6907 6859"/>
                              <a:gd name="T17" fmla="*/ T16 w 96"/>
                              <a:gd name="T18" fmla="+- 0 308 308"/>
                              <a:gd name="T19" fmla="*/ 308 h 96"/>
                            </a:gdLst>
                            <a:ahLst/>
                            <a:cxnLst>
                              <a:cxn ang="0">
                                <a:pos x="T1" y="T3"/>
                              </a:cxn>
                              <a:cxn ang="0">
                                <a:pos x="T5" y="T7"/>
                              </a:cxn>
                              <a:cxn ang="0">
                                <a:pos x="T9" y="T11"/>
                              </a:cxn>
                              <a:cxn ang="0">
                                <a:pos x="T13" y="T15"/>
                              </a:cxn>
                              <a:cxn ang="0">
                                <a:pos x="T17" y="T19"/>
                              </a:cxn>
                            </a:cxnLst>
                            <a:rect l="0" t="0" r="r" b="b"/>
                            <a:pathLst>
                              <a:path w="96" h="96">
                                <a:moveTo>
                                  <a:pt x="48" y="0"/>
                                </a:moveTo>
                                <a:lnTo>
                                  <a:pt x="0" y="48"/>
                                </a:lnTo>
                                <a:lnTo>
                                  <a:pt x="48" y="96"/>
                                </a:lnTo>
                                <a:lnTo>
                                  <a:pt x="96" y="48"/>
                                </a:lnTo>
                                <a:lnTo>
                                  <a:pt x="48" y="0"/>
                                </a:lnTo>
                                <a:close/>
                              </a:path>
                            </a:pathLst>
                          </a:custGeom>
                          <a:solidFill>
                            <a:srgbClr val="2E75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 name="Text Box 370"/>
                        <wps:cNvSpPr txBox="1">
                          <a:spLocks noChangeArrowheads="1"/>
                        </wps:cNvSpPr>
                        <wps:spPr bwMode="auto">
                          <a:xfrm>
                            <a:off x="4414" y="266"/>
                            <a:ext cx="416"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A65193" w14:textId="77777777" w:rsidR="00F23644" w:rsidRDefault="00F23644" w:rsidP="002557B7">
                              <w:pPr>
                                <w:spacing w:line="201" w:lineRule="exact"/>
                                <w:rPr>
                                  <w:rFonts w:ascii="Arial MT"/>
                                  <w:sz w:val="18"/>
                                </w:rPr>
                              </w:pPr>
                              <w:r>
                                <w:rPr>
                                  <w:rFonts w:ascii="Arial MT"/>
                                  <w:color w:val="585858"/>
                                  <w:sz w:val="18"/>
                                </w:rPr>
                                <w:t>2006</w:t>
                              </w:r>
                            </w:p>
                          </w:txbxContent>
                        </wps:txbx>
                        <wps:bodyPr rot="0" vert="horz" wrap="square" lIns="0" tIns="0" rIns="0" bIns="0" anchor="t" anchorCtr="0" upright="1">
                          <a:noAutofit/>
                        </wps:bodyPr>
                      </wps:wsp>
                      <wps:wsp>
                        <wps:cNvPr id="382" name="Text Box 371"/>
                        <wps:cNvSpPr txBox="1">
                          <a:spLocks noChangeArrowheads="1"/>
                        </wps:cNvSpPr>
                        <wps:spPr bwMode="auto">
                          <a:xfrm>
                            <a:off x="7004" y="266"/>
                            <a:ext cx="1113"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82551E" w14:textId="77777777" w:rsidR="00F23644" w:rsidRDefault="00F23644" w:rsidP="002557B7">
                              <w:pPr>
                                <w:spacing w:line="201" w:lineRule="exact"/>
                                <w:rPr>
                                  <w:rFonts w:ascii="Arial MT"/>
                                  <w:sz w:val="18"/>
                                </w:rPr>
                              </w:pPr>
                              <w:r>
                                <w:rPr>
                                  <w:rFonts w:ascii="Arial MT"/>
                                  <w:color w:val="585858"/>
                                  <w:sz w:val="18"/>
                                </w:rPr>
                                <w:t>2017</w:t>
                              </w:r>
                              <w:r>
                                <w:rPr>
                                  <w:rFonts w:ascii="Arial MT"/>
                                  <w:color w:val="585858"/>
                                  <w:spacing w:val="4"/>
                                  <w:sz w:val="18"/>
                                </w:rPr>
                                <w:t xml:space="preserve"> </w:t>
                              </w:r>
                              <w:r>
                                <w:rPr>
                                  <w:rFonts w:ascii="Arial MT"/>
                                  <w:color w:val="585858"/>
                                  <w:sz w:val="18"/>
                                </w:rPr>
                                <w:t>or</w:t>
                              </w:r>
                              <w:r>
                                <w:rPr>
                                  <w:rFonts w:ascii="Arial MT"/>
                                  <w:color w:val="585858"/>
                                  <w:spacing w:val="-4"/>
                                  <w:sz w:val="18"/>
                                </w:rPr>
                                <w:t xml:space="preserve"> </w:t>
                              </w:r>
                              <w:r>
                                <w:rPr>
                                  <w:rFonts w:ascii="Arial MT"/>
                                  <w:color w:val="585858"/>
                                  <w:sz w:val="18"/>
                                </w:rPr>
                                <w:t>latest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74162C4" id="Group 377" o:spid="_x0000_s1027" style="position:absolute;margin-left:110.75pt;margin-top:11.2pt;width:393.6pt;height:13.8pt;z-index:-251625472;mso-wrap-distance-left:0;mso-wrap-distance-right:0;mso-position-horizontal-relative:page" coordorigin="2215,224" coordsize="7872,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">
                <v:rect id="Rectangle 367" o:spid="_x0000_s1028" style="position:absolute;left:2215;top:224;width:7872;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" fillcolor="#e7e6e6" stroked="f"/>
                <v:shape id="Freeform 368" o:spid="_x0000_s1029" style="position:absolute;left:4267;top:308;width:96;height:96;visibility:visible;mso-wrap-style:square;v-text-anchor:top" coordsize="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" path="m48,l30,4,14,14,4,30,,48,4,67,14,82,30,92r18,4l67,92,82,82,92,67,96,48,92,30,82,14,67,4,48,xe" fillcolor="#ed7d31" stroked="f">
                  <v:path arrowok="t" o:connecttype="custom" o:connectlocs="48,308;30,312;14,322;4,338;0,356;4,375;14,390;30,400;48,404;67,400;82,390;92,375;96,356;92,338;82,322;67,312;48,308" o:connectangles="0,0,0,0,0,0,0,0,0,0,0,0,0,0,0,0,0"/>
                </v:shape>
                <v:shape id="Freeform 369" o:spid="_x0000_s1030" style="position:absolute;left:6859;top:308;width:96;height:96;visibility:visible;mso-wrap-style:square;v-text-anchor:top" coordsize="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" path="m48,l,48,48,96,96,48,48,xe" fillcolor="#2e75b6" stroked="f">
                  <v:path arrowok="t" o:connecttype="custom" o:connectlocs="48,308;0,356;48,404;96,356;48,308" o:connectangles="0,0,0,0,0"/>
                </v:shape>
                <v:shapetype id="_x0000_t202" coordsize="21600,21600" o:spt="202" path="m,l,21600r21600,l21600,xe">
                  <v:stroke joinstyle="miter"/>
                  <v:path gradientshapeok="t" o:connecttype="rect"/>
                </v:shapetype>
                <v:shape id="Text Box 370" o:spid="_x0000_s1031" type="#_x0000_t202" style="position:absolute;left:4414;top:266;width:416;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" filled="f" stroked="f">
                  <v:textbox inset="0,0,0,0">
                    <w:txbxContent>
                      <w:p w14:paraId="06A65193" w14:textId="77777777" w:rsidR="00F23644" w:rsidRDefault="00F23644" w:rsidP="002557B7">
                        <w:pPr>
                          <w:spacing w:line="201" w:lineRule="exact"/>
                          <w:rPr>
                            <w:rFonts w:ascii="Arial MT"/>
                            <w:sz w:val="18"/>
                          </w:rPr>
                        </w:pPr>
                        <w:r>
                          <w:rPr>
                            <w:rFonts w:ascii="Arial MT"/>
                            <w:color w:val="585858"/>
                            <w:sz w:val="18"/>
                          </w:rPr>
                          <w:t>2006</w:t>
                        </w:r>
                      </w:p>
                    </w:txbxContent>
                  </v:textbox>
                </v:shape>
                <v:shape id="Text Box 371" o:spid="_x0000_s1032" type="#_x0000_t202" style="position:absolute;left:7004;top:266;width:1113;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" filled="f" stroked="f">
                  <v:textbox inset="0,0,0,0">
                    <w:txbxContent>
                      <w:p w14:paraId="1282551E" w14:textId="77777777" w:rsidR="00F23644" w:rsidRDefault="00F23644" w:rsidP="002557B7">
                        <w:pPr>
                          <w:spacing w:line="201" w:lineRule="exact"/>
                          <w:rPr>
                            <w:rFonts w:ascii="Arial MT"/>
                            <w:sz w:val="18"/>
                          </w:rPr>
                        </w:pPr>
                        <w:r>
                          <w:rPr>
                            <w:rFonts w:ascii="Arial MT"/>
                            <w:color w:val="585858"/>
                            <w:sz w:val="18"/>
                          </w:rPr>
                          <w:t>2017</w:t>
                        </w:r>
                        <w:r>
                          <w:rPr>
                            <w:rFonts w:ascii="Arial MT"/>
                            <w:color w:val="585858"/>
                            <w:spacing w:val="4"/>
                            <w:sz w:val="18"/>
                          </w:rPr>
                          <w:t xml:space="preserve"> </w:t>
                        </w:r>
                        <w:r>
                          <w:rPr>
                            <w:rFonts w:ascii="Arial MT"/>
                            <w:color w:val="585858"/>
                            <w:sz w:val="18"/>
                          </w:rPr>
                          <w:t>or</w:t>
                        </w:r>
                        <w:r>
                          <w:rPr>
                            <w:rFonts w:ascii="Arial MT"/>
                            <w:color w:val="585858"/>
                            <w:spacing w:val="-4"/>
                            <w:sz w:val="18"/>
                          </w:rPr>
                          <w:t xml:space="preserve"> </w:t>
                        </w:r>
                        <w:r>
                          <w:rPr>
                            <w:rFonts w:ascii="Arial MT"/>
                            <w:color w:val="585858"/>
                            <w:sz w:val="18"/>
                          </w:rPr>
                          <w:t>latest</w:t>
                        </w:r>
                      </w:p>
                    </w:txbxContent>
                  </v:textbox>
                </v:shape>
                <w10:wrap type="topAndBottom" anchorx="page"/>
              </v:group>
            </w:pict>
          </mc:Fallback>
        </mc:AlternateContent>
      </w:r>
    </w:p>
    <w:p w14:paraId="2D546974" w14:textId="77777777" w:rsidR="002557B7" w:rsidRPr="00DB0C40" w:rsidRDefault="002557B7" w:rsidP="002557B7">
      <w:pPr>
        <w:widowControl w:val="0"/>
        <w:autoSpaceDE w:val="0"/>
        <w:autoSpaceDN w:val="0"/>
        <w:spacing w:before="75"/>
        <w:ind w:left="668"/>
        <w:rPr>
          <w:rFonts w:asciiTheme="minorHAnsi" w:eastAsia="Calibri Light" w:hAnsiTheme="minorHAnsi" w:cstheme="minorHAnsi"/>
          <w:sz w:val="22"/>
          <w:szCs w:val="22"/>
        </w:rPr>
      </w:pPr>
      <w:r w:rsidRPr="00DB0C40">
        <w:rPr>
          <w:rFonts w:asciiTheme="minorHAnsi" w:eastAsia="Calibri Light" w:hAnsiTheme="minorHAnsi" w:cstheme="minorHAnsi"/>
          <w:w w:val="105"/>
          <w:sz w:val="22"/>
          <w:szCs w:val="22"/>
        </w:rPr>
        <w:t>50</w:t>
      </w:r>
    </w:p>
    <w:p w14:paraId="1A5E499B" w14:textId="77777777" w:rsidR="002557B7" w:rsidRPr="00DB0C40" w:rsidRDefault="002557B7" w:rsidP="002557B7">
      <w:pPr>
        <w:widowControl w:val="0"/>
        <w:autoSpaceDE w:val="0"/>
        <w:autoSpaceDN w:val="0"/>
        <w:spacing w:before="39"/>
        <w:ind w:left="668"/>
        <w:rPr>
          <w:rFonts w:asciiTheme="minorHAnsi" w:eastAsia="Calibri Light" w:hAnsiTheme="minorHAnsi" w:cstheme="minorHAnsi"/>
          <w:sz w:val="22"/>
          <w:szCs w:val="22"/>
        </w:rPr>
      </w:pPr>
      <w:r w:rsidRPr="00DB0C40">
        <w:rPr>
          <w:rFonts w:asciiTheme="minorHAnsi" w:eastAsia="Calibri Light" w:hAnsiTheme="minorHAnsi" w:cstheme="minorHAnsi"/>
          <w:noProof/>
          <w:sz w:val="22"/>
          <w:szCs w:val="22"/>
          <w:lang w:eastAsia="en-GB"/>
        </w:rPr>
        <w:drawing>
          <wp:anchor distT="0" distB="0" distL="0" distR="0" simplePos="0" relativeHeight="251667456" behindDoc="0" locked="0" layoutInCell="1" allowOverlap="1" wp14:anchorId="48BE02F1" wp14:editId="3C83A2A1">
            <wp:simplePos x="0" y="0"/>
            <wp:positionH relativeFrom="page">
              <wp:posOffset>1818132</wp:posOffset>
            </wp:positionH>
            <wp:positionV relativeFrom="paragraph">
              <wp:posOffset>-91643</wp:posOffset>
            </wp:positionV>
            <wp:extent cx="76200" cy="76200"/>
            <wp:effectExtent l="0" t="0" r="0" b="0"/>
            <wp:wrapNone/>
            <wp:docPr id="323"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41.png"/>
                    <pic:cNvPicPr/>
                  </pic:nvPicPr>
                  <pic:blipFill>
                    <a:blip r:embed="rId20" cstate="print"/>
                    <a:stretch>
                      <a:fillRect/>
                    </a:stretch>
                  </pic:blipFill>
                  <pic:spPr>
                    <a:xfrm>
                      <a:off x="0" y="0"/>
                      <a:ext cx="76200" cy="76200"/>
                    </a:xfrm>
                    <a:prstGeom prst="rect">
                      <a:avLst/>
                    </a:prstGeom>
                  </pic:spPr>
                </pic:pic>
              </a:graphicData>
            </a:graphic>
          </wp:anchor>
        </w:drawing>
      </w:r>
      <w:r w:rsidRPr="00DB0C40">
        <w:rPr>
          <w:rFonts w:asciiTheme="minorHAnsi" w:eastAsia="Calibri Light" w:hAnsiTheme="minorHAnsi" w:cstheme="minorHAnsi"/>
          <w:noProof/>
          <w:sz w:val="22"/>
          <w:szCs w:val="22"/>
          <w:lang w:eastAsia="en-GB"/>
        </w:rPr>
        <mc:AlternateContent>
          <mc:Choice Requires="wps">
            <w:drawing>
              <wp:anchor distT="0" distB="0" distL="114300" distR="114300" simplePos="0" relativeHeight="251689984" behindDoc="0" locked="0" layoutInCell="1" allowOverlap="1" wp14:anchorId="2102D47B" wp14:editId="049E2BEF">
                <wp:simplePos x="0" y="0"/>
                <wp:positionH relativeFrom="page">
                  <wp:posOffset>1444625</wp:posOffset>
                </wp:positionH>
                <wp:positionV relativeFrom="paragraph">
                  <wp:posOffset>-53340</wp:posOffset>
                </wp:positionV>
                <wp:extent cx="4933950" cy="1348740"/>
                <wp:effectExtent l="0" t="0" r="3175" b="3810"/>
                <wp:wrapNone/>
                <wp:docPr id="376" name="Text Box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950" cy="1348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CellMar>
                                <w:left w:w="0" w:type="dxa"/>
                                <w:right w:w="0" w:type="dxa"/>
                              </w:tblCellMar>
                              <w:tblLook w:val="01E0" w:firstRow="1" w:lastRow="1" w:firstColumn="1" w:lastColumn="1" w:noHBand="0" w:noVBand="0"/>
                            </w:tblPr>
                            <w:tblGrid>
                              <w:gridCol w:w="216"/>
                              <w:gridCol w:w="432"/>
                              <w:gridCol w:w="432"/>
                              <w:gridCol w:w="420"/>
                              <w:gridCol w:w="432"/>
                              <w:gridCol w:w="432"/>
                              <w:gridCol w:w="432"/>
                              <w:gridCol w:w="432"/>
                              <w:gridCol w:w="432"/>
                              <w:gridCol w:w="432"/>
                              <w:gridCol w:w="432"/>
                              <w:gridCol w:w="432"/>
                              <w:gridCol w:w="432"/>
                              <w:gridCol w:w="432"/>
                              <w:gridCol w:w="420"/>
                              <w:gridCol w:w="432"/>
                              <w:gridCol w:w="432"/>
                              <w:gridCol w:w="432"/>
                              <w:gridCol w:w="216"/>
                            </w:tblGrid>
                            <w:tr w:rsidR="00F23644" w14:paraId="71675BA9" w14:textId="77777777">
                              <w:trPr>
                                <w:trHeight w:val="188"/>
                              </w:trPr>
                              <w:tc>
                                <w:tcPr>
                                  <w:tcW w:w="648" w:type="dxa"/>
                                  <w:gridSpan w:val="2"/>
                                  <w:tcBorders>
                                    <w:left w:val="nil"/>
                                    <w:right w:val="single" w:sz="6" w:space="0" w:color="A6A6A6"/>
                                  </w:tcBorders>
                                </w:tcPr>
                                <w:p w14:paraId="29D09C11" w14:textId="77777777" w:rsidR="00F23644" w:rsidRDefault="00F23644">
                                  <w:pPr>
                                    <w:pStyle w:val="TableParagraph"/>
                                    <w:rPr>
                                      <w:sz w:val="12"/>
                                    </w:rPr>
                                  </w:pPr>
                                </w:p>
                              </w:tc>
                              <w:tc>
                                <w:tcPr>
                                  <w:tcW w:w="7104" w:type="dxa"/>
                                  <w:gridSpan w:val="17"/>
                                  <w:tcBorders>
                                    <w:left w:val="single" w:sz="6" w:space="0" w:color="A6A6A6"/>
                                    <w:right w:val="nil"/>
                                  </w:tcBorders>
                                </w:tcPr>
                                <w:p w14:paraId="42FFFBB0" w14:textId="77777777" w:rsidR="00F23644" w:rsidRDefault="00F23644">
                                  <w:pPr>
                                    <w:pStyle w:val="TableParagraph"/>
                                    <w:rPr>
                                      <w:sz w:val="12"/>
                                    </w:rPr>
                                  </w:pPr>
                                </w:p>
                              </w:tc>
                            </w:tr>
                            <w:tr w:rsidR="00F23644" w14:paraId="45EACBE0" w14:textId="77777777">
                              <w:trPr>
                                <w:trHeight w:val="201"/>
                              </w:trPr>
                              <w:tc>
                                <w:tcPr>
                                  <w:tcW w:w="648" w:type="dxa"/>
                                  <w:gridSpan w:val="2"/>
                                  <w:tcBorders>
                                    <w:left w:val="nil"/>
                                    <w:right w:val="single" w:sz="6" w:space="0" w:color="A6A6A6"/>
                                  </w:tcBorders>
                                </w:tcPr>
                                <w:p w14:paraId="25346299" w14:textId="77777777" w:rsidR="00F23644" w:rsidRDefault="00F23644">
                                  <w:pPr>
                                    <w:pStyle w:val="TableParagraph"/>
                                    <w:rPr>
                                      <w:sz w:val="14"/>
                                    </w:rPr>
                                  </w:pPr>
                                </w:p>
                              </w:tc>
                              <w:tc>
                                <w:tcPr>
                                  <w:tcW w:w="7104" w:type="dxa"/>
                                  <w:gridSpan w:val="17"/>
                                  <w:tcBorders>
                                    <w:left w:val="single" w:sz="6" w:space="0" w:color="A6A6A6"/>
                                    <w:right w:val="nil"/>
                                  </w:tcBorders>
                                </w:tcPr>
                                <w:p w14:paraId="65B75954" w14:textId="77777777" w:rsidR="00F23644" w:rsidRDefault="00F23644">
                                  <w:pPr>
                                    <w:pStyle w:val="TableParagraph"/>
                                    <w:rPr>
                                      <w:sz w:val="14"/>
                                    </w:rPr>
                                  </w:pPr>
                                </w:p>
                              </w:tc>
                            </w:tr>
                            <w:tr w:rsidR="00F23644" w14:paraId="4BF03C18" w14:textId="77777777">
                              <w:trPr>
                                <w:trHeight w:val="201"/>
                              </w:trPr>
                              <w:tc>
                                <w:tcPr>
                                  <w:tcW w:w="216" w:type="dxa"/>
                                  <w:tcBorders>
                                    <w:left w:val="nil"/>
                                    <w:right w:val="single" w:sz="6" w:space="0" w:color="A6A6A6"/>
                                  </w:tcBorders>
                                </w:tcPr>
                                <w:p w14:paraId="5B9C1A7A" w14:textId="77777777" w:rsidR="00F23644" w:rsidRDefault="00F23644">
                                  <w:pPr>
                                    <w:pStyle w:val="TableParagraph"/>
                                    <w:rPr>
                                      <w:sz w:val="14"/>
                                    </w:rPr>
                                  </w:pPr>
                                </w:p>
                              </w:tc>
                              <w:tc>
                                <w:tcPr>
                                  <w:tcW w:w="432" w:type="dxa"/>
                                  <w:tcBorders>
                                    <w:left w:val="single" w:sz="6" w:space="0" w:color="A6A6A6"/>
                                    <w:right w:val="single" w:sz="6" w:space="0" w:color="A6A6A6"/>
                                  </w:tcBorders>
                                </w:tcPr>
                                <w:p w14:paraId="0EB0ACD0" w14:textId="77777777" w:rsidR="00F23644" w:rsidRDefault="00F23644">
                                  <w:pPr>
                                    <w:pStyle w:val="TableParagraph"/>
                                    <w:rPr>
                                      <w:sz w:val="14"/>
                                    </w:rPr>
                                  </w:pPr>
                                </w:p>
                              </w:tc>
                              <w:tc>
                                <w:tcPr>
                                  <w:tcW w:w="7104" w:type="dxa"/>
                                  <w:gridSpan w:val="17"/>
                                  <w:tcBorders>
                                    <w:left w:val="single" w:sz="6" w:space="0" w:color="A6A6A6"/>
                                    <w:right w:val="nil"/>
                                  </w:tcBorders>
                                </w:tcPr>
                                <w:p w14:paraId="2AE27005" w14:textId="77777777" w:rsidR="00F23644" w:rsidRDefault="00F23644">
                                  <w:pPr>
                                    <w:pStyle w:val="TableParagraph"/>
                                    <w:rPr>
                                      <w:sz w:val="14"/>
                                    </w:rPr>
                                  </w:pPr>
                                </w:p>
                              </w:tc>
                            </w:tr>
                            <w:tr w:rsidR="00F23644" w14:paraId="28CA3779" w14:textId="77777777">
                              <w:trPr>
                                <w:trHeight w:val="188"/>
                              </w:trPr>
                              <w:tc>
                                <w:tcPr>
                                  <w:tcW w:w="216" w:type="dxa"/>
                                  <w:tcBorders>
                                    <w:left w:val="nil"/>
                                    <w:right w:val="single" w:sz="6" w:space="0" w:color="A6A6A6"/>
                                  </w:tcBorders>
                                </w:tcPr>
                                <w:p w14:paraId="5A3E3B1C" w14:textId="77777777" w:rsidR="00F23644" w:rsidRDefault="00F23644">
                                  <w:pPr>
                                    <w:pStyle w:val="TableParagraph"/>
                                    <w:rPr>
                                      <w:sz w:val="12"/>
                                    </w:rPr>
                                  </w:pPr>
                                </w:p>
                              </w:tc>
                              <w:tc>
                                <w:tcPr>
                                  <w:tcW w:w="432" w:type="dxa"/>
                                  <w:tcBorders>
                                    <w:left w:val="single" w:sz="6" w:space="0" w:color="A6A6A6"/>
                                    <w:right w:val="single" w:sz="6" w:space="0" w:color="A6A6A6"/>
                                  </w:tcBorders>
                                </w:tcPr>
                                <w:p w14:paraId="206E8B93" w14:textId="77777777" w:rsidR="00F23644" w:rsidRDefault="00F23644">
                                  <w:pPr>
                                    <w:pStyle w:val="TableParagraph"/>
                                    <w:rPr>
                                      <w:sz w:val="12"/>
                                    </w:rPr>
                                  </w:pPr>
                                </w:p>
                              </w:tc>
                              <w:tc>
                                <w:tcPr>
                                  <w:tcW w:w="852" w:type="dxa"/>
                                  <w:gridSpan w:val="2"/>
                                  <w:tcBorders>
                                    <w:left w:val="single" w:sz="6" w:space="0" w:color="A6A6A6"/>
                                    <w:right w:val="single" w:sz="6" w:space="0" w:color="A6A6A6"/>
                                  </w:tcBorders>
                                </w:tcPr>
                                <w:p w14:paraId="4BED372E" w14:textId="77777777" w:rsidR="00F23644" w:rsidRDefault="00F23644">
                                  <w:pPr>
                                    <w:pStyle w:val="TableParagraph"/>
                                    <w:rPr>
                                      <w:sz w:val="12"/>
                                    </w:rPr>
                                  </w:pPr>
                                </w:p>
                              </w:tc>
                              <w:tc>
                                <w:tcPr>
                                  <w:tcW w:w="6252" w:type="dxa"/>
                                  <w:gridSpan w:val="15"/>
                                  <w:tcBorders>
                                    <w:left w:val="single" w:sz="6" w:space="0" w:color="A6A6A6"/>
                                    <w:right w:val="nil"/>
                                  </w:tcBorders>
                                </w:tcPr>
                                <w:p w14:paraId="666AC310" w14:textId="77777777" w:rsidR="00F23644" w:rsidRDefault="00F23644">
                                  <w:pPr>
                                    <w:pStyle w:val="TableParagraph"/>
                                    <w:spacing w:line="120" w:lineRule="exact"/>
                                    <w:ind w:left="-20"/>
                                    <w:rPr>
                                      <w:rFonts w:ascii="Calibri Light"/>
                                      <w:sz w:val="12"/>
                                    </w:rPr>
                                  </w:pPr>
                                  <w:r>
                                    <w:rPr>
                                      <w:rFonts w:ascii="Calibri Light"/>
                                      <w:noProof/>
                                      <w:position w:val="-1"/>
                                      <w:sz w:val="12"/>
                                      <w:lang w:val="en-GB" w:eastAsia="en-GB"/>
                                    </w:rPr>
                                    <w:drawing>
                                      <wp:inline distT="0" distB="0" distL="0" distR="0" wp14:anchorId="0D43673E" wp14:editId="6DDC6314">
                                        <wp:extent cx="53657" cy="76200"/>
                                        <wp:effectExtent l="0" t="0" r="0" b="0"/>
                                        <wp:docPr id="77"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51.png"/>
                                                <pic:cNvPicPr/>
                                              </pic:nvPicPr>
                                              <pic:blipFill>
                                                <a:blip r:embed="rId21" cstate="print"/>
                                                <a:stretch>
                                                  <a:fillRect/>
                                                </a:stretch>
                                              </pic:blipFill>
                                              <pic:spPr>
                                                <a:xfrm>
                                                  <a:off x="0" y="0"/>
                                                  <a:ext cx="53657" cy="76200"/>
                                                </a:xfrm>
                                                <a:prstGeom prst="rect">
                                                  <a:avLst/>
                                                </a:prstGeom>
                                              </pic:spPr>
                                            </pic:pic>
                                          </a:graphicData>
                                        </a:graphic>
                                      </wp:inline>
                                    </w:drawing>
                                  </w:r>
                                </w:p>
                              </w:tc>
                            </w:tr>
                            <w:tr w:rsidR="00F23644" w14:paraId="4B870269" w14:textId="77777777">
                              <w:trPr>
                                <w:trHeight w:val="201"/>
                              </w:trPr>
                              <w:tc>
                                <w:tcPr>
                                  <w:tcW w:w="216" w:type="dxa"/>
                                  <w:tcBorders>
                                    <w:left w:val="nil"/>
                                    <w:right w:val="single" w:sz="6" w:space="0" w:color="A6A6A6"/>
                                  </w:tcBorders>
                                </w:tcPr>
                                <w:p w14:paraId="70BEDDB1" w14:textId="77777777" w:rsidR="00F23644" w:rsidRDefault="00F23644">
                                  <w:pPr>
                                    <w:pStyle w:val="TableParagraph"/>
                                    <w:rPr>
                                      <w:sz w:val="14"/>
                                    </w:rPr>
                                  </w:pPr>
                                </w:p>
                              </w:tc>
                              <w:tc>
                                <w:tcPr>
                                  <w:tcW w:w="432" w:type="dxa"/>
                                  <w:tcBorders>
                                    <w:left w:val="single" w:sz="6" w:space="0" w:color="A6A6A6"/>
                                    <w:right w:val="single" w:sz="6" w:space="0" w:color="A6A6A6"/>
                                  </w:tcBorders>
                                </w:tcPr>
                                <w:p w14:paraId="654BCD1A" w14:textId="77777777" w:rsidR="00F23644" w:rsidRDefault="00F23644">
                                  <w:pPr>
                                    <w:pStyle w:val="TableParagraph"/>
                                    <w:rPr>
                                      <w:sz w:val="14"/>
                                    </w:rPr>
                                  </w:pPr>
                                </w:p>
                              </w:tc>
                              <w:tc>
                                <w:tcPr>
                                  <w:tcW w:w="432" w:type="dxa"/>
                                  <w:tcBorders>
                                    <w:left w:val="single" w:sz="6" w:space="0" w:color="A6A6A6"/>
                                    <w:right w:val="single" w:sz="6" w:space="0" w:color="A6A6A6"/>
                                  </w:tcBorders>
                                </w:tcPr>
                                <w:p w14:paraId="28085DC0" w14:textId="77777777" w:rsidR="00F23644" w:rsidRDefault="00F23644">
                                  <w:pPr>
                                    <w:pStyle w:val="TableParagraph"/>
                                    <w:rPr>
                                      <w:sz w:val="14"/>
                                    </w:rPr>
                                  </w:pPr>
                                </w:p>
                              </w:tc>
                              <w:tc>
                                <w:tcPr>
                                  <w:tcW w:w="420" w:type="dxa"/>
                                  <w:tcBorders>
                                    <w:left w:val="single" w:sz="6" w:space="0" w:color="A6A6A6"/>
                                    <w:right w:val="single" w:sz="6" w:space="0" w:color="A6A6A6"/>
                                  </w:tcBorders>
                                </w:tcPr>
                                <w:p w14:paraId="64015987" w14:textId="77777777" w:rsidR="00F23644" w:rsidRDefault="00F23644">
                                  <w:pPr>
                                    <w:pStyle w:val="TableParagraph"/>
                                    <w:rPr>
                                      <w:sz w:val="14"/>
                                    </w:rPr>
                                  </w:pPr>
                                </w:p>
                              </w:tc>
                              <w:tc>
                                <w:tcPr>
                                  <w:tcW w:w="6252" w:type="dxa"/>
                                  <w:gridSpan w:val="15"/>
                                  <w:tcBorders>
                                    <w:left w:val="single" w:sz="6" w:space="0" w:color="A6A6A6"/>
                                    <w:right w:val="nil"/>
                                  </w:tcBorders>
                                </w:tcPr>
                                <w:p w14:paraId="22D47486" w14:textId="77777777" w:rsidR="00F23644" w:rsidRDefault="00F23644">
                                  <w:pPr>
                                    <w:pStyle w:val="TableParagraph"/>
                                    <w:rPr>
                                      <w:sz w:val="14"/>
                                    </w:rPr>
                                  </w:pPr>
                                </w:p>
                              </w:tc>
                            </w:tr>
                            <w:tr w:rsidR="00F23644" w14:paraId="7AD5A388" w14:textId="77777777">
                              <w:trPr>
                                <w:trHeight w:val="201"/>
                              </w:trPr>
                              <w:tc>
                                <w:tcPr>
                                  <w:tcW w:w="216" w:type="dxa"/>
                                  <w:tcBorders>
                                    <w:left w:val="nil"/>
                                    <w:right w:val="single" w:sz="6" w:space="0" w:color="A6A6A6"/>
                                  </w:tcBorders>
                                </w:tcPr>
                                <w:p w14:paraId="157445CC" w14:textId="77777777" w:rsidR="00F23644" w:rsidRDefault="00F23644">
                                  <w:pPr>
                                    <w:pStyle w:val="TableParagraph"/>
                                    <w:rPr>
                                      <w:sz w:val="14"/>
                                    </w:rPr>
                                  </w:pPr>
                                </w:p>
                              </w:tc>
                              <w:tc>
                                <w:tcPr>
                                  <w:tcW w:w="432" w:type="dxa"/>
                                  <w:tcBorders>
                                    <w:left w:val="single" w:sz="6" w:space="0" w:color="A6A6A6"/>
                                    <w:right w:val="single" w:sz="6" w:space="0" w:color="A6A6A6"/>
                                  </w:tcBorders>
                                </w:tcPr>
                                <w:p w14:paraId="28A659CF" w14:textId="77777777" w:rsidR="00F23644" w:rsidRDefault="00F23644">
                                  <w:pPr>
                                    <w:pStyle w:val="TableParagraph"/>
                                    <w:rPr>
                                      <w:sz w:val="14"/>
                                    </w:rPr>
                                  </w:pPr>
                                </w:p>
                              </w:tc>
                              <w:tc>
                                <w:tcPr>
                                  <w:tcW w:w="432" w:type="dxa"/>
                                  <w:tcBorders>
                                    <w:left w:val="single" w:sz="6" w:space="0" w:color="A6A6A6"/>
                                    <w:right w:val="single" w:sz="6" w:space="0" w:color="A6A6A6"/>
                                  </w:tcBorders>
                                </w:tcPr>
                                <w:p w14:paraId="10D0249B" w14:textId="77777777" w:rsidR="00F23644" w:rsidRDefault="00F23644">
                                  <w:pPr>
                                    <w:pStyle w:val="TableParagraph"/>
                                    <w:rPr>
                                      <w:sz w:val="14"/>
                                    </w:rPr>
                                  </w:pPr>
                                </w:p>
                              </w:tc>
                              <w:tc>
                                <w:tcPr>
                                  <w:tcW w:w="420" w:type="dxa"/>
                                  <w:tcBorders>
                                    <w:left w:val="single" w:sz="6" w:space="0" w:color="A6A6A6"/>
                                    <w:right w:val="single" w:sz="6" w:space="0" w:color="A6A6A6"/>
                                  </w:tcBorders>
                                </w:tcPr>
                                <w:p w14:paraId="1C190FF3" w14:textId="77777777" w:rsidR="00F23644" w:rsidRDefault="00F23644">
                                  <w:pPr>
                                    <w:pStyle w:val="TableParagraph"/>
                                    <w:rPr>
                                      <w:sz w:val="14"/>
                                    </w:rPr>
                                  </w:pPr>
                                </w:p>
                              </w:tc>
                              <w:tc>
                                <w:tcPr>
                                  <w:tcW w:w="864" w:type="dxa"/>
                                  <w:gridSpan w:val="2"/>
                                  <w:tcBorders>
                                    <w:left w:val="single" w:sz="6" w:space="0" w:color="A6A6A6"/>
                                    <w:right w:val="single" w:sz="6" w:space="0" w:color="A6A6A6"/>
                                  </w:tcBorders>
                                </w:tcPr>
                                <w:p w14:paraId="08859541" w14:textId="77777777" w:rsidR="00F23644" w:rsidRDefault="00F23644">
                                  <w:pPr>
                                    <w:pStyle w:val="TableParagraph"/>
                                    <w:rPr>
                                      <w:sz w:val="14"/>
                                    </w:rPr>
                                  </w:pPr>
                                </w:p>
                              </w:tc>
                              <w:tc>
                                <w:tcPr>
                                  <w:tcW w:w="5388" w:type="dxa"/>
                                  <w:gridSpan w:val="13"/>
                                  <w:tcBorders>
                                    <w:left w:val="single" w:sz="6" w:space="0" w:color="A6A6A6"/>
                                    <w:right w:val="nil"/>
                                  </w:tcBorders>
                                </w:tcPr>
                                <w:p w14:paraId="07BB8608" w14:textId="77777777" w:rsidR="00F23644" w:rsidRDefault="00F23644">
                                  <w:pPr>
                                    <w:pStyle w:val="TableParagraph"/>
                                    <w:spacing w:before="9"/>
                                    <w:rPr>
                                      <w:rFonts w:ascii="Calibri Light"/>
                                      <w:sz w:val="5"/>
                                    </w:rPr>
                                  </w:pPr>
                                </w:p>
                                <w:p w14:paraId="401182D9" w14:textId="77777777" w:rsidR="00F23644" w:rsidRDefault="00F23644">
                                  <w:pPr>
                                    <w:pStyle w:val="TableParagraph"/>
                                    <w:spacing w:line="120" w:lineRule="exact"/>
                                    <w:ind w:left="1240"/>
                                    <w:rPr>
                                      <w:rFonts w:ascii="Calibri Light"/>
                                      <w:sz w:val="12"/>
                                    </w:rPr>
                                  </w:pPr>
                                  <w:r>
                                    <w:rPr>
                                      <w:rFonts w:ascii="Calibri Light"/>
                                      <w:noProof/>
                                      <w:position w:val="-1"/>
                                      <w:sz w:val="12"/>
                                      <w:lang w:val="en-GB" w:eastAsia="en-GB"/>
                                    </w:rPr>
                                    <w:drawing>
                                      <wp:inline distT="0" distB="0" distL="0" distR="0" wp14:anchorId="3AD1E0E4" wp14:editId="20AD5097">
                                        <wp:extent cx="76200" cy="76200"/>
                                        <wp:effectExtent l="0" t="0" r="0" b="0"/>
                                        <wp:docPr id="79"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59.png"/>
                                                <pic:cNvPicPr/>
                                              </pic:nvPicPr>
                                              <pic:blipFill>
                                                <a:blip r:embed="rId22" cstate="print"/>
                                                <a:stretch>
                                                  <a:fillRect/>
                                                </a:stretch>
                                              </pic:blipFill>
                                              <pic:spPr>
                                                <a:xfrm>
                                                  <a:off x="0" y="0"/>
                                                  <a:ext cx="76200" cy="76200"/>
                                                </a:xfrm>
                                                <a:prstGeom prst="rect">
                                                  <a:avLst/>
                                                </a:prstGeom>
                                              </pic:spPr>
                                            </pic:pic>
                                          </a:graphicData>
                                        </a:graphic>
                                      </wp:inline>
                                    </w:drawing>
                                  </w:r>
                                </w:p>
                              </w:tc>
                            </w:tr>
                            <w:tr w:rsidR="00F23644" w14:paraId="047D3244" w14:textId="77777777">
                              <w:trPr>
                                <w:trHeight w:val="188"/>
                              </w:trPr>
                              <w:tc>
                                <w:tcPr>
                                  <w:tcW w:w="216" w:type="dxa"/>
                                  <w:tcBorders>
                                    <w:left w:val="nil"/>
                                    <w:right w:val="single" w:sz="6" w:space="0" w:color="A6A6A6"/>
                                  </w:tcBorders>
                                </w:tcPr>
                                <w:p w14:paraId="70EF9D67" w14:textId="77777777" w:rsidR="00F23644" w:rsidRDefault="00F23644">
                                  <w:pPr>
                                    <w:pStyle w:val="TableParagraph"/>
                                    <w:rPr>
                                      <w:sz w:val="12"/>
                                    </w:rPr>
                                  </w:pPr>
                                </w:p>
                              </w:tc>
                              <w:tc>
                                <w:tcPr>
                                  <w:tcW w:w="432" w:type="dxa"/>
                                  <w:tcBorders>
                                    <w:left w:val="single" w:sz="6" w:space="0" w:color="A6A6A6"/>
                                    <w:right w:val="single" w:sz="6" w:space="0" w:color="A6A6A6"/>
                                  </w:tcBorders>
                                </w:tcPr>
                                <w:p w14:paraId="33766225" w14:textId="77777777" w:rsidR="00F23644" w:rsidRDefault="00F23644">
                                  <w:pPr>
                                    <w:pStyle w:val="TableParagraph"/>
                                    <w:rPr>
                                      <w:sz w:val="12"/>
                                    </w:rPr>
                                  </w:pPr>
                                </w:p>
                              </w:tc>
                              <w:tc>
                                <w:tcPr>
                                  <w:tcW w:w="432" w:type="dxa"/>
                                  <w:tcBorders>
                                    <w:left w:val="single" w:sz="6" w:space="0" w:color="A6A6A6"/>
                                    <w:right w:val="single" w:sz="6" w:space="0" w:color="A6A6A6"/>
                                  </w:tcBorders>
                                </w:tcPr>
                                <w:p w14:paraId="5F9FE44E" w14:textId="77777777" w:rsidR="00F23644" w:rsidRDefault="00F23644">
                                  <w:pPr>
                                    <w:pStyle w:val="TableParagraph"/>
                                    <w:rPr>
                                      <w:sz w:val="12"/>
                                    </w:rPr>
                                  </w:pPr>
                                </w:p>
                              </w:tc>
                              <w:tc>
                                <w:tcPr>
                                  <w:tcW w:w="420" w:type="dxa"/>
                                  <w:tcBorders>
                                    <w:left w:val="single" w:sz="6" w:space="0" w:color="A6A6A6"/>
                                    <w:right w:val="single" w:sz="6" w:space="0" w:color="A6A6A6"/>
                                  </w:tcBorders>
                                </w:tcPr>
                                <w:p w14:paraId="14066D63" w14:textId="77777777" w:rsidR="00F23644" w:rsidRDefault="00F23644">
                                  <w:pPr>
                                    <w:pStyle w:val="TableParagraph"/>
                                    <w:rPr>
                                      <w:sz w:val="12"/>
                                    </w:rPr>
                                  </w:pPr>
                                </w:p>
                              </w:tc>
                              <w:tc>
                                <w:tcPr>
                                  <w:tcW w:w="432" w:type="dxa"/>
                                  <w:tcBorders>
                                    <w:left w:val="single" w:sz="6" w:space="0" w:color="A6A6A6"/>
                                    <w:right w:val="single" w:sz="6" w:space="0" w:color="A6A6A6"/>
                                  </w:tcBorders>
                                </w:tcPr>
                                <w:p w14:paraId="559F3BC4" w14:textId="77777777" w:rsidR="00F23644" w:rsidRDefault="00F23644">
                                  <w:pPr>
                                    <w:pStyle w:val="TableParagraph"/>
                                    <w:rPr>
                                      <w:sz w:val="12"/>
                                    </w:rPr>
                                  </w:pPr>
                                </w:p>
                              </w:tc>
                              <w:tc>
                                <w:tcPr>
                                  <w:tcW w:w="432" w:type="dxa"/>
                                  <w:tcBorders>
                                    <w:left w:val="single" w:sz="6" w:space="0" w:color="A6A6A6"/>
                                    <w:right w:val="single" w:sz="6" w:space="0" w:color="A6A6A6"/>
                                  </w:tcBorders>
                                </w:tcPr>
                                <w:p w14:paraId="58C4AF02" w14:textId="77777777" w:rsidR="00F23644" w:rsidRDefault="00F23644">
                                  <w:pPr>
                                    <w:pStyle w:val="TableParagraph"/>
                                    <w:rPr>
                                      <w:sz w:val="12"/>
                                    </w:rPr>
                                  </w:pPr>
                                </w:p>
                              </w:tc>
                              <w:tc>
                                <w:tcPr>
                                  <w:tcW w:w="432" w:type="dxa"/>
                                  <w:tcBorders>
                                    <w:left w:val="single" w:sz="6" w:space="0" w:color="A6A6A6"/>
                                    <w:right w:val="single" w:sz="6" w:space="0" w:color="A6A6A6"/>
                                  </w:tcBorders>
                                </w:tcPr>
                                <w:p w14:paraId="0C7AD3A5" w14:textId="77777777" w:rsidR="00F23644" w:rsidRDefault="00F23644">
                                  <w:pPr>
                                    <w:pStyle w:val="TableParagraph"/>
                                    <w:rPr>
                                      <w:sz w:val="12"/>
                                    </w:rPr>
                                  </w:pPr>
                                </w:p>
                              </w:tc>
                              <w:tc>
                                <w:tcPr>
                                  <w:tcW w:w="432" w:type="dxa"/>
                                  <w:tcBorders>
                                    <w:left w:val="single" w:sz="6" w:space="0" w:color="A6A6A6"/>
                                    <w:right w:val="single" w:sz="6" w:space="0" w:color="A6A6A6"/>
                                  </w:tcBorders>
                                </w:tcPr>
                                <w:p w14:paraId="5F161457" w14:textId="77777777" w:rsidR="00F23644" w:rsidRDefault="00F23644">
                                  <w:pPr>
                                    <w:pStyle w:val="TableParagraph"/>
                                    <w:rPr>
                                      <w:sz w:val="12"/>
                                    </w:rPr>
                                  </w:pPr>
                                </w:p>
                              </w:tc>
                              <w:tc>
                                <w:tcPr>
                                  <w:tcW w:w="432" w:type="dxa"/>
                                  <w:tcBorders>
                                    <w:left w:val="single" w:sz="6" w:space="0" w:color="A6A6A6"/>
                                    <w:right w:val="single" w:sz="6" w:space="0" w:color="A6A6A6"/>
                                  </w:tcBorders>
                                </w:tcPr>
                                <w:p w14:paraId="6D173EAB" w14:textId="77777777" w:rsidR="00F23644" w:rsidRDefault="00F23644">
                                  <w:pPr>
                                    <w:pStyle w:val="TableParagraph"/>
                                    <w:rPr>
                                      <w:sz w:val="12"/>
                                    </w:rPr>
                                  </w:pPr>
                                </w:p>
                              </w:tc>
                              <w:tc>
                                <w:tcPr>
                                  <w:tcW w:w="432" w:type="dxa"/>
                                  <w:tcBorders>
                                    <w:left w:val="single" w:sz="6" w:space="0" w:color="A6A6A6"/>
                                    <w:right w:val="single" w:sz="6" w:space="0" w:color="A6A6A6"/>
                                  </w:tcBorders>
                                </w:tcPr>
                                <w:p w14:paraId="2FCC29FF" w14:textId="77777777" w:rsidR="00F23644" w:rsidRDefault="00F23644">
                                  <w:pPr>
                                    <w:pStyle w:val="TableParagraph"/>
                                    <w:rPr>
                                      <w:sz w:val="12"/>
                                    </w:rPr>
                                  </w:pPr>
                                </w:p>
                              </w:tc>
                              <w:tc>
                                <w:tcPr>
                                  <w:tcW w:w="432" w:type="dxa"/>
                                  <w:tcBorders>
                                    <w:left w:val="single" w:sz="6" w:space="0" w:color="A6A6A6"/>
                                    <w:right w:val="single" w:sz="6" w:space="0" w:color="A6A6A6"/>
                                  </w:tcBorders>
                                </w:tcPr>
                                <w:p w14:paraId="4673E97D" w14:textId="77777777" w:rsidR="00F23644" w:rsidRDefault="00F23644">
                                  <w:pPr>
                                    <w:pStyle w:val="TableParagraph"/>
                                    <w:rPr>
                                      <w:sz w:val="12"/>
                                    </w:rPr>
                                  </w:pPr>
                                </w:p>
                              </w:tc>
                              <w:tc>
                                <w:tcPr>
                                  <w:tcW w:w="864" w:type="dxa"/>
                                  <w:gridSpan w:val="2"/>
                                  <w:tcBorders>
                                    <w:left w:val="single" w:sz="6" w:space="0" w:color="A6A6A6"/>
                                    <w:right w:val="single" w:sz="6" w:space="0" w:color="A6A6A6"/>
                                  </w:tcBorders>
                                </w:tcPr>
                                <w:p w14:paraId="67D12FAF" w14:textId="77777777" w:rsidR="00F23644" w:rsidRDefault="00F23644">
                                  <w:pPr>
                                    <w:pStyle w:val="TableParagraph"/>
                                    <w:rPr>
                                      <w:sz w:val="12"/>
                                    </w:rPr>
                                  </w:pPr>
                                </w:p>
                              </w:tc>
                              <w:tc>
                                <w:tcPr>
                                  <w:tcW w:w="852" w:type="dxa"/>
                                  <w:gridSpan w:val="2"/>
                                  <w:tcBorders>
                                    <w:left w:val="single" w:sz="6" w:space="0" w:color="A6A6A6"/>
                                    <w:right w:val="single" w:sz="6" w:space="0" w:color="A6A6A6"/>
                                  </w:tcBorders>
                                </w:tcPr>
                                <w:p w14:paraId="5F1F2D28" w14:textId="77777777" w:rsidR="00F23644" w:rsidRDefault="00F23644">
                                  <w:pPr>
                                    <w:pStyle w:val="TableParagraph"/>
                                    <w:rPr>
                                      <w:sz w:val="12"/>
                                    </w:rPr>
                                  </w:pPr>
                                </w:p>
                              </w:tc>
                              <w:tc>
                                <w:tcPr>
                                  <w:tcW w:w="1512" w:type="dxa"/>
                                  <w:gridSpan w:val="4"/>
                                  <w:tcBorders>
                                    <w:left w:val="single" w:sz="6" w:space="0" w:color="A6A6A6"/>
                                    <w:right w:val="nil"/>
                                  </w:tcBorders>
                                </w:tcPr>
                                <w:p w14:paraId="4A14368A" w14:textId="77777777" w:rsidR="00F23644" w:rsidRDefault="00F23644">
                                  <w:pPr>
                                    <w:pStyle w:val="TableParagraph"/>
                                    <w:spacing w:line="105" w:lineRule="exact"/>
                                    <w:ind w:left="-20"/>
                                    <w:rPr>
                                      <w:rFonts w:ascii="Calibri Light"/>
                                      <w:sz w:val="10"/>
                                    </w:rPr>
                                  </w:pPr>
                                  <w:r>
                                    <w:rPr>
                                      <w:rFonts w:ascii="Calibri Light"/>
                                      <w:noProof/>
                                      <w:position w:val="-1"/>
                                      <w:sz w:val="10"/>
                                      <w:lang w:val="en-GB" w:eastAsia="en-GB"/>
                                    </w:rPr>
                                    <w:drawing>
                                      <wp:inline distT="0" distB="0" distL="0" distR="0" wp14:anchorId="33F96874" wp14:editId="0228FB71">
                                        <wp:extent cx="53204" cy="67055"/>
                                        <wp:effectExtent l="0" t="0" r="0" b="0"/>
                                        <wp:docPr id="81"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60.png"/>
                                                <pic:cNvPicPr/>
                                              </pic:nvPicPr>
                                              <pic:blipFill>
                                                <a:blip r:embed="rId23" cstate="print"/>
                                                <a:stretch>
                                                  <a:fillRect/>
                                                </a:stretch>
                                              </pic:blipFill>
                                              <pic:spPr>
                                                <a:xfrm>
                                                  <a:off x="0" y="0"/>
                                                  <a:ext cx="53204" cy="67055"/>
                                                </a:xfrm>
                                                <a:prstGeom prst="rect">
                                                  <a:avLst/>
                                                </a:prstGeom>
                                              </pic:spPr>
                                            </pic:pic>
                                          </a:graphicData>
                                        </a:graphic>
                                      </wp:inline>
                                    </w:drawing>
                                  </w:r>
                                </w:p>
                              </w:tc>
                            </w:tr>
                            <w:tr w:rsidR="00F23644" w14:paraId="56B299AB" w14:textId="77777777">
                              <w:trPr>
                                <w:trHeight w:val="201"/>
                              </w:trPr>
                              <w:tc>
                                <w:tcPr>
                                  <w:tcW w:w="216" w:type="dxa"/>
                                  <w:tcBorders>
                                    <w:left w:val="nil"/>
                                    <w:right w:val="single" w:sz="6" w:space="0" w:color="A6A6A6"/>
                                  </w:tcBorders>
                                </w:tcPr>
                                <w:p w14:paraId="51FDFDEB" w14:textId="77777777" w:rsidR="00F23644" w:rsidRDefault="00F23644">
                                  <w:pPr>
                                    <w:pStyle w:val="TableParagraph"/>
                                    <w:rPr>
                                      <w:sz w:val="14"/>
                                    </w:rPr>
                                  </w:pPr>
                                </w:p>
                              </w:tc>
                              <w:tc>
                                <w:tcPr>
                                  <w:tcW w:w="432" w:type="dxa"/>
                                  <w:tcBorders>
                                    <w:left w:val="single" w:sz="6" w:space="0" w:color="A6A6A6"/>
                                    <w:right w:val="single" w:sz="6" w:space="0" w:color="A6A6A6"/>
                                  </w:tcBorders>
                                </w:tcPr>
                                <w:p w14:paraId="18030873" w14:textId="77777777" w:rsidR="00F23644" w:rsidRDefault="00F23644">
                                  <w:pPr>
                                    <w:pStyle w:val="TableParagraph"/>
                                    <w:rPr>
                                      <w:sz w:val="14"/>
                                    </w:rPr>
                                  </w:pPr>
                                </w:p>
                              </w:tc>
                              <w:tc>
                                <w:tcPr>
                                  <w:tcW w:w="432" w:type="dxa"/>
                                  <w:tcBorders>
                                    <w:left w:val="single" w:sz="6" w:space="0" w:color="A6A6A6"/>
                                    <w:right w:val="single" w:sz="6" w:space="0" w:color="A6A6A6"/>
                                  </w:tcBorders>
                                </w:tcPr>
                                <w:p w14:paraId="4767E2B8" w14:textId="77777777" w:rsidR="00F23644" w:rsidRDefault="00F23644">
                                  <w:pPr>
                                    <w:pStyle w:val="TableParagraph"/>
                                    <w:rPr>
                                      <w:sz w:val="14"/>
                                    </w:rPr>
                                  </w:pPr>
                                </w:p>
                              </w:tc>
                              <w:tc>
                                <w:tcPr>
                                  <w:tcW w:w="420" w:type="dxa"/>
                                  <w:tcBorders>
                                    <w:left w:val="single" w:sz="6" w:space="0" w:color="A6A6A6"/>
                                    <w:right w:val="single" w:sz="6" w:space="0" w:color="A6A6A6"/>
                                  </w:tcBorders>
                                </w:tcPr>
                                <w:p w14:paraId="7771767F" w14:textId="77777777" w:rsidR="00F23644" w:rsidRDefault="00F23644">
                                  <w:pPr>
                                    <w:pStyle w:val="TableParagraph"/>
                                    <w:rPr>
                                      <w:sz w:val="14"/>
                                    </w:rPr>
                                  </w:pPr>
                                </w:p>
                              </w:tc>
                              <w:tc>
                                <w:tcPr>
                                  <w:tcW w:w="432" w:type="dxa"/>
                                  <w:tcBorders>
                                    <w:left w:val="single" w:sz="6" w:space="0" w:color="A6A6A6"/>
                                    <w:right w:val="single" w:sz="6" w:space="0" w:color="A6A6A6"/>
                                  </w:tcBorders>
                                </w:tcPr>
                                <w:p w14:paraId="56DBD52E" w14:textId="77777777" w:rsidR="00F23644" w:rsidRDefault="00F23644">
                                  <w:pPr>
                                    <w:pStyle w:val="TableParagraph"/>
                                    <w:rPr>
                                      <w:sz w:val="14"/>
                                    </w:rPr>
                                  </w:pPr>
                                </w:p>
                              </w:tc>
                              <w:tc>
                                <w:tcPr>
                                  <w:tcW w:w="432" w:type="dxa"/>
                                  <w:tcBorders>
                                    <w:left w:val="single" w:sz="6" w:space="0" w:color="A6A6A6"/>
                                    <w:right w:val="single" w:sz="6" w:space="0" w:color="A6A6A6"/>
                                  </w:tcBorders>
                                </w:tcPr>
                                <w:p w14:paraId="4A8E270B" w14:textId="77777777" w:rsidR="00F23644" w:rsidRDefault="00F23644">
                                  <w:pPr>
                                    <w:pStyle w:val="TableParagraph"/>
                                    <w:rPr>
                                      <w:sz w:val="14"/>
                                    </w:rPr>
                                  </w:pPr>
                                </w:p>
                              </w:tc>
                              <w:tc>
                                <w:tcPr>
                                  <w:tcW w:w="432" w:type="dxa"/>
                                  <w:tcBorders>
                                    <w:left w:val="single" w:sz="6" w:space="0" w:color="A6A6A6"/>
                                    <w:right w:val="single" w:sz="6" w:space="0" w:color="A6A6A6"/>
                                  </w:tcBorders>
                                </w:tcPr>
                                <w:p w14:paraId="4A7CA8F6" w14:textId="77777777" w:rsidR="00F23644" w:rsidRDefault="00F23644">
                                  <w:pPr>
                                    <w:pStyle w:val="TableParagraph"/>
                                    <w:rPr>
                                      <w:sz w:val="14"/>
                                    </w:rPr>
                                  </w:pPr>
                                </w:p>
                              </w:tc>
                              <w:tc>
                                <w:tcPr>
                                  <w:tcW w:w="432" w:type="dxa"/>
                                  <w:tcBorders>
                                    <w:left w:val="single" w:sz="6" w:space="0" w:color="A6A6A6"/>
                                    <w:right w:val="single" w:sz="6" w:space="0" w:color="A6A6A6"/>
                                  </w:tcBorders>
                                </w:tcPr>
                                <w:p w14:paraId="2B6AC8A6" w14:textId="77777777" w:rsidR="00F23644" w:rsidRDefault="00F23644">
                                  <w:pPr>
                                    <w:pStyle w:val="TableParagraph"/>
                                    <w:rPr>
                                      <w:sz w:val="14"/>
                                    </w:rPr>
                                  </w:pPr>
                                </w:p>
                              </w:tc>
                              <w:tc>
                                <w:tcPr>
                                  <w:tcW w:w="432" w:type="dxa"/>
                                  <w:tcBorders>
                                    <w:left w:val="single" w:sz="6" w:space="0" w:color="A6A6A6"/>
                                    <w:right w:val="single" w:sz="6" w:space="0" w:color="A6A6A6"/>
                                  </w:tcBorders>
                                </w:tcPr>
                                <w:p w14:paraId="3AA055A2" w14:textId="77777777" w:rsidR="00F23644" w:rsidRDefault="00F23644">
                                  <w:pPr>
                                    <w:pStyle w:val="TableParagraph"/>
                                    <w:rPr>
                                      <w:sz w:val="14"/>
                                    </w:rPr>
                                  </w:pPr>
                                </w:p>
                              </w:tc>
                              <w:tc>
                                <w:tcPr>
                                  <w:tcW w:w="432" w:type="dxa"/>
                                  <w:tcBorders>
                                    <w:left w:val="single" w:sz="6" w:space="0" w:color="A6A6A6"/>
                                    <w:right w:val="single" w:sz="6" w:space="0" w:color="A6A6A6"/>
                                  </w:tcBorders>
                                </w:tcPr>
                                <w:p w14:paraId="3401ECB6" w14:textId="77777777" w:rsidR="00F23644" w:rsidRDefault="00F23644">
                                  <w:pPr>
                                    <w:pStyle w:val="TableParagraph"/>
                                    <w:rPr>
                                      <w:sz w:val="14"/>
                                    </w:rPr>
                                  </w:pPr>
                                </w:p>
                              </w:tc>
                              <w:tc>
                                <w:tcPr>
                                  <w:tcW w:w="432" w:type="dxa"/>
                                  <w:tcBorders>
                                    <w:left w:val="single" w:sz="6" w:space="0" w:color="A6A6A6"/>
                                    <w:right w:val="single" w:sz="6" w:space="0" w:color="A6A6A6"/>
                                  </w:tcBorders>
                                </w:tcPr>
                                <w:p w14:paraId="48E2D92F" w14:textId="77777777" w:rsidR="00F23644" w:rsidRDefault="00F23644">
                                  <w:pPr>
                                    <w:pStyle w:val="TableParagraph"/>
                                    <w:rPr>
                                      <w:sz w:val="14"/>
                                    </w:rPr>
                                  </w:pPr>
                                </w:p>
                              </w:tc>
                              <w:tc>
                                <w:tcPr>
                                  <w:tcW w:w="432" w:type="dxa"/>
                                  <w:tcBorders>
                                    <w:left w:val="single" w:sz="6" w:space="0" w:color="A6A6A6"/>
                                    <w:right w:val="single" w:sz="6" w:space="0" w:color="A6A6A6"/>
                                  </w:tcBorders>
                                </w:tcPr>
                                <w:p w14:paraId="41B2BC76" w14:textId="77777777" w:rsidR="00F23644" w:rsidRDefault="00F23644">
                                  <w:pPr>
                                    <w:pStyle w:val="TableParagraph"/>
                                    <w:rPr>
                                      <w:sz w:val="14"/>
                                    </w:rPr>
                                  </w:pPr>
                                </w:p>
                              </w:tc>
                              <w:tc>
                                <w:tcPr>
                                  <w:tcW w:w="432" w:type="dxa"/>
                                  <w:tcBorders>
                                    <w:left w:val="single" w:sz="6" w:space="0" w:color="A6A6A6"/>
                                    <w:right w:val="single" w:sz="6" w:space="0" w:color="A6A6A6"/>
                                  </w:tcBorders>
                                </w:tcPr>
                                <w:p w14:paraId="00F4D349" w14:textId="77777777" w:rsidR="00F23644" w:rsidRDefault="00F23644">
                                  <w:pPr>
                                    <w:pStyle w:val="TableParagraph"/>
                                    <w:rPr>
                                      <w:sz w:val="14"/>
                                    </w:rPr>
                                  </w:pPr>
                                </w:p>
                              </w:tc>
                              <w:tc>
                                <w:tcPr>
                                  <w:tcW w:w="432" w:type="dxa"/>
                                  <w:tcBorders>
                                    <w:left w:val="single" w:sz="6" w:space="0" w:color="A6A6A6"/>
                                    <w:right w:val="single" w:sz="6" w:space="0" w:color="A6A6A6"/>
                                  </w:tcBorders>
                                </w:tcPr>
                                <w:p w14:paraId="4B5A57E2" w14:textId="77777777" w:rsidR="00F23644" w:rsidRDefault="00F23644">
                                  <w:pPr>
                                    <w:pStyle w:val="TableParagraph"/>
                                    <w:rPr>
                                      <w:sz w:val="14"/>
                                    </w:rPr>
                                  </w:pPr>
                                </w:p>
                              </w:tc>
                              <w:tc>
                                <w:tcPr>
                                  <w:tcW w:w="420" w:type="dxa"/>
                                  <w:tcBorders>
                                    <w:left w:val="single" w:sz="6" w:space="0" w:color="A6A6A6"/>
                                    <w:right w:val="single" w:sz="6" w:space="0" w:color="A6A6A6"/>
                                  </w:tcBorders>
                                </w:tcPr>
                                <w:p w14:paraId="63EA5410" w14:textId="77777777" w:rsidR="00F23644" w:rsidRDefault="00F23644">
                                  <w:pPr>
                                    <w:pStyle w:val="TableParagraph"/>
                                    <w:rPr>
                                      <w:sz w:val="14"/>
                                    </w:rPr>
                                  </w:pPr>
                                </w:p>
                              </w:tc>
                              <w:tc>
                                <w:tcPr>
                                  <w:tcW w:w="1512" w:type="dxa"/>
                                  <w:gridSpan w:val="4"/>
                                  <w:tcBorders>
                                    <w:left w:val="single" w:sz="6" w:space="0" w:color="A6A6A6"/>
                                    <w:right w:val="nil"/>
                                  </w:tcBorders>
                                </w:tcPr>
                                <w:p w14:paraId="2FA7E2C0" w14:textId="77777777" w:rsidR="00F23644" w:rsidRDefault="00F23644">
                                  <w:pPr>
                                    <w:pStyle w:val="TableParagraph"/>
                                    <w:rPr>
                                      <w:sz w:val="14"/>
                                    </w:rPr>
                                  </w:pPr>
                                </w:p>
                              </w:tc>
                            </w:tr>
                            <w:tr w:rsidR="00F23644" w14:paraId="21BCB719" w14:textId="77777777">
                              <w:trPr>
                                <w:trHeight w:val="201"/>
                              </w:trPr>
                              <w:tc>
                                <w:tcPr>
                                  <w:tcW w:w="216" w:type="dxa"/>
                                  <w:tcBorders>
                                    <w:left w:val="nil"/>
                                    <w:right w:val="single" w:sz="6" w:space="0" w:color="A6A6A6"/>
                                  </w:tcBorders>
                                </w:tcPr>
                                <w:p w14:paraId="1CBE1E9F" w14:textId="77777777" w:rsidR="00F23644" w:rsidRDefault="00F23644">
                                  <w:pPr>
                                    <w:pStyle w:val="TableParagraph"/>
                                    <w:rPr>
                                      <w:sz w:val="14"/>
                                    </w:rPr>
                                  </w:pPr>
                                </w:p>
                              </w:tc>
                              <w:tc>
                                <w:tcPr>
                                  <w:tcW w:w="432" w:type="dxa"/>
                                  <w:tcBorders>
                                    <w:left w:val="single" w:sz="6" w:space="0" w:color="A6A6A6"/>
                                    <w:right w:val="single" w:sz="6" w:space="0" w:color="A6A6A6"/>
                                  </w:tcBorders>
                                </w:tcPr>
                                <w:p w14:paraId="44A98A03" w14:textId="77777777" w:rsidR="00F23644" w:rsidRDefault="00F23644">
                                  <w:pPr>
                                    <w:pStyle w:val="TableParagraph"/>
                                    <w:rPr>
                                      <w:sz w:val="14"/>
                                    </w:rPr>
                                  </w:pPr>
                                </w:p>
                              </w:tc>
                              <w:tc>
                                <w:tcPr>
                                  <w:tcW w:w="432" w:type="dxa"/>
                                  <w:tcBorders>
                                    <w:left w:val="single" w:sz="6" w:space="0" w:color="A6A6A6"/>
                                    <w:right w:val="single" w:sz="6" w:space="0" w:color="A6A6A6"/>
                                  </w:tcBorders>
                                </w:tcPr>
                                <w:p w14:paraId="37205D2C" w14:textId="77777777" w:rsidR="00F23644" w:rsidRDefault="00F23644">
                                  <w:pPr>
                                    <w:pStyle w:val="TableParagraph"/>
                                    <w:rPr>
                                      <w:sz w:val="14"/>
                                    </w:rPr>
                                  </w:pPr>
                                </w:p>
                              </w:tc>
                              <w:tc>
                                <w:tcPr>
                                  <w:tcW w:w="420" w:type="dxa"/>
                                  <w:tcBorders>
                                    <w:left w:val="single" w:sz="6" w:space="0" w:color="A6A6A6"/>
                                    <w:right w:val="single" w:sz="6" w:space="0" w:color="A6A6A6"/>
                                  </w:tcBorders>
                                </w:tcPr>
                                <w:p w14:paraId="6FA330C8" w14:textId="77777777" w:rsidR="00F23644" w:rsidRDefault="00F23644">
                                  <w:pPr>
                                    <w:pStyle w:val="TableParagraph"/>
                                    <w:rPr>
                                      <w:sz w:val="14"/>
                                    </w:rPr>
                                  </w:pPr>
                                </w:p>
                              </w:tc>
                              <w:tc>
                                <w:tcPr>
                                  <w:tcW w:w="432" w:type="dxa"/>
                                  <w:tcBorders>
                                    <w:left w:val="single" w:sz="6" w:space="0" w:color="A6A6A6"/>
                                    <w:right w:val="single" w:sz="6" w:space="0" w:color="A6A6A6"/>
                                  </w:tcBorders>
                                </w:tcPr>
                                <w:p w14:paraId="629353A7" w14:textId="77777777" w:rsidR="00F23644" w:rsidRDefault="00F23644">
                                  <w:pPr>
                                    <w:pStyle w:val="TableParagraph"/>
                                    <w:rPr>
                                      <w:sz w:val="14"/>
                                    </w:rPr>
                                  </w:pPr>
                                </w:p>
                              </w:tc>
                              <w:tc>
                                <w:tcPr>
                                  <w:tcW w:w="432" w:type="dxa"/>
                                  <w:tcBorders>
                                    <w:left w:val="single" w:sz="6" w:space="0" w:color="A6A6A6"/>
                                    <w:right w:val="single" w:sz="6" w:space="0" w:color="A6A6A6"/>
                                  </w:tcBorders>
                                </w:tcPr>
                                <w:p w14:paraId="48FD1631" w14:textId="77777777" w:rsidR="00F23644" w:rsidRDefault="00F23644">
                                  <w:pPr>
                                    <w:pStyle w:val="TableParagraph"/>
                                    <w:rPr>
                                      <w:sz w:val="14"/>
                                    </w:rPr>
                                  </w:pPr>
                                </w:p>
                              </w:tc>
                              <w:tc>
                                <w:tcPr>
                                  <w:tcW w:w="432" w:type="dxa"/>
                                  <w:tcBorders>
                                    <w:left w:val="single" w:sz="6" w:space="0" w:color="A6A6A6"/>
                                    <w:right w:val="single" w:sz="6" w:space="0" w:color="A6A6A6"/>
                                  </w:tcBorders>
                                </w:tcPr>
                                <w:p w14:paraId="30493E8D" w14:textId="77777777" w:rsidR="00F23644" w:rsidRDefault="00F23644">
                                  <w:pPr>
                                    <w:pStyle w:val="TableParagraph"/>
                                    <w:rPr>
                                      <w:sz w:val="14"/>
                                    </w:rPr>
                                  </w:pPr>
                                </w:p>
                              </w:tc>
                              <w:tc>
                                <w:tcPr>
                                  <w:tcW w:w="432" w:type="dxa"/>
                                  <w:tcBorders>
                                    <w:left w:val="single" w:sz="6" w:space="0" w:color="A6A6A6"/>
                                    <w:right w:val="single" w:sz="6" w:space="0" w:color="A6A6A6"/>
                                  </w:tcBorders>
                                </w:tcPr>
                                <w:p w14:paraId="04F17E85" w14:textId="77777777" w:rsidR="00F23644" w:rsidRDefault="00F23644">
                                  <w:pPr>
                                    <w:pStyle w:val="TableParagraph"/>
                                    <w:rPr>
                                      <w:sz w:val="14"/>
                                    </w:rPr>
                                  </w:pPr>
                                </w:p>
                              </w:tc>
                              <w:tc>
                                <w:tcPr>
                                  <w:tcW w:w="432" w:type="dxa"/>
                                  <w:tcBorders>
                                    <w:left w:val="single" w:sz="6" w:space="0" w:color="A6A6A6"/>
                                    <w:right w:val="single" w:sz="6" w:space="0" w:color="A6A6A6"/>
                                  </w:tcBorders>
                                </w:tcPr>
                                <w:p w14:paraId="3F8F58E2" w14:textId="77777777" w:rsidR="00F23644" w:rsidRDefault="00F23644">
                                  <w:pPr>
                                    <w:pStyle w:val="TableParagraph"/>
                                    <w:rPr>
                                      <w:sz w:val="14"/>
                                    </w:rPr>
                                  </w:pPr>
                                </w:p>
                              </w:tc>
                              <w:tc>
                                <w:tcPr>
                                  <w:tcW w:w="432" w:type="dxa"/>
                                  <w:tcBorders>
                                    <w:left w:val="single" w:sz="6" w:space="0" w:color="A6A6A6"/>
                                    <w:right w:val="single" w:sz="6" w:space="0" w:color="A6A6A6"/>
                                  </w:tcBorders>
                                </w:tcPr>
                                <w:p w14:paraId="7951A227" w14:textId="77777777" w:rsidR="00F23644" w:rsidRDefault="00F23644">
                                  <w:pPr>
                                    <w:pStyle w:val="TableParagraph"/>
                                    <w:rPr>
                                      <w:sz w:val="14"/>
                                    </w:rPr>
                                  </w:pPr>
                                </w:p>
                              </w:tc>
                              <w:tc>
                                <w:tcPr>
                                  <w:tcW w:w="432" w:type="dxa"/>
                                  <w:tcBorders>
                                    <w:left w:val="single" w:sz="6" w:space="0" w:color="A6A6A6"/>
                                    <w:right w:val="single" w:sz="6" w:space="0" w:color="A6A6A6"/>
                                  </w:tcBorders>
                                </w:tcPr>
                                <w:p w14:paraId="4BC69A05" w14:textId="77777777" w:rsidR="00F23644" w:rsidRDefault="00F23644">
                                  <w:pPr>
                                    <w:pStyle w:val="TableParagraph"/>
                                    <w:rPr>
                                      <w:sz w:val="14"/>
                                    </w:rPr>
                                  </w:pPr>
                                </w:p>
                              </w:tc>
                              <w:tc>
                                <w:tcPr>
                                  <w:tcW w:w="432" w:type="dxa"/>
                                  <w:tcBorders>
                                    <w:left w:val="single" w:sz="6" w:space="0" w:color="A6A6A6"/>
                                    <w:right w:val="single" w:sz="6" w:space="0" w:color="A6A6A6"/>
                                  </w:tcBorders>
                                </w:tcPr>
                                <w:p w14:paraId="1D0F825E" w14:textId="77777777" w:rsidR="00F23644" w:rsidRDefault="00F23644">
                                  <w:pPr>
                                    <w:pStyle w:val="TableParagraph"/>
                                    <w:rPr>
                                      <w:sz w:val="14"/>
                                    </w:rPr>
                                  </w:pPr>
                                </w:p>
                              </w:tc>
                              <w:tc>
                                <w:tcPr>
                                  <w:tcW w:w="432" w:type="dxa"/>
                                  <w:tcBorders>
                                    <w:left w:val="single" w:sz="6" w:space="0" w:color="A6A6A6"/>
                                    <w:right w:val="single" w:sz="6" w:space="0" w:color="A6A6A6"/>
                                  </w:tcBorders>
                                </w:tcPr>
                                <w:p w14:paraId="77090DBD" w14:textId="77777777" w:rsidR="00F23644" w:rsidRDefault="00F23644">
                                  <w:pPr>
                                    <w:pStyle w:val="TableParagraph"/>
                                    <w:rPr>
                                      <w:sz w:val="14"/>
                                    </w:rPr>
                                  </w:pPr>
                                </w:p>
                              </w:tc>
                              <w:tc>
                                <w:tcPr>
                                  <w:tcW w:w="432" w:type="dxa"/>
                                  <w:tcBorders>
                                    <w:left w:val="single" w:sz="6" w:space="0" w:color="A6A6A6"/>
                                    <w:right w:val="single" w:sz="6" w:space="0" w:color="A6A6A6"/>
                                  </w:tcBorders>
                                </w:tcPr>
                                <w:p w14:paraId="3160F157" w14:textId="77777777" w:rsidR="00F23644" w:rsidRDefault="00F23644">
                                  <w:pPr>
                                    <w:pStyle w:val="TableParagraph"/>
                                    <w:rPr>
                                      <w:sz w:val="14"/>
                                    </w:rPr>
                                  </w:pPr>
                                </w:p>
                              </w:tc>
                              <w:tc>
                                <w:tcPr>
                                  <w:tcW w:w="420" w:type="dxa"/>
                                  <w:tcBorders>
                                    <w:left w:val="single" w:sz="6" w:space="0" w:color="A6A6A6"/>
                                    <w:right w:val="single" w:sz="6" w:space="0" w:color="A6A6A6"/>
                                  </w:tcBorders>
                                </w:tcPr>
                                <w:p w14:paraId="6F175CD0" w14:textId="77777777" w:rsidR="00F23644" w:rsidRDefault="00F23644">
                                  <w:pPr>
                                    <w:pStyle w:val="TableParagraph"/>
                                    <w:rPr>
                                      <w:sz w:val="14"/>
                                    </w:rPr>
                                  </w:pPr>
                                </w:p>
                              </w:tc>
                              <w:tc>
                                <w:tcPr>
                                  <w:tcW w:w="432" w:type="dxa"/>
                                  <w:tcBorders>
                                    <w:left w:val="single" w:sz="6" w:space="0" w:color="A6A6A6"/>
                                    <w:right w:val="single" w:sz="6" w:space="0" w:color="A6A6A6"/>
                                  </w:tcBorders>
                                </w:tcPr>
                                <w:p w14:paraId="6E5078F7" w14:textId="77777777" w:rsidR="00F23644" w:rsidRDefault="00F23644">
                                  <w:pPr>
                                    <w:pStyle w:val="TableParagraph"/>
                                    <w:rPr>
                                      <w:sz w:val="14"/>
                                    </w:rPr>
                                  </w:pPr>
                                </w:p>
                              </w:tc>
                              <w:tc>
                                <w:tcPr>
                                  <w:tcW w:w="432" w:type="dxa"/>
                                  <w:tcBorders>
                                    <w:left w:val="single" w:sz="6" w:space="0" w:color="A6A6A6"/>
                                    <w:right w:val="single" w:sz="6" w:space="0" w:color="A6A6A6"/>
                                  </w:tcBorders>
                                </w:tcPr>
                                <w:p w14:paraId="203DA108" w14:textId="77777777" w:rsidR="00F23644" w:rsidRDefault="00F23644">
                                  <w:pPr>
                                    <w:pStyle w:val="TableParagraph"/>
                                    <w:rPr>
                                      <w:sz w:val="14"/>
                                    </w:rPr>
                                  </w:pPr>
                                </w:p>
                              </w:tc>
                              <w:tc>
                                <w:tcPr>
                                  <w:tcW w:w="432" w:type="dxa"/>
                                  <w:tcBorders>
                                    <w:left w:val="single" w:sz="6" w:space="0" w:color="A6A6A6"/>
                                    <w:right w:val="single" w:sz="6" w:space="0" w:color="A6A6A6"/>
                                  </w:tcBorders>
                                </w:tcPr>
                                <w:p w14:paraId="775768C6" w14:textId="77777777" w:rsidR="00F23644" w:rsidRDefault="00F23644">
                                  <w:pPr>
                                    <w:pStyle w:val="TableParagraph"/>
                                    <w:rPr>
                                      <w:sz w:val="14"/>
                                    </w:rPr>
                                  </w:pPr>
                                </w:p>
                              </w:tc>
                              <w:tc>
                                <w:tcPr>
                                  <w:tcW w:w="216" w:type="dxa"/>
                                  <w:tcBorders>
                                    <w:left w:val="single" w:sz="6" w:space="0" w:color="A6A6A6"/>
                                    <w:right w:val="nil"/>
                                  </w:tcBorders>
                                </w:tcPr>
                                <w:p w14:paraId="6F5B6EF6" w14:textId="77777777" w:rsidR="00F23644" w:rsidRDefault="00F23644">
                                  <w:pPr>
                                    <w:pStyle w:val="TableParagraph"/>
                                    <w:rPr>
                                      <w:sz w:val="14"/>
                                    </w:rPr>
                                  </w:pPr>
                                </w:p>
                              </w:tc>
                            </w:tr>
                            <w:tr w:rsidR="00F23644" w14:paraId="5CF0BDEC" w14:textId="77777777">
                              <w:trPr>
                                <w:trHeight w:val="188"/>
                              </w:trPr>
                              <w:tc>
                                <w:tcPr>
                                  <w:tcW w:w="216" w:type="dxa"/>
                                  <w:tcBorders>
                                    <w:left w:val="nil"/>
                                    <w:bottom w:val="single" w:sz="6" w:space="0" w:color="000000"/>
                                    <w:right w:val="single" w:sz="6" w:space="0" w:color="A6A6A6"/>
                                  </w:tcBorders>
                                </w:tcPr>
                                <w:p w14:paraId="5FC90AEE" w14:textId="77777777" w:rsidR="00F23644" w:rsidRDefault="00F23644">
                                  <w:pPr>
                                    <w:pStyle w:val="TableParagraph"/>
                                    <w:rPr>
                                      <w:sz w:val="12"/>
                                    </w:rPr>
                                  </w:pPr>
                                </w:p>
                              </w:tc>
                              <w:tc>
                                <w:tcPr>
                                  <w:tcW w:w="432" w:type="dxa"/>
                                  <w:tcBorders>
                                    <w:left w:val="single" w:sz="6" w:space="0" w:color="A6A6A6"/>
                                    <w:bottom w:val="single" w:sz="6" w:space="0" w:color="000000"/>
                                    <w:right w:val="single" w:sz="6" w:space="0" w:color="A6A6A6"/>
                                  </w:tcBorders>
                                </w:tcPr>
                                <w:p w14:paraId="3EB525ED" w14:textId="77777777" w:rsidR="00F23644" w:rsidRDefault="00F23644">
                                  <w:pPr>
                                    <w:pStyle w:val="TableParagraph"/>
                                    <w:rPr>
                                      <w:sz w:val="12"/>
                                    </w:rPr>
                                  </w:pPr>
                                </w:p>
                              </w:tc>
                              <w:tc>
                                <w:tcPr>
                                  <w:tcW w:w="432" w:type="dxa"/>
                                  <w:tcBorders>
                                    <w:left w:val="single" w:sz="6" w:space="0" w:color="A6A6A6"/>
                                    <w:bottom w:val="single" w:sz="6" w:space="0" w:color="000000"/>
                                    <w:right w:val="single" w:sz="6" w:space="0" w:color="A6A6A6"/>
                                  </w:tcBorders>
                                </w:tcPr>
                                <w:p w14:paraId="467CCA4B" w14:textId="77777777" w:rsidR="00F23644" w:rsidRDefault="00F23644">
                                  <w:pPr>
                                    <w:pStyle w:val="TableParagraph"/>
                                    <w:rPr>
                                      <w:sz w:val="12"/>
                                    </w:rPr>
                                  </w:pPr>
                                </w:p>
                              </w:tc>
                              <w:tc>
                                <w:tcPr>
                                  <w:tcW w:w="420" w:type="dxa"/>
                                  <w:tcBorders>
                                    <w:left w:val="single" w:sz="6" w:space="0" w:color="A6A6A6"/>
                                    <w:bottom w:val="single" w:sz="6" w:space="0" w:color="000000"/>
                                    <w:right w:val="single" w:sz="6" w:space="0" w:color="A6A6A6"/>
                                  </w:tcBorders>
                                </w:tcPr>
                                <w:p w14:paraId="3C6966E1" w14:textId="77777777" w:rsidR="00F23644" w:rsidRDefault="00F23644">
                                  <w:pPr>
                                    <w:pStyle w:val="TableParagraph"/>
                                    <w:rPr>
                                      <w:sz w:val="12"/>
                                    </w:rPr>
                                  </w:pPr>
                                </w:p>
                              </w:tc>
                              <w:tc>
                                <w:tcPr>
                                  <w:tcW w:w="432" w:type="dxa"/>
                                  <w:tcBorders>
                                    <w:left w:val="single" w:sz="6" w:space="0" w:color="A6A6A6"/>
                                    <w:bottom w:val="single" w:sz="6" w:space="0" w:color="000000"/>
                                    <w:right w:val="single" w:sz="6" w:space="0" w:color="A6A6A6"/>
                                  </w:tcBorders>
                                </w:tcPr>
                                <w:p w14:paraId="329C9217" w14:textId="77777777" w:rsidR="00F23644" w:rsidRDefault="00F23644">
                                  <w:pPr>
                                    <w:pStyle w:val="TableParagraph"/>
                                    <w:rPr>
                                      <w:sz w:val="12"/>
                                    </w:rPr>
                                  </w:pPr>
                                </w:p>
                              </w:tc>
                              <w:tc>
                                <w:tcPr>
                                  <w:tcW w:w="432" w:type="dxa"/>
                                  <w:tcBorders>
                                    <w:left w:val="single" w:sz="6" w:space="0" w:color="A6A6A6"/>
                                    <w:bottom w:val="single" w:sz="6" w:space="0" w:color="000000"/>
                                    <w:right w:val="single" w:sz="6" w:space="0" w:color="A6A6A6"/>
                                  </w:tcBorders>
                                </w:tcPr>
                                <w:p w14:paraId="3B9D59B7" w14:textId="77777777" w:rsidR="00F23644" w:rsidRDefault="00F23644">
                                  <w:pPr>
                                    <w:pStyle w:val="TableParagraph"/>
                                    <w:rPr>
                                      <w:sz w:val="12"/>
                                    </w:rPr>
                                  </w:pPr>
                                </w:p>
                              </w:tc>
                              <w:tc>
                                <w:tcPr>
                                  <w:tcW w:w="432" w:type="dxa"/>
                                  <w:tcBorders>
                                    <w:left w:val="single" w:sz="6" w:space="0" w:color="A6A6A6"/>
                                    <w:bottom w:val="single" w:sz="6" w:space="0" w:color="000000"/>
                                    <w:right w:val="single" w:sz="6" w:space="0" w:color="A6A6A6"/>
                                  </w:tcBorders>
                                </w:tcPr>
                                <w:p w14:paraId="1E87A7C3" w14:textId="77777777" w:rsidR="00F23644" w:rsidRDefault="00F23644">
                                  <w:pPr>
                                    <w:pStyle w:val="TableParagraph"/>
                                    <w:rPr>
                                      <w:sz w:val="12"/>
                                    </w:rPr>
                                  </w:pPr>
                                </w:p>
                              </w:tc>
                              <w:tc>
                                <w:tcPr>
                                  <w:tcW w:w="432" w:type="dxa"/>
                                  <w:tcBorders>
                                    <w:left w:val="single" w:sz="6" w:space="0" w:color="A6A6A6"/>
                                    <w:bottom w:val="single" w:sz="6" w:space="0" w:color="000000"/>
                                    <w:right w:val="single" w:sz="6" w:space="0" w:color="A6A6A6"/>
                                  </w:tcBorders>
                                </w:tcPr>
                                <w:p w14:paraId="553B94FE" w14:textId="77777777" w:rsidR="00F23644" w:rsidRDefault="00F23644">
                                  <w:pPr>
                                    <w:pStyle w:val="TableParagraph"/>
                                    <w:rPr>
                                      <w:sz w:val="12"/>
                                    </w:rPr>
                                  </w:pPr>
                                </w:p>
                              </w:tc>
                              <w:tc>
                                <w:tcPr>
                                  <w:tcW w:w="432" w:type="dxa"/>
                                  <w:tcBorders>
                                    <w:left w:val="single" w:sz="6" w:space="0" w:color="A6A6A6"/>
                                    <w:bottom w:val="single" w:sz="6" w:space="0" w:color="000000"/>
                                    <w:right w:val="single" w:sz="6" w:space="0" w:color="A6A6A6"/>
                                  </w:tcBorders>
                                </w:tcPr>
                                <w:p w14:paraId="69CFB41B" w14:textId="77777777" w:rsidR="00F23644" w:rsidRDefault="00F23644">
                                  <w:pPr>
                                    <w:pStyle w:val="TableParagraph"/>
                                    <w:rPr>
                                      <w:sz w:val="12"/>
                                    </w:rPr>
                                  </w:pPr>
                                </w:p>
                              </w:tc>
                              <w:tc>
                                <w:tcPr>
                                  <w:tcW w:w="432" w:type="dxa"/>
                                  <w:tcBorders>
                                    <w:left w:val="single" w:sz="6" w:space="0" w:color="A6A6A6"/>
                                    <w:bottom w:val="single" w:sz="6" w:space="0" w:color="000000"/>
                                    <w:right w:val="single" w:sz="6" w:space="0" w:color="A6A6A6"/>
                                  </w:tcBorders>
                                </w:tcPr>
                                <w:p w14:paraId="603D55DC" w14:textId="77777777" w:rsidR="00F23644" w:rsidRDefault="00F23644">
                                  <w:pPr>
                                    <w:pStyle w:val="TableParagraph"/>
                                    <w:rPr>
                                      <w:sz w:val="12"/>
                                    </w:rPr>
                                  </w:pPr>
                                </w:p>
                              </w:tc>
                              <w:tc>
                                <w:tcPr>
                                  <w:tcW w:w="432" w:type="dxa"/>
                                  <w:tcBorders>
                                    <w:left w:val="single" w:sz="6" w:space="0" w:color="A6A6A6"/>
                                    <w:bottom w:val="single" w:sz="6" w:space="0" w:color="000000"/>
                                    <w:right w:val="single" w:sz="6" w:space="0" w:color="A6A6A6"/>
                                  </w:tcBorders>
                                </w:tcPr>
                                <w:p w14:paraId="2C13C1E6" w14:textId="77777777" w:rsidR="00F23644" w:rsidRDefault="00F23644">
                                  <w:pPr>
                                    <w:pStyle w:val="TableParagraph"/>
                                    <w:rPr>
                                      <w:sz w:val="12"/>
                                    </w:rPr>
                                  </w:pPr>
                                </w:p>
                              </w:tc>
                              <w:tc>
                                <w:tcPr>
                                  <w:tcW w:w="432" w:type="dxa"/>
                                  <w:tcBorders>
                                    <w:left w:val="single" w:sz="6" w:space="0" w:color="A6A6A6"/>
                                    <w:bottom w:val="single" w:sz="6" w:space="0" w:color="000000"/>
                                    <w:right w:val="single" w:sz="6" w:space="0" w:color="A6A6A6"/>
                                  </w:tcBorders>
                                </w:tcPr>
                                <w:p w14:paraId="0D025A64" w14:textId="77777777" w:rsidR="00F23644" w:rsidRDefault="00F23644">
                                  <w:pPr>
                                    <w:pStyle w:val="TableParagraph"/>
                                    <w:rPr>
                                      <w:sz w:val="12"/>
                                    </w:rPr>
                                  </w:pPr>
                                </w:p>
                              </w:tc>
                              <w:tc>
                                <w:tcPr>
                                  <w:tcW w:w="432" w:type="dxa"/>
                                  <w:tcBorders>
                                    <w:left w:val="single" w:sz="6" w:space="0" w:color="A6A6A6"/>
                                    <w:bottom w:val="single" w:sz="6" w:space="0" w:color="000000"/>
                                    <w:right w:val="single" w:sz="6" w:space="0" w:color="A6A6A6"/>
                                  </w:tcBorders>
                                </w:tcPr>
                                <w:p w14:paraId="2E526CE5" w14:textId="77777777" w:rsidR="00F23644" w:rsidRDefault="00F23644">
                                  <w:pPr>
                                    <w:pStyle w:val="TableParagraph"/>
                                    <w:rPr>
                                      <w:sz w:val="12"/>
                                    </w:rPr>
                                  </w:pPr>
                                </w:p>
                              </w:tc>
                              <w:tc>
                                <w:tcPr>
                                  <w:tcW w:w="432" w:type="dxa"/>
                                  <w:tcBorders>
                                    <w:left w:val="single" w:sz="6" w:space="0" w:color="A6A6A6"/>
                                    <w:bottom w:val="single" w:sz="6" w:space="0" w:color="000000"/>
                                    <w:right w:val="single" w:sz="6" w:space="0" w:color="A6A6A6"/>
                                  </w:tcBorders>
                                </w:tcPr>
                                <w:p w14:paraId="2B285A5F" w14:textId="77777777" w:rsidR="00F23644" w:rsidRDefault="00F23644">
                                  <w:pPr>
                                    <w:pStyle w:val="TableParagraph"/>
                                    <w:rPr>
                                      <w:sz w:val="12"/>
                                    </w:rPr>
                                  </w:pPr>
                                </w:p>
                              </w:tc>
                              <w:tc>
                                <w:tcPr>
                                  <w:tcW w:w="420" w:type="dxa"/>
                                  <w:tcBorders>
                                    <w:left w:val="single" w:sz="6" w:space="0" w:color="A6A6A6"/>
                                    <w:bottom w:val="single" w:sz="6" w:space="0" w:color="000000"/>
                                    <w:right w:val="single" w:sz="6" w:space="0" w:color="A6A6A6"/>
                                  </w:tcBorders>
                                </w:tcPr>
                                <w:p w14:paraId="461FA56F" w14:textId="77777777" w:rsidR="00F23644" w:rsidRDefault="00F23644">
                                  <w:pPr>
                                    <w:pStyle w:val="TableParagraph"/>
                                    <w:rPr>
                                      <w:sz w:val="12"/>
                                    </w:rPr>
                                  </w:pPr>
                                </w:p>
                              </w:tc>
                              <w:tc>
                                <w:tcPr>
                                  <w:tcW w:w="432" w:type="dxa"/>
                                  <w:tcBorders>
                                    <w:left w:val="single" w:sz="6" w:space="0" w:color="A6A6A6"/>
                                    <w:bottom w:val="single" w:sz="6" w:space="0" w:color="000000"/>
                                    <w:right w:val="single" w:sz="6" w:space="0" w:color="A6A6A6"/>
                                  </w:tcBorders>
                                </w:tcPr>
                                <w:p w14:paraId="471A72A2" w14:textId="77777777" w:rsidR="00F23644" w:rsidRDefault="00F23644">
                                  <w:pPr>
                                    <w:pStyle w:val="TableParagraph"/>
                                    <w:rPr>
                                      <w:sz w:val="12"/>
                                    </w:rPr>
                                  </w:pPr>
                                </w:p>
                              </w:tc>
                              <w:tc>
                                <w:tcPr>
                                  <w:tcW w:w="432" w:type="dxa"/>
                                  <w:tcBorders>
                                    <w:left w:val="single" w:sz="6" w:space="0" w:color="A6A6A6"/>
                                    <w:bottom w:val="single" w:sz="6" w:space="0" w:color="000000"/>
                                    <w:right w:val="single" w:sz="6" w:space="0" w:color="A6A6A6"/>
                                  </w:tcBorders>
                                </w:tcPr>
                                <w:p w14:paraId="5CAC8C7D" w14:textId="77777777" w:rsidR="00F23644" w:rsidRDefault="00F23644">
                                  <w:pPr>
                                    <w:pStyle w:val="TableParagraph"/>
                                    <w:rPr>
                                      <w:sz w:val="12"/>
                                    </w:rPr>
                                  </w:pPr>
                                </w:p>
                              </w:tc>
                              <w:tc>
                                <w:tcPr>
                                  <w:tcW w:w="432" w:type="dxa"/>
                                  <w:tcBorders>
                                    <w:left w:val="single" w:sz="6" w:space="0" w:color="A6A6A6"/>
                                    <w:bottom w:val="single" w:sz="6" w:space="0" w:color="000000"/>
                                    <w:right w:val="single" w:sz="6" w:space="0" w:color="A6A6A6"/>
                                  </w:tcBorders>
                                </w:tcPr>
                                <w:p w14:paraId="629676DE" w14:textId="77777777" w:rsidR="00F23644" w:rsidRDefault="00F23644">
                                  <w:pPr>
                                    <w:pStyle w:val="TableParagraph"/>
                                    <w:rPr>
                                      <w:sz w:val="12"/>
                                    </w:rPr>
                                  </w:pPr>
                                </w:p>
                              </w:tc>
                              <w:tc>
                                <w:tcPr>
                                  <w:tcW w:w="216" w:type="dxa"/>
                                  <w:tcBorders>
                                    <w:left w:val="single" w:sz="6" w:space="0" w:color="A6A6A6"/>
                                    <w:bottom w:val="single" w:sz="6" w:space="0" w:color="000000"/>
                                    <w:right w:val="nil"/>
                                  </w:tcBorders>
                                </w:tcPr>
                                <w:p w14:paraId="415B0C39" w14:textId="77777777" w:rsidR="00F23644" w:rsidRDefault="00F23644">
                                  <w:pPr>
                                    <w:pStyle w:val="TableParagraph"/>
                                    <w:rPr>
                                      <w:sz w:val="12"/>
                                    </w:rPr>
                                  </w:pPr>
                                </w:p>
                              </w:tc>
                            </w:tr>
                          </w:tbl>
                          <w:p w14:paraId="1AB2F10F" w14:textId="77777777" w:rsidR="00F23644" w:rsidRDefault="00F23644" w:rsidP="002557B7">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02D47B" id="_x0000_t202" coordsize="21600,21600" o:spt="202" path="m,l,21600r21600,l21600,xe">
                <v:stroke joinstyle="miter"/>
                <v:path gradientshapeok="t" o:connecttype="rect"/>
              </v:shapetype>
              <v:shape id="Text Box 376" o:spid="_x0000_s1033" type="#_x0000_t202" style="position:absolute;left:0;text-align:left;margin-left:113.75pt;margin-top:-4.2pt;width:388.5pt;height:106.2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" filled="f" stroked="f">
                <v:textbox inset="0,0,0,0">
                  <w:txbxContent>
                    <w:tbl>
                      <w:tblPr>
                        <w:tblW w:w="0" w:type="auto"/>
                        <w:tblInd w:w="7"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CellMar>
                          <w:left w:w="0" w:type="dxa"/>
                          <w:right w:w="0" w:type="dxa"/>
                        </w:tblCellMar>
                        <w:tblLook w:val="01E0" w:firstRow="1" w:lastRow="1" w:firstColumn="1" w:lastColumn="1" w:noHBand="0" w:noVBand="0"/>
                      </w:tblPr>
                      <w:tblGrid>
                        <w:gridCol w:w="216"/>
                        <w:gridCol w:w="432"/>
                        <w:gridCol w:w="432"/>
                        <w:gridCol w:w="420"/>
                        <w:gridCol w:w="432"/>
                        <w:gridCol w:w="432"/>
                        <w:gridCol w:w="432"/>
                        <w:gridCol w:w="432"/>
                        <w:gridCol w:w="432"/>
                        <w:gridCol w:w="432"/>
                        <w:gridCol w:w="432"/>
                        <w:gridCol w:w="432"/>
                        <w:gridCol w:w="432"/>
                        <w:gridCol w:w="432"/>
                        <w:gridCol w:w="420"/>
                        <w:gridCol w:w="432"/>
                        <w:gridCol w:w="432"/>
                        <w:gridCol w:w="432"/>
                        <w:gridCol w:w="216"/>
                      </w:tblGrid>
                      <w:tr w:rsidR="00F23644" w14:paraId="71675BA9" w14:textId="77777777">
                        <w:trPr>
                          <w:trHeight w:val="188"/>
                        </w:trPr>
                        <w:tc>
                          <w:tcPr>
                            <w:tcW w:w="648" w:type="dxa"/>
                            <w:gridSpan w:val="2"/>
                            <w:tcBorders>
                              <w:left w:val="nil"/>
                              <w:right w:val="single" w:sz="6" w:space="0" w:color="A6A6A6"/>
                            </w:tcBorders>
                          </w:tcPr>
                          <w:p w14:paraId="29D09C11" w14:textId="77777777" w:rsidR="00F23644" w:rsidRDefault="00F23644">
                            <w:pPr>
                              <w:pStyle w:val="TableParagraph"/>
                              <w:rPr>
                                <w:sz w:val="12"/>
                              </w:rPr>
                            </w:pPr>
                          </w:p>
                        </w:tc>
                        <w:tc>
                          <w:tcPr>
                            <w:tcW w:w="7104" w:type="dxa"/>
                            <w:gridSpan w:val="17"/>
                            <w:tcBorders>
                              <w:left w:val="single" w:sz="6" w:space="0" w:color="A6A6A6"/>
                              <w:right w:val="nil"/>
                            </w:tcBorders>
                          </w:tcPr>
                          <w:p w14:paraId="42FFFBB0" w14:textId="77777777" w:rsidR="00F23644" w:rsidRDefault="00F23644">
                            <w:pPr>
                              <w:pStyle w:val="TableParagraph"/>
                              <w:rPr>
                                <w:sz w:val="12"/>
                              </w:rPr>
                            </w:pPr>
                          </w:p>
                        </w:tc>
                      </w:tr>
                      <w:tr w:rsidR="00F23644" w14:paraId="45EACBE0" w14:textId="77777777">
                        <w:trPr>
                          <w:trHeight w:val="201"/>
                        </w:trPr>
                        <w:tc>
                          <w:tcPr>
                            <w:tcW w:w="648" w:type="dxa"/>
                            <w:gridSpan w:val="2"/>
                            <w:tcBorders>
                              <w:left w:val="nil"/>
                              <w:right w:val="single" w:sz="6" w:space="0" w:color="A6A6A6"/>
                            </w:tcBorders>
                          </w:tcPr>
                          <w:p w14:paraId="25346299" w14:textId="77777777" w:rsidR="00F23644" w:rsidRDefault="00F23644">
                            <w:pPr>
                              <w:pStyle w:val="TableParagraph"/>
                              <w:rPr>
                                <w:sz w:val="14"/>
                              </w:rPr>
                            </w:pPr>
                          </w:p>
                        </w:tc>
                        <w:tc>
                          <w:tcPr>
                            <w:tcW w:w="7104" w:type="dxa"/>
                            <w:gridSpan w:val="17"/>
                            <w:tcBorders>
                              <w:left w:val="single" w:sz="6" w:space="0" w:color="A6A6A6"/>
                              <w:right w:val="nil"/>
                            </w:tcBorders>
                          </w:tcPr>
                          <w:p w14:paraId="65B75954" w14:textId="77777777" w:rsidR="00F23644" w:rsidRDefault="00F23644">
                            <w:pPr>
                              <w:pStyle w:val="TableParagraph"/>
                              <w:rPr>
                                <w:sz w:val="14"/>
                              </w:rPr>
                            </w:pPr>
                          </w:p>
                        </w:tc>
                      </w:tr>
                      <w:tr w:rsidR="00F23644" w14:paraId="4BF03C18" w14:textId="77777777">
                        <w:trPr>
                          <w:trHeight w:val="201"/>
                        </w:trPr>
                        <w:tc>
                          <w:tcPr>
                            <w:tcW w:w="216" w:type="dxa"/>
                            <w:tcBorders>
                              <w:left w:val="nil"/>
                              <w:right w:val="single" w:sz="6" w:space="0" w:color="A6A6A6"/>
                            </w:tcBorders>
                          </w:tcPr>
                          <w:p w14:paraId="5B9C1A7A" w14:textId="77777777" w:rsidR="00F23644" w:rsidRDefault="00F23644">
                            <w:pPr>
                              <w:pStyle w:val="TableParagraph"/>
                              <w:rPr>
                                <w:sz w:val="14"/>
                              </w:rPr>
                            </w:pPr>
                          </w:p>
                        </w:tc>
                        <w:tc>
                          <w:tcPr>
                            <w:tcW w:w="432" w:type="dxa"/>
                            <w:tcBorders>
                              <w:left w:val="single" w:sz="6" w:space="0" w:color="A6A6A6"/>
                              <w:right w:val="single" w:sz="6" w:space="0" w:color="A6A6A6"/>
                            </w:tcBorders>
                          </w:tcPr>
                          <w:p w14:paraId="0EB0ACD0" w14:textId="77777777" w:rsidR="00F23644" w:rsidRDefault="00F23644">
                            <w:pPr>
                              <w:pStyle w:val="TableParagraph"/>
                              <w:rPr>
                                <w:sz w:val="14"/>
                              </w:rPr>
                            </w:pPr>
                          </w:p>
                        </w:tc>
                        <w:tc>
                          <w:tcPr>
                            <w:tcW w:w="7104" w:type="dxa"/>
                            <w:gridSpan w:val="17"/>
                            <w:tcBorders>
                              <w:left w:val="single" w:sz="6" w:space="0" w:color="A6A6A6"/>
                              <w:right w:val="nil"/>
                            </w:tcBorders>
                          </w:tcPr>
                          <w:p w14:paraId="2AE27005" w14:textId="77777777" w:rsidR="00F23644" w:rsidRDefault="00F23644">
                            <w:pPr>
                              <w:pStyle w:val="TableParagraph"/>
                              <w:rPr>
                                <w:sz w:val="14"/>
                              </w:rPr>
                            </w:pPr>
                          </w:p>
                        </w:tc>
                      </w:tr>
                      <w:tr w:rsidR="00F23644" w14:paraId="28CA3779" w14:textId="77777777">
                        <w:trPr>
                          <w:trHeight w:val="188"/>
                        </w:trPr>
                        <w:tc>
                          <w:tcPr>
                            <w:tcW w:w="216" w:type="dxa"/>
                            <w:tcBorders>
                              <w:left w:val="nil"/>
                              <w:right w:val="single" w:sz="6" w:space="0" w:color="A6A6A6"/>
                            </w:tcBorders>
                          </w:tcPr>
                          <w:p w14:paraId="5A3E3B1C" w14:textId="77777777" w:rsidR="00F23644" w:rsidRDefault="00F23644">
                            <w:pPr>
                              <w:pStyle w:val="TableParagraph"/>
                              <w:rPr>
                                <w:sz w:val="12"/>
                              </w:rPr>
                            </w:pPr>
                          </w:p>
                        </w:tc>
                        <w:tc>
                          <w:tcPr>
                            <w:tcW w:w="432" w:type="dxa"/>
                            <w:tcBorders>
                              <w:left w:val="single" w:sz="6" w:space="0" w:color="A6A6A6"/>
                              <w:right w:val="single" w:sz="6" w:space="0" w:color="A6A6A6"/>
                            </w:tcBorders>
                          </w:tcPr>
                          <w:p w14:paraId="206E8B93" w14:textId="77777777" w:rsidR="00F23644" w:rsidRDefault="00F23644">
                            <w:pPr>
                              <w:pStyle w:val="TableParagraph"/>
                              <w:rPr>
                                <w:sz w:val="12"/>
                              </w:rPr>
                            </w:pPr>
                          </w:p>
                        </w:tc>
                        <w:tc>
                          <w:tcPr>
                            <w:tcW w:w="852" w:type="dxa"/>
                            <w:gridSpan w:val="2"/>
                            <w:tcBorders>
                              <w:left w:val="single" w:sz="6" w:space="0" w:color="A6A6A6"/>
                              <w:right w:val="single" w:sz="6" w:space="0" w:color="A6A6A6"/>
                            </w:tcBorders>
                          </w:tcPr>
                          <w:p w14:paraId="4BED372E" w14:textId="77777777" w:rsidR="00F23644" w:rsidRDefault="00F23644">
                            <w:pPr>
                              <w:pStyle w:val="TableParagraph"/>
                              <w:rPr>
                                <w:sz w:val="12"/>
                              </w:rPr>
                            </w:pPr>
                          </w:p>
                        </w:tc>
                        <w:tc>
                          <w:tcPr>
                            <w:tcW w:w="6252" w:type="dxa"/>
                            <w:gridSpan w:val="15"/>
                            <w:tcBorders>
                              <w:left w:val="single" w:sz="6" w:space="0" w:color="A6A6A6"/>
                              <w:right w:val="nil"/>
                            </w:tcBorders>
                          </w:tcPr>
                          <w:p w14:paraId="666AC310" w14:textId="77777777" w:rsidR="00F23644" w:rsidRDefault="00F23644">
                            <w:pPr>
                              <w:pStyle w:val="TableParagraph"/>
                              <w:spacing w:line="120" w:lineRule="exact"/>
                              <w:ind w:left="-20"/>
                              <w:rPr>
                                <w:rFonts w:ascii="Calibri Light"/>
                                <w:sz w:val="12"/>
                              </w:rPr>
                            </w:pPr>
                            <w:r>
                              <w:rPr>
                                <w:rFonts w:ascii="Calibri Light"/>
                                <w:noProof/>
                                <w:position w:val="-1"/>
                                <w:sz w:val="12"/>
                                <w:lang w:val="en-GB" w:eastAsia="en-GB"/>
                              </w:rPr>
                              <w:drawing>
                                <wp:inline distT="0" distB="0" distL="0" distR="0" wp14:anchorId="0D43673E" wp14:editId="6DDC6314">
                                  <wp:extent cx="53657" cy="76200"/>
                                  <wp:effectExtent l="0" t="0" r="0" b="0"/>
                                  <wp:docPr id="77"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51.png"/>
                                          <pic:cNvPicPr/>
                                        </pic:nvPicPr>
                                        <pic:blipFill>
                                          <a:blip r:embed="rId21" cstate="print"/>
                                          <a:stretch>
                                            <a:fillRect/>
                                          </a:stretch>
                                        </pic:blipFill>
                                        <pic:spPr>
                                          <a:xfrm>
                                            <a:off x="0" y="0"/>
                                            <a:ext cx="53657" cy="76200"/>
                                          </a:xfrm>
                                          <a:prstGeom prst="rect">
                                            <a:avLst/>
                                          </a:prstGeom>
                                        </pic:spPr>
                                      </pic:pic>
                                    </a:graphicData>
                                  </a:graphic>
                                </wp:inline>
                              </w:drawing>
                            </w:r>
                          </w:p>
                        </w:tc>
                      </w:tr>
                      <w:tr w:rsidR="00F23644" w14:paraId="4B870269" w14:textId="77777777">
                        <w:trPr>
                          <w:trHeight w:val="201"/>
                        </w:trPr>
                        <w:tc>
                          <w:tcPr>
                            <w:tcW w:w="216" w:type="dxa"/>
                            <w:tcBorders>
                              <w:left w:val="nil"/>
                              <w:right w:val="single" w:sz="6" w:space="0" w:color="A6A6A6"/>
                            </w:tcBorders>
                          </w:tcPr>
                          <w:p w14:paraId="70BEDDB1" w14:textId="77777777" w:rsidR="00F23644" w:rsidRDefault="00F23644">
                            <w:pPr>
                              <w:pStyle w:val="TableParagraph"/>
                              <w:rPr>
                                <w:sz w:val="14"/>
                              </w:rPr>
                            </w:pPr>
                          </w:p>
                        </w:tc>
                        <w:tc>
                          <w:tcPr>
                            <w:tcW w:w="432" w:type="dxa"/>
                            <w:tcBorders>
                              <w:left w:val="single" w:sz="6" w:space="0" w:color="A6A6A6"/>
                              <w:right w:val="single" w:sz="6" w:space="0" w:color="A6A6A6"/>
                            </w:tcBorders>
                          </w:tcPr>
                          <w:p w14:paraId="654BCD1A" w14:textId="77777777" w:rsidR="00F23644" w:rsidRDefault="00F23644">
                            <w:pPr>
                              <w:pStyle w:val="TableParagraph"/>
                              <w:rPr>
                                <w:sz w:val="14"/>
                              </w:rPr>
                            </w:pPr>
                          </w:p>
                        </w:tc>
                        <w:tc>
                          <w:tcPr>
                            <w:tcW w:w="432" w:type="dxa"/>
                            <w:tcBorders>
                              <w:left w:val="single" w:sz="6" w:space="0" w:color="A6A6A6"/>
                              <w:right w:val="single" w:sz="6" w:space="0" w:color="A6A6A6"/>
                            </w:tcBorders>
                          </w:tcPr>
                          <w:p w14:paraId="28085DC0" w14:textId="77777777" w:rsidR="00F23644" w:rsidRDefault="00F23644">
                            <w:pPr>
                              <w:pStyle w:val="TableParagraph"/>
                              <w:rPr>
                                <w:sz w:val="14"/>
                              </w:rPr>
                            </w:pPr>
                          </w:p>
                        </w:tc>
                        <w:tc>
                          <w:tcPr>
                            <w:tcW w:w="420" w:type="dxa"/>
                            <w:tcBorders>
                              <w:left w:val="single" w:sz="6" w:space="0" w:color="A6A6A6"/>
                              <w:right w:val="single" w:sz="6" w:space="0" w:color="A6A6A6"/>
                            </w:tcBorders>
                          </w:tcPr>
                          <w:p w14:paraId="64015987" w14:textId="77777777" w:rsidR="00F23644" w:rsidRDefault="00F23644">
                            <w:pPr>
                              <w:pStyle w:val="TableParagraph"/>
                              <w:rPr>
                                <w:sz w:val="14"/>
                              </w:rPr>
                            </w:pPr>
                          </w:p>
                        </w:tc>
                        <w:tc>
                          <w:tcPr>
                            <w:tcW w:w="6252" w:type="dxa"/>
                            <w:gridSpan w:val="15"/>
                            <w:tcBorders>
                              <w:left w:val="single" w:sz="6" w:space="0" w:color="A6A6A6"/>
                              <w:right w:val="nil"/>
                            </w:tcBorders>
                          </w:tcPr>
                          <w:p w14:paraId="22D47486" w14:textId="77777777" w:rsidR="00F23644" w:rsidRDefault="00F23644">
                            <w:pPr>
                              <w:pStyle w:val="TableParagraph"/>
                              <w:rPr>
                                <w:sz w:val="14"/>
                              </w:rPr>
                            </w:pPr>
                          </w:p>
                        </w:tc>
                      </w:tr>
                      <w:tr w:rsidR="00F23644" w14:paraId="7AD5A388" w14:textId="77777777">
                        <w:trPr>
                          <w:trHeight w:val="201"/>
                        </w:trPr>
                        <w:tc>
                          <w:tcPr>
                            <w:tcW w:w="216" w:type="dxa"/>
                            <w:tcBorders>
                              <w:left w:val="nil"/>
                              <w:right w:val="single" w:sz="6" w:space="0" w:color="A6A6A6"/>
                            </w:tcBorders>
                          </w:tcPr>
                          <w:p w14:paraId="157445CC" w14:textId="77777777" w:rsidR="00F23644" w:rsidRDefault="00F23644">
                            <w:pPr>
                              <w:pStyle w:val="TableParagraph"/>
                              <w:rPr>
                                <w:sz w:val="14"/>
                              </w:rPr>
                            </w:pPr>
                          </w:p>
                        </w:tc>
                        <w:tc>
                          <w:tcPr>
                            <w:tcW w:w="432" w:type="dxa"/>
                            <w:tcBorders>
                              <w:left w:val="single" w:sz="6" w:space="0" w:color="A6A6A6"/>
                              <w:right w:val="single" w:sz="6" w:space="0" w:color="A6A6A6"/>
                            </w:tcBorders>
                          </w:tcPr>
                          <w:p w14:paraId="28A659CF" w14:textId="77777777" w:rsidR="00F23644" w:rsidRDefault="00F23644">
                            <w:pPr>
                              <w:pStyle w:val="TableParagraph"/>
                              <w:rPr>
                                <w:sz w:val="14"/>
                              </w:rPr>
                            </w:pPr>
                          </w:p>
                        </w:tc>
                        <w:tc>
                          <w:tcPr>
                            <w:tcW w:w="432" w:type="dxa"/>
                            <w:tcBorders>
                              <w:left w:val="single" w:sz="6" w:space="0" w:color="A6A6A6"/>
                              <w:right w:val="single" w:sz="6" w:space="0" w:color="A6A6A6"/>
                            </w:tcBorders>
                          </w:tcPr>
                          <w:p w14:paraId="10D0249B" w14:textId="77777777" w:rsidR="00F23644" w:rsidRDefault="00F23644">
                            <w:pPr>
                              <w:pStyle w:val="TableParagraph"/>
                              <w:rPr>
                                <w:sz w:val="14"/>
                              </w:rPr>
                            </w:pPr>
                          </w:p>
                        </w:tc>
                        <w:tc>
                          <w:tcPr>
                            <w:tcW w:w="420" w:type="dxa"/>
                            <w:tcBorders>
                              <w:left w:val="single" w:sz="6" w:space="0" w:color="A6A6A6"/>
                              <w:right w:val="single" w:sz="6" w:space="0" w:color="A6A6A6"/>
                            </w:tcBorders>
                          </w:tcPr>
                          <w:p w14:paraId="1C190FF3" w14:textId="77777777" w:rsidR="00F23644" w:rsidRDefault="00F23644">
                            <w:pPr>
                              <w:pStyle w:val="TableParagraph"/>
                              <w:rPr>
                                <w:sz w:val="14"/>
                              </w:rPr>
                            </w:pPr>
                          </w:p>
                        </w:tc>
                        <w:tc>
                          <w:tcPr>
                            <w:tcW w:w="864" w:type="dxa"/>
                            <w:gridSpan w:val="2"/>
                            <w:tcBorders>
                              <w:left w:val="single" w:sz="6" w:space="0" w:color="A6A6A6"/>
                              <w:right w:val="single" w:sz="6" w:space="0" w:color="A6A6A6"/>
                            </w:tcBorders>
                          </w:tcPr>
                          <w:p w14:paraId="08859541" w14:textId="77777777" w:rsidR="00F23644" w:rsidRDefault="00F23644">
                            <w:pPr>
                              <w:pStyle w:val="TableParagraph"/>
                              <w:rPr>
                                <w:sz w:val="14"/>
                              </w:rPr>
                            </w:pPr>
                          </w:p>
                        </w:tc>
                        <w:tc>
                          <w:tcPr>
                            <w:tcW w:w="5388" w:type="dxa"/>
                            <w:gridSpan w:val="13"/>
                            <w:tcBorders>
                              <w:left w:val="single" w:sz="6" w:space="0" w:color="A6A6A6"/>
                              <w:right w:val="nil"/>
                            </w:tcBorders>
                          </w:tcPr>
                          <w:p w14:paraId="07BB8608" w14:textId="77777777" w:rsidR="00F23644" w:rsidRDefault="00F23644">
                            <w:pPr>
                              <w:pStyle w:val="TableParagraph"/>
                              <w:spacing w:before="9"/>
                              <w:rPr>
                                <w:rFonts w:ascii="Calibri Light"/>
                                <w:sz w:val="5"/>
                              </w:rPr>
                            </w:pPr>
                          </w:p>
                          <w:p w14:paraId="401182D9" w14:textId="77777777" w:rsidR="00F23644" w:rsidRDefault="00F23644">
                            <w:pPr>
                              <w:pStyle w:val="TableParagraph"/>
                              <w:spacing w:line="120" w:lineRule="exact"/>
                              <w:ind w:left="1240"/>
                              <w:rPr>
                                <w:rFonts w:ascii="Calibri Light"/>
                                <w:sz w:val="12"/>
                              </w:rPr>
                            </w:pPr>
                            <w:r>
                              <w:rPr>
                                <w:rFonts w:ascii="Calibri Light"/>
                                <w:noProof/>
                                <w:position w:val="-1"/>
                                <w:sz w:val="12"/>
                                <w:lang w:val="en-GB" w:eastAsia="en-GB"/>
                              </w:rPr>
                              <w:drawing>
                                <wp:inline distT="0" distB="0" distL="0" distR="0" wp14:anchorId="3AD1E0E4" wp14:editId="20AD5097">
                                  <wp:extent cx="76200" cy="76200"/>
                                  <wp:effectExtent l="0" t="0" r="0" b="0"/>
                                  <wp:docPr id="79"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59.png"/>
                                          <pic:cNvPicPr/>
                                        </pic:nvPicPr>
                                        <pic:blipFill>
                                          <a:blip r:embed="rId22" cstate="print"/>
                                          <a:stretch>
                                            <a:fillRect/>
                                          </a:stretch>
                                        </pic:blipFill>
                                        <pic:spPr>
                                          <a:xfrm>
                                            <a:off x="0" y="0"/>
                                            <a:ext cx="76200" cy="76200"/>
                                          </a:xfrm>
                                          <a:prstGeom prst="rect">
                                            <a:avLst/>
                                          </a:prstGeom>
                                        </pic:spPr>
                                      </pic:pic>
                                    </a:graphicData>
                                  </a:graphic>
                                </wp:inline>
                              </w:drawing>
                            </w:r>
                          </w:p>
                        </w:tc>
                      </w:tr>
                      <w:tr w:rsidR="00F23644" w14:paraId="047D3244" w14:textId="77777777">
                        <w:trPr>
                          <w:trHeight w:val="188"/>
                        </w:trPr>
                        <w:tc>
                          <w:tcPr>
                            <w:tcW w:w="216" w:type="dxa"/>
                            <w:tcBorders>
                              <w:left w:val="nil"/>
                              <w:right w:val="single" w:sz="6" w:space="0" w:color="A6A6A6"/>
                            </w:tcBorders>
                          </w:tcPr>
                          <w:p w14:paraId="70EF9D67" w14:textId="77777777" w:rsidR="00F23644" w:rsidRDefault="00F23644">
                            <w:pPr>
                              <w:pStyle w:val="TableParagraph"/>
                              <w:rPr>
                                <w:sz w:val="12"/>
                              </w:rPr>
                            </w:pPr>
                          </w:p>
                        </w:tc>
                        <w:tc>
                          <w:tcPr>
                            <w:tcW w:w="432" w:type="dxa"/>
                            <w:tcBorders>
                              <w:left w:val="single" w:sz="6" w:space="0" w:color="A6A6A6"/>
                              <w:right w:val="single" w:sz="6" w:space="0" w:color="A6A6A6"/>
                            </w:tcBorders>
                          </w:tcPr>
                          <w:p w14:paraId="33766225" w14:textId="77777777" w:rsidR="00F23644" w:rsidRDefault="00F23644">
                            <w:pPr>
                              <w:pStyle w:val="TableParagraph"/>
                              <w:rPr>
                                <w:sz w:val="12"/>
                              </w:rPr>
                            </w:pPr>
                          </w:p>
                        </w:tc>
                        <w:tc>
                          <w:tcPr>
                            <w:tcW w:w="432" w:type="dxa"/>
                            <w:tcBorders>
                              <w:left w:val="single" w:sz="6" w:space="0" w:color="A6A6A6"/>
                              <w:right w:val="single" w:sz="6" w:space="0" w:color="A6A6A6"/>
                            </w:tcBorders>
                          </w:tcPr>
                          <w:p w14:paraId="5F9FE44E" w14:textId="77777777" w:rsidR="00F23644" w:rsidRDefault="00F23644">
                            <w:pPr>
                              <w:pStyle w:val="TableParagraph"/>
                              <w:rPr>
                                <w:sz w:val="12"/>
                              </w:rPr>
                            </w:pPr>
                          </w:p>
                        </w:tc>
                        <w:tc>
                          <w:tcPr>
                            <w:tcW w:w="420" w:type="dxa"/>
                            <w:tcBorders>
                              <w:left w:val="single" w:sz="6" w:space="0" w:color="A6A6A6"/>
                              <w:right w:val="single" w:sz="6" w:space="0" w:color="A6A6A6"/>
                            </w:tcBorders>
                          </w:tcPr>
                          <w:p w14:paraId="14066D63" w14:textId="77777777" w:rsidR="00F23644" w:rsidRDefault="00F23644">
                            <w:pPr>
                              <w:pStyle w:val="TableParagraph"/>
                              <w:rPr>
                                <w:sz w:val="12"/>
                              </w:rPr>
                            </w:pPr>
                          </w:p>
                        </w:tc>
                        <w:tc>
                          <w:tcPr>
                            <w:tcW w:w="432" w:type="dxa"/>
                            <w:tcBorders>
                              <w:left w:val="single" w:sz="6" w:space="0" w:color="A6A6A6"/>
                              <w:right w:val="single" w:sz="6" w:space="0" w:color="A6A6A6"/>
                            </w:tcBorders>
                          </w:tcPr>
                          <w:p w14:paraId="559F3BC4" w14:textId="77777777" w:rsidR="00F23644" w:rsidRDefault="00F23644">
                            <w:pPr>
                              <w:pStyle w:val="TableParagraph"/>
                              <w:rPr>
                                <w:sz w:val="12"/>
                              </w:rPr>
                            </w:pPr>
                          </w:p>
                        </w:tc>
                        <w:tc>
                          <w:tcPr>
                            <w:tcW w:w="432" w:type="dxa"/>
                            <w:tcBorders>
                              <w:left w:val="single" w:sz="6" w:space="0" w:color="A6A6A6"/>
                              <w:right w:val="single" w:sz="6" w:space="0" w:color="A6A6A6"/>
                            </w:tcBorders>
                          </w:tcPr>
                          <w:p w14:paraId="58C4AF02" w14:textId="77777777" w:rsidR="00F23644" w:rsidRDefault="00F23644">
                            <w:pPr>
                              <w:pStyle w:val="TableParagraph"/>
                              <w:rPr>
                                <w:sz w:val="12"/>
                              </w:rPr>
                            </w:pPr>
                          </w:p>
                        </w:tc>
                        <w:tc>
                          <w:tcPr>
                            <w:tcW w:w="432" w:type="dxa"/>
                            <w:tcBorders>
                              <w:left w:val="single" w:sz="6" w:space="0" w:color="A6A6A6"/>
                              <w:right w:val="single" w:sz="6" w:space="0" w:color="A6A6A6"/>
                            </w:tcBorders>
                          </w:tcPr>
                          <w:p w14:paraId="0C7AD3A5" w14:textId="77777777" w:rsidR="00F23644" w:rsidRDefault="00F23644">
                            <w:pPr>
                              <w:pStyle w:val="TableParagraph"/>
                              <w:rPr>
                                <w:sz w:val="12"/>
                              </w:rPr>
                            </w:pPr>
                          </w:p>
                        </w:tc>
                        <w:tc>
                          <w:tcPr>
                            <w:tcW w:w="432" w:type="dxa"/>
                            <w:tcBorders>
                              <w:left w:val="single" w:sz="6" w:space="0" w:color="A6A6A6"/>
                              <w:right w:val="single" w:sz="6" w:space="0" w:color="A6A6A6"/>
                            </w:tcBorders>
                          </w:tcPr>
                          <w:p w14:paraId="5F161457" w14:textId="77777777" w:rsidR="00F23644" w:rsidRDefault="00F23644">
                            <w:pPr>
                              <w:pStyle w:val="TableParagraph"/>
                              <w:rPr>
                                <w:sz w:val="12"/>
                              </w:rPr>
                            </w:pPr>
                          </w:p>
                        </w:tc>
                        <w:tc>
                          <w:tcPr>
                            <w:tcW w:w="432" w:type="dxa"/>
                            <w:tcBorders>
                              <w:left w:val="single" w:sz="6" w:space="0" w:color="A6A6A6"/>
                              <w:right w:val="single" w:sz="6" w:space="0" w:color="A6A6A6"/>
                            </w:tcBorders>
                          </w:tcPr>
                          <w:p w14:paraId="6D173EAB" w14:textId="77777777" w:rsidR="00F23644" w:rsidRDefault="00F23644">
                            <w:pPr>
                              <w:pStyle w:val="TableParagraph"/>
                              <w:rPr>
                                <w:sz w:val="12"/>
                              </w:rPr>
                            </w:pPr>
                          </w:p>
                        </w:tc>
                        <w:tc>
                          <w:tcPr>
                            <w:tcW w:w="432" w:type="dxa"/>
                            <w:tcBorders>
                              <w:left w:val="single" w:sz="6" w:space="0" w:color="A6A6A6"/>
                              <w:right w:val="single" w:sz="6" w:space="0" w:color="A6A6A6"/>
                            </w:tcBorders>
                          </w:tcPr>
                          <w:p w14:paraId="2FCC29FF" w14:textId="77777777" w:rsidR="00F23644" w:rsidRDefault="00F23644">
                            <w:pPr>
                              <w:pStyle w:val="TableParagraph"/>
                              <w:rPr>
                                <w:sz w:val="12"/>
                              </w:rPr>
                            </w:pPr>
                          </w:p>
                        </w:tc>
                        <w:tc>
                          <w:tcPr>
                            <w:tcW w:w="432" w:type="dxa"/>
                            <w:tcBorders>
                              <w:left w:val="single" w:sz="6" w:space="0" w:color="A6A6A6"/>
                              <w:right w:val="single" w:sz="6" w:space="0" w:color="A6A6A6"/>
                            </w:tcBorders>
                          </w:tcPr>
                          <w:p w14:paraId="4673E97D" w14:textId="77777777" w:rsidR="00F23644" w:rsidRDefault="00F23644">
                            <w:pPr>
                              <w:pStyle w:val="TableParagraph"/>
                              <w:rPr>
                                <w:sz w:val="12"/>
                              </w:rPr>
                            </w:pPr>
                          </w:p>
                        </w:tc>
                        <w:tc>
                          <w:tcPr>
                            <w:tcW w:w="864" w:type="dxa"/>
                            <w:gridSpan w:val="2"/>
                            <w:tcBorders>
                              <w:left w:val="single" w:sz="6" w:space="0" w:color="A6A6A6"/>
                              <w:right w:val="single" w:sz="6" w:space="0" w:color="A6A6A6"/>
                            </w:tcBorders>
                          </w:tcPr>
                          <w:p w14:paraId="67D12FAF" w14:textId="77777777" w:rsidR="00F23644" w:rsidRDefault="00F23644">
                            <w:pPr>
                              <w:pStyle w:val="TableParagraph"/>
                              <w:rPr>
                                <w:sz w:val="12"/>
                              </w:rPr>
                            </w:pPr>
                          </w:p>
                        </w:tc>
                        <w:tc>
                          <w:tcPr>
                            <w:tcW w:w="852" w:type="dxa"/>
                            <w:gridSpan w:val="2"/>
                            <w:tcBorders>
                              <w:left w:val="single" w:sz="6" w:space="0" w:color="A6A6A6"/>
                              <w:right w:val="single" w:sz="6" w:space="0" w:color="A6A6A6"/>
                            </w:tcBorders>
                          </w:tcPr>
                          <w:p w14:paraId="5F1F2D28" w14:textId="77777777" w:rsidR="00F23644" w:rsidRDefault="00F23644">
                            <w:pPr>
                              <w:pStyle w:val="TableParagraph"/>
                              <w:rPr>
                                <w:sz w:val="12"/>
                              </w:rPr>
                            </w:pPr>
                          </w:p>
                        </w:tc>
                        <w:tc>
                          <w:tcPr>
                            <w:tcW w:w="1512" w:type="dxa"/>
                            <w:gridSpan w:val="4"/>
                            <w:tcBorders>
                              <w:left w:val="single" w:sz="6" w:space="0" w:color="A6A6A6"/>
                              <w:right w:val="nil"/>
                            </w:tcBorders>
                          </w:tcPr>
                          <w:p w14:paraId="4A14368A" w14:textId="77777777" w:rsidR="00F23644" w:rsidRDefault="00F23644">
                            <w:pPr>
                              <w:pStyle w:val="TableParagraph"/>
                              <w:spacing w:line="105" w:lineRule="exact"/>
                              <w:ind w:left="-20"/>
                              <w:rPr>
                                <w:rFonts w:ascii="Calibri Light"/>
                                <w:sz w:val="10"/>
                              </w:rPr>
                            </w:pPr>
                            <w:r>
                              <w:rPr>
                                <w:rFonts w:ascii="Calibri Light"/>
                                <w:noProof/>
                                <w:position w:val="-1"/>
                                <w:sz w:val="10"/>
                                <w:lang w:val="en-GB" w:eastAsia="en-GB"/>
                              </w:rPr>
                              <w:drawing>
                                <wp:inline distT="0" distB="0" distL="0" distR="0" wp14:anchorId="33F96874" wp14:editId="0228FB71">
                                  <wp:extent cx="53204" cy="67055"/>
                                  <wp:effectExtent l="0" t="0" r="0" b="0"/>
                                  <wp:docPr id="81"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60.png"/>
                                          <pic:cNvPicPr/>
                                        </pic:nvPicPr>
                                        <pic:blipFill>
                                          <a:blip r:embed="rId23" cstate="print"/>
                                          <a:stretch>
                                            <a:fillRect/>
                                          </a:stretch>
                                        </pic:blipFill>
                                        <pic:spPr>
                                          <a:xfrm>
                                            <a:off x="0" y="0"/>
                                            <a:ext cx="53204" cy="67055"/>
                                          </a:xfrm>
                                          <a:prstGeom prst="rect">
                                            <a:avLst/>
                                          </a:prstGeom>
                                        </pic:spPr>
                                      </pic:pic>
                                    </a:graphicData>
                                  </a:graphic>
                                </wp:inline>
                              </w:drawing>
                            </w:r>
                          </w:p>
                        </w:tc>
                      </w:tr>
                      <w:tr w:rsidR="00F23644" w14:paraId="56B299AB" w14:textId="77777777">
                        <w:trPr>
                          <w:trHeight w:val="201"/>
                        </w:trPr>
                        <w:tc>
                          <w:tcPr>
                            <w:tcW w:w="216" w:type="dxa"/>
                            <w:tcBorders>
                              <w:left w:val="nil"/>
                              <w:right w:val="single" w:sz="6" w:space="0" w:color="A6A6A6"/>
                            </w:tcBorders>
                          </w:tcPr>
                          <w:p w14:paraId="51FDFDEB" w14:textId="77777777" w:rsidR="00F23644" w:rsidRDefault="00F23644">
                            <w:pPr>
                              <w:pStyle w:val="TableParagraph"/>
                              <w:rPr>
                                <w:sz w:val="14"/>
                              </w:rPr>
                            </w:pPr>
                          </w:p>
                        </w:tc>
                        <w:tc>
                          <w:tcPr>
                            <w:tcW w:w="432" w:type="dxa"/>
                            <w:tcBorders>
                              <w:left w:val="single" w:sz="6" w:space="0" w:color="A6A6A6"/>
                              <w:right w:val="single" w:sz="6" w:space="0" w:color="A6A6A6"/>
                            </w:tcBorders>
                          </w:tcPr>
                          <w:p w14:paraId="18030873" w14:textId="77777777" w:rsidR="00F23644" w:rsidRDefault="00F23644">
                            <w:pPr>
                              <w:pStyle w:val="TableParagraph"/>
                              <w:rPr>
                                <w:sz w:val="14"/>
                              </w:rPr>
                            </w:pPr>
                          </w:p>
                        </w:tc>
                        <w:tc>
                          <w:tcPr>
                            <w:tcW w:w="432" w:type="dxa"/>
                            <w:tcBorders>
                              <w:left w:val="single" w:sz="6" w:space="0" w:color="A6A6A6"/>
                              <w:right w:val="single" w:sz="6" w:space="0" w:color="A6A6A6"/>
                            </w:tcBorders>
                          </w:tcPr>
                          <w:p w14:paraId="4767E2B8" w14:textId="77777777" w:rsidR="00F23644" w:rsidRDefault="00F23644">
                            <w:pPr>
                              <w:pStyle w:val="TableParagraph"/>
                              <w:rPr>
                                <w:sz w:val="14"/>
                              </w:rPr>
                            </w:pPr>
                          </w:p>
                        </w:tc>
                        <w:tc>
                          <w:tcPr>
                            <w:tcW w:w="420" w:type="dxa"/>
                            <w:tcBorders>
                              <w:left w:val="single" w:sz="6" w:space="0" w:color="A6A6A6"/>
                              <w:right w:val="single" w:sz="6" w:space="0" w:color="A6A6A6"/>
                            </w:tcBorders>
                          </w:tcPr>
                          <w:p w14:paraId="7771767F" w14:textId="77777777" w:rsidR="00F23644" w:rsidRDefault="00F23644">
                            <w:pPr>
                              <w:pStyle w:val="TableParagraph"/>
                              <w:rPr>
                                <w:sz w:val="14"/>
                              </w:rPr>
                            </w:pPr>
                          </w:p>
                        </w:tc>
                        <w:tc>
                          <w:tcPr>
                            <w:tcW w:w="432" w:type="dxa"/>
                            <w:tcBorders>
                              <w:left w:val="single" w:sz="6" w:space="0" w:color="A6A6A6"/>
                              <w:right w:val="single" w:sz="6" w:space="0" w:color="A6A6A6"/>
                            </w:tcBorders>
                          </w:tcPr>
                          <w:p w14:paraId="56DBD52E" w14:textId="77777777" w:rsidR="00F23644" w:rsidRDefault="00F23644">
                            <w:pPr>
                              <w:pStyle w:val="TableParagraph"/>
                              <w:rPr>
                                <w:sz w:val="14"/>
                              </w:rPr>
                            </w:pPr>
                          </w:p>
                        </w:tc>
                        <w:tc>
                          <w:tcPr>
                            <w:tcW w:w="432" w:type="dxa"/>
                            <w:tcBorders>
                              <w:left w:val="single" w:sz="6" w:space="0" w:color="A6A6A6"/>
                              <w:right w:val="single" w:sz="6" w:space="0" w:color="A6A6A6"/>
                            </w:tcBorders>
                          </w:tcPr>
                          <w:p w14:paraId="4A8E270B" w14:textId="77777777" w:rsidR="00F23644" w:rsidRDefault="00F23644">
                            <w:pPr>
                              <w:pStyle w:val="TableParagraph"/>
                              <w:rPr>
                                <w:sz w:val="14"/>
                              </w:rPr>
                            </w:pPr>
                          </w:p>
                        </w:tc>
                        <w:tc>
                          <w:tcPr>
                            <w:tcW w:w="432" w:type="dxa"/>
                            <w:tcBorders>
                              <w:left w:val="single" w:sz="6" w:space="0" w:color="A6A6A6"/>
                              <w:right w:val="single" w:sz="6" w:space="0" w:color="A6A6A6"/>
                            </w:tcBorders>
                          </w:tcPr>
                          <w:p w14:paraId="4A7CA8F6" w14:textId="77777777" w:rsidR="00F23644" w:rsidRDefault="00F23644">
                            <w:pPr>
                              <w:pStyle w:val="TableParagraph"/>
                              <w:rPr>
                                <w:sz w:val="14"/>
                              </w:rPr>
                            </w:pPr>
                          </w:p>
                        </w:tc>
                        <w:tc>
                          <w:tcPr>
                            <w:tcW w:w="432" w:type="dxa"/>
                            <w:tcBorders>
                              <w:left w:val="single" w:sz="6" w:space="0" w:color="A6A6A6"/>
                              <w:right w:val="single" w:sz="6" w:space="0" w:color="A6A6A6"/>
                            </w:tcBorders>
                          </w:tcPr>
                          <w:p w14:paraId="2B6AC8A6" w14:textId="77777777" w:rsidR="00F23644" w:rsidRDefault="00F23644">
                            <w:pPr>
                              <w:pStyle w:val="TableParagraph"/>
                              <w:rPr>
                                <w:sz w:val="14"/>
                              </w:rPr>
                            </w:pPr>
                          </w:p>
                        </w:tc>
                        <w:tc>
                          <w:tcPr>
                            <w:tcW w:w="432" w:type="dxa"/>
                            <w:tcBorders>
                              <w:left w:val="single" w:sz="6" w:space="0" w:color="A6A6A6"/>
                              <w:right w:val="single" w:sz="6" w:space="0" w:color="A6A6A6"/>
                            </w:tcBorders>
                          </w:tcPr>
                          <w:p w14:paraId="3AA055A2" w14:textId="77777777" w:rsidR="00F23644" w:rsidRDefault="00F23644">
                            <w:pPr>
                              <w:pStyle w:val="TableParagraph"/>
                              <w:rPr>
                                <w:sz w:val="14"/>
                              </w:rPr>
                            </w:pPr>
                          </w:p>
                        </w:tc>
                        <w:tc>
                          <w:tcPr>
                            <w:tcW w:w="432" w:type="dxa"/>
                            <w:tcBorders>
                              <w:left w:val="single" w:sz="6" w:space="0" w:color="A6A6A6"/>
                              <w:right w:val="single" w:sz="6" w:space="0" w:color="A6A6A6"/>
                            </w:tcBorders>
                          </w:tcPr>
                          <w:p w14:paraId="3401ECB6" w14:textId="77777777" w:rsidR="00F23644" w:rsidRDefault="00F23644">
                            <w:pPr>
                              <w:pStyle w:val="TableParagraph"/>
                              <w:rPr>
                                <w:sz w:val="14"/>
                              </w:rPr>
                            </w:pPr>
                          </w:p>
                        </w:tc>
                        <w:tc>
                          <w:tcPr>
                            <w:tcW w:w="432" w:type="dxa"/>
                            <w:tcBorders>
                              <w:left w:val="single" w:sz="6" w:space="0" w:color="A6A6A6"/>
                              <w:right w:val="single" w:sz="6" w:space="0" w:color="A6A6A6"/>
                            </w:tcBorders>
                          </w:tcPr>
                          <w:p w14:paraId="48E2D92F" w14:textId="77777777" w:rsidR="00F23644" w:rsidRDefault="00F23644">
                            <w:pPr>
                              <w:pStyle w:val="TableParagraph"/>
                              <w:rPr>
                                <w:sz w:val="14"/>
                              </w:rPr>
                            </w:pPr>
                          </w:p>
                        </w:tc>
                        <w:tc>
                          <w:tcPr>
                            <w:tcW w:w="432" w:type="dxa"/>
                            <w:tcBorders>
                              <w:left w:val="single" w:sz="6" w:space="0" w:color="A6A6A6"/>
                              <w:right w:val="single" w:sz="6" w:space="0" w:color="A6A6A6"/>
                            </w:tcBorders>
                          </w:tcPr>
                          <w:p w14:paraId="41B2BC76" w14:textId="77777777" w:rsidR="00F23644" w:rsidRDefault="00F23644">
                            <w:pPr>
                              <w:pStyle w:val="TableParagraph"/>
                              <w:rPr>
                                <w:sz w:val="14"/>
                              </w:rPr>
                            </w:pPr>
                          </w:p>
                        </w:tc>
                        <w:tc>
                          <w:tcPr>
                            <w:tcW w:w="432" w:type="dxa"/>
                            <w:tcBorders>
                              <w:left w:val="single" w:sz="6" w:space="0" w:color="A6A6A6"/>
                              <w:right w:val="single" w:sz="6" w:space="0" w:color="A6A6A6"/>
                            </w:tcBorders>
                          </w:tcPr>
                          <w:p w14:paraId="00F4D349" w14:textId="77777777" w:rsidR="00F23644" w:rsidRDefault="00F23644">
                            <w:pPr>
                              <w:pStyle w:val="TableParagraph"/>
                              <w:rPr>
                                <w:sz w:val="14"/>
                              </w:rPr>
                            </w:pPr>
                          </w:p>
                        </w:tc>
                        <w:tc>
                          <w:tcPr>
                            <w:tcW w:w="432" w:type="dxa"/>
                            <w:tcBorders>
                              <w:left w:val="single" w:sz="6" w:space="0" w:color="A6A6A6"/>
                              <w:right w:val="single" w:sz="6" w:space="0" w:color="A6A6A6"/>
                            </w:tcBorders>
                          </w:tcPr>
                          <w:p w14:paraId="4B5A57E2" w14:textId="77777777" w:rsidR="00F23644" w:rsidRDefault="00F23644">
                            <w:pPr>
                              <w:pStyle w:val="TableParagraph"/>
                              <w:rPr>
                                <w:sz w:val="14"/>
                              </w:rPr>
                            </w:pPr>
                          </w:p>
                        </w:tc>
                        <w:tc>
                          <w:tcPr>
                            <w:tcW w:w="420" w:type="dxa"/>
                            <w:tcBorders>
                              <w:left w:val="single" w:sz="6" w:space="0" w:color="A6A6A6"/>
                              <w:right w:val="single" w:sz="6" w:space="0" w:color="A6A6A6"/>
                            </w:tcBorders>
                          </w:tcPr>
                          <w:p w14:paraId="63EA5410" w14:textId="77777777" w:rsidR="00F23644" w:rsidRDefault="00F23644">
                            <w:pPr>
                              <w:pStyle w:val="TableParagraph"/>
                              <w:rPr>
                                <w:sz w:val="14"/>
                              </w:rPr>
                            </w:pPr>
                          </w:p>
                        </w:tc>
                        <w:tc>
                          <w:tcPr>
                            <w:tcW w:w="1512" w:type="dxa"/>
                            <w:gridSpan w:val="4"/>
                            <w:tcBorders>
                              <w:left w:val="single" w:sz="6" w:space="0" w:color="A6A6A6"/>
                              <w:right w:val="nil"/>
                            </w:tcBorders>
                          </w:tcPr>
                          <w:p w14:paraId="2FA7E2C0" w14:textId="77777777" w:rsidR="00F23644" w:rsidRDefault="00F23644">
                            <w:pPr>
                              <w:pStyle w:val="TableParagraph"/>
                              <w:rPr>
                                <w:sz w:val="14"/>
                              </w:rPr>
                            </w:pPr>
                          </w:p>
                        </w:tc>
                      </w:tr>
                      <w:tr w:rsidR="00F23644" w14:paraId="21BCB719" w14:textId="77777777">
                        <w:trPr>
                          <w:trHeight w:val="201"/>
                        </w:trPr>
                        <w:tc>
                          <w:tcPr>
                            <w:tcW w:w="216" w:type="dxa"/>
                            <w:tcBorders>
                              <w:left w:val="nil"/>
                              <w:right w:val="single" w:sz="6" w:space="0" w:color="A6A6A6"/>
                            </w:tcBorders>
                          </w:tcPr>
                          <w:p w14:paraId="1CBE1E9F" w14:textId="77777777" w:rsidR="00F23644" w:rsidRDefault="00F23644">
                            <w:pPr>
                              <w:pStyle w:val="TableParagraph"/>
                              <w:rPr>
                                <w:sz w:val="14"/>
                              </w:rPr>
                            </w:pPr>
                          </w:p>
                        </w:tc>
                        <w:tc>
                          <w:tcPr>
                            <w:tcW w:w="432" w:type="dxa"/>
                            <w:tcBorders>
                              <w:left w:val="single" w:sz="6" w:space="0" w:color="A6A6A6"/>
                              <w:right w:val="single" w:sz="6" w:space="0" w:color="A6A6A6"/>
                            </w:tcBorders>
                          </w:tcPr>
                          <w:p w14:paraId="44A98A03" w14:textId="77777777" w:rsidR="00F23644" w:rsidRDefault="00F23644">
                            <w:pPr>
                              <w:pStyle w:val="TableParagraph"/>
                              <w:rPr>
                                <w:sz w:val="14"/>
                              </w:rPr>
                            </w:pPr>
                          </w:p>
                        </w:tc>
                        <w:tc>
                          <w:tcPr>
                            <w:tcW w:w="432" w:type="dxa"/>
                            <w:tcBorders>
                              <w:left w:val="single" w:sz="6" w:space="0" w:color="A6A6A6"/>
                              <w:right w:val="single" w:sz="6" w:space="0" w:color="A6A6A6"/>
                            </w:tcBorders>
                          </w:tcPr>
                          <w:p w14:paraId="37205D2C" w14:textId="77777777" w:rsidR="00F23644" w:rsidRDefault="00F23644">
                            <w:pPr>
                              <w:pStyle w:val="TableParagraph"/>
                              <w:rPr>
                                <w:sz w:val="14"/>
                              </w:rPr>
                            </w:pPr>
                          </w:p>
                        </w:tc>
                        <w:tc>
                          <w:tcPr>
                            <w:tcW w:w="420" w:type="dxa"/>
                            <w:tcBorders>
                              <w:left w:val="single" w:sz="6" w:space="0" w:color="A6A6A6"/>
                              <w:right w:val="single" w:sz="6" w:space="0" w:color="A6A6A6"/>
                            </w:tcBorders>
                          </w:tcPr>
                          <w:p w14:paraId="6FA330C8" w14:textId="77777777" w:rsidR="00F23644" w:rsidRDefault="00F23644">
                            <w:pPr>
                              <w:pStyle w:val="TableParagraph"/>
                              <w:rPr>
                                <w:sz w:val="14"/>
                              </w:rPr>
                            </w:pPr>
                          </w:p>
                        </w:tc>
                        <w:tc>
                          <w:tcPr>
                            <w:tcW w:w="432" w:type="dxa"/>
                            <w:tcBorders>
                              <w:left w:val="single" w:sz="6" w:space="0" w:color="A6A6A6"/>
                              <w:right w:val="single" w:sz="6" w:space="0" w:color="A6A6A6"/>
                            </w:tcBorders>
                          </w:tcPr>
                          <w:p w14:paraId="629353A7" w14:textId="77777777" w:rsidR="00F23644" w:rsidRDefault="00F23644">
                            <w:pPr>
                              <w:pStyle w:val="TableParagraph"/>
                              <w:rPr>
                                <w:sz w:val="14"/>
                              </w:rPr>
                            </w:pPr>
                          </w:p>
                        </w:tc>
                        <w:tc>
                          <w:tcPr>
                            <w:tcW w:w="432" w:type="dxa"/>
                            <w:tcBorders>
                              <w:left w:val="single" w:sz="6" w:space="0" w:color="A6A6A6"/>
                              <w:right w:val="single" w:sz="6" w:space="0" w:color="A6A6A6"/>
                            </w:tcBorders>
                          </w:tcPr>
                          <w:p w14:paraId="48FD1631" w14:textId="77777777" w:rsidR="00F23644" w:rsidRDefault="00F23644">
                            <w:pPr>
                              <w:pStyle w:val="TableParagraph"/>
                              <w:rPr>
                                <w:sz w:val="14"/>
                              </w:rPr>
                            </w:pPr>
                          </w:p>
                        </w:tc>
                        <w:tc>
                          <w:tcPr>
                            <w:tcW w:w="432" w:type="dxa"/>
                            <w:tcBorders>
                              <w:left w:val="single" w:sz="6" w:space="0" w:color="A6A6A6"/>
                              <w:right w:val="single" w:sz="6" w:space="0" w:color="A6A6A6"/>
                            </w:tcBorders>
                          </w:tcPr>
                          <w:p w14:paraId="30493E8D" w14:textId="77777777" w:rsidR="00F23644" w:rsidRDefault="00F23644">
                            <w:pPr>
                              <w:pStyle w:val="TableParagraph"/>
                              <w:rPr>
                                <w:sz w:val="14"/>
                              </w:rPr>
                            </w:pPr>
                          </w:p>
                        </w:tc>
                        <w:tc>
                          <w:tcPr>
                            <w:tcW w:w="432" w:type="dxa"/>
                            <w:tcBorders>
                              <w:left w:val="single" w:sz="6" w:space="0" w:color="A6A6A6"/>
                              <w:right w:val="single" w:sz="6" w:space="0" w:color="A6A6A6"/>
                            </w:tcBorders>
                          </w:tcPr>
                          <w:p w14:paraId="04F17E85" w14:textId="77777777" w:rsidR="00F23644" w:rsidRDefault="00F23644">
                            <w:pPr>
                              <w:pStyle w:val="TableParagraph"/>
                              <w:rPr>
                                <w:sz w:val="14"/>
                              </w:rPr>
                            </w:pPr>
                          </w:p>
                        </w:tc>
                        <w:tc>
                          <w:tcPr>
                            <w:tcW w:w="432" w:type="dxa"/>
                            <w:tcBorders>
                              <w:left w:val="single" w:sz="6" w:space="0" w:color="A6A6A6"/>
                              <w:right w:val="single" w:sz="6" w:space="0" w:color="A6A6A6"/>
                            </w:tcBorders>
                          </w:tcPr>
                          <w:p w14:paraId="3F8F58E2" w14:textId="77777777" w:rsidR="00F23644" w:rsidRDefault="00F23644">
                            <w:pPr>
                              <w:pStyle w:val="TableParagraph"/>
                              <w:rPr>
                                <w:sz w:val="14"/>
                              </w:rPr>
                            </w:pPr>
                          </w:p>
                        </w:tc>
                        <w:tc>
                          <w:tcPr>
                            <w:tcW w:w="432" w:type="dxa"/>
                            <w:tcBorders>
                              <w:left w:val="single" w:sz="6" w:space="0" w:color="A6A6A6"/>
                              <w:right w:val="single" w:sz="6" w:space="0" w:color="A6A6A6"/>
                            </w:tcBorders>
                          </w:tcPr>
                          <w:p w14:paraId="7951A227" w14:textId="77777777" w:rsidR="00F23644" w:rsidRDefault="00F23644">
                            <w:pPr>
                              <w:pStyle w:val="TableParagraph"/>
                              <w:rPr>
                                <w:sz w:val="14"/>
                              </w:rPr>
                            </w:pPr>
                          </w:p>
                        </w:tc>
                        <w:tc>
                          <w:tcPr>
                            <w:tcW w:w="432" w:type="dxa"/>
                            <w:tcBorders>
                              <w:left w:val="single" w:sz="6" w:space="0" w:color="A6A6A6"/>
                              <w:right w:val="single" w:sz="6" w:space="0" w:color="A6A6A6"/>
                            </w:tcBorders>
                          </w:tcPr>
                          <w:p w14:paraId="4BC69A05" w14:textId="77777777" w:rsidR="00F23644" w:rsidRDefault="00F23644">
                            <w:pPr>
                              <w:pStyle w:val="TableParagraph"/>
                              <w:rPr>
                                <w:sz w:val="14"/>
                              </w:rPr>
                            </w:pPr>
                          </w:p>
                        </w:tc>
                        <w:tc>
                          <w:tcPr>
                            <w:tcW w:w="432" w:type="dxa"/>
                            <w:tcBorders>
                              <w:left w:val="single" w:sz="6" w:space="0" w:color="A6A6A6"/>
                              <w:right w:val="single" w:sz="6" w:space="0" w:color="A6A6A6"/>
                            </w:tcBorders>
                          </w:tcPr>
                          <w:p w14:paraId="1D0F825E" w14:textId="77777777" w:rsidR="00F23644" w:rsidRDefault="00F23644">
                            <w:pPr>
                              <w:pStyle w:val="TableParagraph"/>
                              <w:rPr>
                                <w:sz w:val="14"/>
                              </w:rPr>
                            </w:pPr>
                          </w:p>
                        </w:tc>
                        <w:tc>
                          <w:tcPr>
                            <w:tcW w:w="432" w:type="dxa"/>
                            <w:tcBorders>
                              <w:left w:val="single" w:sz="6" w:space="0" w:color="A6A6A6"/>
                              <w:right w:val="single" w:sz="6" w:space="0" w:color="A6A6A6"/>
                            </w:tcBorders>
                          </w:tcPr>
                          <w:p w14:paraId="77090DBD" w14:textId="77777777" w:rsidR="00F23644" w:rsidRDefault="00F23644">
                            <w:pPr>
                              <w:pStyle w:val="TableParagraph"/>
                              <w:rPr>
                                <w:sz w:val="14"/>
                              </w:rPr>
                            </w:pPr>
                          </w:p>
                        </w:tc>
                        <w:tc>
                          <w:tcPr>
                            <w:tcW w:w="432" w:type="dxa"/>
                            <w:tcBorders>
                              <w:left w:val="single" w:sz="6" w:space="0" w:color="A6A6A6"/>
                              <w:right w:val="single" w:sz="6" w:space="0" w:color="A6A6A6"/>
                            </w:tcBorders>
                          </w:tcPr>
                          <w:p w14:paraId="3160F157" w14:textId="77777777" w:rsidR="00F23644" w:rsidRDefault="00F23644">
                            <w:pPr>
                              <w:pStyle w:val="TableParagraph"/>
                              <w:rPr>
                                <w:sz w:val="14"/>
                              </w:rPr>
                            </w:pPr>
                          </w:p>
                        </w:tc>
                        <w:tc>
                          <w:tcPr>
                            <w:tcW w:w="420" w:type="dxa"/>
                            <w:tcBorders>
                              <w:left w:val="single" w:sz="6" w:space="0" w:color="A6A6A6"/>
                              <w:right w:val="single" w:sz="6" w:space="0" w:color="A6A6A6"/>
                            </w:tcBorders>
                          </w:tcPr>
                          <w:p w14:paraId="6F175CD0" w14:textId="77777777" w:rsidR="00F23644" w:rsidRDefault="00F23644">
                            <w:pPr>
                              <w:pStyle w:val="TableParagraph"/>
                              <w:rPr>
                                <w:sz w:val="14"/>
                              </w:rPr>
                            </w:pPr>
                          </w:p>
                        </w:tc>
                        <w:tc>
                          <w:tcPr>
                            <w:tcW w:w="432" w:type="dxa"/>
                            <w:tcBorders>
                              <w:left w:val="single" w:sz="6" w:space="0" w:color="A6A6A6"/>
                              <w:right w:val="single" w:sz="6" w:space="0" w:color="A6A6A6"/>
                            </w:tcBorders>
                          </w:tcPr>
                          <w:p w14:paraId="6E5078F7" w14:textId="77777777" w:rsidR="00F23644" w:rsidRDefault="00F23644">
                            <w:pPr>
                              <w:pStyle w:val="TableParagraph"/>
                              <w:rPr>
                                <w:sz w:val="14"/>
                              </w:rPr>
                            </w:pPr>
                          </w:p>
                        </w:tc>
                        <w:tc>
                          <w:tcPr>
                            <w:tcW w:w="432" w:type="dxa"/>
                            <w:tcBorders>
                              <w:left w:val="single" w:sz="6" w:space="0" w:color="A6A6A6"/>
                              <w:right w:val="single" w:sz="6" w:space="0" w:color="A6A6A6"/>
                            </w:tcBorders>
                          </w:tcPr>
                          <w:p w14:paraId="203DA108" w14:textId="77777777" w:rsidR="00F23644" w:rsidRDefault="00F23644">
                            <w:pPr>
                              <w:pStyle w:val="TableParagraph"/>
                              <w:rPr>
                                <w:sz w:val="14"/>
                              </w:rPr>
                            </w:pPr>
                          </w:p>
                        </w:tc>
                        <w:tc>
                          <w:tcPr>
                            <w:tcW w:w="432" w:type="dxa"/>
                            <w:tcBorders>
                              <w:left w:val="single" w:sz="6" w:space="0" w:color="A6A6A6"/>
                              <w:right w:val="single" w:sz="6" w:space="0" w:color="A6A6A6"/>
                            </w:tcBorders>
                          </w:tcPr>
                          <w:p w14:paraId="775768C6" w14:textId="77777777" w:rsidR="00F23644" w:rsidRDefault="00F23644">
                            <w:pPr>
                              <w:pStyle w:val="TableParagraph"/>
                              <w:rPr>
                                <w:sz w:val="14"/>
                              </w:rPr>
                            </w:pPr>
                          </w:p>
                        </w:tc>
                        <w:tc>
                          <w:tcPr>
                            <w:tcW w:w="216" w:type="dxa"/>
                            <w:tcBorders>
                              <w:left w:val="single" w:sz="6" w:space="0" w:color="A6A6A6"/>
                              <w:right w:val="nil"/>
                            </w:tcBorders>
                          </w:tcPr>
                          <w:p w14:paraId="6F5B6EF6" w14:textId="77777777" w:rsidR="00F23644" w:rsidRDefault="00F23644">
                            <w:pPr>
                              <w:pStyle w:val="TableParagraph"/>
                              <w:rPr>
                                <w:sz w:val="14"/>
                              </w:rPr>
                            </w:pPr>
                          </w:p>
                        </w:tc>
                      </w:tr>
                      <w:tr w:rsidR="00F23644" w14:paraId="5CF0BDEC" w14:textId="77777777">
                        <w:trPr>
                          <w:trHeight w:val="188"/>
                        </w:trPr>
                        <w:tc>
                          <w:tcPr>
                            <w:tcW w:w="216" w:type="dxa"/>
                            <w:tcBorders>
                              <w:left w:val="nil"/>
                              <w:bottom w:val="single" w:sz="6" w:space="0" w:color="000000"/>
                              <w:right w:val="single" w:sz="6" w:space="0" w:color="A6A6A6"/>
                            </w:tcBorders>
                          </w:tcPr>
                          <w:p w14:paraId="5FC90AEE" w14:textId="77777777" w:rsidR="00F23644" w:rsidRDefault="00F23644">
                            <w:pPr>
                              <w:pStyle w:val="TableParagraph"/>
                              <w:rPr>
                                <w:sz w:val="12"/>
                              </w:rPr>
                            </w:pPr>
                          </w:p>
                        </w:tc>
                        <w:tc>
                          <w:tcPr>
                            <w:tcW w:w="432" w:type="dxa"/>
                            <w:tcBorders>
                              <w:left w:val="single" w:sz="6" w:space="0" w:color="A6A6A6"/>
                              <w:bottom w:val="single" w:sz="6" w:space="0" w:color="000000"/>
                              <w:right w:val="single" w:sz="6" w:space="0" w:color="A6A6A6"/>
                            </w:tcBorders>
                          </w:tcPr>
                          <w:p w14:paraId="3EB525ED" w14:textId="77777777" w:rsidR="00F23644" w:rsidRDefault="00F23644">
                            <w:pPr>
                              <w:pStyle w:val="TableParagraph"/>
                              <w:rPr>
                                <w:sz w:val="12"/>
                              </w:rPr>
                            </w:pPr>
                          </w:p>
                        </w:tc>
                        <w:tc>
                          <w:tcPr>
                            <w:tcW w:w="432" w:type="dxa"/>
                            <w:tcBorders>
                              <w:left w:val="single" w:sz="6" w:space="0" w:color="A6A6A6"/>
                              <w:bottom w:val="single" w:sz="6" w:space="0" w:color="000000"/>
                              <w:right w:val="single" w:sz="6" w:space="0" w:color="A6A6A6"/>
                            </w:tcBorders>
                          </w:tcPr>
                          <w:p w14:paraId="467CCA4B" w14:textId="77777777" w:rsidR="00F23644" w:rsidRDefault="00F23644">
                            <w:pPr>
                              <w:pStyle w:val="TableParagraph"/>
                              <w:rPr>
                                <w:sz w:val="12"/>
                              </w:rPr>
                            </w:pPr>
                          </w:p>
                        </w:tc>
                        <w:tc>
                          <w:tcPr>
                            <w:tcW w:w="420" w:type="dxa"/>
                            <w:tcBorders>
                              <w:left w:val="single" w:sz="6" w:space="0" w:color="A6A6A6"/>
                              <w:bottom w:val="single" w:sz="6" w:space="0" w:color="000000"/>
                              <w:right w:val="single" w:sz="6" w:space="0" w:color="A6A6A6"/>
                            </w:tcBorders>
                          </w:tcPr>
                          <w:p w14:paraId="3C6966E1" w14:textId="77777777" w:rsidR="00F23644" w:rsidRDefault="00F23644">
                            <w:pPr>
                              <w:pStyle w:val="TableParagraph"/>
                              <w:rPr>
                                <w:sz w:val="12"/>
                              </w:rPr>
                            </w:pPr>
                          </w:p>
                        </w:tc>
                        <w:tc>
                          <w:tcPr>
                            <w:tcW w:w="432" w:type="dxa"/>
                            <w:tcBorders>
                              <w:left w:val="single" w:sz="6" w:space="0" w:color="A6A6A6"/>
                              <w:bottom w:val="single" w:sz="6" w:space="0" w:color="000000"/>
                              <w:right w:val="single" w:sz="6" w:space="0" w:color="A6A6A6"/>
                            </w:tcBorders>
                          </w:tcPr>
                          <w:p w14:paraId="329C9217" w14:textId="77777777" w:rsidR="00F23644" w:rsidRDefault="00F23644">
                            <w:pPr>
                              <w:pStyle w:val="TableParagraph"/>
                              <w:rPr>
                                <w:sz w:val="12"/>
                              </w:rPr>
                            </w:pPr>
                          </w:p>
                        </w:tc>
                        <w:tc>
                          <w:tcPr>
                            <w:tcW w:w="432" w:type="dxa"/>
                            <w:tcBorders>
                              <w:left w:val="single" w:sz="6" w:space="0" w:color="A6A6A6"/>
                              <w:bottom w:val="single" w:sz="6" w:space="0" w:color="000000"/>
                              <w:right w:val="single" w:sz="6" w:space="0" w:color="A6A6A6"/>
                            </w:tcBorders>
                          </w:tcPr>
                          <w:p w14:paraId="3B9D59B7" w14:textId="77777777" w:rsidR="00F23644" w:rsidRDefault="00F23644">
                            <w:pPr>
                              <w:pStyle w:val="TableParagraph"/>
                              <w:rPr>
                                <w:sz w:val="12"/>
                              </w:rPr>
                            </w:pPr>
                          </w:p>
                        </w:tc>
                        <w:tc>
                          <w:tcPr>
                            <w:tcW w:w="432" w:type="dxa"/>
                            <w:tcBorders>
                              <w:left w:val="single" w:sz="6" w:space="0" w:color="A6A6A6"/>
                              <w:bottom w:val="single" w:sz="6" w:space="0" w:color="000000"/>
                              <w:right w:val="single" w:sz="6" w:space="0" w:color="A6A6A6"/>
                            </w:tcBorders>
                          </w:tcPr>
                          <w:p w14:paraId="1E87A7C3" w14:textId="77777777" w:rsidR="00F23644" w:rsidRDefault="00F23644">
                            <w:pPr>
                              <w:pStyle w:val="TableParagraph"/>
                              <w:rPr>
                                <w:sz w:val="12"/>
                              </w:rPr>
                            </w:pPr>
                          </w:p>
                        </w:tc>
                        <w:tc>
                          <w:tcPr>
                            <w:tcW w:w="432" w:type="dxa"/>
                            <w:tcBorders>
                              <w:left w:val="single" w:sz="6" w:space="0" w:color="A6A6A6"/>
                              <w:bottom w:val="single" w:sz="6" w:space="0" w:color="000000"/>
                              <w:right w:val="single" w:sz="6" w:space="0" w:color="A6A6A6"/>
                            </w:tcBorders>
                          </w:tcPr>
                          <w:p w14:paraId="553B94FE" w14:textId="77777777" w:rsidR="00F23644" w:rsidRDefault="00F23644">
                            <w:pPr>
                              <w:pStyle w:val="TableParagraph"/>
                              <w:rPr>
                                <w:sz w:val="12"/>
                              </w:rPr>
                            </w:pPr>
                          </w:p>
                        </w:tc>
                        <w:tc>
                          <w:tcPr>
                            <w:tcW w:w="432" w:type="dxa"/>
                            <w:tcBorders>
                              <w:left w:val="single" w:sz="6" w:space="0" w:color="A6A6A6"/>
                              <w:bottom w:val="single" w:sz="6" w:space="0" w:color="000000"/>
                              <w:right w:val="single" w:sz="6" w:space="0" w:color="A6A6A6"/>
                            </w:tcBorders>
                          </w:tcPr>
                          <w:p w14:paraId="69CFB41B" w14:textId="77777777" w:rsidR="00F23644" w:rsidRDefault="00F23644">
                            <w:pPr>
                              <w:pStyle w:val="TableParagraph"/>
                              <w:rPr>
                                <w:sz w:val="12"/>
                              </w:rPr>
                            </w:pPr>
                          </w:p>
                        </w:tc>
                        <w:tc>
                          <w:tcPr>
                            <w:tcW w:w="432" w:type="dxa"/>
                            <w:tcBorders>
                              <w:left w:val="single" w:sz="6" w:space="0" w:color="A6A6A6"/>
                              <w:bottom w:val="single" w:sz="6" w:space="0" w:color="000000"/>
                              <w:right w:val="single" w:sz="6" w:space="0" w:color="A6A6A6"/>
                            </w:tcBorders>
                          </w:tcPr>
                          <w:p w14:paraId="603D55DC" w14:textId="77777777" w:rsidR="00F23644" w:rsidRDefault="00F23644">
                            <w:pPr>
                              <w:pStyle w:val="TableParagraph"/>
                              <w:rPr>
                                <w:sz w:val="12"/>
                              </w:rPr>
                            </w:pPr>
                          </w:p>
                        </w:tc>
                        <w:tc>
                          <w:tcPr>
                            <w:tcW w:w="432" w:type="dxa"/>
                            <w:tcBorders>
                              <w:left w:val="single" w:sz="6" w:space="0" w:color="A6A6A6"/>
                              <w:bottom w:val="single" w:sz="6" w:space="0" w:color="000000"/>
                              <w:right w:val="single" w:sz="6" w:space="0" w:color="A6A6A6"/>
                            </w:tcBorders>
                          </w:tcPr>
                          <w:p w14:paraId="2C13C1E6" w14:textId="77777777" w:rsidR="00F23644" w:rsidRDefault="00F23644">
                            <w:pPr>
                              <w:pStyle w:val="TableParagraph"/>
                              <w:rPr>
                                <w:sz w:val="12"/>
                              </w:rPr>
                            </w:pPr>
                          </w:p>
                        </w:tc>
                        <w:tc>
                          <w:tcPr>
                            <w:tcW w:w="432" w:type="dxa"/>
                            <w:tcBorders>
                              <w:left w:val="single" w:sz="6" w:space="0" w:color="A6A6A6"/>
                              <w:bottom w:val="single" w:sz="6" w:space="0" w:color="000000"/>
                              <w:right w:val="single" w:sz="6" w:space="0" w:color="A6A6A6"/>
                            </w:tcBorders>
                          </w:tcPr>
                          <w:p w14:paraId="0D025A64" w14:textId="77777777" w:rsidR="00F23644" w:rsidRDefault="00F23644">
                            <w:pPr>
                              <w:pStyle w:val="TableParagraph"/>
                              <w:rPr>
                                <w:sz w:val="12"/>
                              </w:rPr>
                            </w:pPr>
                          </w:p>
                        </w:tc>
                        <w:tc>
                          <w:tcPr>
                            <w:tcW w:w="432" w:type="dxa"/>
                            <w:tcBorders>
                              <w:left w:val="single" w:sz="6" w:space="0" w:color="A6A6A6"/>
                              <w:bottom w:val="single" w:sz="6" w:space="0" w:color="000000"/>
                              <w:right w:val="single" w:sz="6" w:space="0" w:color="A6A6A6"/>
                            </w:tcBorders>
                          </w:tcPr>
                          <w:p w14:paraId="2E526CE5" w14:textId="77777777" w:rsidR="00F23644" w:rsidRDefault="00F23644">
                            <w:pPr>
                              <w:pStyle w:val="TableParagraph"/>
                              <w:rPr>
                                <w:sz w:val="12"/>
                              </w:rPr>
                            </w:pPr>
                          </w:p>
                        </w:tc>
                        <w:tc>
                          <w:tcPr>
                            <w:tcW w:w="432" w:type="dxa"/>
                            <w:tcBorders>
                              <w:left w:val="single" w:sz="6" w:space="0" w:color="A6A6A6"/>
                              <w:bottom w:val="single" w:sz="6" w:space="0" w:color="000000"/>
                              <w:right w:val="single" w:sz="6" w:space="0" w:color="A6A6A6"/>
                            </w:tcBorders>
                          </w:tcPr>
                          <w:p w14:paraId="2B285A5F" w14:textId="77777777" w:rsidR="00F23644" w:rsidRDefault="00F23644">
                            <w:pPr>
                              <w:pStyle w:val="TableParagraph"/>
                              <w:rPr>
                                <w:sz w:val="12"/>
                              </w:rPr>
                            </w:pPr>
                          </w:p>
                        </w:tc>
                        <w:tc>
                          <w:tcPr>
                            <w:tcW w:w="420" w:type="dxa"/>
                            <w:tcBorders>
                              <w:left w:val="single" w:sz="6" w:space="0" w:color="A6A6A6"/>
                              <w:bottom w:val="single" w:sz="6" w:space="0" w:color="000000"/>
                              <w:right w:val="single" w:sz="6" w:space="0" w:color="A6A6A6"/>
                            </w:tcBorders>
                          </w:tcPr>
                          <w:p w14:paraId="461FA56F" w14:textId="77777777" w:rsidR="00F23644" w:rsidRDefault="00F23644">
                            <w:pPr>
                              <w:pStyle w:val="TableParagraph"/>
                              <w:rPr>
                                <w:sz w:val="12"/>
                              </w:rPr>
                            </w:pPr>
                          </w:p>
                        </w:tc>
                        <w:tc>
                          <w:tcPr>
                            <w:tcW w:w="432" w:type="dxa"/>
                            <w:tcBorders>
                              <w:left w:val="single" w:sz="6" w:space="0" w:color="A6A6A6"/>
                              <w:bottom w:val="single" w:sz="6" w:space="0" w:color="000000"/>
                              <w:right w:val="single" w:sz="6" w:space="0" w:color="A6A6A6"/>
                            </w:tcBorders>
                          </w:tcPr>
                          <w:p w14:paraId="471A72A2" w14:textId="77777777" w:rsidR="00F23644" w:rsidRDefault="00F23644">
                            <w:pPr>
                              <w:pStyle w:val="TableParagraph"/>
                              <w:rPr>
                                <w:sz w:val="12"/>
                              </w:rPr>
                            </w:pPr>
                          </w:p>
                        </w:tc>
                        <w:tc>
                          <w:tcPr>
                            <w:tcW w:w="432" w:type="dxa"/>
                            <w:tcBorders>
                              <w:left w:val="single" w:sz="6" w:space="0" w:color="A6A6A6"/>
                              <w:bottom w:val="single" w:sz="6" w:space="0" w:color="000000"/>
                              <w:right w:val="single" w:sz="6" w:space="0" w:color="A6A6A6"/>
                            </w:tcBorders>
                          </w:tcPr>
                          <w:p w14:paraId="5CAC8C7D" w14:textId="77777777" w:rsidR="00F23644" w:rsidRDefault="00F23644">
                            <w:pPr>
                              <w:pStyle w:val="TableParagraph"/>
                              <w:rPr>
                                <w:sz w:val="12"/>
                              </w:rPr>
                            </w:pPr>
                          </w:p>
                        </w:tc>
                        <w:tc>
                          <w:tcPr>
                            <w:tcW w:w="432" w:type="dxa"/>
                            <w:tcBorders>
                              <w:left w:val="single" w:sz="6" w:space="0" w:color="A6A6A6"/>
                              <w:bottom w:val="single" w:sz="6" w:space="0" w:color="000000"/>
                              <w:right w:val="single" w:sz="6" w:space="0" w:color="A6A6A6"/>
                            </w:tcBorders>
                          </w:tcPr>
                          <w:p w14:paraId="629676DE" w14:textId="77777777" w:rsidR="00F23644" w:rsidRDefault="00F23644">
                            <w:pPr>
                              <w:pStyle w:val="TableParagraph"/>
                              <w:rPr>
                                <w:sz w:val="12"/>
                              </w:rPr>
                            </w:pPr>
                          </w:p>
                        </w:tc>
                        <w:tc>
                          <w:tcPr>
                            <w:tcW w:w="216" w:type="dxa"/>
                            <w:tcBorders>
                              <w:left w:val="single" w:sz="6" w:space="0" w:color="A6A6A6"/>
                              <w:bottom w:val="single" w:sz="6" w:space="0" w:color="000000"/>
                              <w:right w:val="nil"/>
                            </w:tcBorders>
                          </w:tcPr>
                          <w:p w14:paraId="415B0C39" w14:textId="77777777" w:rsidR="00F23644" w:rsidRDefault="00F23644">
                            <w:pPr>
                              <w:pStyle w:val="TableParagraph"/>
                              <w:rPr>
                                <w:sz w:val="12"/>
                              </w:rPr>
                            </w:pPr>
                          </w:p>
                        </w:tc>
                      </w:tr>
                    </w:tbl>
                    <w:p w14:paraId="1AB2F10F" w14:textId="77777777" w:rsidR="00F23644" w:rsidRDefault="00F23644" w:rsidP="002557B7">
                      <w:pPr>
                        <w:pStyle w:val="BodyText"/>
                      </w:pPr>
                    </w:p>
                  </w:txbxContent>
                </v:textbox>
                <w10:wrap anchorx="page"/>
              </v:shape>
            </w:pict>
          </mc:Fallback>
        </mc:AlternateContent>
      </w:r>
      <w:r w:rsidRPr="00DB0C40">
        <w:rPr>
          <w:rFonts w:asciiTheme="minorHAnsi" w:eastAsia="Calibri Light" w:hAnsiTheme="minorHAnsi" w:cstheme="minorHAnsi"/>
          <w:w w:val="105"/>
          <w:sz w:val="22"/>
          <w:szCs w:val="22"/>
        </w:rPr>
        <w:t>45</w:t>
      </w:r>
    </w:p>
    <w:p w14:paraId="2E3A8E36" w14:textId="77777777" w:rsidR="002557B7" w:rsidRPr="00DB0C40" w:rsidRDefault="002557B7" w:rsidP="002557B7">
      <w:pPr>
        <w:widowControl w:val="0"/>
        <w:autoSpaceDE w:val="0"/>
        <w:autoSpaceDN w:val="0"/>
        <w:spacing w:before="39"/>
        <w:ind w:left="668"/>
        <w:rPr>
          <w:rFonts w:asciiTheme="minorHAnsi" w:eastAsia="Calibri Light" w:hAnsiTheme="minorHAnsi" w:cstheme="minorHAnsi"/>
          <w:sz w:val="22"/>
          <w:szCs w:val="22"/>
        </w:rPr>
      </w:pPr>
      <w:r w:rsidRPr="00DB0C40">
        <w:rPr>
          <w:rFonts w:asciiTheme="minorHAnsi" w:eastAsia="Calibri Light" w:hAnsiTheme="minorHAnsi" w:cstheme="minorHAnsi"/>
          <w:noProof/>
          <w:sz w:val="22"/>
          <w:szCs w:val="22"/>
          <w:lang w:eastAsia="en-GB"/>
        </w:rPr>
        <w:drawing>
          <wp:anchor distT="0" distB="0" distL="0" distR="0" simplePos="0" relativeHeight="251666432" behindDoc="0" locked="0" layoutInCell="1" allowOverlap="1" wp14:anchorId="43081A9C" wp14:editId="28F1A1A6">
            <wp:simplePos x="0" y="0"/>
            <wp:positionH relativeFrom="page">
              <wp:posOffset>1543811</wp:posOffset>
            </wp:positionH>
            <wp:positionV relativeFrom="paragraph">
              <wp:posOffset>47804</wp:posOffset>
            </wp:positionV>
            <wp:extent cx="76200" cy="76200"/>
            <wp:effectExtent l="0" t="0" r="0" b="0"/>
            <wp:wrapNone/>
            <wp:docPr id="324"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1.png"/>
                    <pic:cNvPicPr/>
                  </pic:nvPicPr>
                  <pic:blipFill>
                    <a:blip r:embed="rId20" cstate="print"/>
                    <a:stretch>
                      <a:fillRect/>
                    </a:stretch>
                  </pic:blipFill>
                  <pic:spPr>
                    <a:xfrm>
                      <a:off x="0" y="0"/>
                      <a:ext cx="76200" cy="76200"/>
                    </a:xfrm>
                    <a:prstGeom prst="rect">
                      <a:avLst/>
                    </a:prstGeom>
                  </pic:spPr>
                </pic:pic>
              </a:graphicData>
            </a:graphic>
          </wp:anchor>
        </w:drawing>
      </w:r>
      <w:r w:rsidRPr="00DB0C40">
        <w:rPr>
          <w:rFonts w:asciiTheme="minorHAnsi" w:eastAsia="Calibri Light" w:hAnsiTheme="minorHAnsi" w:cstheme="minorHAnsi"/>
          <w:w w:val="105"/>
          <w:sz w:val="22"/>
          <w:szCs w:val="22"/>
        </w:rPr>
        <w:t>40</w:t>
      </w:r>
    </w:p>
    <w:p w14:paraId="176E6B5C" w14:textId="77777777" w:rsidR="002557B7" w:rsidRPr="00DB0C40" w:rsidRDefault="002557B7" w:rsidP="002557B7">
      <w:pPr>
        <w:widowControl w:val="0"/>
        <w:autoSpaceDE w:val="0"/>
        <w:autoSpaceDN w:val="0"/>
        <w:spacing w:before="39"/>
        <w:ind w:left="668"/>
        <w:rPr>
          <w:rFonts w:asciiTheme="minorHAnsi" w:eastAsia="Calibri Light" w:hAnsiTheme="minorHAnsi" w:cstheme="minorHAnsi"/>
          <w:sz w:val="22"/>
          <w:szCs w:val="22"/>
        </w:rPr>
      </w:pPr>
      <w:r w:rsidRPr="00DB0C40">
        <w:rPr>
          <w:rFonts w:asciiTheme="minorHAnsi" w:eastAsia="Calibri Light" w:hAnsiTheme="minorHAnsi" w:cstheme="minorHAnsi"/>
          <w:noProof/>
          <w:sz w:val="22"/>
          <w:szCs w:val="22"/>
          <w:lang w:eastAsia="en-GB"/>
        </w:rPr>
        <w:drawing>
          <wp:anchor distT="0" distB="0" distL="0" distR="0" simplePos="0" relativeHeight="251669504" behindDoc="0" locked="0" layoutInCell="1" allowOverlap="1" wp14:anchorId="58D32203" wp14:editId="36CCBC96">
            <wp:simplePos x="0" y="0"/>
            <wp:positionH relativeFrom="page">
              <wp:posOffset>2366772</wp:posOffset>
            </wp:positionH>
            <wp:positionV relativeFrom="paragraph">
              <wp:posOffset>96574</wp:posOffset>
            </wp:positionV>
            <wp:extent cx="76200" cy="76200"/>
            <wp:effectExtent l="0" t="0" r="0" b="0"/>
            <wp:wrapNone/>
            <wp:docPr id="325"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51.png"/>
                    <pic:cNvPicPr/>
                  </pic:nvPicPr>
                  <pic:blipFill>
                    <a:blip r:embed="rId21" cstate="print"/>
                    <a:stretch>
                      <a:fillRect/>
                    </a:stretch>
                  </pic:blipFill>
                  <pic:spPr>
                    <a:xfrm>
                      <a:off x="0" y="0"/>
                      <a:ext cx="76200" cy="76200"/>
                    </a:xfrm>
                    <a:prstGeom prst="rect">
                      <a:avLst/>
                    </a:prstGeom>
                  </pic:spPr>
                </pic:pic>
              </a:graphicData>
            </a:graphic>
          </wp:anchor>
        </w:drawing>
      </w:r>
      <w:r w:rsidRPr="00DB0C40">
        <w:rPr>
          <w:rFonts w:asciiTheme="minorHAnsi" w:eastAsia="Calibri Light" w:hAnsiTheme="minorHAnsi" w:cstheme="minorHAnsi"/>
          <w:noProof/>
          <w:sz w:val="22"/>
          <w:szCs w:val="22"/>
          <w:lang w:eastAsia="en-GB"/>
        </w:rPr>
        <mc:AlternateContent>
          <mc:Choice Requires="wps">
            <w:drawing>
              <wp:anchor distT="0" distB="0" distL="114300" distR="114300" simplePos="0" relativeHeight="251683840" behindDoc="0" locked="0" layoutInCell="1" allowOverlap="1" wp14:anchorId="676B84C1" wp14:editId="22D0DE25">
                <wp:simplePos x="0" y="0"/>
                <wp:positionH relativeFrom="page">
                  <wp:posOffset>1536065</wp:posOffset>
                </wp:positionH>
                <wp:positionV relativeFrom="paragraph">
                  <wp:posOffset>50800</wp:posOffset>
                </wp:positionV>
                <wp:extent cx="91440" cy="91440"/>
                <wp:effectExtent l="2540" t="1270" r="1270" b="2540"/>
                <wp:wrapNone/>
                <wp:docPr id="375" name="Freeform: Shape 3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91440"/>
                        </a:xfrm>
                        <a:custGeom>
                          <a:avLst/>
                          <a:gdLst>
                            <a:gd name="T0" fmla="+- 0 2491 2419"/>
                            <a:gd name="T1" fmla="*/ T0 w 144"/>
                            <a:gd name="T2" fmla="+- 0 80 80"/>
                            <a:gd name="T3" fmla="*/ 80 h 144"/>
                            <a:gd name="T4" fmla="+- 0 2419 2419"/>
                            <a:gd name="T5" fmla="*/ T4 w 144"/>
                            <a:gd name="T6" fmla="+- 0 152 80"/>
                            <a:gd name="T7" fmla="*/ 152 h 144"/>
                            <a:gd name="T8" fmla="+- 0 2491 2419"/>
                            <a:gd name="T9" fmla="*/ T8 w 144"/>
                            <a:gd name="T10" fmla="+- 0 224 80"/>
                            <a:gd name="T11" fmla="*/ 224 h 144"/>
                            <a:gd name="T12" fmla="+- 0 2563 2419"/>
                            <a:gd name="T13" fmla="*/ T12 w 144"/>
                            <a:gd name="T14" fmla="+- 0 152 80"/>
                            <a:gd name="T15" fmla="*/ 152 h 144"/>
                            <a:gd name="T16" fmla="+- 0 2491 2419"/>
                            <a:gd name="T17" fmla="*/ T16 w 144"/>
                            <a:gd name="T18" fmla="+- 0 80 80"/>
                            <a:gd name="T19" fmla="*/ 80 h 144"/>
                          </a:gdLst>
                          <a:ahLst/>
                          <a:cxnLst>
                            <a:cxn ang="0">
                              <a:pos x="T1" y="T3"/>
                            </a:cxn>
                            <a:cxn ang="0">
                              <a:pos x="T5" y="T7"/>
                            </a:cxn>
                            <a:cxn ang="0">
                              <a:pos x="T9" y="T11"/>
                            </a:cxn>
                            <a:cxn ang="0">
                              <a:pos x="T13" y="T15"/>
                            </a:cxn>
                            <a:cxn ang="0">
                              <a:pos x="T17" y="T19"/>
                            </a:cxn>
                          </a:cxnLst>
                          <a:rect l="0" t="0" r="r" b="b"/>
                          <a:pathLst>
                            <a:path w="144" h="144">
                              <a:moveTo>
                                <a:pt x="72" y="0"/>
                              </a:moveTo>
                              <a:lnTo>
                                <a:pt x="0" y="72"/>
                              </a:lnTo>
                              <a:lnTo>
                                <a:pt x="72" y="144"/>
                              </a:lnTo>
                              <a:lnTo>
                                <a:pt x="144" y="72"/>
                              </a:lnTo>
                              <a:lnTo>
                                <a:pt x="72" y="0"/>
                              </a:lnTo>
                              <a:close/>
                            </a:path>
                          </a:pathLst>
                        </a:custGeom>
                        <a:solidFill>
                          <a:srgbClr val="2E75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EAF77FD" id="Freeform: Shape 375" o:spid="_x0000_s1026" style="position:absolute;margin-left:120.95pt;margin-top:4pt;width:7.2pt;height:7.2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4,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" path="m72,l,72r72,72l144,72,72,xe" fillcolor="#2e75b6" stroked="f">
                <v:path arrowok="t" o:connecttype="custom" o:connectlocs="45720,50800;0,96520;45720,142240;91440,96520;45720,50800" o:connectangles="0,0,0,0,0"/>
                <w10:wrap anchorx="page"/>
              </v:shape>
            </w:pict>
          </mc:Fallback>
        </mc:AlternateContent>
      </w:r>
      <w:r w:rsidRPr="00DB0C40">
        <w:rPr>
          <w:rFonts w:asciiTheme="minorHAnsi" w:eastAsia="Calibri Light" w:hAnsiTheme="minorHAnsi" w:cstheme="minorHAnsi"/>
          <w:noProof/>
          <w:sz w:val="22"/>
          <w:szCs w:val="22"/>
          <w:lang w:eastAsia="en-GB"/>
        </w:rPr>
        <mc:AlternateContent>
          <mc:Choice Requires="wps">
            <w:drawing>
              <wp:anchor distT="0" distB="0" distL="114300" distR="114300" simplePos="0" relativeHeight="251684864" behindDoc="0" locked="0" layoutInCell="1" allowOverlap="1" wp14:anchorId="41E6F8D9" wp14:editId="54E57AA4">
                <wp:simplePos x="0" y="0"/>
                <wp:positionH relativeFrom="page">
                  <wp:posOffset>1810385</wp:posOffset>
                </wp:positionH>
                <wp:positionV relativeFrom="paragraph">
                  <wp:posOffset>81280</wp:posOffset>
                </wp:positionV>
                <wp:extent cx="91440" cy="91440"/>
                <wp:effectExtent l="635" t="3175" r="3175" b="635"/>
                <wp:wrapNone/>
                <wp:docPr id="374" name="Freeform: Shape 3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91440"/>
                        </a:xfrm>
                        <a:custGeom>
                          <a:avLst/>
                          <a:gdLst>
                            <a:gd name="T0" fmla="+- 0 2923 2851"/>
                            <a:gd name="T1" fmla="*/ T0 w 144"/>
                            <a:gd name="T2" fmla="+- 0 128 128"/>
                            <a:gd name="T3" fmla="*/ 128 h 144"/>
                            <a:gd name="T4" fmla="+- 0 2851 2851"/>
                            <a:gd name="T5" fmla="*/ T4 w 144"/>
                            <a:gd name="T6" fmla="+- 0 200 128"/>
                            <a:gd name="T7" fmla="*/ 200 h 144"/>
                            <a:gd name="T8" fmla="+- 0 2923 2851"/>
                            <a:gd name="T9" fmla="*/ T8 w 144"/>
                            <a:gd name="T10" fmla="+- 0 272 128"/>
                            <a:gd name="T11" fmla="*/ 272 h 144"/>
                            <a:gd name="T12" fmla="+- 0 2995 2851"/>
                            <a:gd name="T13" fmla="*/ T12 w 144"/>
                            <a:gd name="T14" fmla="+- 0 200 128"/>
                            <a:gd name="T15" fmla="*/ 200 h 144"/>
                            <a:gd name="T16" fmla="+- 0 2923 2851"/>
                            <a:gd name="T17" fmla="*/ T16 w 144"/>
                            <a:gd name="T18" fmla="+- 0 128 128"/>
                            <a:gd name="T19" fmla="*/ 128 h 144"/>
                          </a:gdLst>
                          <a:ahLst/>
                          <a:cxnLst>
                            <a:cxn ang="0">
                              <a:pos x="T1" y="T3"/>
                            </a:cxn>
                            <a:cxn ang="0">
                              <a:pos x="T5" y="T7"/>
                            </a:cxn>
                            <a:cxn ang="0">
                              <a:pos x="T9" y="T11"/>
                            </a:cxn>
                            <a:cxn ang="0">
                              <a:pos x="T13" y="T15"/>
                            </a:cxn>
                            <a:cxn ang="0">
                              <a:pos x="T17" y="T19"/>
                            </a:cxn>
                          </a:cxnLst>
                          <a:rect l="0" t="0" r="r" b="b"/>
                          <a:pathLst>
                            <a:path w="144" h="144">
                              <a:moveTo>
                                <a:pt x="72" y="0"/>
                              </a:moveTo>
                              <a:lnTo>
                                <a:pt x="0" y="72"/>
                              </a:lnTo>
                              <a:lnTo>
                                <a:pt x="72" y="144"/>
                              </a:lnTo>
                              <a:lnTo>
                                <a:pt x="144" y="72"/>
                              </a:lnTo>
                              <a:lnTo>
                                <a:pt x="72" y="0"/>
                              </a:lnTo>
                              <a:close/>
                            </a:path>
                          </a:pathLst>
                        </a:custGeom>
                        <a:solidFill>
                          <a:srgbClr val="2E75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E8B1BCA" id="Freeform: Shape 374" o:spid="_x0000_s1026" style="position:absolute;margin-left:142.55pt;margin-top:6.4pt;width:7.2pt;height:7.2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4,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" path="m72,l,72r72,72l144,72,72,xe" fillcolor="#2e75b6" stroked="f">
                <v:path arrowok="t" o:connecttype="custom" o:connectlocs="45720,81280;0,127000;45720,172720;91440,127000;45720,81280" o:connectangles="0,0,0,0,0"/>
                <w10:wrap anchorx="page"/>
              </v:shape>
            </w:pict>
          </mc:Fallback>
        </mc:AlternateContent>
      </w:r>
      <w:r w:rsidRPr="00DB0C40">
        <w:rPr>
          <w:rFonts w:asciiTheme="minorHAnsi" w:eastAsia="Calibri Light" w:hAnsiTheme="minorHAnsi" w:cstheme="minorHAnsi"/>
          <w:w w:val="105"/>
          <w:sz w:val="22"/>
          <w:szCs w:val="22"/>
        </w:rPr>
        <w:t>35</w:t>
      </w:r>
    </w:p>
    <w:p w14:paraId="021975AD" w14:textId="77777777" w:rsidR="002557B7" w:rsidRPr="00DB0C40" w:rsidRDefault="002557B7" w:rsidP="002557B7">
      <w:pPr>
        <w:widowControl w:val="0"/>
        <w:autoSpaceDE w:val="0"/>
        <w:autoSpaceDN w:val="0"/>
        <w:spacing w:before="39"/>
        <w:ind w:left="668"/>
        <w:rPr>
          <w:rFonts w:asciiTheme="minorHAnsi" w:eastAsia="Calibri Light" w:hAnsiTheme="minorHAnsi" w:cstheme="minorHAnsi"/>
          <w:sz w:val="22"/>
          <w:szCs w:val="22"/>
        </w:rPr>
      </w:pPr>
      <w:r w:rsidRPr="00DB0C40">
        <w:rPr>
          <w:rFonts w:asciiTheme="minorHAnsi" w:eastAsia="Calibri Light" w:hAnsiTheme="minorHAnsi" w:cstheme="minorHAnsi"/>
          <w:noProof/>
          <w:sz w:val="22"/>
          <w:szCs w:val="22"/>
          <w:lang w:eastAsia="en-GB"/>
        </w:rPr>
        <mc:AlternateContent>
          <mc:Choice Requires="wpg">
            <w:drawing>
              <wp:anchor distT="0" distB="0" distL="114300" distR="114300" simplePos="0" relativeHeight="251668480" behindDoc="0" locked="0" layoutInCell="1" allowOverlap="1" wp14:anchorId="029ECF4E" wp14:editId="2183A221">
                <wp:simplePos x="0" y="0"/>
                <wp:positionH relativeFrom="page">
                  <wp:posOffset>2084705</wp:posOffset>
                </wp:positionH>
                <wp:positionV relativeFrom="paragraph">
                  <wp:posOffset>15875</wp:posOffset>
                </wp:positionV>
                <wp:extent cx="91440" cy="152400"/>
                <wp:effectExtent l="8255" t="5715" r="5080" b="3810"/>
                <wp:wrapNone/>
                <wp:docPr id="371" name="Group 3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 cy="152400"/>
                          <a:chOff x="3283" y="25"/>
                          <a:chExt cx="144" cy="240"/>
                        </a:xfrm>
                      </wpg:grpSpPr>
                      <wps:wsp>
                        <wps:cNvPr id="372" name="Freeform 324"/>
                        <wps:cNvSpPr>
                          <a:spLocks/>
                        </wps:cNvSpPr>
                        <wps:spPr bwMode="auto">
                          <a:xfrm>
                            <a:off x="3295" y="24"/>
                            <a:ext cx="120" cy="120"/>
                          </a:xfrm>
                          <a:custGeom>
                            <a:avLst/>
                            <a:gdLst>
                              <a:gd name="T0" fmla="+- 0 3355 3295"/>
                              <a:gd name="T1" fmla="*/ T0 w 120"/>
                              <a:gd name="T2" fmla="+- 0 25 25"/>
                              <a:gd name="T3" fmla="*/ 25 h 120"/>
                              <a:gd name="T4" fmla="+- 0 3332 3295"/>
                              <a:gd name="T5" fmla="*/ T4 w 120"/>
                              <a:gd name="T6" fmla="+- 0 30 25"/>
                              <a:gd name="T7" fmla="*/ 30 h 120"/>
                              <a:gd name="T8" fmla="+- 0 3313 3295"/>
                              <a:gd name="T9" fmla="*/ T8 w 120"/>
                              <a:gd name="T10" fmla="+- 0 42 25"/>
                              <a:gd name="T11" fmla="*/ 42 h 120"/>
                              <a:gd name="T12" fmla="+- 0 3300 3295"/>
                              <a:gd name="T13" fmla="*/ T12 w 120"/>
                              <a:gd name="T14" fmla="+- 0 61 25"/>
                              <a:gd name="T15" fmla="*/ 61 h 120"/>
                              <a:gd name="T16" fmla="+- 0 3295 3295"/>
                              <a:gd name="T17" fmla="*/ T16 w 120"/>
                              <a:gd name="T18" fmla="+- 0 85 25"/>
                              <a:gd name="T19" fmla="*/ 85 h 120"/>
                              <a:gd name="T20" fmla="+- 0 3300 3295"/>
                              <a:gd name="T21" fmla="*/ T20 w 120"/>
                              <a:gd name="T22" fmla="+- 0 108 25"/>
                              <a:gd name="T23" fmla="*/ 108 h 120"/>
                              <a:gd name="T24" fmla="+- 0 3313 3295"/>
                              <a:gd name="T25" fmla="*/ T24 w 120"/>
                              <a:gd name="T26" fmla="+- 0 127 25"/>
                              <a:gd name="T27" fmla="*/ 127 h 120"/>
                              <a:gd name="T28" fmla="+- 0 3332 3295"/>
                              <a:gd name="T29" fmla="*/ T28 w 120"/>
                              <a:gd name="T30" fmla="+- 0 140 25"/>
                              <a:gd name="T31" fmla="*/ 140 h 120"/>
                              <a:gd name="T32" fmla="+- 0 3355 3295"/>
                              <a:gd name="T33" fmla="*/ T32 w 120"/>
                              <a:gd name="T34" fmla="+- 0 145 25"/>
                              <a:gd name="T35" fmla="*/ 145 h 120"/>
                              <a:gd name="T36" fmla="+- 0 3379 3295"/>
                              <a:gd name="T37" fmla="*/ T36 w 120"/>
                              <a:gd name="T38" fmla="+- 0 140 25"/>
                              <a:gd name="T39" fmla="*/ 140 h 120"/>
                              <a:gd name="T40" fmla="+- 0 3398 3295"/>
                              <a:gd name="T41" fmla="*/ T40 w 120"/>
                              <a:gd name="T42" fmla="+- 0 127 25"/>
                              <a:gd name="T43" fmla="*/ 127 h 120"/>
                              <a:gd name="T44" fmla="+- 0 3411 3295"/>
                              <a:gd name="T45" fmla="*/ T44 w 120"/>
                              <a:gd name="T46" fmla="+- 0 108 25"/>
                              <a:gd name="T47" fmla="*/ 108 h 120"/>
                              <a:gd name="T48" fmla="+- 0 3415 3295"/>
                              <a:gd name="T49" fmla="*/ T48 w 120"/>
                              <a:gd name="T50" fmla="+- 0 85 25"/>
                              <a:gd name="T51" fmla="*/ 85 h 120"/>
                              <a:gd name="T52" fmla="+- 0 3411 3295"/>
                              <a:gd name="T53" fmla="*/ T52 w 120"/>
                              <a:gd name="T54" fmla="+- 0 61 25"/>
                              <a:gd name="T55" fmla="*/ 61 h 120"/>
                              <a:gd name="T56" fmla="+- 0 3398 3295"/>
                              <a:gd name="T57" fmla="*/ T56 w 120"/>
                              <a:gd name="T58" fmla="+- 0 42 25"/>
                              <a:gd name="T59" fmla="*/ 42 h 120"/>
                              <a:gd name="T60" fmla="+- 0 3379 3295"/>
                              <a:gd name="T61" fmla="*/ T60 w 120"/>
                              <a:gd name="T62" fmla="+- 0 30 25"/>
                              <a:gd name="T63" fmla="*/ 30 h 120"/>
                              <a:gd name="T64" fmla="+- 0 3355 3295"/>
                              <a:gd name="T65" fmla="*/ T64 w 120"/>
                              <a:gd name="T66" fmla="+- 0 25 25"/>
                              <a:gd name="T67" fmla="*/ 25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20" h="120">
                                <a:moveTo>
                                  <a:pt x="60" y="0"/>
                                </a:moveTo>
                                <a:lnTo>
                                  <a:pt x="37" y="5"/>
                                </a:lnTo>
                                <a:lnTo>
                                  <a:pt x="18" y="17"/>
                                </a:lnTo>
                                <a:lnTo>
                                  <a:pt x="5" y="36"/>
                                </a:lnTo>
                                <a:lnTo>
                                  <a:pt x="0" y="60"/>
                                </a:lnTo>
                                <a:lnTo>
                                  <a:pt x="5" y="83"/>
                                </a:lnTo>
                                <a:lnTo>
                                  <a:pt x="18" y="102"/>
                                </a:lnTo>
                                <a:lnTo>
                                  <a:pt x="37" y="115"/>
                                </a:lnTo>
                                <a:lnTo>
                                  <a:pt x="60" y="120"/>
                                </a:lnTo>
                                <a:lnTo>
                                  <a:pt x="84" y="115"/>
                                </a:lnTo>
                                <a:lnTo>
                                  <a:pt x="103" y="102"/>
                                </a:lnTo>
                                <a:lnTo>
                                  <a:pt x="116" y="83"/>
                                </a:lnTo>
                                <a:lnTo>
                                  <a:pt x="120" y="60"/>
                                </a:lnTo>
                                <a:lnTo>
                                  <a:pt x="116" y="36"/>
                                </a:lnTo>
                                <a:lnTo>
                                  <a:pt x="103" y="17"/>
                                </a:lnTo>
                                <a:lnTo>
                                  <a:pt x="84" y="5"/>
                                </a:lnTo>
                                <a:lnTo>
                                  <a:pt x="60" y="0"/>
                                </a:lnTo>
                                <a:close/>
                              </a:path>
                            </a:pathLst>
                          </a:custGeom>
                          <a:solidFill>
                            <a:srgbClr val="ED7D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3" name="Freeform 325"/>
                        <wps:cNvSpPr>
                          <a:spLocks/>
                        </wps:cNvSpPr>
                        <wps:spPr bwMode="auto">
                          <a:xfrm>
                            <a:off x="3283" y="120"/>
                            <a:ext cx="144" cy="144"/>
                          </a:xfrm>
                          <a:custGeom>
                            <a:avLst/>
                            <a:gdLst>
                              <a:gd name="T0" fmla="+- 0 3355 3283"/>
                              <a:gd name="T1" fmla="*/ T0 w 144"/>
                              <a:gd name="T2" fmla="+- 0 121 121"/>
                              <a:gd name="T3" fmla="*/ 121 h 144"/>
                              <a:gd name="T4" fmla="+- 0 3283 3283"/>
                              <a:gd name="T5" fmla="*/ T4 w 144"/>
                              <a:gd name="T6" fmla="+- 0 193 121"/>
                              <a:gd name="T7" fmla="*/ 193 h 144"/>
                              <a:gd name="T8" fmla="+- 0 3355 3283"/>
                              <a:gd name="T9" fmla="*/ T8 w 144"/>
                              <a:gd name="T10" fmla="+- 0 265 121"/>
                              <a:gd name="T11" fmla="*/ 265 h 144"/>
                              <a:gd name="T12" fmla="+- 0 3427 3283"/>
                              <a:gd name="T13" fmla="*/ T12 w 144"/>
                              <a:gd name="T14" fmla="+- 0 193 121"/>
                              <a:gd name="T15" fmla="*/ 193 h 144"/>
                              <a:gd name="T16" fmla="+- 0 3355 3283"/>
                              <a:gd name="T17" fmla="*/ T16 w 144"/>
                              <a:gd name="T18" fmla="+- 0 121 121"/>
                              <a:gd name="T19" fmla="*/ 121 h 144"/>
                            </a:gdLst>
                            <a:ahLst/>
                            <a:cxnLst>
                              <a:cxn ang="0">
                                <a:pos x="T1" y="T3"/>
                              </a:cxn>
                              <a:cxn ang="0">
                                <a:pos x="T5" y="T7"/>
                              </a:cxn>
                              <a:cxn ang="0">
                                <a:pos x="T9" y="T11"/>
                              </a:cxn>
                              <a:cxn ang="0">
                                <a:pos x="T13" y="T15"/>
                              </a:cxn>
                              <a:cxn ang="0">
                                <a:pos x="T17" y="T19"/>
                              </a:cxn>
                            </a:cxnLst>
                            <a:rect l="0" t="0" r="r" b="b"/>
                            <a:pathLst>
                              <a:path w="144" h="144">
                                <a:moveTo>
                                  <a:pt x="72" y="0"/>
                                </a:moveTo>
                                <a:lnTo>
                                  <a:pt x="0" y="72"/>
                                </a:lnTo>
                                <a:lnTo>
                                  <a:pt x="72" y="144"/>
                                </a:lnTo>
                                <a:lnTo>
                                  <a:pt x="144" y="72"/>
                                </a:lnTo>
                                <a:lnTo>
                                  <a:pt x="72" y="0"/>
                                </a:lnTo>
                                <a:close/>
                              </a:path>
                            </a:pathLst>
                          </a:custGeom>
                          <a:solidFill>
                            <a:srgbClr val="2E75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0B78DC4" id="Group 371" o:spid="_x0000_s1026" style="position:absolute;margin-left:164.15pt;margin-top:1.25pt;width:7.2pt;height:12pt;z-index:251668480;mso-position-horizontal-relative:page" coordorigin="3283,25" coordsize="144,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">
                <v:shape id="Freeform 324" o:spid="_x0000_s1027" style="position:absolute;left:3295;top:24;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" path="m60,l37,5,18,17,5,36,,60,5,83r13,19l37,115r23,5l84,115r19,-13l116,83r4,-23l116,36,103,17,84,5,60,xe" fillcolor="#ed7d31" stroked="f">
                  <v:path arrowok="t" o:connecttype="custom" o:connectlocs="60,25;37,30;18,42;5,61;0,85;5,108;18,127;37,140;60,145;84,140;103,127;116,108;120,85;116,61;103,42;84,30;60,25" o:connectangles="0,0,0,0,0,0,0,0,0,0,0,0,0,0,0,0,0"/>
                </v:shape>
                <v:shape id="Freeform 325" o:spid="_x0000_s1028" style="position:absolute;left:3283;top:120;width:144;height:144;visibility:visible;mso-wrap-style:square;v-text-anchor:top" coordsize="14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" path="m72,l,72r72,72l144,72,72,xe" fillcolor="#2e75b6" stroked="f">
                  <v:path arrowok="t" o:connecttype="custom" o:connectlocs="72,121;0,193;72,265;144,193;72,121" o:connectangles="0,0,0,0,0"/>
                </v:shape>
                <w10:wrap anchorx="page"/>
              </v:group>
            </w:pict>
          </mc:Fallback>
        </mc:AlternateContent>
      </w:r>
      <w:r w:rsidRPr="00DB0C40">
        <w:rPr>
          <w:rFonts w:asciiTheme="minorHAnsi" w:eastAsia="Calibri Light" w:hAnsiTheme="minorHAnsi" w:cstheme="minorHAnsi"/>
          <w:w w:val="105"/>
          <w:sz w:val="22"/>
          <w:szCs w:val="22"/>
        </w:rPr>
        <w:t>30</w:t>
      </w:r>
    </w:p>
    <w:p w14:paraId="25C42BBE" w14:textId="77777777" w:rsidR="002557B7" w:rsidRPr="00DB0C40" w:rsidRDefault="002557B7" w:rsidP="002557B7">
      <w:pPr>
        <w:widowControl w:val="0"/>
        <w:autoSpaceDE w:val="0"/>
        <w:autoSpaceDN w:val="0"/>
        <w:spacing w:before="40"/>
        <w:ind w:left="668"/>
        <w:rPr>
          <w:rFonts w:asciiTheme="minorHAnsi" w:eastAsia="Calibri Light" w:hAnsiTheme="minorHAnsi" w:cstheme="minorHAnsi"/>
          <w:sz w:val="22"/>
          <w:szCs w:val="22"/>
        </w:rPr>
      </w:pPr>
      <w:r w:rsidRPr="00DB0C40">
        <w:rPr>
          <w:rFonts w:asciiTheme="minorHAnsi" w:eastAsia="Calibri Light" w:hAnsiTheme="minorHAnsi" w:cstheme="minorHAnsi"/>
          <w:noProof/>
          <w:sz w:val="22"/>
          <w:szCs w:val="22"/>
          <w:lang w:eastAsia="en-GB"/>
        </w:rPr>
        <w:drawing>
          <wp:anchor distT="0" distB="0" distL="0" distR="0" simplePos="0" relativeHeight="251671552" behindDoc="0" locked="0" layoutInCell="1" allowOverlap="1" wp14:anchorId="51EF87B5" wp14:editId="6D3612AD">
            <wp:simplePos x="0" y="0"/>
            <wp:positionH relativeFrom="page">
              <wp:posOffset>2915411</wp:posOffset>
            </wp:positionH>
            <wp:positionV relativeFrom="paragraph">
              <wp:posOffset>41586</wp:posOffset>
            </wp:positionV>
            <wp:extent cx="76200" cy="76200"/>
            <wp:effectExtent l="0" t="0" r="0" b="0"/>
            <wp:wrapNone/>
            <wp:docPr id="326"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51.png"/>
                    <pic:cNvPicPr/>
                  </pic:nvPicPr>
                  <pic:blipFill>
                    <a:blip r:embed="rId21" cstate="print"/>
                    <a:stretch>
                      <a:fillRect/>
                    </a:stretch>
                  </pic:blipFill>
                  <pic:spPr>
                    <a:xfrm>
                      <a:off x="0" y="0"/>
                      <a:ext cx="76200" cy="76200"/>
                    </a:xfrm>
                    <a:prstGeom prst="rect">
                      <a:avLst/>
                    </a:prstGeom>
                  </pic:spPr>
                </pic:pic>
              </a:graphicData>
            </a:graphic>
          </wp:anchor>
        </w:drawing>
      </w:r>
      <w:r w:rsidRPr="00DB0C40">
        <w:rPr>
          <w:rFonts w:asciiTheme="minorHAnsi" w:eastAsia="Calibri Light" w:hAnsiTheme="minorHAnsi" w:cstheme="minorHAnsi"/>
          <w:noProof/>
          <w:sz w:val="22"/>
          <w:szCs w:val="22"/>
          <w:lang w:eastAsia="en-GB"/>
        </w:rPr>
        <mc:AlternateContent>
          <mc:Choice Requires="wps">
            <w:drawing>
              <wp:anchor distT="0" distB="0" distL="114300" distR="114300" simplePos="0" relativeHeight="251685888" behindDoc="0" locked="0" layoutInCell="1" allowOverlap="1" wp14:anchorId="4E777494" wp14:editId="57C023D0">
                <wp:simplePos x="0" y="0"/>
                <wp:positionH relativeFrom="page">
                  <wp:posOffset>2359025</wp:posOffset>
                </wp:positionH>
                <wp:positionV relativeFrom="paragraph">
                  <wp:posOffset>48895</wp:posOffset>
                </wp:positionV>
                <wp:extent cx="91440" cy="91440"/>
                <wp:effectExtent l="6350" t="1270" r="6985" b="2540"/>
                <wp:wrapNone/>
                <wp:docPr id="370" name="Freeform: Shape 3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91440"/>
                        </a:xfrm>
                        <a:custGeom>
                          <a:avLst/>
                          <a:gdLst>
                            <a:gd name="T0" fmla="+- 0 3787 3715"/>
                            <a:gd name="T1" fmla="*/ T0 w 144"/>
                            <a:gd name="T2" fmla="+- 0 77 77"/>
                            <a:gd name="T3" fmla="*/ 77 h 144"/>
                            <a:gd name="T4" fmla="+- 0 3715 3715"/>
                            <a:gd name="T5" fmla="*/ T4 w 144"/>
                            <a:gd name="T6" fmla="+- 0 149 77"/>
                            <a:gd name="T7" fmla="*/ 149 h 144"/>
                            <a:gd name="T8" fmla="+- 0 3787 3715"/>
                            <a:gd name="T9" fmla="*/ T8 w 144"/>
                            <a:gd name="T10" fmla="+- 0 221 77"/>
                            <a:gd name="T11" fmla="*/ 221 h 144"/>
                            <a:gd name="T12" fmla="+- 0 3859 3715"/>
                            <a:gd name="T13" fmla="*/ T12 w 144"/>
                            <a:gd name="T14" fmla="+- 0 149 77"/>
                            <a:gd name="T15" fmla="*/ 149 h 144"/>
                            <a:gd name="T16" fmla="+- 0 3787 3715"/>
                            <a:gd name="T17" fmla="*/ T16 w 144"/>
                            <a:gd name="T18" fmla="+- 0 77 77"/>
                            <a:gd name="T19" fmla="*/ 77 h 144"/>
                          </a:gdLst>
                          <a:ahLst/>
                          <a:cxnLst>
                            <a:cxn ang="0">
                              <a:pos x="T1" y="T3"/>
                            </a:cxn>
                            <a:cxn ang="0">
                              <a:pos x="T5" y="T7"/>
                            </a:cxn>
                            <a:cxn ang="0">
                              <a:pos x="T9" y="T11"/>
                            </a:cxn>
                            <a:cxn ang="0">
                              <a:pos x="T13" y="T15"/>
                            </a:cxn>
                            <a:cxn ang="0">
                              <a:pos x="T17" y="T19"/>
                            </a:cxn>
                          </a:cxnLst>
                          <a:rect l="0" t="0" r="r" b="b"/>
                          <a:pathLst>
                            <a:path w="144" h="144">
                              <a:moveTo>
                                <a:pt x="72" y="0"/>
                              </a:moveTo>
                              <a:lnTo>
                                <a:pt x="0" y="72"/>
                              </a:lnTo>
                              <a:lnTo>
                                <a:pt x="72" y="144"/>
                              </a:lnTo>
                              <a:lnTo>
                                <a:pt x="144" y="72"/>
                              </a:lnTo>
                              <a:lnTo>
                                <a:pt x="72" y="0"/>
                              </a:lnTo>
                              <a:close/>
                            </a:path>
                          </a:pathLst>
                        </a:custGeom>
                        <a:solidFill>
                          <a:srgbClr val="2E75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E5AB847" id="Freeform: Shape 370" o:spid="_x0000_s1026" style="position:absolute;margin-left:185.75pt;margin-top:3.85pt;width:7.2pt;height:7.2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4,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" path="m72,l,72r72,72l144,72,72,xe" fillcolor="#2e75b6" stroked="f">
                <v:path arrowok="t" o:connecttype="custom" o:connectlocs="45720,48895;0,94615;45720,140335;91440,94615;45720,48895" o:connectangles="0,0,0,0,0"/>
                <w10:wrap anchorx="page"/>
              </v:shape>
            </w:pict>
          </mc:Fallback>
        </mc:AlternateContent>
      </w:r>
      <w:r w:rsidRPr="00DB0C40">
        <w:rPr>
          <w:rFonts w:asciiTheme="minorHAnsi" w:eastAsia="Calibri Light" w:hAnsiTheme="minorHAnsi" w:cstheme="minorHAnsi"/>
          <w:w w:val="105"/>
          <w:sz w:val="22"/>
          <w:szCs w:val="22"/>
        </w:rPr>
        <w:t>25</w:t>
      </w:r>
    </w:p>
    <w:p w14:paraId="71CECCD9" w14:textId="77777777" w:rsidR="002557B7" w:rsidRPr="00DB0C40" w:rsidRDefault="002557B7" w:rsidP="002557B7">
      <w:pPr>
        <w:widowControl w:val="0"/>
        <w:autoSpaceDE w:val="0"/>
        <w:autoSpaceDN w:val="0"/>
        <w:spacing w:before="38"/>
        <w:ind w:left="668"/>
        <w:rPr>
          <w:rFonts w:asciiTheme="minorHAnsi" w:eastAsia="Calibri Light" w:hAnsiTheme="minorHAnsi" w:cstheme="minorHAnsi"/>
          <w:sz w:val="22"/>
          <w:szCs w:val="22"/>
        </w:rPr>
      </w:pPr>
      <w:r w:rsidRPr="00DB0C40">
        <w:rPr>
          <w:rFonts w:asciiTheme="minorHAnsi" w:eastAsia="Calibri Light" w:hAnsiTheme="minorHAnsi" w:cstheme="minorHAnsi"/>
          <w:noProof/>
          <w:sz w:val="22"/>
          <w:szCs w:val="22"/>
          <w:lang w:eastAsia="en-GB"/>
        </w:rPr>
        <mc:AlternateContent>
          <mc:Choice Requires="wpg">
            <w:drawing>
              <wp:anchor distT="0" distB="0" distL="114300" distR="114300" simplePos="0" relativeHeight="251670528" behindDoc="0" locked="0" layoutInCell="1" allowOverlap="1" wp14:anchorId="012AB86F" wp14:editId="5EF233F1">
                <wp:simplePos x="0" y="0"/>
                <wp:positionH relativeFrom="page">
                  <wp:posOffset>2633345</wp:posOffset>
                </wp:positionH>
                <wp:positionV relativeFrom="paragraph">
                  <wp:posOffset>35560</wp:posOffset>
                </wp:positionV>
                <wp:extent cx="91440" cy="106680"/>
                <wp:effectExtent l="4445" t="8890" r="8890" b="8255"/>
                <wp:wrapNone/>
                <wp:docPr id="367" name="Group 3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 cy="106680"/>
                          <a:chOff x="4147" y="56"/>
                          <a:chExt cx="144" cy="168"/>
                        </a:xfrm>
                      </wpg:grpSpPr>
                      <wps:wsp>
                        <wps:cNvPr id="368" name="Freeform 327"/>
                        <wps:cNvSpPr>
                          <a:spLocks/>
                        </wps:cNvSpPr>
                        <wps:spPr bwMode="auto">
                          <a:xfrm>
                            <a:off x="4159" y="56"/>
                            <a:ext cx="120" cy="120"/>
                          </a:xfrm>
                          <a:custGeom>
                            <a:avLst/>
                            <a:gdLst>
                              <a:gd name="T0" fmla="+- 0 4219 4159"/>
                              <a:gd name="T1" fmla="*/ T0 w 120"/>
                              <a:gd name="T2" fmla="+- 0 56 56"/>
                              <a:gd name="T3" fmla="*/ 56 h 120"/>
                              <a:gd name="T4" fmla="+- 0 4196 4159"/>
                              <a:gd name="T5" fmla="*/ T4 w 120"/>
                              <a:gd name="T6" fmla="+- 0 61 56"/>
                              <a:gd name="T7" fmla="*/ 61 h 120"/>
                              <a:gd name="T8" fmla="+- 0 4177 4159"/>
                              <a:gd name="T9" fmla="*/ T8 w 120"/>
                              <a:gd name="T10" fmla="+- 0 74 56"/>
                              <a:gd name="T11" fmla="*/ 74 h 120"/>
                              <a:gd name="T12" fmla="+- 0 4164 4159"/>
                              <a:gd name="T13" fmla="*/ T12 w 120"/>
                              <a:gd name="T14" fmla="+- 0 93 56"/>
                              <a:gd name="T15" fmla="*/ 93 h 120"/>
                              <a:gd name="T16" fmla="+- 0 4159 4159"/>
                              <a:gd name="T17" fmla="*/ T16 w 120"/>
                              <a:gd name="T18" fmla="+- 0 116 56"/>
                              <a:gd name="T19" fmla="*/ 116 h 120"/>
                              <a:gd name="T20" fmla="+- 0 4164 4159"/>
                              <a:gd name="T21" fmla="*/ T20 w 120"/>
                              <a:gd name="T22" fmla="+- 0 139 56"/>
                              <a:gd name="T23" fmla="*/ 139 h 120"/>
                              <a:gd name="T24" fmla="+- 0 4177 4159"/>
                              <a:gd name="T25" fmla="*/ T24 w 120"/>
                              <a:gd name="T26" fmla="+- 0 158 56"/>
                              <a:gd name="T27" fmla="*/ 158 h 120"/>
                              <a:gd name="T28" fmla="+- 0 4196 4159"/>
                              <a:gd name="T29" fmla="*/ T28 w 120"/>
                              <a:gd name="T30" fmla="+- 0 171 56"/>
                              <a:gd name="T31" fmla="*/ 171 h 120"/>
                              <a:gd name="T32" fmla="+- 0 4219 4159"/>
                              <a:gd name="T33" fmla="*/ T32 w 120"/>
                              <a:gd name="T34" fmla="+- 0 176 56"/>
                              <a:gd name="T35" fmla="*/ 176 h 120"/>
                              <a:gd name="T36" fmla="+- 0 4243 4159"/>
                              <a:gd name="T37" fmla="*/ T36 w 120"/>
                              <a:gd name="T38" fmla="+- 0 171 56"/>
                              <a:gd name="T39" fmla="*/ 171 h 120"/>
                              <a:gd name="T40" fmla="+- 0 4262 4159"/>
                              <a:gd name="T41" fmla="*/ T40 w 120"/>
                              <a:gd name="T42" fmla="+- 0 158 56"/>
                              <a:gd name="T43" fmla="*/ 158 h 120"/>
                              <a:gd name="T44" fmla="+- 0 4275 4159"/>
                              <a:gd name="T45" fmla="*/ T44 w 120"/>
                              <a:gd name="T46" fmla="+- 0 139 56"/>
                              <a:gd name="T47" fmla="*/ 139 h 120"/>
                              <a:gd name="T48" fmla="+- 0 4279 4159"/>
                              <a:gd name="T49" fmla="*/ T48 w 120"/>
                              <a:gd name="T50" fmla="+- 0 116 56"/>
                              <a:gd name="T51" fmla="*/ 116 h 120"/>
                              <a:gd name="T52" fmla="+- 0 4275 4159"/>
                              <a:gd name="T53" fmla="*/ T52 w 120"/>
                              <a:gd name="T54" fmla="+- 0 93 56"/>
                              <a:gd name="T55" fmla="*/ 93 h 120"/>
                              <a:gd name="T56" fmla="+- 0 4262 4159"/>
                              <a:gd name="T57" fmla="*/ T56 w 120"/>
                              <a:gd name="T58" fmla="+- 0 74 56"/>
                              <a:gd name="T59" fmla="*/ 74 h 120"/>
                              <a:gd name="T60" fmla="+- 0 4243 4159"/>
                              <a:gd name="T61" fmla="*/ T60 w 120"/>
                              <a:gd name="T62" fmla="+- 0 61 56"/>
                              <a:gd name="T63" fmla="*/ 61 h 120"/>
                              <a:gd name="T64" fmla="+- 0 4219 4159"/>
                              <a:gd name="T65" fmla="*/ T64 w 120"/>
                              <a:gd name="T66" fmla="+- 0 56 56"/>
                              <a:gd name="T67" fmla="*/ 56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20" h="120">
                                <a:moveTo>
                                  <a:pt x="60" y="0"/>
                                </a:moveTo>
                                <a:lnTo>
                                  <a:pt x="37" y="5"/>
                                </a:lnTo>
                                <a:lnTo>
                                  <a:pt x="18" y="18"/>
                                </a:lnTo>
                                <a:lnTo>
                                  <a:pt x="5" y="37"/>
                                </a:lnTo>
                                <a:lnTo>
                                  <a:pt x="0" y="60"/>
                                </a:lnTo>
                                <a:lnTo>
                                  <a:pt x="5" y="83"/>
                                </a:lnTo>
                                <a:lnTo>
                                  <a:pt x="18" y="102"/>
                                </a:lnTo>
                                <a:lnTo>
                                  <a:pt x="37" y="115"/>
                                </a:lnTo>
                                <a:lnTo>
                                  <a:pt x="60" y="120"/>
                                </a:lnTo>
                                <a:lnTo>
                                  <a:pt x="84" y="115"/>
                                </a:lnTo>
                                <a:lnTo>
                                  <a:pt x="103" y="102"/>
                                </a:lnTo>
                                <a:lnTo>
                                  <a:pt x="116" y="83"/>
                                </a:lnTo>
                                <a:lnTo>
                                  <a:pt x="120" y="60"/>
                                </a:lnTo>
                                <a:lnTo>
                                  <a:pt x="116" y="37"/>
                                </a:lnTo>
                                <a:lnTo>
                                  <a:pt x="103" y="18"/>
                                </a:lnTo>
                                <a:lnTo>
                                  <a:pt x="84" y="5"/>
                                </a:lnTo>
                                <a:lnTo>
                                  <a:pt x="60" y="0"/>
                                </a:lnTo>
                                <a:close/>
                              </a:path>
                            </a:pathLst>
                          </a:custGeom>
                          <a:solidFill>
                            <a:srgbClr val="ED7D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9" name="Freeform 328"/>
                        <wps:cNvSpPr>
                          <a:spLocks/>
                        </wps:cNvSpPr>
                        <wps:spPr bwMode="auto">
                          <a:xfrm>
                            <a:off x="4147" y="80"/>
                            <a:ext cx="144" cy="144"/>
                          </a:xfrm>
                          <a:custGeom>
                            <a:avLst/>
                            <a:gdLst>
                              <a:gd name="T0" fmla="+- 0 4219 4147"/>
                              <a:gd name="T1" fmla="*/ T0 w 144"/>
                              <a:gd name="T2" fmla="+- 0 80 80"/>
                              <a:gd name="T3" fmla="*/ 80 h 144"/>
                              <a:gd name="T4" fmla="+- 0 4147 4147"/>
                              <a:gd name="T5" fmla="*/ T4 w 144"/>
                              <a:gd name="T6" fmla="+- 0 152 80"/>
                              <a:gd name="T7" fmla="*/ 152 h 144"/>
                              <a:gd name="T8" fmla="+- 0 4219 4147"/>
                              <a:gd name="T9" fmla="*/ T8 w 144"/>
                              <a:gd name="T10" fmla="+- 0 224 80"/>
                              <a:gd name="T11" fmla="*/ 224 h 144"/>
                              <a:gd name="T12" fmla="+- 0 4291 4147"/>
                              <a:gd name="T13" fmla="*/ T12 w 144"/>
                              <a:gd name="T14" fmla="+- 0 152 80"/>
                              <a:gd name="T15" fmla="*/ 152 h 144"/>
                              <a:gd name="T16" fmla="+- 0 4219 4147"/>
                              <a:gd name="T17" fmla="*/ T16 w 144"/>
                              <a:gd name="T18" fmla="+- 0 80 80"/>
                              <a:gd name="T19" fmla="*/ 80 h 144"/>
                            </a:gdLst>
                            <a:ahLst/>
                            <a:cxnLst>
                              <a:cxn ang="0">
                                <a:pos x="T1" y="T3"/>
                              </a:cxn>
                              <a:cxn ang="0">
                                <a:pos x="T5" y="T7"/>
                              </a:cxn>
                              <a:cxn ang="0">
                                <a:pos x="T9" y="T11"/>
                              </a:cxn>
                              <a:cxn ang="0">
                                <a:pos x="T13" y="T15"/>
                              </a:cxn>
                              <a:cxn ang="0">
                                <a:pos x="T17" y="T19"/>
                              </a:cxn>
                            </a:cxnLst>
                            <a:rect l="0" t="0" r="r" b="b"/>
                            <a:pathLst>
                              <a:path w="144" h="144">
                                <a:moveTo>
                                  <a:pt x="72" y="0"/>
                                </a:moveTo>
                                <a:lnTo>
                                  <a:pt x="0" y="72"/>
                                </a:lnTo>
                                <a:lnTo>
                                  <a:pt x="72" y="144"/>
                                </a:lnTo>
                                <a:lnTo>
                                  <a:pt x="144" y="72"/>
                                </a:lnTo>
                                <a:lnTo>
                                  <a:pt x="72" y="0"/>
                                </a:lnTo>
                                <a:close/>
                              </a:path>
                            </a:pathLst>
                          </a:custGeom>
                          <a:solidFill>
                            <a:srgbClr val="2E75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9D51BED" id="Group 367" o:spid="_x0000_s1026" style="position:absolute;margin-left:207.35pt;margin-top:2.8pt;width:7.2pt;height:8.4pt;z-index:251670528;mso-position-horizontal-relative:page" coordorigin="4147,56" coordsize="144,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">
                <v:shape id="Freeform 327" o:spid="_x0000_s1027" style="position:absolute;left:4159;top:56;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" path="m60,l37,5,18,18,5,37,,60,5,83r13,19l37,115r23,5l84,115r19,-13l116,83r4,-23l116,37,103,18,84,5,60,xe" fillcolor="#ed7d31" stroked="f">
                  <v:path arrowok="t" o:connecttype="custom" o:connectlocs="60,56;37,61;18,74;5,93;0,116;5,139;18,158;37,171;60,176;84,171;103,158;116,139;120,116;116,93;103,74;84,61;60,56" o:connectangles="0,0,0,0,0,0,0,0,0,0,0,0,0,0,0,0,0"/>
                </v:shape>
                <v:shape id="Freeform 328" o:spid="_x0000_s1028" style="position:absolute;left:4147;top:80;width:144;height:144;visibility:visible;mso-wrap-style:square;v-text-anchor:top" coordsize="14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" path="m72,l,72r72,72l144,72,72,xe" fillcolor="#2e75b6" stroked="f">
                  <v:path arrowok="t" o:connecttype="custom" o:connectlocs="72,80;0,152;72,224;144,152;72,80" o:connectangles="0,0,0,0,0"/>
                </v:shape>
                <w10:wrap anchorx="page"/>
              </v:group>
            </w:pict>
          </mc:Fallback>
        </mc:AlternateContent>
      </w:r>
      <w:r w:rsidRPr="00DB0C40">
        <w:rPr>
          <w:rFonts w:asciiTheme="minorHAnsi" w:eastAsia="Calibri Light" w:hAnsiTheme="minorHAnsi" w:cstheme="minorHAnsi"/>
          <w:noProof/>
          <w:sz w:val="22"/>
          <w:szCs w:val="22"/>
          <w:lang w:eastAsia="en-GB"/>
        </w:rPr>
        <mc:AlternateContent>
          <mc:Choice Requires="wpg">
            <w:drawing>
              <wp:anchor distT="0" distB="0" distL="114300" distR="114300" simplePos="0" relativeHeight="251672576" behindDoc="0" locked="0" layoutInCell="1" allowOverlap="1" wp14:anchorId="0CBF988B" wp14:editId="2D4BD255">
                <wp:simplePos x="0" y="0"/>
                <wp:positionH relativeFrom="page">
                  <wp:posOffset>3181985</wp:posOffset>
                </wp:positionH>
                <wp:positionV relativeFrom="paragraph">
                  <wp:posOffset>12700</wp:posOffset>
                </wp:positionV>
                <wp:extent cx="91440" cy="167640"/>
                <wp:effectExtent l="635" t="5080" r="3175" b="8255"/>
                <wp:wrapNone/>
                <wp:docPr id="364"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 cy="167640"/>
                          <a:chOff x="5011" y="20"/>
                          <a:chExt cx="144" cy="264"/>
                        </a:xfrm>
                      </wpg:grpSpPr>
                      <wps:wsp>
                        <wps:cNvPr id="365" name="Freeform 330"/>
                        <wps:cNvSpPr>
                          <a:spLocks/>
                        </wps:cNvSpPr>
                        <wps:spPr bwMode="auto">
                          <a:xfrm>
                            <a:off x="5023" y="20"/>
                            <a:ext cx="120" cy="120"/>
                          </a:xfrm>
                          <a:custGeom>
                            <a:avLst/>
                            <a:gdLst>
                              <a:gd name="T0" fmla="+- 0 5083 5023"/>
                              <a:gd name="T1" fmla="*/ T0 w 120"/>
                              <a:gd name="T2" fmla="+- 0 20 20"/>
                              <a:gd name="T3" fmla="*/ 20 h 120"/>
                              <a:gd name="T4" fmla="+- 0 5060 5023"/>
                              <a:gd name="T5" fmla="*/ T4 w 120"/>
                              <a:gd name="T6" fmla="+- 0 25 20"/>
                              <a:gd name="T7" fmla="*/ 25 h 120"/>
                              <a:gd name="T8" fmla="+- 0 5041 5023"/>
                              <a:gd name="T9" fmla="*/ T8 w 120"/>
                              <a:gd name="T10" fmla="+- 0 38 20"/>
                              <a:gd name="T11" fmla="*/ 38 h 120"/>
                              <a:gd name="T12" fmla="+- 0 5028 5023"/>
                              <a:gd name="T13" fmla="*/ T12 w 120"/>
                              <a:gd name="T14" fmla="+- 0 57 20"/>
                              <a:gd name="T15" fmla="*/ 57 h 120"/>
                              <a:gd name="T16" fmla="+- 0 5023 5023"/>
                              <a:gd name="T17" fmla="*/ T16 w 120"/>
                              <a:gd name="T18" fmla="+- 0 80 20"/>
                              <a:gd name="T19" fmla="*/ 80 h 120"/>
                              <a:gd name="T20" fmla="+- 0 5028 5023"/>
                              <a:gd name="T21" fmla="*/ T20 w 120"/>
                              <a:gd name="T22" fmla="+- 0 103 20"/>
                              <a:gd name="T23" fmla="*/ 103 h 120"/>
                              <a:gd name="T24" fmla="+- 0 5041 5023"/>
                              <a:gd name="T25" fmla="*/ T24 w 120"/>
                              <a:gd name="T26" fmla="+- 0 122 20"/>
                              <a:gd name="T27" fmla="*/ 122 h 120"/>
                              <a:gd name="T28" fmla="+- 0 5060 5023"/>
                              <a:gd name="T29" fmla="*/ T28 w 120"/>
                              <a:gd name="T30" fmla="+- 0 135 20"/>
                              <a:gd name="T31" fmla="*/ 135 h 120"/>
                              <a:gd name="T32" fmla="+- 0 5083 5023"/>
                              <a:gd name="T33" fmla="*/ T32 w 120"/>
                              <a:gd name="T34" fmla="+- 0 140 20"/>
                              <a:gd name="T35" fmla="*/ 140 h 120"/>
                              <a:gd name="T36" fmla="+- 0 5107 5023"/>
                              <a:gd name="T37" fmla="*/ T36 w 120"/>
                              <a:gd name="T38" fmla="+- 0 135 20"/>
                              <a:gd name="T39" fmla="*/ 135 h 120"/>
                              <a:gd name="T40" fmla="+- 0 5126 5023"/>
                              <a:gd name="T41" fmla="*/ T40 w 120"/>
                              <a:gd name="T42" fmla="+- 0 122 20"/>
                              <a:gd name="T43" fmla="*/ 122 h 120"/>
                              <a:gd name="T44" fmla="+- 0 5139 5023"/>
                              <a:gd name="T45" fmla="*/ T44 w 120"/>
                              <a:gd name="T46" fmla="+- 0 103 20"/>
                              <a:gd name="T47" fmla="*/ 103 h 120"/>
                              <a:gd name="T48" fmla="+- 0 5143 5023"/>
                              <a:gd name="T49" fmla="*/ T48 w 120"/>
                              <a:gd name="T50" fmla="+- 0 80 20"/>
                              <a:gd name="T51" fmla="*/ 80 h 120"/>
                              <a:gd name="T52" fmla="+- 0 5139 5023"/>
                              <a:gd name="T53" fmla="*/ T52 w 120"/>
                              <a:gd name="T54" fmla="+- 0 57 20"/>
                              <a:gd name="T55" fmla="*/ 57 h 120"/>
                              <a:gd name="T56" fmla="+- 0 5126 5023"/>
                              <a:gd name="T57" fmla="*/ T56 w 120"/>
                              <a:gd name="T58" fmla="+- 0 38 20"/>
                              <a:gd name="T59" fmla="*/ 38 h 120"/>
                              <a:gd name="T60" fmla="+- 0 5107 5023"/>
                              <a:gd name="T61" fmla="*/ T60 w 120"/>
                              <a:gd name="T62" fmla="+- 0 25 20"/>
                              <a:gd name="T63" fmla="*/ 25 h 120"/>
                              <a:gd name="T64" fmla="+- 0 5083 5023"/>
                              <a:gd name="T65" fmla="*/ T64 w 120"/>
                              <a:gd name="T66" fmla="+- 0 20 20"/>
                              <a:gd name="T67" fmla="*/ 20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20" h="120">
                                <a:moveTo>
                                  <a:pt x="60" y="0"/>
                                </a:moveTo>
                                <a:lnTo>
                                  <a:pt x="37" y="5"/>
                                </a:lnTo>
                                <a:lnTo>
                                  <a:pt x="18" y="18"/>
                                </a:lnTo>
                                <a:lnTo>
                                  <a:pt x="5" y="37"/>
                                </a:lnTo>
                                <a:lnTo>
                                  <a:pt x="0" y="60"/>
                                </a:lnTo>
                                <a:lnTo>
                                  <a:pt x="5" y="83"/>
                                </a:lnTo>
                                <a:lnTo>
                                  <a:pt x="18" y="102"/>
                                </a:lnTo>
                                <a:lnTo>
                                  <a:pt x="37" y="115"/>
                                </a:lnTo>
                                <a:lnTo>
                                  <a:pt x="60" y="120"/>
                                </a:lnTo>
                                <a:lnTo>
                                  <a:pt x="84" y="115"/>
                                </a:lnTo>
                                <a:lnTo>
                                  <a:pt x="103" y="102"/>
                                </a:lnTo>
                                <a:lnTo>
                                  <a:pt x="116" y="83"/>
                                </a:lnTo>
                                <a:lnTo>
                                  <a:pt x="120" y="60"/>
                                </a:lnTo>
                                <a:lnTo>
                                  <a:pt x="116" y="37"/>
                                </a:lnTo>
                                <a:lnTo>
                                  <a:pt x="103" y="18"/>
                                </a:lnTo>
                                <a:lnTo>
                                  <a:pt x="84" y="5"/>
                                </a:lnTo>
                                <a:lnTo>
                                  <a:pt x="60" y="0"/>
                                </a:lnTo>
                                <a:close/>
                              </a:path>
                            </a:pathLst>
                          </a:custGeom>
                          <a:solidFill>
                            <a:srgbClr val="ED7D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6" name="Freeform 331"/>
                        <wps:cNvSpPr>
                          <a:spLocks/>
                        </wps:cNvSpPr>
                        <wps:spPr bwMode="auto">
                          <a:xfrm>
                            <a:off x="5011" y="140"/>
                            <a:ext cx="144" cy="144"/>
                          </a:xfrm>
                          <a:custGeom>
                            <a:avLst/>
                            <a:gdLst>
                              <a:gd name="T0" fmla="+- 0 5083 5011"/>
                              <a:gd name="T1" fmla="*/ T0 w 144"/>
                              <a:gd name="T2" fmla="+- 0 140 140"/>
                              <a:gd name="T3" fmla="*/ 140 h 144"/>
                              <a:gd name="T4" fmla="+- 0 5011 5011"/>
                              <a:gd name="T5" fmla="*/ T4 w 144"/>
                              <a:gd name="T6" fmla="+- 0 212 140"/>
                              <a:gd name="T7" fmla="*/ 212 h 144"/>
                              <a:gd name="T8" fmla="+- 0 5083 5011"/>
                              <a:gd name="T9" fmla="*/ T8 w 144"/>
                              <a:gd name="T10" fmla="+- 0 284 140"/>
                              <a:gd name="T11" fmla="*/ 284 h 144"/>
                              <a:gd name="T12" fmla="+- 0 5155 5011"/>
                              <a:gd name="T13" fmla="*/ T12 w 144"/>
                              <a:gd name="T14" fmla="+- 0 212 140"/>
                              <a:gd name="T15" fmla="*/ 212 h 144"/>
                              <a:gd name="T16" fmla="+- 0 5083 5011"/>
                              <a:gd name="T17" fmla="*/ T16 w 144"/>
                              <a:gd name="T18" fmla="+- 0 140 140"/>
                              <a:gd name="T19" fmla="*/ 140 h 144"/>
                            </a:gdLst>
                            <a:ahLst/>
                            <a:cxnLst>
                              <a:cxn ang="0">
                                <a:pos x="T1" y="T3"/>
                              </a:cxn>
                              <a:cxn ang="0">
                                <a:pos x="T5" y="T7"/>
                              </a:cxn>
                              <a:cxn ang="0">
                                <a:pos x="T9" y="T11"/>
                              </a:cxn>
                              <a:cxn ang="0">
                                <a:pos x="T13" y="T15"/>
                              </a:cxn>
                              <a:cxn ang="0">
                                <a:pos x="T17" y="T19"/>
                              </a:cxn>
                            </a:cxnLst>
                            <a:rect l="0" t="0" r="r" b="b"/>
                            <a:pathLst>
                              <a:path w="144" h="144">
                                <a:moveTo>
                                  <a:pt x="72" y="0"/>
                                </a:moveTo>
                                <a:lnTo>
                                  <a:pt x="0" y="72"/>
                                </a:lnTo>
                                <a:lnTo>
                                  <a:pt x="72" y="144"/>
                                </a:lnTo>
                                <a:lnTo>
                                  <a:pt x="144" y="72"/>
                                </a:lnTo>
                                <a:lnTo>
                                  <a:pt x="72" y="0"/>
                                </a:lnTo>
                                <a:close/>
                              </a:path>
                            </a:pathLst>
                          </a:custGeom>
                          <a:solidFill>
                            <a:srgbClr val="2E75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DAA70BC" id="Group 364" o:spid="_x0000_s1026" style="position:absolute;margin-left:250.55pt;margin-top:1pt;width:7.2pt;height:13.2pt;z-index:251672576;mso-position-horizontal-relative:page" coordorigin="5011,20" coordsize="144,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">
                <v:shape id="Freeform 330" o:spid="_x0000_s1027" style="position:absolute;left:5023;top:20;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" path="m60,l37,5,18,18,5,37,,60,5,83r13,19l37,115r23,5l84,115r19,-13l116,83r4,-23l116,37,103,18,84,5,60,xe" fillcolor="#ed7d31" stroked="f">
                  <v:path arrowok="t" o:connecttype="custom" o:connectlocs="60,20;37,25;18,38;5,57;0,80;5,103;18,122;37,135;60,140;84,135;103,122;116,103;120,80;116,57;103,38;84,25;60,20" o:connectangles="0,0,0,0,0,0,0,0,0,0,0,0,0,0,0,0,0"/>
                </v:shape>
                <v:shape id="Freeform 331" o:spid="_x0000_s1028" style="position:absolute;left:5011;top:140;width:144;height:144;visibility:visible;mso-wrap-style:square;v-text-anchor:top" coordsize="14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" path="m72,l,72r72,72l144,72,72,xe" fillcolor="#2e75b6" stroked="f">
                  <v:path arrowok="t" o:connecttype="custom" o:connectlocs="72,140;0,212;72,284;144,212;72,140" o:connectangles="0,0,0,0,0"/>
                </v:shape>
                <w10:wrap anchorx="page"/>
              </v:group>
            </w:pict>
          </mc:Fallback>
        </mc:AlternateContent>
      </w:r>
      <w:r w:rsidRPr="00DB0C40">
        <w:rPr>
          <w:rFonts w:asciiTheme="minorHAnsi" w:eastAsia="Calibri Light" w:hAnsiTheme="minorHAnsi" w:cstheme="minorHAnsi"/>
          <w:noProof/>
          <w:sz w:val="22"/>
          <w:szCs w:val="22"/>
          <w:lang w:eastAsia="en-GB"/>
        </w:rPr>
        <mc:AlternateContent>
          <mc:Choice Requires="wpg">
            <w:drawing>
              <wp:anchor distT="0" distB="0" distL="114300" distR="114300" simplePos="0" relativeHeight="251673600" behindDoc="0" locked="0" layoutInCell="1" allowOverlap="1" wp14:anchorId="50D0C571" wp14:editId="74337396">
                <wp:simplePos x="0" y="0"/>
                <wp:positionH relativeFrom="page">
                  <wp:posOffset>3456305</wp:posOffset>
                </wp:positionH>
                <wp:positionV relativeFrom="paragraph">
                  <wp:posOffset>66040</wp:posOffset>
                </wp:positionV>
                <wp:extent cx="91440" cy="114300"/>
                <wp:effectExtent l="8255" t="1270" r="5080" b="8255"/>
                <wp:wrapNone/>
                <wp:docPr id="361" name="Group 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 cy="114300"/>
                          <a:chOff x="5443" y="104"/>
                          <a:chExt cx="144" cy="180"/>
                        </a:xfrm>
                      </wpg:grpSpPr>
                      <wps:wsp>
                        <wps:cNvPr id="362" name="Freeform 333"/>
                        <wps:cNvSpPr>
                          <a:spLocks/>
                        </wps:cNvSpPr>
                        <wps:spPr bwMode="auto">
                          <a:xfrm>
                            <a:off x="5455" y="104"/>
                            <a:ext cx="120" cy="120"/>
                          </a:xfrm>
                          <a:custGeom>
                            <a:avLst/>
                            <a:gdLst>
                              <a:gd name="T0" fmla="+- 0 5515 5455"/>
                              <a:gd name="T1" fmla="*/ T0 w 120"/>
                              <a:gd name="T2" fmla="+- 0 104 104"/>
                              <a:gd name="T3" fmla="*/ 104 h 120"/>
                              <a:gd name="T4" fmla="+- 0 5492 5455"/>
                              <a:gd name="T5" fmla="*/ T4 w 120"/>
                              <a:gd name="T6" fmla="+- 0 109 104"/>
                              <a:gd name="T7" fmla="*/ 109 h 120"/>
                              <a:gd name="T8" fmla="+- 0 5473 5455"/>
                              <a:gd name="T9" fmla="*/ T8 w 120"/>
                              <a:gd name="T10" fmla="+- 0 122 104"/>
                              <a:gd name="T11" fmla="*/ 122 h 120"/>
                              <a:gd name="T12" fmla="+- 0 5460 5455"/>
                              <a:gd name="T13" fmla="*/ T12 w 120"/>
                              <a:gd name="T14" fmla="+- 0 141 104"/>
                              <a:gd name="T15" fmla="*/ 141 h 120"/>
                              <a:gd name="T16" fmla="+- 0 5455 5455"/>
                              <a:gd name="T17" fmla="*/ T16 w 120"/>
                              <a:gd name="T18" fmla="+- 0 164 104"/>
                              <a:gd name="T19" fmla="*/ 164 h 120"/>
                              <a:gd name="T20" fmla="+- 0 5460 5455"/>
                              <a:gd name="T21" fmla="*/ T20 w 120"/>
                              <a:gd name="T22" fmla="+- 0 187 104"/>
                              <a:gd name="T23" fmla="*/ 187 h 120"/>
                              <a:gd name="T24" fmla="+- 0 5473 5455"/>
                              <a:gd name="T25" fmla="*/ T24 w 120"/>
                              <a:gd name="T26" fmla="+- 0 206 104"/>
                              <a:gd name="T27" fmla="*/ 206 h 120"/>
                              <a:gd name="T28" fmla="+- 0 5492 5455"/>
                              <a:gd name="T29" fmla="*/ T28 w 120"/>
                              <a:gd name="T30" fmla="+- 0 219 104"/>
                              <a:gd name="T31" fmla="*/ 219 h 120"/>
                              <a:gd name="T32" fmla="+- 0 5515 5455"/>
                              <a:gd name="T33" fmla="*/ T32 w 120"/>
                              <a:gd name="T34" fmla="+- 0 224 104"/>
                              <a:gd name="T35" fmla="*/ 224 h 120"/>
                              <a:gd name="T36" fmla="+- 0 5539 5455"/>
                              <a:gd name="T37" fmla="*/ T36 w 120"/>
                              <a:gd name="T38" fmla="+- 0 219 104"/>
                              <a:gd name="T39" fmla="*/ 219 h 120"/>
                              <a:gd name="T40" fmla="+- 0 5558 5455"/>
                              <a:gd name="T41" fmla="*/ T40 w 120"/>
                              <a:gd name="T42" fmla="+- 0 206 104"/>
                              <a:gd name="T43" fmla="*/ 206 h 120"/>
                              <a:gd name="T44" fmla="+- 0 5571 5455"/>
                              <a:gd name="T45" fmla="*/ T44 w 120"/>
                              <a:gd name="T46" fmla="+- 0 187 104"/>
                              <a:gd name="T47" fmla="*/ 187 h 120"/>
                              <a:gd name="T48" fmla="+- 0 5575 5455"/>
                              <a:gd name="T49" fmla="*/ T48 w 120"/>
                              <a:gd name="T50" fmla="+- 0 164 104"/>
                              <a:gd name="T51" fmla="*/ 164 h 120"/>
                              <a:gd name="T52" fmla="+- 0 5571 5455"/>
                              <a:gd name="T53" fmla="*/ T52 w 120"/>
                              <a:gd name="T54" fmla="+- 0 141 104"/>
                              <a:gd name="T55" fmla="*/ 141 h 120"/>
                              <a:gd name="T56" fmla="+- 0 5558 5455"/>
                              <a:gd name="T57" fmla="*/ T56 w 120"/>
                              <a:gd name="T58" fmla="+- 0 122 104"/>
                              <a:gd name="T59" fmla="*/ 122 h 120"/>
                              <a:gd name="T60" fmla="+- 0 5539 5455"/>
                              <a:gd name="T61" fmla="*/ T60 w 120"/>
                              <a:gd name="T62" fmla="+- 0 109 104"/>
                              <a:gd name="T63" fmla="*/ 109 h 120"/>
                              <a:gd name="T64" fmla="+- 0 5515 5455"/>
                              <a:gd name="T65" fmla="*/ T64 w 120"/>
                              <a:gd name="T66" fmla="+- 0 104 104"/>
                              <a:gd name="T67" fmla="*/ 104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20" h="120">
                                <a:moveTo>
                                  <a:pt x="60" y="0"/>
                                </a:moveTo>
                                <a:lnTo>
                                  <a:pt x="37" y="5"/>
                                </a:lnTo>
                                <a:lnTo>
                                  <a:pt x="18" y="18"/>
                                </a:lnTo>
                                <a:lnTo>
                                  <a:pt x="5" y="37"/>
                                </a:lnTo>
                                <a:lnTo>
                                  <a:pt x="0" y="60"/>
                                </a:lnTo>
                                <a:lnTo>
                                  <a:pt x="5" y="83"/>
                                </a:lnTo>
                                <a:lnTo>
                                  <a:pt x="18" y="102"/>
                                </a:lnTo>
                                <a:lnTo>
                                  <a:pt x="37" y="115"/>
                                </a:lnTo>
                                <a:lnTo>
                                  <a:pt x="60" y="120"/>
                                </a:lnTo>
                                <a:lnTo>
                                  <a:pt x="84" y="115"/>
                                </a:lnTo>
                                <a:lnTo>
                                  <a:pt x="103" y="102"/>
                                </a:lnTo>
                                <a:lnTo>
                                  <a:pt x="116" y="83"/>
                                </a:lnTo>
                                <a:lnTo>
                                  <a:pt x="120" y="60"/>
                                </a:lnTo>
                                <a:lnTo>
                                  <a:pt x="116" y="37"/>
                                </a:lnTo>
                                <a:lnTo>
                                  <a:pt x="103" y="18"/>
                                </a:lnTo>
                                <a:lnTo>
                                  <a:pt x="84" y="5"/>
                                </a:lnTo>
                                <a:lnTo>
                                  <a:pt x="60" y="0"/>
                                </a:lnTo>
                                <a:close/>
                              </a:path>
                            </a:pathLst>
                          </a:custGeom>
                          <a:solidFill>
                            <a:srgbClr val="ED7D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3" name="Freeform 334"/>
                        <wps:cNvSpPr>
                          <a:spLocks/>
                        </wps:cNvSpPr>
                        <wps:spPr bwMode="auto">
                          <a:xfrm>
                            <a:off x="5443" y="140"/>
                            <a:ext cx="144" cy="144"/>
                          </a:xfrm>
                          <a:custGeom>
                            <a:avLst/>
                            <a:gdLst>
                              <a:gd name="T0" fmla="+- 0 5515 5443"/>
                              <a:gd name="T1" fmla="*/ T0 w 144"/>
                              <a:gd name="T2" fmla="+- 0 140 140"/>
                              <a:gd name="T3" fmla="*/ 140 h 144"/>
                              <a:gd name="T4" fmla="+- 0 5443 5443"/>
                              <a:gd name="T5" fmla="*/ T4 w 144"/>
                              <a:gd name="T6" fmla="+- 0 212 140"/>
                              <a:gd name="T7" fmla="*/ 212 h 144"/>
                              <a:gd name="T8" fmla="+- 0 5515 5443"/>
                              <a:gd name="T9" fmla="*/ T8 w 144"/>
                              <a:gd name="T10" fmla="+- 0 284 140"/>
                              <a:gd name="T11" fmla="*/ 284 h 144"/>
                              <a:gd name="T12" fmla="+- 0 5587 5443"/>
                              <a:gd name="T13" fmla="*/ T12 w 144"/>
                              <a:gd name="T14" fmla="+- 0 212 140"/>
                              <a:gd name="T15" fmla="*/ 212 h 144"/>
                              <a:gd name="T16" fmla="+- 0 5515 5443"/>
                              <a:gd name="T17" fmla="*/ T16 w 144"/>
                              <a:gd name="T18" fmla="+- 0 140 140"/>
                              <a:gd name="T19" fmla="*/ 140 h 144"/>
                            </a:gdLst>
                            <a:ahLst/>
                            <a:cxnLst>
                              <a:cxn ang="0">
                                <a:pos x="T1" y="T3"/>
                              </a:cxn>
                              <a:cxn ang="0">
                                <a:pos x="T5" y="T7"/>
                              </a:cxn>
                              <a:cxn ang="0">
                                <a:pos x="T9" y="T11"/>
                              </a:cxn>
                              <a:cxn ang="0">
                                <a:pos x="T13" y="T15"/>
                              </a:cxn>
                              <a:cxn ang="0">
                                <a:pos x="T17" y="T19"/>
                              </a:cxn>
                            </a:cxnLst>
                            <a:rect l="0" t="0" r="r" b="b"/>
                            <a:pathLst>
                              <a:path w="144" h="144">
                                <a:moveTo>
                                  <a:pt x="72" y="0"/>
                                </a:moveTo>
                                <a:lnTo>
                                  <a:pt x="0" y="72"/>
                                </a:lnTo>
                                <a:lnTo>
                                  <a:pt x="72" y="144"/>
                                </a:lnTo>
                                <a:lnTo>
                                  <a:pt x="144" y="72"/>
                                </a:lnTo>
                                <a:lnTo>
                                  <a:pt x="72" y="0"/>
                                </a:lnTo>
                                <a:close/>
                              </a:path>
                            </a:pathLst>
                          </a:custGeom>
                          <a:solidFill>
                            <a:srgbClr val="2E75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3C78BAE" id="Group 361" o:spid="_x0000_s1026" style="position:absolute;margin-left:272.15pt;margin-top:5.2pt;width:7.2pt;height:9pt;z-index:251673600;mso-position-horizontal-relative:page" coordorigin="5443,104" coordsize="144,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">
                <v:shape id="Freeform 333" o:spid="_x0000_s1027" style="position:absolute;left:5455;top:104;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" path="m60,l37,5,18,18,5,37,,60,5,83r13,19l37,115r23,5l84,115r19,-13l116,83r4,-23l116,37,103,18,84,5,60,xe" fillcolor="#ed7d31" stroked="f">
                  <v:path arrowok="t" o:connecttype="custom" o:connectlocs="60,104;37,109;18,122;5,141;0,164;5,187;18,206;37,219;60,224;84,219;103,206;116,187;120,164;116,141;103,122;84,109;60,104" o:connectangles="0,0,0,0,0,0,0,0,0,0,0,0,0,0,0,0,0"/>
                </v:shape>
                <v:shape id="Freeform 334" o:spid="_x0000_s1028" style="position:absolute;left:5443;top:140;width:144;height:144;visibility:visible;mso-wrap-style:square;v-text-anchor:top" coordsize="14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" path="m72,l,72r72,72l144,72,72,xe" fillcolor="#2e75b6" stroked="f">
                  <v:path arrowok="t" o:connecttype="custom" o:connectlocs="72,140;0,212;72,284;144,212;72,140" o:connectangles="0,0,0,0,0"/>
                </v:shape>
                <w10:wrap anchorx="page"/>
              </v:group>
            </w:pict>
          </mc:Fallback>
        </mc:AlternateContent>
      </w:r>
      <w:r w:rsidRPr="00DB0C40">
        <w:rPr>
          <w:rFonts w:asciiTheme="minorHAnsi" w:eastAsia="Calibri Light" w:hAnsiTheme="minorHAnsi" w:cstheme="minorHAnsi"/>
          <w:noProof/>
          <w:sz w:val="22"/>
          <w:szCs w:val="22"/>
          <w:lang w:eastAsia="en-GB"/>
        </w:rPr>
        <mc:AlternateContent>
          <mc:Choice Requires="wpg">
            <w:drawing>
              <wp:anchor distT="0" distB="0" distL="114300" distR="114300" simplePos="0" relativeHeight="251674624" behindDoc="0" locked="0" layoutInCell="1" allowOverlap="1" wp14:anchorId="74E64523" wp14:editId="40F75576">
                <wp:simplePos x="0" y="0"/>
                <wp:positionH relativeFrom="page">
                  <wp:posOffset>3997325</wp:posOffset>
                </wp:positionH>
                <wp:positionV relativeFrom="paragraph">
                  <wp:posOffset>50800</wp:posOffset>
                </wp:positionV>
                <wp:extent cx="91440" cy="182880"/>
                <wp:effectExtent l="6350" t="5080" r="6985" b="2540"/>
                <wp:wrapNone/>
                <wp:docPr id="358" name="Group 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 cy="182880"/>
                          <a:chOff x="6295" y="80"/>
                          <a:chExt cx="144" cy="288"/>
                        </a:xfrm>
                      </wpg:grpSpPr>
                      <wps:wsp>
                        <wps:cNvPr id="359" name="Freeform 336"/>
                        <wps:cNvSpPr>
                          <a:spLocks/>
                        </wps:cNvSpPr>
                        <wps:spPr bwMode="auto">
                          <a:xfrm>
                            <a:off x="6307" y="80"/>
                            <a:ext cx="120" cy="120"/>
                          </a:xfrm>
                          <a:custGeom>
                            <a:avLst/>
                            <a:gdLst>
                              <a:gd name="T0" fmla="+- 0 6367 6307"/>
                              <a:gd name="T1" fmla="*/ T0 w 120"/>
                              <a:gd name="T2" fmla="+- 0 80 80"/>
                              <a:gd name="T3" fmla="*/ 80 h 120"/>
                              <a:gd name="T4" fmla="+- 0 6344 6307"/>
                              <a:gd name="T5" fmla="*/ T4 w 120"/>
                              <a:gd name="T6" fmla="+- 0 85 80"/>
                              <a:gd name="T7" fmla="*/ 85 h 120"/>
                              <a:gd name="T8" fmla="+- 0 6325 6307"/>
                              <a:gd name="T9" fmla="*/ T8 w 120"/>
                              <a:gd name="T10" fmla="+- 0 98 80"/>
                              <a:gd name="T11" fmla="*/ 98 h 120"/>
                              <a:gd name="T12" fmla="+- 0 6312 6307"/>
                              <a:gd name="T13" fmla="*/ T12 w 120"/>
                              <a:gd name="T14" fmla="+- 0 117 80"/>
                              <a:gd name="T15" fmla="*/ 117 h 120"/>
                              <a:gd name="T16" fmla="+- 0 6307 6307"/>
                              <a:gd name="T17" fmla="*/ T16 w 120"/>
                              <a:gd name="T18" fmla="+- 0 140 80"/>
                              <a:gd name="T19" fmla="*/ 140 h 120"/>
                              <a:gd name="T20" fmla="+- 0 6312 6307"/>
                              <a:gd name="T21" fmla="*/ T20 w 120"/>
                              <a:gd name="T22" fmla="+- 0 163 80"/>
                              <a:gd name="T23" fmla="*/ 163 h 120"/>
                              <a:gd name="T24" fmla="+- 0 6325 6307"/>
                              <a:gd name="T25" fmla="*/ T24 w 120"/>
                              <a:gd name="T26" fmla="+- 0 182 80"/>
                              <a:gd name="T27" fmla="*/ 182 h 120"/>
                              <a:gd name="T28" fmla="+- 0 6344 6307"/>
                              <a:gd name="T29" fmla="*/ T28 w 120"/>
                              <a:gd name="T30" fmla="+- 0 195 80"/>
                              <a:gd name="T31" fmla="*/ 195 h 120"/>
                              <a:gd name="T32" fmla="+- 0 6367 6307"/>
                              <a:gd name="T33" fmla="*/ T32 w 120"/>
                              <a:gd name="T34" fmla="+- 0 200 80"/>
                              <a:gd name="T35" fmla="*/ 200 h 120"/>
                              <a:gd name="T36" fmla="+- 0 6391 6307"/>
                              <a:gd name="T37" fmla="*/ T36 w 120"/>
                              <a:gd name="T38" fmla="+- 0 195 80"/>
                              <a:gd name="T39" fmla="*/ 195 h 120"/>
                              <a:gd name="T40" fmla="+- 0 6410 6307"/>
                              <a:gd name="T41" fmla="*/ T40 w 120"/>
                              <a:gd name="T42" fmla="+- 0 182 80"/>
                              <a:gd name="T43" fmla="*/ 182 h 120"/>
                              <a:gd name="T44" fmla="+- 0 6423 6307"/>
                              <a:gd name="T45" fmla="*/ T44 w 120"/>
                              <a:gd name="T46" fmla="+- 0 163 80"/>
                              <a:gd name="T47" fmla="*/ 163 h 120"/>
                              <a:gd name="T48" fmla="+- 0 6427 6307"/>
                              <a:gd name="T49" fmla="*/ T48 w 120"/>
                              <a:gd name="T50" fmla="+- 0 140 80"/>
                              <a:gd name="T51" fmla="*/ 140 h 120"/>
                              <a:gd name="T52" fmla="+- 0 6423 6307"/>
                              <a:gd name="T53" fmla="*/ T52 w 120"/>
                              <a:gd name="T54" fmla="+- 0 117 80"/>
                              <a:gd name="T55" fmla="*/ 117 h 120"/>
                              <a:gd name="T56" fmla="+- 0 6410 6307"/>
                              <a:gd name="T57" fmla="*/ T56 w 120"/>
                              <a:gd name="T58" fmla="+- 0 98 80"/>
                              <a:gd name="T59" fmla="*/ 98 h 120"/>
                              <a:gd name="T60" fmla="+- 0 6391 6307"/>
                              <a:gd name="T61" fmla="*/ T60 w 120"/>
                              <a:gd name="T62" fmla="+- 0 85 80"/>
                              <a:gd name="T63" fmla="*/ 85 h 120"/>
                              <a:gd name="T64" fmla="+- 0 6367 6307"/>
                              <a:gd name="T65" fmla="*/ T64 w 120"/>
                              <a:gd name="T66" fmla="+- 0 80 80"/>
                              <a:gd name="T67" fmla="*/ 80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20" h="120">
                                <a:moveTo>
                                  <a:pt x="60" y="0"/>
                                </a:moveTo>
                                <a:lnTo>
                                  <a:pt x="37" y="5"/>
                                </a:lnTo>
                                <a:lnTo>
                                  <a:pt x="18" y="18"/>
                                </a:lnTo>
                                <a:lnTo>
                                  <a:pt x="5" y="37"/>
                                </a:lnTo>
                                <a:lnTo>
                                  <a:pt x="0" y="60"/>
                                </a:lnTo>
                                <a:lnTo>
                                  <a:pt x="5" y="83"/>
                                </a:lnTo>
                                <a:lnTo>
                                  <a:pt x="18" y="102"/>
                                </a:lnTo>
                                <a:lnTo>
                                  <a:pt x="37" y="115"/>
                                </a:lnTo>
                                <a:lnTo>
                                  <a:pt x="60" y="120"/>
                                </a:lnTo>
                                <a:lnTo>
                                  <a:pt x="84" y="115"/>
                                </a:lnTo>
                                <a:lnTo>
                                  <a:pt x="103" y="102"/>
                                </a:lnTo>
                                <a:lnTo>
                                  <a:pt x="116" y="83"/>
                                </a:lnTo>
                                <a:lnTo>
                                  <a:pt x="120" y="60"/>
                                </a:lnTo>
                                <a:lnTo>
                                  <a:pt x="116" y="37"/>
                                </a:lnTo>
                                <a:lnTo>
                                  <a:pt x="103" y="18"/>
                                </a:lnTo>
                                <a:lnTo>
                                  <a:pt x="84" y="5"/>
                                </a:lnTo>
                                <a:lnTo>
                                  <a:pt x="60" y="0"/>
                                </a:lnTo>
                                <a:close/>
                              </a:path>
                            </a:pathLst>
                          </a:custGeom>
                          <a:solidFill>
                            <a:srgbClr val="ED7D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0" name="Freeform 337"/>
                        <wps:cNvSpPr>
                          <a:spLocks/>
                        </wps:cNvSpPr>
                        <wps:spPr bwMode="auto">
                          <a:xfrm>
                            <a:off x="6295" y="224"/>
                            <a:ext cx="144" cy="144"/>
                          </a:xfrm>
                          <a:custGeom>
                            <a:avLst/>
                            <a:gdLst>
                              <a:gd name="T0" fmla="+- 0 6367 6295"/>
                              <a:gd name="T1" fmla="*/ T0 w 144"/>
                              <a:gd name="T2" fmla="+- 0 224 224"/>
                              <a:gd name="T3" fmla="*/ 224 h 144"/>
                              <a:gd name="T4" fmla="+- 0 6295 6295"/>
                              <a:gd name="T5" fmla="*/ T4 w 144"/>
                              <a:gd name="T6" fmla="+- 0 296 224"/>
                              <a:gd name="T7" fmla="*/ 296 h 144"/>
                              <a:gd name="T8" fmla="+- 0 6367 6295"/>
                              <a:gd name="T9" fmla="*/ T8 w 144"/>
                              <a:gd name="T10" fmla="+- 0 368 224"/>
                              <a:gd name="T11" fmla="*/ 368 h 144"/>
                              <a:gd name="T12" fmla="+- 0 6439 6295"/>
                              <a:gd name="T13" fmla="*/ T12 w 144"/>
                              <a:gd name="T14" fmla="+- 0 296 224"/>
                              <a:gd name="T15" fmla="*/ 296 h 144"/>
                              <a:gd name="T16" fmla="+- 0 6367 6295"/>
                              <a:gd name="T17" fmla="*/ T16 w 144"/>
                              <a:gd name="T18" fmla="+- 0 224 224"/>
                              <a:gd name="T19" fmla="*/ 224 h 144"/>
                            </a:gdLst>
                            <a:ahLst/>
                            <a:cxnLst>
                              <a:cxn ang="0">
                                <a:pos x="T1" y="T3"/>
                              </a:cxn>
                              <a:cxn ang="0">
                                <a:pos x="T5" y="T7"/>
                              </a:cxn>
                              <a:cxn ang="0">
                                <a:pos x="T9" y="T11"/>
                              </a:cxn>
                              <a:cxn ang="0">
                                <a:pos x="T13" y="T15"/>
                              </a:cxn>
                              <a:cxn ang="0">
                                <a:pos x="T17" y="T19"/>
                              </a:cxn>
                            </a:cxnLst>
                            <a:rect l="0" t="0" r="r" b="b"/>
                            <a:pathLst>
                              <a:path w="144" h="144">
                                <a:moveTo>
                                  <a:pt x="72" y="0"/>
                                </a:moveTo>
                                <a:lnTo>
                                  <a:pt x="0" y="72"/>
                                </a:lnTo>
                                <a:lnTo>
                                  <a:pt x="72" y="144"/>
                                </a:lnTo>
                                <a:lnTo>
                                  <a:pt x="144" y="72"/>
                                </a:lnTo>
                                <a:lnTo>
                                  <a:pt x="72" y="0"/>
                                </a:lnTo>
                                <a:close/>
                              </a:path>
                            </a:pathLst>
                          </a:custGeom>
                          <a:solidFill>
                            <a:srgbClr val="2E75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181C1F1" id="Group 358" o:spid="_x0000_s1026" style="position:absolute;margin-left:314.75pt;margin-top:4pt;width:7.2pt;height:14.4pt;z-index:251674624;mso-position-horizontal-relative:page" coordorigin="6295,80" coordsize="144,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">
                <v:shape id="Freeform 336" o:spid="_x0000_s1027" style="position:absolute;left:6307;top:80;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" path="m60,l37,5,18,18,5,37,,60,5,83r13,19l37,115r23,5l84,115r19,-13l116,83r4,-23l116,37,103,18,84,5,60,xe" fillcolor="#ed7d31" stroked="f">
                  <v:path arrowok="t" o:connecttype="custom" o:connectlocs="60,80;37,85;18,98;5,117;0,140;5,163;18,182;37,195;60,200;84,195;103,182;116,163;120,140;116,117;103,98;84,85;60,80" o:connectangles="0,0,0,0,0,0,0,0,0,0,0,0,0,0,0,0,0"/>
                </v:shape>
                <v:shape id="Freeform 337" o:spid="_x0000_s1028" style="position:absolute;left:6295;top:224;width:144;height:144;visibility:visible;mso-wrap-style:square;v-text-anchor:top" coordsize="14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" path="m72,l,72r72,72l144,72,72,xe" fillcolor="#2e75b6" stroked="f">
                  <v:path arrowok="t" o:connecttype="custom" o:connectlocs="72,224;0,296;72,368;144,296;72,224" o:connectangles="0,0,0,0,0"/>
                </v:shape>
                <w10:wrap anchorx="page"/>
              </v:group>
            </w:pict>
          </mc:Fallback>
        </mc:AlternateContent>
      </w:r>
      <w:r w:rsidRPr="00DB0C40">
        <w:rPr>
          <w:rFonts w:asciiTheme="minorHAnsi" w:eastAsia="Calibri Light" w:hAnsiTheme="minorHAnsi" w:cstheme="minorHAnsi"/>
          <w:noProof/>
          <w:sz w:val="22"/>
          <w:szCs w:val="22"/>
          <w:lang w:eastAsia="en-GB"/>
        </w:rPr>
        <mc:AlternateContent>
          <mc:Choice Requires="wpg">
            <w:drawing>
              <wp:anchor distT="0" distB="0" distL="114300" distR="114300" simplePos="0" relativeHeight="251675648" behindDoc="0" locked="0" layoutInCell="1" allowOverlap="1" wp14:anchorId="6B96728C" wp14:editId="05B5472B">
                <wp:simplePos x="0" y="0"/>
                <wp:positionH relativeFrom="page">
                  <wp:posOffset>4271645</wp:posOffset>
                </wp:positionH>
                <wp:positionV relativeFrom="paragraph">
                  <wp:posOffset>96520</wp:posOffset>
                </wp:positionV>
                <wp:extent cx="91440" cy="152400"/>
                <wp:effectExtent l="4445" t="3175" r="8890" b="6350"/>
                <wp:wrapNone/>
                <wp:docPr id="355" name="Group 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 cy="152400"/>
                          <a:chOff x="6727" y="152"/>
                          <a:chExt cx="144" cy="240"/>
                        </a:xfrm>
                      </wpg:grpSpPr>
                      <wps:wsp>
                        <wps:cNvPr id="356" name="Freeform 339"/>
                        <wps:cNvSpPr>
                          <a:spLocks/>
                        </wps:cNvSpPr>
                        <wps:spPr bwMode="auto">
                          <a:xfrm>
                            <a:off x="6739" y="152"/>
                            <a:ext cx="120" cy="120"/>
                          </a:xfrm>
                          <a:custGeom>
                            <a:avLst/>
                            <a:gdLst>
                              <a:gd name="T0" fmla="+- 0 6799 6739"/>
                              <a:gd name="T1" fmla="*/ T0 w 120"/>
                              <a:gd name="T2" fmla="+- 0 152 152"/>
                              <a:gd name="T3" fmla="*/ 152 h 120"/>
                              <a:gd name="T4" fmla="+- 0 6776 6739"/>
                              <a:gd name="T5" fmla="*/ T4 w 120"/>
                              <a:gd name="T6" fmla="+- 0 157 152"/>
                              <a:gd name="T7" fmla="*/ 157 h 120"/>
                              <a:gd name="T8" fmla="+- 0 6757 6739"/>
                              <a:gd name="T9" fmla="*/ T8 w 120"/>
                              <a:gd name="T10" fmla="+- 0 170 152"/>
                              <a:gd name="T11" fmla="*/ 170 h 120"/>
                              <a:gd name="T12" fmla="+- 0 6744 6739"/>
                              <a:gd name="T13" fmla="*/ T12 w 120"/>
                              <a:gd name="T14" fmla="+- 0 189 152"/>
                              <a:gd name="T15" fmla="*/ 189 h 120"/>
                              <a:gd name="T16" fmla="+- 0 6739 6739"/>
                              <a:gd name="T17" fmla="*/ T16 w 120"/>
                              <a:gd name="T18" fmla="+- 0 212 152"/>
                              <a:gd name="T19" fmla="*/ 212 h 120"/>
                              <a:gd name="T20" fmla="+- 0 6744 6739"/>
                              <a:gd name="T21" fmla="*/ T20 w 120"/>
                              <a:gd name="T22" fmla="+- 0 235 152"/>
                              <a:gd name="T23" fmla="*/ 235 h 120"/>
                              <a:gd name="T24" fmla="+- 0 6757 6739"/>
                              <a:gd name="T25" fmla="*/ T24 w 120"/>
                              <a:gd name="T26" fmla="+- 0 254 152"/>
                              <a:gd name="T27" fmla="*/ 254 h 120"/>
                              <a:gd name="T28" fmla="+- 0 6776 6739"/>
                              <a:gd name="T29" fmla="*/ T28 w 120"/>
                              <a:gd name="T30" fmla="+- 0 267 152"/>
                              <a:gd name="T31" fmla="*/ 267 h 120"/>
                              <a:gd name="T32" fmla="+- 0 6799 6739"/>
                              <a:gd name="T33" fmla="*/ T32 w 120"/>
                              <a:gd name="T34" fmla="+- 0 272 152"/>
                              <a:gd name="T35" fmla="*/ 272 h 120"/>
                              <a:gd name="T36" fmla="+- 0 6823 6739"/>
                              <a:gd name="T37" fmla="*/ T36 w 120"/>
                              <a:gd name="T38" fmla="+- 0 267 152"/>
                              <a:gd name="T39" fmla="*/ 267 h 120"/>
                              <a:gd name="T40" fmla="+- 0 6842 6739"/>
                              <a:gd name="T41" fmla="*/ T40 w 120"/>
                              <a:gd name="T42" fmla="+- 0 254 152"/>
                              <a:gd name="T43" fmla="*/ 254 h 120"/>
                              <a:gd name="T44" fmla="+- 0 6855 6739"/>
                              <a:gd name="T45" fmla="*/ T44 w 120"/>
                              <a:gd name="T46" fmla="+- 0 235 152"/>
                              <a:gd name="T47" fmla="*/ 235 h 120"/>
                              <a:gd name="T48" fmla="+- 0 6859 6739"/>
                              <a:gd name="T49" fmla="*/ T48 w 120"/>
                              <a:gd name="T50" fmla="+- 0 212 152"/>
                              <a:gd name="T51" fmla="*/ 212 h 120"/>
                              <a:gd name="T52" fmla="+- 0 6855 6739"/>
                              <a:gd name="T53" fmla="*/ T52 w 120"/>
                              <a:gd name="T54" fmla="+- 0 189 152"/>
                              <a:gd name="T55" fmla="*/ 189 h 120"/>
                              <a:gd name="T56" fmla="+- 0 6842 6739"/>
                              <a:gd name="T57" fmla="*/ T56 w 120"/>
                              <a:gd name="T58" fmla="+- 0 170 152"/>
                              <a:gd name="T59" fmla="*/ 170 h 120"/>
                              <a:gd name="T60" fmla="+- 0 6823 6739"/>
                              <a:gd name="T61" fmla="*/ T60 w 120"/>
                              <a:gd name="T62" fmla="+- 0 157 152"/>
                              <a:gd name="T63" fmla="*/ 157 h 120"/>
                              <a:gd name="T64" fmla="+- 0 6799 6739"/>
                              <a:gd name="T65" fmla="*/ T64 w 120"/>
                              <a:gd name="T66" fmla="+- 0 152 152"/>
                              <a:gd name="T67" fmla="*/ 152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20" h="120">
                                <a:moveTo>
                                  <a:pt x="60" y="0"/>
                                </a:moveTo>
                                <a:lnTo>
                                  <a:pt x="37" y="5"/>
                                </a:lnTo>
                                <a:lnTo>
                                  <a:pt x="18" y="18"/>
                                </a:lnTo>
                                <a:lnTo>
                                  <a:pt x="5" y="37"/>
                                </a:lnTo>
                                <a:lnTo>
                                  <a:pt x="0" y="60"/>
                                </a:lnTo>
                                <a:lnTo>
                                  <a:pt x="5" y="83"/>
                                </a:lnTo>
                                <a:lnTo>
                                  <a:pt x="18" y="102"/>
                                </a:lnTo>
                                <a:lnTo>
                                  <a:pt x="37" y="115"/>
                                </a:lnTo>
                                <a:lnTo>
                                  <a:pt x="60" y="120"/>
                                </a:lnTo>
                                <a:lnTo>
                                  <a:pt x="84" y="115"/>
                                </a:lnTo>
                                <a:lnTo>
                                  <a:pt x="103" y="102"/>
                                </a:lnTo>
                                <a:lnTo>
                                  <a:pt x="116" y="83"/>
                                </a:lnTo>
                                <a:lnTo>
                                  <a:pt x="120" y="60"/>
                                </a:lnTo>
                                <a:lnTo>
                                  <a:pt x="116" y="37"/>
                                </a:lnTo>
                                <a:lnTo>
                                  <a:pt x="103" y="18"/>
                                </a:lnTo>
                                <a:lnTo>
                                  <a:pt x="84" y="5"/>
                                </a:lnTo>
                                <a:lnTo>
                                  <a:pt x="60" y="0"/>
                                </a:lnTo>
                                <a:close/>
                              </a:path>
                            </a:pathLst>
                          </a:custGeom>
                          <a:solidFill>
                            <a:srgbClr val="ED7D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7" name="Freeform 340"/>
                        <wps:cNvSpPr>
                          <a:spLocks/>
                        </wps:cNvSpPr>
                        <wps:spPr bwMode="auto">
                          <a:xfrm>
                            <a:off x="6727" y="248"/>
                            <a:ext cx="144" cy="144"/>
                          </a:xfrm>
                          <a:custGeom>
                            <a:avLst/>
                            <a:gdLst>
                              <a:gd name="T0" fmla="+- 0 6799 6727"/>
                              <a:gd name="T1" fmla="*/ T0 w 144"/>
                              <a:gd name="T2" fmla="+- 0 248 248"/>
                              <a:gd name="T3" fmla="*/ 248 h 144"/>
                              <a:gd name="T4" fmla="+- 0 6727 6727"/>
                              <a:gd name="T5" fmla="*/ T4 w 144"/>
                              <a:gd name="T6" fmla="+- 0 320 248"/>
                              <a:gd name="T7" fmla="*/ 320 h 144"/>
                              <a:gd name="T8" fmla="+- 0 6799 6727"/>
                              <a:gd name="T9" fmla="*/ T8 w 144"/>
                              <a:gd name="T10" fmla="+- 0 392 248"/>
                              <a:gd name="T11" fmla="*/ 392 h 144"/>
                              <a:gd name="T12" fmla="+- 0 6871 6727"/>
                              <a:gd name="T13" fmla="*/ T12 w 144"/>
                              <a:gd name="T14" fmla="+- 0 320 248"/>
                              <a:gd name="T15" fmla="*/ 320 h 144"/>
                              <a:gd name="T16" fmla="+- 0 6799 6727"/>
                              <a:gd name="T17" fmla="*/ T16 w 144"/>
                              <a:gd name="T18" fmla="+- 0 248 248"/>
                              <a:gd name="T19" fmla="*/ 248 h 144"/>
                            </a:gdLst>
                            <a:ahLst/>
                            <a:cxnLst>
                              <a:cxn ang="0">
                                <a:pos x="T1" y="T3"/>
                              </a:cxn>
                              <a:cxn ang="0">
                                <a:pos x="T5" y="T7"/>
                              </a:cxn>
                              <a:cxn ang="0">
                                <a:pos x="T9" y="T11"/>
                              </a:cxn>
                              <a:cxn ang="0">
                                <a:pos x="T13" y="T15"/>
                              </a:cxn>
                              <a:cxn ang="0">
                                <a:pos x="T17" y="T19"/>
                              </a:cxn>
                            </a:cxnLst>
                            <a:rect l="0" t="0" r="r" b="b"/>
                            <a:pathLst>
                              <a:path w="144" h="144">
                                <a:moveTo>
                                  <a:pt x="72" y="0"/>
                                </a:moveTo>
                                <a:lnTo>
                                  <a:pt x="0" y="72"/>
                                </a:lnTo>
                                <a:lnTo>
                                  <a:pt x="72" y="144"/>
                                </a:lnTo>
                                <a:lnTo>
                                  <a:pt x="144" y="72"/>
                                </a:lnTo>
                                <a:lnTo>
                                  <a:pt x="72" y="0"/>
                                </a:lnTo>
                                <a:close/>
                              </a:path>
                            </a:pathLst>
                          </a:custGeom>
                          <a:solidFill>
                            <a:srgbClr val="2E75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5722929" id="Group 355" o:spid="_x0000_s1026" style="position:absolute;margin-left:336.35pt;margin-top:7.6pt;width:7.2pt;height:12pt;z-index:251675648;mso-position-horizontal-relative:page" coordorigin="6727,152" coordsize="144,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">
                <v:shape id="Freeform 339" o:spid="_x0000_s1027" style="position:absolute;left:6739;top:152;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" path="m60,l37,5,18,18,5,37,,60,5,83r13,19l37,115r23,5l84,115r19,-13l116,83r4,-23l116,37,103,18,84,5,60,xe" fillcolor="#ed7d31" stroked="f">
                  <v:path arrowok="t" o:connecttype="custom" o:connectlocs="60,152;37,157;18,170;5,189;0,212;5,235;18,254;37,267;60,272;84,267;103,254;116,235;120,212;116,189;103,170;84,157;60,152" o:connectangles="0,0,0,0,0,0,0,0,0,0,0,0,0,0,0,0,0"/>
                </v:shape>
                <v:shape id="Freeform 340" o:spid="_x0000_s1028" style="position:absolute;left:6727;top:248;width:144;height:144;visibility:visible;mso-wrap-style:square;v-text-anchor:top" coordsize="14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" path="m72,l,72r72,72l144,72,72,xe" fillcolor="#2e75b6" stroked="f">
                  <v:path arrowok="t" o:connecttype="custom" o:connectlocs="72,248;0,320;72,392;144,320;72,248" o:connectangles="0,0,0,0,0"/>
                </v:shape>
                <w10:wrap anchorx="page"/>
              </v:group>
            </w:pict>
          </mc:Fallback>
        </mc:AlternateContent>
      </w:r>
      <w:r w:rsidRPr="00DB0C40">
        <w:rPr>
          <w:rFonts w:asciiTheme="minorHAnsi" w:eastAsia="Calibri Light" w:hAnsiTheme="minorHAnsi" w:cstheme="minorHAnsi"/>
          <w:noProof/>
          <w:sz w:val="22"/>
          <w:szCs w:val="22"/>
          <w:lang w:eastAsia="en-GB"/>
        </w:rPr>
        <mc:AlternateContent>
          <mc:Choice Requires="wpg">
            <w:drawing>
              <wp:anchor distT="0" distB="0" distL="114300" distR="114300" simplePos="0" relativeHeight="251677696" behindDoc="0" locked="0" layoutInCell="1" allowOverlap="1" wp14:anchorId="1677FC17" wp14:editId="140EAC11">
                <wp:simplePos x="0" y="0"/>
                <wp:positionH relativeFrom="page">
                  <wp:posOffset>4820285</wp:posOffset>
                </wp:positionH>
                <wp:positionV relativeFrom="paragraph">
                  <wp:posOffset>134620</wp:posOffset>
                </wp:positionV>
                <wp:extent cx="91440" cy="205740"/>
                <wp:effectExtent l="635" t="3175" r="3175" b="635"/>
                <wp:wrapNone/>
                <wp:docPr id="352" name="Group 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 cy="205740"/>
                          <a:chOff x="7591" y="212"/>
                          <a:chExt cx="144" cy="324"/>
                        </a:xfrm>
                      </wpg:grpSpPr>
                      <pic:pic xmlns:pic="http://schemas.openxmlformats.org/drawingml/2006/picture">
                        <pic:nvPicPr>
                          <pic:cNvPr id="353" name="Picture 34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7603" y="212"/>
                            <a:ext cx="12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4" name="Freeform 346"/>
                        <wps:cNvSpPr>
                          <a:spLocks/>
                        </wps:cNvSpPr>
                        <wps:spPr bwMode="auto">
                          <a:xfrm>
                            <a:off x="7591" y="392"/>
                            <a:ext cx="144" cy="144"/>
                          </a:xfrm>
                          <a:custGeom>
                            <a:avLst/>
                            <a:gdLst>
                              <a:gd name="T0" fmla="+- 0 7663 7591"/>
                              <a:gd name="T1" fmla="*/ T0 w 144"/>
                              <a:gd name="T2" fmla="+- 0 392 392"/>
                              <a:gd name="T3" fmla="*/ 392 h 144"/>
                              <a:gd name="T4" fmla="+- 0 7591 7591"/>
                              <a:gd name="T5" fmla="*/ T4 w 144"/>
                              <a:gd name="T6" fmla="+- 0 464 392"/>
                              <a:gd name="T7" fmla="*/ 464 h 144"/>
                              <a:gd name="T8" fmla="+- 0 7663 7591"/>
                              <a:gd name="T9" fmla="*/ T8 w 144"/>
                              <a:gd name="T10" fmla="+- 0 536 392"/>
                              <a:gd name="T11" fmla="*/ 536 h 144"/>
                              <a:gd name="T12" fmla="+- 0 7735 7591"/>
                              <a:gd name="T13" fmla="*/ T12 w 144"/>
                              <a:gd name="T14" fmla="+- 0 464 392"/>
                              <a:gd name="T15" fmla="*/ 464 h 144"/>
                              <a:gd name="T16" fmla="+- 0 7663 7591"/>
                              <a:gd name="T17" fmla="*/ T16 w 144"/>
                              <a:gd name="T18" fmla="+- 0 392 392"/>
                              <a:gd name="T19" fmla="*/ 392 h 144"/>
                            </a:gdLst>
                            <a:ahLst/>
                            <a:cxnLst>
                              <a:cxn ang="0">
                                <a:pos x="T1" y="T3"/>
                              </a:cxn>
                              <a:cxn ang="0">
                                <a:pos x="T5" y="T7"/>
                              </a:cxn>
                              <a:cxn ang="0">
                                <a:pos x="T9" y="T11"/>
                              </a:cxn>
                              <a:cxn ang="0">
                                <a:pos x="T13" y="T15"/>
                              </a:cxn>
                              <a:cxn ang="0">
                                <a:pos x="T17" y="T19"/>
                              </a:cxn>
                            </a:cxnLst>
                            <a:rect l="0" t="0" r="r" b="b"/>
                            <a:pathLst>
                              <a:path w="144" h="144">
                                <a:moveTo>
                                  <a:pt x="72" y="0"/>
                                </a:moveTo>
                                <a:lnTo>
                                  <a:pt x="0" y="72"/>
                                </a:lnTo>
                                <a:lnTo>
                                  <a:pt x="72" y="144"/>
                                </a:lnTo>
                                <a:lnTo>
                                  <a:pt x="144" y="72"/>
                                </a:lnTo>
                                <a:lnTo>
                                  <a:pt x="72" y="0"/>
                                </a:lnTo>
                                <a:close/>
                              </a:path>
                            </a:pathLst>
                          </a:custGeom>
                          <a:solidFill>
                            <a:srgbClr val="2E75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6717CA2" id="Group 352" o:spid="_x0000_s1026" style="position:absolute;margin-left:379.55pt;margin-top:10.6pt;width:7.2pt;height:16.2pt;z-index:251677696;mso-position-horizontal-relative:page" coordorigin="7591,212" coordsize="144,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5" o:spid="_x0000_s1027" type="#_x0000_t75" style="position:absolute;left:7603;top:212;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">
                  <v:imagedata r:id="rId28" o:title=""/>
                </v:shape>
                <v:shape id="Freeform 346" o:spid="_x0000_s1028" style="position:absolute;left:7591;top:392;width:144;height:144;visibility:visible;mso-wrap-style:square;v-text-anchor:top" coordsize="14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" path="m72,l,72r72,72l144,72,72,xe" fillcolor="#2e75b6" stroked="f">
                  <v:path arrowok="t" o:connecttype="custom" o:connectlocs="72,392;0,464;72,536;144,464;72,392" o:connectangles="0,0,0,0,0"/>
                </v:shape>
                <w10:wrap anchorx="page"/>
              </v:group>
            </w:pict>
          </mc:Fallback>
        </mc:AlternateContent>
      </w:r>
      <w:r w:rsidRPr="00DB0C40">
        <w:rPr>
          <w:rFonts w:asciiTheme="minorHAnsi" w:eastAsia="Calibri Light" w:hAnsiTheme="minorHAnsi" w:cstheme="minorHAnsi"/>
          <w:noProof/>
          <w:sz w:val="22"/>
          <w:szCs w:val="22"/>
          <w:lang w:eastAsia="en-GB"/>
        </w:rPr>
        <w:drawing>
          <wp:anchor distT="0" distB="0" distL="0" distR="0" simplePos="0" relativeHeight="251679744" behindDoc="0" locked="0" layoutInCell="1" allowOverlap="1" wp14:anchorId="11EBB403" wp14:editId="1A659489">
            <wp:simplePos x="0" y="0"/>
            <wp:positionH relativeFrom="page">
              <wp:posOffset>5376671</wp:posOffset>
            </wp:positionH>
            <wp:positionV relativeFrom="paragraph">
              <wp:posOffset>81466</wp:posOffset>
            </wp:positionV>
            <wp:extent cx="76200" cy="76200"/>
            <wp:effectExtent l="0" t="0" r="0" b="0"/>
            <wp:wrapNone/>
            <wp:docPr id="327"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60.png"/>
                    <pic:cNvPicPr/>
                  </pic:nvPicPr>
                  <pic:blipFill>
                    <a:blip r:embed="rId23" cstate="print"/>
                    <a:stretch>
                      <a:fillRect/>
                    </a:stretch>
                  </pic:blipFill>
                  <pic:spPr>
                    <a:xfrm>
                      <a:off x="0" y="0"/>
                      <a:ext cx="76200" cy="76200"/>
                    </a:xfrm>
                    <a:prstGeom prst="rect">
                      <a:avLst/>
                    </a:prstGeom>
                  </pic:spPr>
                </pic:pic>
              </a:graphicData>
            </a:graphic>
          </wp:anchor>
        </w:drawing>
      </w:r>
      <w:r w:rsidRPr="00DB0C40">
        <w:rPr>
          <w:rFonts w:asciiTheme="minorHAnsi" w:eastAsia="Calibri Light" w:hAnsiTheme="minorHAnsi" w:cstheme="minorHAnsi"/>
          <w:noProof/>
          <w:sz w:val="22"/>
          <w:szCs w:val="22"/>
          <w:lang w:eastAsia="en-GB"/>
        </w:rPr>
        <mc:AlternateContent>
          <mc:Choice Requires="wps">
            <w:drawing>
              <wp:anchor distT="0" distB="0" distL="114300" distR="114300" simplePos="0" relativeHeight="251686912" behindDoc="0" locked="0" layoutInCell="1" allowOverlap="1" wp14:anchorId="45FFFD26" wp14:editId="089F692F">
                <wp:simplePos x="0" y="0"/>
                <wp:positionH relativeFrom="page">
                  <wp:posOffset>2907665</wp:posOffset>
                </wp:positionH>
                <wp:positionV relativeFrom="paragraph">
                  <wp:posOffset>88900</wp:posOffset>
                </wp:positionV>
                <wp:extent cx="91440" cy="91440"/>
                <wp:effectExtent l="2540" t="5080" r="1270" b="8255"/>
                <wp:wrapNone/>
                <wp:docPr id="351" name="Freeform: Shape 3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91440"/>
                        </a:xfrm>
                        <a:custGeom>
                          <a:avLst/>
                          <a:gdLst>
                            <a:gd name="T0" fmla="+- 0 4651 4579"/>
                            <a:gd name="T1" fmla="*/ T0 w 144"/>
                            <a:gd name="T2" fmla="+- 0 140 140"/>
                            <a:gd name="T3" fmla="*/ 140 h 144"/>
                            <a:gd name="T4" fmla="+- 0 4579 4579"/>
                            <a:gd name="T5" fmla="*/ T4 w 144"/>
                            <a:gd name="T6" fmla="+- 0 212 140"/>
                            <a:gd name="T7" fmla="*/ 212 h 144"/>
                            <a:gd name="T8" fmla="+- 0 4651 4579"/>
                            <a:gd name="T9" fmla="*/ T8 w 144"/>
                            <a:gd name="T10" fmla="+- 0 284 140"/>
                            <a:gd name="T11" fmla="*/ 284 h 144"/>
                            <a:gd name="T12" fmla="+- 0 4723 4579"/>
                            <a:gd name="T13" fmla="*/ T12 w 144"/>
                            <a:gd name="T14" fmla="+- 0 212 140"/>
                            <a:gd name="T15" fmla="*/ 212 h 144"/>
                            <a:gd name="T16" fmla="+- 0 4651 4579"/>
                            <a:gd name="T17" fmla="*/ T16 w 144"/>
                            <a:gd name="T18" fmla="+- 0 140 140"/>
                            <a:gd name="T19" fmla="*/ 140 h 144"/>
                          </a:gdLst>
                          <a:ahLst/>
                          <a:cxnLst>
                            <a:cxn ang="0">
                              <a:pos x="T1" y="T3"/>
                            </a:cxn>
                            <a:cxn ang="0">
                              <a:pos x="T5" y="T7"/>
                            </a:cxn>
                            <a:cxn ang="0">
                              <a:pos x="T9" y="T11"/>
                            </a:cxn>
                            <a:cxn ang="0">
                              <a:pos x="T13" y="T15"/>
                            </a:cxn>
                            <a:cxn ang="0">
                              <a:pos x="T17" y="T19"/>
                            </a:cxn>
                          </a:cxnLst>
                          <a:rect l="0" t="0" r="r" b="b"/>
                          <a:pathLst>
                            <a:path w="144" h="144">
                              <a:moveTo>
                                <a:pt x="72" y="0"/>
                              </a:moveTo>
                              <a:lnTo>
                                <a:pt x="0" y="72"/>
                              </a:lnTo>
                              <a:lnTo>
                                <a:pt x="72" y="144"/>
                              </a:lnTo>
                              <a:lnTo>
                                <a:pt x="144" y="72"/>
                              </a:lnTo>
                              <a:lnTo>
                                <a:pt x="72" y="0"/>
                              </a:lnTo>
                              <a:close/>
                            </a:path>
                          </a:pathLst>
                        </a:custGeom>
                        <a:solidFill>
                          <a:srgbClr val="2E75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4D843BD" id="Freeform: Shape 351" o:spid="_x0000_s1026" style="position:absolute;margin-left:228.95pt;margin-top:7pt;width:7.2pt;height:7.2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4,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" path="m72,l,72r72,72l144,72,72,xe" fillcolor="#2e75b6" stroked="f">
                <v:path arrowok="t" o:connecttype="custom" o:connectlocs="45720,88900;0,134620;45720,180340;91440,134620;45720,88900" o:connectangles="0,0,0,0,0"/>
                <w10:wrap anchorx="page"/>
              </v:shape>
            </w:pict>
          </mc:Fallback>
        </mc:AlternateContent>
      </w:r>
      <w:r w:rsidRPr="00DB0C40">
        <w:rPr>
          <w:rFonts w:asciiTheme="minorHAnsi" w:eastAsia="Calibri Light" w:hAnsiTheme="minorHAnsi" w:cstheme="minorHAnsi"/>
          <w:noProof/>
          <w:sz w:val="22"/>
          <w:szCs w:val="22"/>
          <w:lang w:eastAsia="en-GB"/>
        </w:rPr>
        <mc:AlternateContent>
          <mc:Choice Requires="wps">
            <w:drawing>
              <wp:anchor distT="0" distB="0" distL="114300" distR="114300" simplePos="0" relativeHeight="251687936" behindDoc="0" locked="0" layoutInCell="1" allowOverlap="1" wp14:anchorId="6692E366" wp14:editId="2C2AAA28">
                <wp:simplePos x="0" y="0"/>
                <wp:positionH relativeFrom="page">
                  <wp:posOffset>3730625</wp:posOffset>
                </wp:positionH>
                <wp:positionV relativeFrom="paragraph">
                  <wp:posOffset>127000</wp:posOffset>
                </wp:positionV>
                <wp:extent cx="91440" cy="91440"/>
                <wp:effectExtent l="6350" t="5080" r="6985" b="8255"/>
                <wp:wrapNone/>
                <wp:docPr id="350" name="Freeform: Shape 3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91440"/>
                        </a:xfrm>
                        <a:custGeom>
                          <a:avLst/>
                          <a:gdLst>
                            <a:gd name="T0" fmla="+- 0 5947 5875"/>
                            <a:gd name="T1" fmla="*/ T0 w 144"/>
                            <a:gd name="T2" fmla="+- 0 200 200"/>
                            <a:gd name="T3" fmla="*/ 200 h 144"/>
                            <a:gd name="T4" fmla="+- 0 5875 5875"/>
                            <a:gd name="T5" fmla="*/ T4 w 144"/>
                            <a:gd name="T6" fmla="+- 0 272 200"/>
                            <a:gd name="T7" fmla="*/ 272 h 144"/>
                            <a:gd name="T8" fmla="+- 0 5947 5875"/>
                            <a:gd name="T9" fmla="*/ T8 w 144"/>
                            <a:gd name="T10" fmla="+- 0 344 200"/>
                            <a:gd name="T11" fmla="*/ 344 h 144"/>
                            <a:gd name="T12" fmla="+- 0 6019 5875"/>
                            <a:gd name="T13" fmla="*/ T12 w 144"/>
                            <a:gd name="T14" fmla="+- 0 272 200"/>
                            <a:gd name="T15" fmla="*/ 272 h 144"/>
                            <a:gd name="T16" fmla="+- 0 5947 5875"/>
                            <a:gd name="T17" fmla="*/ T16 w 144"/>
                            <a:gd name="T18" fmla="+- 0 200 200"/>
                            <a:gd name="T19" fmla="*/ 200 h 144"/>
                          </a:gdLst>
                          <a:ahLst/>
                          <a:cxnLst>
                            <a:cxn ang="0">
                              <a:pos x="T1" y="T3"/>
                            </a:cxn>
                            <a:cxn ang="0">
                              <a:pos x="T5" y="T7"/>
                            </a:cxn>
                            <a:cxn ang="0">
                              <a:pos x="T9" y="T11"/>
                            </a:cxn>
                            <a:cxn ang="0">
                              <a:pos x="T13" y="T15"/>
                            </a:cxn>
                            <a:cxn ang="0">
                              <a:pos x="T17" y="T19"/>
                            </a:cxn>
                          </a:cxnLst>
                          <a:rect l="0" t="0" r="r" b="b"/>
                          <a:pathLst>
                            <a:path w="144" h="144">
                              <a:moveTo>
                                <a:pt x="72" y="0"/>
                              </a:moveTo>
                              <a:lnTo>
                                <a:pt x="0" y="72"/>
                              </a:lnTo>
                              <a:lnTo>
                                <a:pt x="72" y="144"/>
                              </a:lnTo>
                              <a:lnTo>
                                <a:pt x="144" y="72"/>
                              </a:lnTo>
                              <a:lnTo>
                                <a:pt x="72" y="0"/>
                              </a:lnTo>
                              <a:close/>
                            </a:path>
                          </a:pathLst>
                        </a:custGeom>
                        <a:solidFill>
                          <a:srgbClr val="2E75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795FDB9" id="Freeform: Shape 350" o:spid="_x0000_s1026" style="position:absolute;margin-left:293.75pt;margin-top:10pt;width:7.2pt;height:7.2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4,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" path="m72,l,72r72,72l144,72,72,xe" fillcolor="#2e75b6" stroked="f">
                <v:path arrowok="t" o:connecttype="custom" o:connectlocs="45720,127000;0,172720;45720,218440;91440,172720;45720,127000" o:connectangles="0,0,0,0,0"/>
                <w10:wrap anchorx="page"/>
              </v:shape>
            </w:pict>
          </mc:Fallback>
        </mc:AlternateContent>
      </w:r>
      <w:r w:rsidRPr="00DB0C40">
        <w:rPr>
          <w:rFonts w:asciiTheme="minorHAnsi" w:eastAsia="Calibri Light" w:hAnsiTheme="minorHAnsi" w:cstheme="minorHAnsi"/>
          <w:w w:val="105"/>
          <w:sz w:val="22"/>
          <w:szCs w:val="22"/>
        </w:rPr>
        <w:t>20</w:t>
      </w:r>
    </w:p>
    <w:p w14:paraId="259593D9" w14:textId="77777777" w:rsidR="002557B7" w:rsidRPr="00DB0C40" w:rsidRDefault="002557B7" w:rsidP="002557B7">
      <w:pPr>
        <w:widowControl w:val="0"/>
        <w:autoSpaceDE w:val="0"/>
        <w:autoSpaceDN w:val="0"/>
        <w:spacing w:before="39"/>
        <w:ind w:left="668"/>
        <w:rPr>
          <w:rFonts w:asciiTheme="minorHAnsi" w:eastAsia="Calibri Light" w:hAnsiTheme="minorHAnsi" w:cstheme="minorHAnsi"/>
          <w:sz w:val="22"/>
          <w:szCs w:val="22"/>
        </w:rPr>
      </w:pPr>
      <w:r w:rsidRPr="00DB0C40">
        <w:rPr>
          <w:rFonts w:asciiTheme="minorHAnsi" w:eastAsia="Calibri Light" w:hAnsiTheme="minorHAnsi" w:cstheme="minorHAnsi"/>
          <w:noProof/>
          <w:sz w:val="22"/>
          <w:szCs w:val="22"/>
          <w:lang w:eastAsia="en-GB"/>
        </w:rPr>
        <mc:AlternateContent>
          <mc:Choice Requires="wpg">
            <w:drawing>
              <wp:anchor distT="0" distB="0" distL="114300" distR="114300" simplePos="0" relativeHeight="251676672" behindDoc="0" locked="0" layoutInCell="1" allowOverlap="1" wp14:anchorId="7BCE7BCC" wp14:editId="3B7034F3">
                <wp:simplePos x="0" y="0"/>
                <wp:positionH relativeFrom="page">
                  <wp:posOffset>4545965</wp:posOffset>
                </wp:positionH>
                <wp:positionV relativeFrom="paragraph">
                  <wp:posOffset>85090</wp:posOffset>
                </wp:positionV>
                <wp:extent cx="91440" cy="91440"/>
                <wp:effectExtent l="2540" t="1270" r="1270" b="2540"/>
                <wp:wrapNone/>
                <wp:docPr id="347" name="Group 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 cy="91440"/>
                          <a:chOff x="7159" y="134"/>
                          <a:chExt cx="144" cy="144"/>
                        </a:xfrm>
                      </wpg:grpSpPr>
                      <wps:wsp>
                        <wps:cNvPr id="348" name="Freeform 342"/>
                        <wps:cNvSpPr>
                          <a:spLocks/>
                        </wps:cNvSpPr>
                        <wps:spPr bwMode="auto">
                          <a:xfrm>
                            <a:off x="7171" y="158"/>
                            <a:ext cx="120" cy="120"/>
                          </a:xfrm>
                          <a:custGeom>
                            <a:avLst/>
                            <a:gdLst>
                              <a:gd name="T0" fmla="+- 0 7231 7171"/>
                              <a:gd name="T1" fmla="*/ T0 w 120"/>
                              <a:gd name="T2" fmla="+- 0 158 158"/>
                              <a:gd name="T3" fmla="*/ 158 h 120"/>
                              <a:gd name="T4" fmla="+- 0 7208 7171"/>
                              <a:gd name="T5" fmla="*/ T4 w 120"/>
                              <a:gd name="T6" fmla="+- 0 163 158"/>
                              <a:gd name="T7" fmla="*/ 163 h 120"/>
                              <a:gd name="T8" fmla="+- 0 7189 7171"/>
                              <a:gd name="T9" fmla="*/ T8 w 120"/>
                              <a:gd name="T10" fmla="+- 0 175 158"/>
                              <a:gd name="T11" fmla="*/ 175 h 120"/>
                              <a:gd name="T12" fmla="+- 0 7176 7171"/>
                              <a:gd name="T13" fmla="*/ T12 w 120"/>
                              <a:gd name="T14" fmla="+- 0 195 158"/>
                              <a:gd name="T15" fmla="*/ 195 h 120"/>
                              <a:gd name="T16" fmla="+- 0 7171 7171"/>
                              <a:gd name="T17" fmla="*/ T16 w 120"/>
                              <a:gd name="T18" fmla="+- 0 218 158"/>
                              <a:gd name="T19" fmla="*/ 218 h 120"/>
                              <a:gd name="T20" fmla="+- 0 7176 7171"/>
                              <a:gd name="T21" fmla="*/ T20 w 120"/>
                              <a:gd name="T22" fmla="+- 0 241 158"/>
                              <a:gd name="T23" fmla="*/ 241 h 120"/>
                              <a:gd name="T24" fmla="+- 0 7189 7171"/>
                              <a:gd name="T25" fmla="*/ T24 w 120"/>
                              <a:gd name="T26" fmla="+- 0 260 158"/>
                              <a:gd name="T27" fmla="*/ 260 h 120"/>
                              <a:gd name="T28" fmla="+- 0 7208 7171"/>
                              <a:gd name="T29" fmla="*/ T28 w 120"/>
                              <a:gd name="T30" fmla="+- 0 273 158"/>
                              <a:gd name="T31" fmla="*/ 273 h 120"/>
                              <a:gd name="T32" fmla="+- 0 7231 7171"/>
                              <a:gd name="T33" fmla="*/ T32 w 120"/>
                              <a:gd name="T34" fmla="+- 0 278 158"/>
                              <a:gd name="T35" fmla="*/ 278 h 120"/>
                              <a:gd name="T36" fmla="+- 0 7254 7171"/>
                              <a:gd name="T37" fmla="*/ T36 w 120"/>
                              <a:gd name="T38" fmla="+- 0 273 158"/>
                              <a:gd name="T39" fmla="*/ 273 h 120"/>
                              <a:gd name="T40" fmla="+- 0 7273 7171"/>
                              <a:gd name="T41" fmla="*/ T40 w 120"/>
                              <a:gd name="T42" fmla="+- 0 260 158"/>
                              <a:gd name="T43" fmla="*/ 260 h 120"/>
                              <a:gd name="T44" fmla="+- 0 7286 7171"/>
                              <a:gd name="T45" fmla="*/ T44 w 120"/>
                              <a:gd name="T46" fmla="+- 0 241 158"/>
                              <a:gd name="T47" fmla="*/ 241 h 120"/>
                              <a:gd name="T48" fmla="+- 0 7291 7171"/>
                              <a:gd name="T49" fmla="*/ T48 w 120"/>
                              <a:gd name="T50" fmla="+- 0 218 158"/>
                              <a:gd name="T51" fmla="*/ 218 h 120"/>
                              <a:gd name="T52" fmla="+- 0 7286 7171"/>
                              <a:gd name="T53" fmla="*/ T52 w 120"/>
                              <a:gd name="T54" fmla="+- 0 195 158"/>
                              <a:gd name="T55" fmla="*/ 195 h 120"/>
                              <a:gd name="T56" fmla="+- 0 7273 7171"/>
                              <a:gd name="T57" fmla="*/ T56 w 120"/>
                              <a:gd name="T58" fmla="+- 0 175 158"/>
                              <a:gd name="T59" fmla="*/ 175 h 120"/>
                              <a:gd name="T60" fmla="+- 0 7254 7171"/>
                              <a:gd name="T61" fmla="*/ T60 w 120"/>
                              <a:gd name="T62" fmla="+- 0 163 158"/>
                              <a:gd name="T63" fmla="*/ 163 h 120"/>
                              <a:gd name="T64" fmla="+- 0 7231 7171"/>
                              <a:gd name="T65" fmla="*/ T64 w 120"/>
                              <a:gd name="T66" fmla="+- 0 158 158"/>
                              <a:gd name="T67" fmla="*/ 158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20" h="120">
                                <a:moveTo>
                                  <a:pt x="60" y="0"/>
                                </a:moveTo>
                                <a:lnTo>
                                  <a:pt x="37" y="5"/>
                                </a:lnTo>
                                <a:lnTo>
                                  <a:pt x="18" y="17"/>
                                </a:lnTo>
                                <a:lnTo>
                                  <a:pt x="5" y="37"/>
                                </a:lnTo>
                                <a:lnTo>
                                  <a:pt x="0" y="60"/>
                                </a:lnTo>
                                <a:lnTo>
                                  <a:pt x="5" y="83"/>
                                </a:lnTo>
                                <a:lnTo>
                                  <a:pt x="18" y="102"/>
                                </a:lnTo>
                                <a:lnTo>
                                  <a:pt x="37" y="115"/>
                                </a:lnTo>
                                <a:lnTo>
                                  <a:pt x="60" y="120"/>
                                </a:lnTo>
                                <a:lnTo>
                                  <a:pt x="83" y="115"/>
                                </a:lnTo>
                                <a:lnTo>
                                  <a:pt x="102" y="102"/>
                                </a:lnTo>
                                <a:lnTo>
                                  <a:pt x="115" y="83"/>
                                </a:lnTo>
                                <a:lnTo>
                                  <a:pt x="120" y="60"/>
                                </a:lnTo>
                                <a:lnTo>
                                  <a:pt x="115" y="37"/>
                                </a:lnTo>
                                <a:lnTo>
                                  <a:pt x="102" y="17"/>
                                </a:lnTo>
                                <a:lnTo>
                                  <a:pt x="83" y="5"/>
                                </a:lnTo>
                                <a:lnTo>
                                  <a:pt x="60" y="0"/>
                                </a:lnTo>
                                <a:close/>
                              </a:path>
                            </a:pathLst>
                          </a:custGeom>
                          <a:solidFill>
                            <a:srgbClr val="ED7D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 name="Freeform 343"/>
                        <wps:cNvSpPr>
                          <a:spLocks/>
                        </wps:cNvSpPr>
                        <wps:spPr bwMode="auto">
                          <a:xfrm>
                            <a:off x="7159" y="134"/>
                            <a:ext cx="144" cy="144"/>
                          </a:xfrm>
                          <a:custGeom>
                            <a:avLst/>
                            <a:gdLst>
                              <a:gd name="T0" fmla="+- 0 7231 7159"/>
                              <a:gd name="T1" fmla="*/ T0 w 144"/>
                              <a:gd name="T2" fmla="+- 0 134 134"/>
                              <a:gd name="T3" fmla="*/ 134 h 144"/>
                              <a:gd name="T4" fmla="+- 0 7159 7159"/>
                              <a:gd name="T5" fmla="*/ T4 w 144"/>
                              <a:gd name="T6" fmla="+- 0 206 134"/>
                              <a:gd name="T7" fmla="*/ 206 h 144"/>
                              <a:gd name="T8" fmla="+- 0 7231 7159"/>
                              <a:gd name="T9" fmla="*/ T8 w 144"/>
                              <a:gd name="T10" fmla="+- 0 278 134"/>
                              <a:gd name="T11" fmla="*/ 278 h 144"/>
                              <a:gd name="T12" fmla="+- 0 7303 7159"/>
                              <a:gd name="T13" fmla="*/ T12 w 144"/>
                              <a:gd name="T14" fmla="+- 0 206 134"/>
                              <a:gd name="T15" fmla="*/ 206 h 144"/>
                              <a:gd name="T16" fmla="+- 0 7231 7159"/>
                              <a:gd name="T17" fmla="*/ T16 w 144"/>
                              <a:gd name="T18" fmla="+- 0 134 134"/>
                              <a:gd name="T19" fmla="*/ 134 h 144"/>
                            </a:gdLst>
                            <a:ahLst/>
                            <a:cxnLst>
                              <a:cxn ang="0">
                                <a:pos x="T1" y="T3"/>
                              </a:cxn>
                              <a:cxn ang="0">
                                <a:pos x="T5" y="T7"/>
                              </a:cxn>
                              <a:cxn ang="0">
                                <a:pos x="T9" y="T11"/>
                              </a:cxn>
                              <a:cxn ang="0">
                                <a:pos x="T13" y="T15"/>
                              </a:cxn>
                              <a:cxn ang="0">
                                <a:pos x="T17" y="T19"/>
                              </a:cxn>
                            </a:cxnLst>
                            <a:rect l="0" t="0" r="r" b="b"/>
                            <a:pathLst>
                              <a:path w="144" h="144">
                                <a:moveTo>
                                  <a:pt x="72" y="0"/>
                                </a:moveTo>
                                <a:lnTo>
                                  <a:pt x="0" y="72"/>
                                </a:lnTo>
                                <a:lnTo>
                                  <a:pt x="72" y="144"/>
                                </a:lnTo>
                                <a:lnTo>
                                  <a:pt x="144" y="72"/>
                                </a:lnTo>
                                <a:lnTo>
                                  <a:pt x="72" y="0"/>
                                </a:lnTo>
                                <a:close/>
                              </a:path>
                            </a:pathLst>
                          </a:custGeom>
                          <a:solidFill>
                            <a:srgbClr val="2E75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A66673F" id="Group 347" o:spid="_x0000_s1026" style="position:absolute;margin-left:357.95pt;margin-top:6.7pt;width:7.2pt;height:7.2pt;z-index:251676672;mso-position-horizontal-relative:page" coordorigin="7159,134" coordsize="144,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">
                <v:shape id="Freeform 342" o:spid="_x0000_s1027" style="position:absolute;left:7171;top:158;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" path="m60,l37,5,18,17,5,37,,60,5,83r13,19l37,115r23,5l83,115r19,-13l115,83r5,-23l115,37,102,17,83,5,60,xe" fillcolor="#ed7d31" stroked="f">
                  <v:path arrowok="t" o:connecttype="custom" o:connectlocs="60,158;37,163;18,175;5,195;0,218;5,241;18,260;37,273;60,278;83,273;102,260;115,241;120,218;115,195;102,175;83,163;60,158" o:connectangles="0,0,0,0,0,0,0,0,0,0,0,0,0,0,0,0,0"/>
                </v:shape>
                <v:shape id="Freeform 343" o:spid="_x0000_s1028" style="position:absolute;left:7159;top:134;width:144;height:144;visibility:visible;mso-wrap-style:square;v-text-anchor:top" coordsize="14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" path="m72,l,72r72,72l144,72,72,xe" fillcolor="#2e75b6" stroked="f">
                  <v:path arrowok="t" o:connecttype="custom" o:connectlocs="72,134;0,206;72,278;144,206;72,134" o:connectangles="0,0,0,0,0"/>
                </v:shape>
                <w10:wrap anchorx="page"/>
              </v:group>
            </w:pict>
          </mc:Fallback>
        </mc:AlternateContent>
      </w:r>
      <w:r w:rsidRPr="00DB0C40">
        <w:rPr>
          <w:rFonts w:asciiTheme="minorHAnsi" w:eastAsia="Calibri Light" w:hAnsiTheme="minorHAnsi" w:cstheme="minorHAnsi"/>
          <w:noProof/>
          <w:sz w:val="22"/>
          <w:szCs w:val="22"/>
          <w:lang w:eastAsia="en-GB"/>
        </w:rPr>
        <mc:AlternateContent>
          <mc:Choice Requires="wpg">
            <w:drawing>
              <wp:anchor distT="0" distB="0" distL="114300" distR="114300" simplePos="0" relativeHeight="251678720" behindDoc="0" locked="0" layoutInCell="1" allowOverlap="1" wp14:anchorId="5AAC2139" wp14:editId="18836479">
                <wp:simplePos x="0" y="0"/>
                <wp:positionH relativeFrom="page">
                  <wp:posOffset>5094605</wp:posOffset>
                </wp:positionH>
                <wp:positionV relativeFrom="paragraph">
                  <wp:posOffset>85090</wp:posOffset>
                </wp:positionV>
                <wp:extent cx="91440" cy="137160"/>
                <wp:effectExtent l="8255" t="1270" r="5080" b="4445"/>
                <wp:wrapNone/>
                <wp:docPr id="344" name="Group 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 cy="137160"/>
                          <a:chOff x="8023" y="134"/>
                          <a:chExt cx="144" cy="216"/>
                        </a:xfrm>
                      </wpg:grpSpPr>
                      <wps:wsp>
                        <wps:cNvPr id="345" name="Freeform 348"/>
                        <wps:cNvSpPr>
                          <a:spLocks/>
                        </wps:cNvSpPr>
                        <wps:spPr bwMode="auto">
                          <a:xfrm>
                            <a:off x="8035" y="134"/>
                            <a:ext cx="120" cy="120"/>
                          </a:xfrm>
                          <a:custGeom>
                            <a:avLst/>
                            <a:gdLst>
                              <a:gd name="T0" fmla="+- 0 8095 8035"/>
                              <a:gd name="T1" fmla="*/ T0 w 120"/>
                              <a:gd name="T2" fmla="+- 0 134 134"/>
                              <a:gd name="T3" fmla="*/ 134 h 120"/>
                              <a:gd name="T4" fmla="+- 0 8072 8035"/>
                              <a:gd name="T5" fmla="*/ T4 w 120"/>
                              <a:gd name="T6" fmla="+- 0 139 134"/>
                              <a:gd name="T7" fmla="*/ 139 h 120"/>
                              <a:gd name="T8" fmla="+- 0 8053 8035"/>
                              <a:gd name="T9" fmla="*/ T8 w 120"/>
                              <a:gd name="T10" fmla="+- 0 151 134"/>
                              <a:gd name="T11" fmla="*/ 151 h 120"/>
                              <a:gd name="T12" fmla="+- 0 8040 8035"/>
                              <a:gd name="T13" fmla="*/ T12 w 120"/>
                              <a:gd name="T14" fmla="+- 0 171 134"/>
                              <a:gd name="T15" fmla="*/ 171 h 120"/>
                              <a:gd name="T16" fmla="+- 0 8035 8035"/>
                              <a:gd name="T17" fmla="*/ T16 w 120"/>
                              <a:gd name="T18" fmla="+- 0 194 134"/>
                              <a:gd name="T19" fmla="*/ 194 h 120"/>
                              <a:gd name="T20" fmla="+- 0 8040 8035"/>
                              <a:gd name="T21" fmla="*/ T20 w 120"/>
                              <a:gd name="T22" fmla="+- 0 217 134"/>
                              <a:gd name="T23" fmla="*/ 217 h 120"/>
                              <a:gd name="T24" fmla="+- 0 8053 8035"/>
                              <a:gd name="T25" fmla="*/ T24 w 120"/>
                              <a:gd name="T26" fmla="+- 0 236 134"/>
                              <a:gd name="T27" fmla="*/ 236 h 120"/>
                              <a:gd name="T28" fmla="+- 0 8072 8035"/>
                              <a:gd name="T29" fmla="*/ T28 w 120"/>
                              <a:gd name="T30" fmla="+- 0 249 134"/>
                              <a:gd name="T31" fmla="*/ 249 h 120"/>
                              <a:gd name="T32" fmla="+- 0 8095 8035"/>
                              <a:gd name="T33" fmla="*/ T32 w 120"/>
                              <a:gd name="T34" fmla="+- 0 254 134"/>
                              <a:gd name="T35" fmla="*/ 254 h 120"/>
                              <a:gd name="T36" fmla="+- 0 8118 8035"/>
                              <a:gd name="T37" fmla="*/ T36 w 120"/>
                              <a:gd name="T38" fmla="+- 0 249 134"/>
                              <a:gd name="T39" fmla="*/ 249 h 120"/>
                              <a:gd name="T40" fmla="+- 0 8137 8035"/>
                              <a:gd name="T41" fmla="*/ T40 w 120"/>
                              <a:gd name="T42" fmla="+- 0 236 134"/>
                              <a:gd name="T43" fmla="*/ 236 h 120"/>
                              <a:gd name="T44" fmla="+- 0 8150 8035"/>
                              <a:gd name="T45" fmla="*/ T44 w 120"/>
                              <a:gd name="T46" fmla="+- 0 217 134"/>
                              <a:gd name="T47" fmla="*/ 217 h 120"/>
                              <a:gd name="T48" fmla="+- 0 8155 8035"/>
                              <a:gd name="T49" fmla="*/ T48 w 120"/>
                              <a:gd name="T50" fmla="+- 0 194 134"/>
                              <a:gd name="T51" fmla="*/ 194 h 120"/>
                              <a:gd name="T52" fmla="+- 0 8150 8035"/>
                              <a:gd name="T53" fmla="*/ T52 w 120"/>
                              <a:gd name="T54" fmla="+- 0 171 134"/>
                              <a:gd name="T55" fmla="*/ 171 h 120"/>
                              <a:gd name="T56" fmla="+- 0 8137 8035"/>
                              <a:gd name="T57" fmla="*/ T56 w 120"/>
                              <a:gd name="T58" fmla="+- 0 151 134"/>
                              <a:gd name="T59" fmla="*/ 151 h 120"/>
                              <a:gd name="T60" fmla="+- 0 8118 8035"/>
                              <a:gd name="T61" fmla="*/ T60 w 120"/>
                              <a:gd name="T62" fmla="+- 0 139 134"/>
                              <a:gd name="T63" fmla="*/ 139 h 120"/>
                              <a:gd name="T64" fmla="+- 0 8095 8035"/>
                              <a:gd name="T65" fmla="*/ T64 w 120"/>
                              <a:gd name="T66" fmla="+- 0 134 134"/>
                              <a:gd name="T67" fmla="*/ 134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20" h="120">
                                <a:moveTo>
                                  <a:pt x="60" y="0"/>
                                </a:moveTo>
                                <a:lnTo>
                                  <a:pt x="37" y="5"/>
                                </a:lnTo>
                                <a:lnTo>
                                  <a:pt x="18" y="17"/>
                                </a:lnTo>
                                <a:lnTo>
                                  <a:pt x="5" y="37"/>
                                </a:lnTo>
                                <a:lnTo>
                                  <a:pt x="0" y="60"/>
                                </a:lnTo>
                                <a:lnTo>
                                  <a:pt x="5" y="83"/>
                                </a:lnTo>
                                <a:lnTo>
                                  <a:pt x="18" y="102"/>
                                </a:lnTo>
                                <a:lnTo>
                                  <a:pt x="37" y="115"/>
                                </a:lnTo>
                                <a:lnTo>
                                  <a:pt x="60" y="120"/>
                                </a:lnTo>
                                <a:lnTo>
                                  <a:pt x="83" y="115"/>
                                </a:lnTo>
                                <a:lnTo>
                                  <a:pt x="102" y="102"/>
                                </a:lnTo>
                                <a:lnTo>
                                  <a:pt x="115" y="83"/>
                                </a:lnTo>
                                <a:lnTo>
                                  <a:pt x="120" y="60"/>
                                </a:lnTo>
                                <a:lnTo>
                                  <a:pt x="115" y="37"/>
                                </a:lnTo>
                                <a:lnTo>
                                  <a:pt x="102" y="17"/>
                                </a:lnTo>
                                <a:lnTo>
                                  <a:pt x="83" y="5"/>
                                </a:lnTo>
                                <a:lnTo>
                                  <a:pt x="60" y="0"/>
                                </a:lnTo>
                                <a:close/>
                              </a:path>
                            </a:pathLst>
                          </a:custGeom>
                          <a:solidFill>
                            <a:srgbClr val="ED7D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6" name="Freeform 349"/>
                        <wps:cNvSpPr>
                          <a:spLocks/>
                        </wps:cNvSpPr>
                        <wps:spPr bwMode="auto">
                          <a:xfrm>
                            <a:off x="8023" y="206"/>
                            <a:ext cx="144" cy="144"/>
                          </a:xfrm>
                          <a:custGeom>
                            <a:avLst/>
                            <a:gdLst>
                              <a:gd name="T0" fmla="+- 0 8095 8023"/>
                              <a:gd name="T1" fmla="*/ T0 w 144"/>
                              <a:gd name="T2" fmla="+- 0 206 206"/>
                              <a:gd name="T3" fmla="*/ 206 h 144"/>
                              <a:gd name="T4" fmla="+- 0 8023 8023"/>
                              <a:gd name="T5" fmla="*/ T4 w 144"/>
                              <a:gd name="T6" fmla="+- 0 278 206"/>
                              <a:gd name="T7" fmla="*/ 278 h 144"/>
                              <a:gd name="T8" fmla="+- 0 8095 8023"/>
                              <a:gd name="T9" fmla="*/ T8 w 144"/>
                              <a:gd name="T10" fmla="+- 0 350 206"/>
                              <a:gd name="T11" fmla="*/ 350 h 144"/>
                              <a:gd name="T12" fmla="+- 0 8167 8023"/>
                              <a:gd name="T13" fmla="*/ T12 w 144"/>
                              <a:gd name="T14" fmla="+- 0 278 206"/>
                              <a:gd name="T15" fmla="*/ 278 h 144"/>
                              <a:gd name="T16" fmla="+- 0 8095 8023"/>
                              <a:gd name="T17" fmla="*/ T16 w 144"/>
                              <a:gd name="T18" fmla="+- 0 206 206"/>
                              <a:gd name="T19" fmla="*/ 206 h 144"/>
                            </a:gdLst>
                            <a:ahLst/>
                            <a:cxnLst>
                              <a:cxn ang="0">
                                <a:pos x="T1" y="T3"/>
                              </a:cxn>
                              <a:cxn ang="0">
                                <a:pos x="T5" y="T7"/>
                              </a:cxn>
                              <a:cxn ang="0">
                                <a:pos x="T9" y="T11"/>
                              </a:cxn>
                              <a:cxn ang="0">
                                <a:pos x="T13" y="T15"/>
                              </a:cxn>
                              <a:cxn ang="0">
                                <a:pos x="T17" y="T19"/>
                              </a:cxn>
                            </a:cxnLst>
                            <a:rect l="0" t="0" r="r" b="b"/>
                            <a:pathLst>
                              <a:path w="144" h="144">
                                <a:moveTo>
                                  <a:pt x="72" y="0"/>
                                </a:moveTo>
                                <a:lnTo>
                                  <a:pt x="0" y="72"/>
                                </a:lnTo>
                                <a:lnTo>
                                  <a:pt x="72" y="144"/>
                                </a:lnTo>
                                <a:lnTo>
                                  <a:pt x="144" y="72"/>
                                </a:lnTo>
                                <a:lnTo>
                                  <a:pt x="72" y="0"/>
                                </a:lnTo>
                                <a:close/>
                              </a:path>
                            </a:pathLst>
                          </a:custGeom>
                          <a:solidFill>
                            <a:srgbClr val="2E75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B8C9ABE" id="Group 344" o:spid="_x0000_s1026" style="position:absolute;margin-left:401.15pt;margin-top:6.7pt;width:7.2pt;height:10.8pt;z-index:251678720;mso-position-horizontal-relative:page" coordorigin="8023,134" coordsize="14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">
                <v:shape id="Freeform 348" o:spid="_x0000_s1027" style="position:absolute;left:8035;top:134;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" path="m60,l37,5,18,17,5,37,,60,5,83r13,19l37,115r23,5l83,115r19,-13l115,83r5,-23l115,37,102,17,83,5,60,xe" fillcolor="#ed7d31" stroked="f">
                  <v:path arrowok="t" o:connecttype="custom" o:connectlocs="60,134;37,139;18,151;5,171;0,194;5,217;18,236;37,249;60,254;83,249;102,236;115,217;120,194;115,171;102,151;83,139;60,134" o:connectangles="0,0,0,0,0,0,0,0,0,0,0,0,0,0,0,0,0"/>
                </v:shape>
                <v:shape id="Freeform 349" o:spid="_x0000_s1028" style="position:absolute;left:8023;top:206;width:144;height:144;visibility:visible;mso-wrap-style:square;v-text-anchor:top" coordsize="14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" path="m72,l,72r72,72l144,72,72,xe" fillcolor="#2e75b6" stroked="f">
                  <v:path arrowok="t" o:connecttype="custom" o:connectlocs="72,206;0,278;72,350;144,278;72,206" o:connectangles="0,0,0,0,0"/>
                </v:shape>
                <w10:wrap anchorx="page"/>
              </v:group>
            </w:pict>
          </mc:Fallback>
        </mc:AlternateContent>
      </w:r>
      <w:r w:rsidRPr="00DB0C40">
        <w:rPr>
          <w:rFonts w:asciiTheme="minorHAnsi" w:eastAsia="Calibri Light" w:hAnsiTheme="minorHAnsi" w:cstheme="minorHAnsi"/>
          <w:noProof/>
          <w:sz w:val="22"/>
          <w:szCs w:val="22"/>
          <w:lang w:eastAsia="en-GB"/>
        </w:rPr>
        <mc:AlternateContent>
          <mc:Choice Requires="wps">
            <w:drawing>
              <wp:anchor distT="0" distB="0" distL="114300" distR="114300" simplePos="0" relativeHeight="251688960" behindDoc="0" locked="0" layoutInCell="1" allowOverlap="1" wp14:anchorId="03B2247E" wp14:editId="642EA188">
                <wp:simplePos x="0" y="0"/>
                <wp:positionH relativeFrom="page">
                  <wp:posOffset>5368925</wp:posOffset>
                </wp:positionH>
                <wp:positionV relativeFrom="paragraph">
                  <wp:posOffset>138430</wp:posOffset>
                </wp:positionV>
                <wp:extent cx="91440" cy="91440"/>
                <wp:effectExtent l="6350" t="6985" r="6985" b="6350"/>
                <wp:wrapNone/>
                <wp:docPr id="343" name="Freeform: Shape 3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91440"/>
                        </a:xfrm>
                        <a:custGeom>
                          <a:avLst/>
                          <a:gdLst>
                            <a:gd name="T0" fmla="+- 0 8527 8455"/>
                            <a:gd name="T1" fmla="*/ T0 w 144"/>
                            <a:gd name="T2" fmla="+- 0 218 218"/>
                            <a:gd name="T3" fmla="*/ 218 h 144"/>
                            <a:gd name="T4" fmla="+- 0 8455 8455"/>
                            <a:gd name="T5" fmla="*/ T4 w 144"/>
                            <a:gd name="T6" fmla="+- 0 290 218"/>
                            <a:gd name="T7" fmla="*/ 290 h 144"/>
                            <a:gd name="T8" fmla="+- 0 8527 8455"/>
                            <a:gd name="T9" fmla="*/ T8 w 144"/>
                            <a:gd name="T10" fmla="+- 0 362 218"/>
                            <a:gd name="T11" fmla="*/ 362 h 144"/>
                            <a:gd name="T12" fmla="+- 0 8599 8455"/>
                            <a:gd name="T13" fmla="*/ T12 w 144"/>
                            <a:gd name="T14" fmla="+- 0 290 218"/>
                            <a:gd name="T15" fmla="*/ 290 h 144"/>
                            <a:gd name="T16" fmla="+- 0 8527 8455"/>
                            <a:gd name="T17" fmla="*/ T16 w 144"/>
                            <a:gd name="T18" fmla="+- 0 218 218"/>
                            <a:gd name="T19" fmla="*/ 218 h 144"/>
                          </a:gdLst>
                          <a:ahLst/>
                          <a:cxnLst>
                            <a:cxn ang="0">
                              <a:pos x="T1" y="T3"/>
                            </a:cxn>
                            <a:cxn ang="0">
                              <a:pos x="T5" y="T7"/>
                            </a:cxn>
                            <a:cxn ang="0">
                              <a:pos x="T9" y="T11"/>
                            </a:cxn>
                            <a:cxn ang="0">
                              <a:pos x="T13" y="T15"/>
                            </a:cxn>
                            <a:cxn ang="0">
                              <a:pos x="T17" y="T19"/>
                            </a:cxn>
                          </a:cxnLst>
                          <a:rect l="0" t="0" r="r" b="b"/>
                          <a:pathLst>
                            <a:path w="144" h="144">
                              <a:moveTo>
                                <a:pt x="72" y="0"/>
                              </a:moveTo>
                              <a:lnTo>
                                <a:pt x="0" y="72"/>
                              </a:lnTo>
                              <a:lnTo>
                                <a:pt x="72" y="144"/>
                              </a:lnTo>
                              <a:lnTo>
                                <a:pt x="144" y="72"/>
                              </a:lnTo>
                              <a:lnTo>
                                <a:pt x="72" y="0"/>
                              </a:lnTo>
                              <a:close/>
                            </a:path>
                          </a:pathLst>
                        </a:custGeom>
                        <a:solidFill>
                          <a:srgbClr val="2E75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D5148B2" id="Freeform: Shape 343" o:spid="_x0000_s1026" style="position:absolute;margin-left:422.75pt;margin-top:10.9pt;width:7.2pt;height:7.2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4,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" path="m72,l,72r72,72l144,72,72,xe" fillcolor="#2e75b6" stroked="f">
                <v:path arrowok="t" o:connecttype="custom" o:connectlocs="45720,138430;0,184150;45720,229870;91440,184150;45720,138430" o:connectangles="0,0,0,0,0"/>
                <w10:wrap anchorx="page"/>
              </v:shape>
            </w:pict>
          </mc:Fallback>
        </mc:AlternateContent>
      </w:r>
      <w:r w:rsidRPr="00DB0C40">
        <w:rPr>
          <w:rFonts w:asciiTheme="minorHAnsi" w:eastAsia="Calibri Light" w:hAnsiTheme="minorHAnsi" w:cstheme="minorHAnsi"/>
          <w:w w:val="105"/>
          <w:sz w:val="22"/>
          <w:szCs w:val="22"/>
        </w:rPr>
        <w:t>15</w:t>
      </w:r>
    </w:p>
    <w:p w14:paraId="7655BEC6" w14:textId="77777777" w:rsidR="002557B7" w:rsidRPr="00DB0C40" w:rsidRDefault="002557B7" w:rsidP="002557B7">
      <w:pPr>
        <w:widowControl w:val="0"/>
        <w:autoSpaceDE w:val="0"/>
        <w:autoSpaceDN w:val="0"/>
        <w:spacing w:before="40"/>
        <w:ind w:left="668"/>
        <w:rPr>
          <w:rFonts w:asciiTheme="minorHAnsi" w:eastAsia="Calibri Light" w:hAnsiTheme="minorHAnsi" w:cstheme="minorHAnsi"/>
          <w:sz w:val="22"/>
          <w:szCs w:val="22"/>
        </w:rPr>
      </w:pPr>
      <w:r w:rsidRPr="00DB0C40">
        <w:rPr>
          <w:rFonts w:asciiTheme="minorHAnsi" w:eastAsia="Calibri Light" w:hAnsiTheme="minorHAnsi" w:cstheme="minorHAnsi"/>
          <w:noProof/>
          <w:sz w:val="22"/>
          <w:szCs w:val="22"/>
          <w:lang w:eastAsia="en-GB"/>
        </w:rPr>
        <mc:AlternateContent>
          <mc:Choice Requires="wpg">
            <w:drawing>
              <wp:anchor distT="0" distB="0" distL="114300" distR="114300" simplePos="0" relativeHeight="251680768" behindDoc="0" locked="0" layoutInCell="1" allowOverlap="1" wp14:anchorId="6BF7BB3D" wp14:editId="19D71563">
                <wp:simplePos x="0" y="0"/>
                <wp:positionH relativeFrom="page">
                  <wp:posOffset>5643245</wp:posOffset>
                </wp:positionH>
                <wp:positionV relativeFrom="paragraph">
                  <wp:posOffset>50165</wp:posOffset>
                </wp:positionV>
                <wp:extent cx="91440" cy="91440"/>
                <wp:effectExtent l="4445" t="5715" r="8890" b="7620"/>
                <wp:wrapNone/>
                <wp:docPr id="340" name="Group 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 cy="91440"/>
                          <a:chOff x="8887" y="79"/>
                          <a:chExt cx="144" cy="144"/>
                        </a:xfrm>
                      </wpg:grpSpPr>
                      <wps:wsp>
                        <wps:cNvPr id="341" name="Freeform 351"/>
                        <wps:cNvSpPr>
                          <a:spLocks/>
                        </wps:cNvSpPr>
                        <wps:spPr bwMode="auto">
                          <a:xfrm>
                            <a:off x="8899" y="102"/>
                            <a:ext cx="120" cy="120"/>
                          </a:xfrm>
                          <a:custGeom>
                            <a:avLst/>
                            <a:gdLst>
                              <a:gd name="T0" fmla="+- 0 8959 8899"/>
                              <a:gd name="T1" fmla="*/ T0 w 120"/>
                              <a:gd name="T2" fmla="+- 0 103 103"/>
                              <a:gd name="T3" fmla="*/ 103 h 120"/>
                              <a:gd name="T4" fmla="+- 0 8936 8899"/>
                              <a:gd name="T5" fmla="*/ T4 w 120"/>
                              <a:gd name="T6" fmla="+- 0 107 103"/>
                              <a:gd name="T7" fmla="*/ 107 h 120"/>
                              <a:gd name="T8" fmla="+- 0 8917 8899"/>
                              <a:gd name="T9" fmla="*/ T8 w 120"/>
                              <a:gd name="T10" fmla="+- 0 120 103"/>
                              <a:gd name="T11" fmla="*/ 120 h 120"/>
                              <a:gd name="T12" fmla="+- 0 8904 8899"/>
                              <a:gd name="T13" fmla="*/ T12 w 120"/>
                              <a:gd name="T14" fmla="+- 0 139 103"/>
                              <a:gd name="T15" fmla="*/ 139 h 120"/>
                              <a:gd name="T16" fmla="+- 0 8899 8899"/>
                              <a:gd name="T17" fmla="*/ T16 w 120"/>
                              <a:gd name="T18" fmla="+- 0 163 103"/>
                              <a:gd name="T19" fmla="*/ 163 h 120"/>
                              <a:gd name="T20" fmla="+- 0 8904 8899"/>
                              <a:gd name="T21" fmla="*/ T20 w 120"/>
                              <a:gd name="T22" fmla="+- 0 186 103"/>
                              <a:gd name="T23" fmla="*/ 186 h 120"/>
                              <a:gd name="T24" fmla="+- 0 8917 8899"/>
                              <a:gd name="T25" fmla="*/ T24 w 120"/>
                              <a:gd name="T26" fmla="+- 0 205 103"/>
                              <a:gd name="T27" fmla="*/ 205 h 120"/>
                              <a:gd name="T28" fmla="+- 0 8936 8899"/>
                              <a:gd name="T29" fmla="*/ T28 w 120"/>
                              <a:gd name="T30" fmla="+- 0 218 103"/>
                              <a:gd name="T31" fmla="*/ 218 h 120"/>
                              <a:gd name="T32" fmla="+- 0 8959 8899"/>
                              <a:gd name="T33" fmla="*/ T32 w 120"/>
                              <a:gd name="T34" fmla="+- 0 223 103"/>
                              <a:gd name="T35" fmla="*/ 223 h 120"/>
                              <a:gd name="T36" fmla="+- 0 8982 8899"/>
                              <a:gd name="T37" fmla="*/ T36 w 120"/>
                              <a:gd name="T38" fmla="+- 0 218 103"/>
                              <a:gd name="T39" fmla="*/ 218 h 120"/>
                              <a:gd name="T40" fmla="+- 0 9001 8899"/>
                              <a:gd name="T41" fmla="*/ T40 w 120"/>
                              <a:gd name="T42" fmla="+- 0 205 103"/>
                              <a:gd name="T43" fmla="*/ 205 h 120"/>
                              <a:gd name="T44" fmla="+- 0 9014 8899"/>
                              <a:gd name="T45" fmla="*/ T44 w 120"/>
                              <a:gd name="T46" fmla="+- 0 186 103"/>
                              <a:gd name="T47" fmla="*/ 186 h 120"/>
                              <a:gd name="T48" fmla="+- 0 9019 8899"/>
                              <a:gd name="T49" fmla="*/ T48 w 120"/>
                              <a:gd name="T50" fmla="+- 0 163 103"/>
                              <a:gd name="T51" fmla="*/ 163 h 120"/>
                              <a:gd name="T52" fmla="+- 0 9014 8899"/>
                              <a:gd name="T53" fmla="*/ T52 w 120"/>
                              <a:gd name="T54" fmla="+- 0 139 103"/>
                              <a:gd name="T55" fmla="*/ 139 h 120"/>
                              <a:gd name="T56" fmla="+- 0 9001 8899"/>
                              <a:gd name="T57" fmla="*/ T56 w 120"/>
                              <a:gd name="T58" fmla="+- 0 120 103"/>
                              <a:gd name="T59" fmla="*/ 120 h 120"/>
                              <a:gd name="T60" fmla="+- 0 8982 8899"/>
                              <a:gd name="T61" fmla="*/ T60 w 120"/>
                              <a:gd name="T62" fmla="+- 0 107 103"/>
                              <a:gd name="T63" fmla="*/ 107 h 120"/>
                              <a:gd name="T64" fmla="+- 0 8959 8899"/>
                              <a:gd name="T65" fmla="*/ T64 w 120"/>
                              <a:gd name="T66" fmla="+- 0 103 103"/>
                              <a:gd name="T67" fmla="*/ 103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20" h="120">
                                <a:moveTo>
                                  <a:pt x="60" y="0"/>
                                </a:moveTo>
                                <a:lnTo>
                                  <a:pt x="37" y="4"/>
                                </a:lnTo>
                                <a:lnTo>
                                  <a:pt x="18" y="17"/>
                                </a:lnTo>
                                <a:lnTo>
                                  <a:pt x="5" y="36"/>
                                </a:lnTo>
                                <a:lnTo>
                                  <a:pt x="0" y="60"/>
                                </a:lnTo>
                                <a:lnTo>
                                  <a:pt x="5" y="83"/>
                                </a:lnTo>
                                <a:lnTo>
                                  <a:pt x="18" y="102"/>
                                </a:lnTo>
                                <a:lnTo>
                                  <a:pt x="37" y="115"/>
                                </a:lnTo>
                                <a:lnTo>
                                  <a:pt x="60" y="120"/>
                                </a:lnTo>
                                <a:lnTo>
                                  <a:pt x="83" y="115"/>
                                </a:lnTo>
                                <a:lnTo>
                                  <a:pt x="102" y="102"/>
                                </a:lnTo>
                                <a:lnTo>
                                  <a:pt x="115" y="83"/>
                                </a:lnTo>
                                <a:lnTo>
                                  <a:pt x="120" y="60"/>
                                </a:lnTo>
                                <a:lnTo>
                                  <a:pt x="115" y="36"/>
                                </a:lnTo>
                                <a:lnTo>
                                  <a:pt x="102" y="17"/>
                                </a:lnTo>
                                <a:lnTo>
                                  <a:pt x="83" y="4"/>
                                </a:lnTo>
                                <a:lnTo>
                                  <a:pt x="60" y="0"/>
                                </a:lnTo>
                                <a:close/>
                              </a:path>
                            </a:pathLst>
                          </a:custGeom>
                          <a:solidFill>
                            <a:srgbClr val="ED7D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 name="Freeform 352"/>
                        <wps:cNvSpPr>
                          <a:spLocks/>
                        </wps:cNvSpPr>
                        <wps:spPr bwMode="auto">
                          <a:xfrm>
                            <a:off x="8887" y="78"/>
                            <a:ext cx="144" cy="144"/>
                          </a:xfrm>
                          <a:custGeom>
                            <a:avLst/>
                            <a:gdLst>
                              <a:gd name="T0" fmla="+- 0 8959 8887"/>
                              <a:gd name="T1" fmla="*/ T0 w 144"/>
                              <a:gd name="T2" fmla="+- 0 79 79"/>
                              <a:gd name="T3" fmla="*/ 79 h 144"/>
                              <a:gd name="T4" fmla="+- 0 8887 8887"/>
                              <a:gd name="T5" fmla="*/ T4 w 144"/>
                              <a:gd name="T6" fmla="+- 0 151 79"/>
                              <a:gd name="T7" fmla="*/ 151 h 144"/>
                              <a:gd name="T8" fmla="+- 0 8959 8887"/>
                              <a:gd name="T9" fmla="*/ T8 w 144"/>
                              <a:gd name="T10" fmla="+- 0 223 79"/>
                              <a:gd name="T11" fmla="*/ 223 h 144"/>
                              <a:gd name="T12" fmla="+- 0 9031 8887"/>
                              <a:gd name="T13" fmla="*/ T12 w 144"/>
                              <a:gd name="T14" fmla="+- 0 151 79"/>
                              <a:gd name="T15" fmla="*/ 151 h 144"/>
                              <a:gd name="T16" fmla="+- 0 8959 8887"/>
                              <a:gd name="T17" fmla="*/ T16 w 144"/>
                              <a:gd name="T18" fmla="+- 0 79 79"/>
                              <a:gd name="T19" fmla="*/ 79 h 144"/>
                            </a:gdLst>
                            <a:ahLst/>
                            <a:cxnLst>
                              <a:cxn ang="0">
                                <a:pos x="T1" y="T3"/>
                              </a:cxn>
                              <a:cxn ang="0">
                                <a:pos x="T5" y="T7"/>
                              </a:cxn>
                              <a:cxn ang="0">
                                <a:pos x="T9" y="T11"/>
                              </a:cxn>
                              <a:cxn ang="0">
                                <a:pos x="T13" y="T15"/>
                              </a:cxn>
                              <a:cxn ang="0">
                                <a:pos x="T17" y="T19"/>
                              </a:cxn>
                            </a:cxnLst>
                            <a:rect l="0" t="0" r="r" b="b"/>
                            <a:pathLst>
                              <a:path w="144" h="144">
                                <a:moveTo>
                                  <a:pt x="72" y="0"/>
                                </a:moveTo>
                                <a:lnTo>
                                  <a:pt x="0" y="72"/>
                                </a:lnTo>
                                <a:lnTo>
                                  <a:pt x="72" y="144"/>
                                </a:lnTo>
                                <a:lnTo>
                                  <a:pt x="144" y="72"/>
                                </a:lnTo>
                                <a:lnTo>
                                  <a:pt x="72" y="0"/>
                                </a:lnTo>
                                <a:close/>
                              </a:path>
                            </a:pathLst>
                          </a:custGeom>
                          <a:solidFill>
                            <a:srgbClr val="2E75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7F69C83" id="Group 340" o:spid="_x0000_s1026" style="position:absolute;margin-left:444.35pt;margin-top:3.95pt;width:7.2pt;height:7.2pt;z-index:251680768;mso-position-horizontal-relative:page" coordorigin="8887,79" coordsize="144,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">
                <v:shape id="Freeform 351" o:spid="_x0000_s1027" style="position:absolute;left:8899;top:102;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" path="m60,l37,4,18,17,5,36,,60,5,83r13,19l37,115r23,5l83,115r19,-13l115,83r5,-23l115,36,102,17,83,4,60,xe" fillcolor="#ed7d31" stroked="f">
                  <v:path arrowok="t" o:connecttype="custom" o:connectlocs="60,103;37,107;18,120;5,139;0,163;5,186;18,205;37,218;60,223;83,218;102,205;115,186;120,163;115,139;102,120;83,107;60,103" o:connectangles="0,0,0,0,0,0,0,0,0,0,0,0,0,0,0,0,0"/>
                </v:shape>
                <v:shape id="Freeform 352" o:spid="_x0000_s1028" style="position:absolute;left:8887;top:78;width:144;height:144;visibility:visible;mso-wrap-style:square;v-text-anchor:top" coordsize="14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" path="m72,l,72r72,72l144,72,72,xe" fillcolor="#2e75b6" stroked="f">
                  <v:path arrowok="t" o:connecttype="custom" o:connectlocs="72,79;0,151;72,223;144,151;72,79" o:connectangles="0,0,0,0,0"/>
                </v:shape>
                <w10:wrap anchorx="page"/>
              </v:group>
            </w:pict>
          </mc:Fallback>
        </mc:AlternateContent>
      </w:r>
      <w:r w:rsidRPr="00DB0C40">
        <w:rPr>
          <w:rFonts w:asciiTheme="minorHAnsi" w:eastAsia="Calibri Light" w:hAnsiTheme="minorHAnsi" w:cstheme="minorHAnsi"/>
          <w:noProof/>
          <w:sz w:val="22"/>
          <w:szCs w:val="22"/>
          <w:lang w:eastAsia="en-GB"/>
        </w:rPr>
        <mc:AlternateContent>
          <mc:Choice Requires="wpg">
            <w:drawing>
              <wp:anchor distT="0" distB="0" distL="114300" distR="114300" simplePos="0" relativeHeight="251681792" behindDoc="0" locked="0" layoutInCell="1" allowOverlap="1" wp14:anchorId="6B5C451D" wp14:editId="4DD454AF">
                <wp:simplePos x="0" y="0"/>
                <wp:positionH relativeFrom="page">
                  <wp:posOffset>5917565</wp:posOffset>
                </wp:positionH>
                <wp:positionV relativeFrom="paragraph">
                  <wp:posOffset>118745</wp:posOffset>
                </wp:positionV>
                <wp:extent cx="91440" cy="182880"/>
                <wp:effectExtent l="2540" t="7620" r="1270" b="0"/>
                <wp:wrapNone/>
                <wp:docPr id="337" name="Group 3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 cy="182880"/>
                          <a:chOff x="9319" y="187"/>
                          <a:chExt cx="144" cy="288"/>
                        </a:xfrm>
                      </wpg:grpSpPr>
                      <wps:wsp>
                        <wps:cNvPr id="338" name="Freeform 354"/>
                        <wps:cNvSpPr>
                          <a:spLocks/>
                        </wps:cNvSpPr>
                        <wps:spPr bwMode="auto">
                          <a:xfrm>
                            <a:off x="9331" y="354"/>
                            <a:ext cx="120" cy="120"/>
                          </a:xfrm>
                          <a:custGeom>
                            <a:avLst/>
                            <a:gdLst>
                              <a:gd name="T0" fmla="+- 0 9391 9331"/>
                              <a:gd name="T1" fmla="*/ T0 w 120"/>
                              <a:gd name="T2" fmla="+- 0 355 355"/>
                              <a:gd name="T3" fmla="*/ 355 h 120"/>
                              <a:gd name="T4" fmla="+- 0 9368 9331"/>
                              <a:gd name="T5" fmla="*/ T4 w 120"/>
                              <a:gd name="T6" fmla="+- 0 359 355"/>
                              <a:gd name="T7" fmla="*/ 359 h 120"/>
                              <a:gd name="T8" fmla="+- 0 9349 9331"/>
                              <a:gd name="T9" fmla="*/ T8 w 120"/>
                              <a:gd name="T10" fmla="+- 0 372 355"/>
                              <a:gd name="T11" fmla="*/ 372 h 120"/>
                              <a:gd name="T12" fmla="+- 0 9336 9331"/>
                              <a:gd name="T13" fmla="*/ T12 w 120"/>
                              <a:gd name="T14" fmla="+- 0 391 355"/>
                              <a:gd name="T15" fmla="*/ 391 h 120"/>
                              <a:gd name="T16" fmla="+- 0 9331 9331"/>
                              <a:gd name="T17" fmla="*/ T16 w 120"/>
                              <a:gd name="T18" fmla="+- 0 415 355"/>
                              <a:gd name="T19" fmla="*/ 415 h 120"/>
                              <a:gd name="T20" fmla="+- 0 9336 9331"/>
                              <a:gd name="T21" fmla="*/ T20 w 120"/>
                              <a:gd name="T22" fmla="+- 0 438 355"/>
                              <a:gd name="T23" fmla="*/ 438 h 120"/>
                              <a:gd name="T24" fmla="+- 0 9349 9331"/>
                              <a:gd name="T25" fmla="*/ T24 w 120"/>
                              <a:gd name="T26" fmla="+- 0 457 355"/>
                              <a:gd name="T27" fmla="*/ 457 h 120"/>
                              <a:gd name="T28" fmla="+- 0 9368 9331"/>
                              <a:gd name="T29" fmla="*/ T28 w 120"/>
                              <a:gd name="T30" fmla="+- 0 470 355"/>
                              <a:gd name="T31" fmla="*/ 470 h 120"/>
                              <a:gd name="T32" fmla="+- 0 9391 9331"/>
                              <a:gd name="T33" fmla="*/ T32 w 120"/>
                              <a:gd name="T34" fmla="+- 0 475 355"/>
                              <a:gd name="T35" fmla="*/ 475 h 120"/>
                              <a:gd name="T36" fmla="+- 0 9414 9331"/>
                              <a:gd name="T37" fmla="*/ T36 w 120"/>
                              <a:gd name="T38" fmla="+- 0 470 355"/>
                              <a:gd name="T39" fmla="*/ 470 h 120"/>
                              <a:gd name="T40" fmla="+- 0 9433 9331"/>
                              <a:gd name="T41" fmla="*/ T40 w 120"/>
                              <a:gd name="T42" fmla="+- 0 457 355"/>
                              <a:gd name="T43" fmla="*/ 457 h 120"/>
                              <a:gd name="T44" fmla="+- 0 9446 9331"/>
                              <a:gd name="T45" fmla="*/ T44 w 120"/>
                              <a:gd name="T46" fmla="+- 0 438 355"/>
                              <a:gd name="T47" fmla="*/ 438 h 120"/>
                              <a:gd name="T48" fmla="+- 0 9451 9331"/>
                              <a:gd name="T49" fmla="*/ T48 w 120"/>
                              <a:gd name="T50" fmla="+- 0 415 355"/>
                              <a:gd name="T51" fmla="*/ 415 h 120"/>
                              <a:gd name="T52" fmla="+- 0 9446 9331"/>
                              <a:gd name="T53" fmla="*/ T52 w 120"/>
                              <a:gd name="T54" fmla="+- 0 391 355"/>
                              <a:gd name="T55" fmla="*/ 391 h 120"/>
                              <a:gd name="T56" fmla="+- 0 9433 9331"/>
                              <a:gd name="T57" fmla="*/ T56 w 120"/>
                              <a:gd name="T58" fmla="+- 0 372 355"/>
                              <a:gd name="T59" fmla="*/ 372 h 120"/>
                              <a:gd name="T60" fmla="+- 0 9414 9331"/>
                              <a:gd name="T61" fmla="*/ T60 w 120"/>
                              <a:gd name="T62" fmla="+- 0 359 355"/>
                              <a:gd name="T63" fmla="*/ 359 h 120"/>
                              <a:gd name="T64" fmla="+- 0 9391 9331"/>
                              <a:gd name="T65" fmla="*/ T64 w 120"/>
                              <a:gd name="T66" fmla="+- 0 355 355"/>
                              <a:gd name="T67" fmla="*/ 355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20" h="120">
                                <a:moveTo>
                                  <a:pt x="60" y="0"/>
                                </a:moveTo>
                                <a:lnTo>
                                  <a:pt x="37" y="4"/>
                                </a:lnTo>
                                <a:lnTo>
                                  <a:pt x="18" y="17"/>
                                </a:lnTo>
                                <a:lnTo>
                                  <a:pt x="5" y="36"/>
                                </a:lnTo>
                                <a:lnTo>
                                  <a:pt x="0" y="60"/>
                                </a:lnTo>
                                <a:lnTo>
                                  <a:pt x="5" y="83"/>
                                </a:lnTo>
                                <a:lnTo>
                                  <a:pt x="18" y="102"/>
                                </a:lnTo>
                                <a:lnTo>
                                  <a:pt x="37" y="115"/>
                                </a:lnTo>
                                <a:lnTo>
                                  <a:pt x="60" y="120"/>
                                </a:lnTo>
                                <a:lnTo>
                                  <a:pt x="83" y="115"/>
                                </a:lnTo>
                                <a:lnTo>
                                  <a:pt x="102" y="102"/>
                                </a:lnTo>
                                <a:lnTo>
                                  <a:pt x="115" y="83"/>
                                </a:lnTo>
                                <a:lnTo>
                                  <a:pt x="120" y="60"/>
                                </a:lnTo>
                                <a:lnTo>
                                  <a:pt x="115" y="36"/>
                                </a:lnTo>
                                <a:lnTo>
                                  <a:pt x="102" y="17"/>
                                </a:lnTo>
                                <a:lnTo>
                                  <a:pt x="83" y="4"/>
                                </a:lnTo>
                                <a:lnTo>
                                  <a:pt x="60" y="0"/>
                                </a:lnTo>
                                <a:close/>
                              </a:path>
                            </a:pathLst>
                          </a:custGeom>
                          <a:solidFill>
                            <a:srgbClr val="ED7D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 name="Freeform 355"/>
                        <wps:cNvSpPr>
                          <a:spLocks/>
                        </wps:cNvSpPr>
                        <wps:spPr bwMode="auto">
                          <a:xfrm>
                            <a:off x="9319" y="186"/>
                            <a:ext cx="144" cy="144"/>
                          </a:xfrm>
                          <a:custGeom>
                            <a:avLst/>
                            <a:gdLst>
                              <a:gd name="T0" fmla="+- 0 9391 9319"/>
                              <a:gd name="T1" fmla="*/ T0 w 144"/>
                              <a:gd name="T2" fmla="+- 0 187 187"/>
                              <a:gd name="T3" fmla="*/ 187 h 144"/>
                              <a:gd name="T4" fmla="+- 0 9319 9319"/>
                              <a:gd name="T5" fmla="*/ T4 w 144"/>
                              <a:gd name="T6" fmla="+- 0 259 187"/>
                              <a:gd name="T7" fmla="*/ 259 h 144"/>
                              <a:gd name="T8" fmla="+- 0 9391 9319"/>
                              <a:gd name="T9" fmla="*/ T8 w 144"/>
                              <a:gd name="T10" fmla="+- 0 331 187"/>
                              <a:gd name="T11" fmla="*/ 331 h 144"/>
                              <a:gd name="T12" fmla="+- 0 9463 9319"/>
                              <a:gd name="T13" fmla="*/ T12 w 144"/>
                              <a:gd name="T14" fmla="+- 0 259 187"/>
                              <a:gd name="T15" fmla="*/ 259 h 144"/>
                              <a:gd name="T16" fmla="+- 0 9391 9319"/>
                              <a:gd name="T17" fmla="*/ T16 w 144"/>
                              <a:gd name="T18" fmla="+- 0 187 187"/>
                              <a:gd name="T19" fmla="*/ 187 h 144"/>
                            </a:gdLst>
                            <a:ahLst/>
                            <a:cxnLst>
                              <a:cxn ang="0">
                                <a:pos x="T1" y="T3"/>
                              </a:cxn>
                              <a:cxn ang="0">
                                <a:pos x="T5" y="T7"/>
                              </a:cxn>
                              <a:cxn ang="0">
                                <a:pos x="T9" y="T11"/>
                              </a:cxn>
                              <a:cxn ang="0">
                                <a:pos x="T13" y="T15"/>
                              </a:cxn>
                              <a:cxn ang="0">
                                <a:pos x="T17" y="T19"/>
                              </a:cxn>
                            </a:cxnLst>
                            <a:rect l="0" t="0" r="r" b="b"/>
                            <a:pathLst>
                              <a:path w="144" h="144">
                                <a:moveTo>
                                  <a:pt x="72" y="0"/>
                                </a:moveTo>
                                <a:lnTo>
                                  <a:pt x="0" y="72"/>
                                </a:lnTo>
                                <a:lnTo>
                                  <a:pt x="72" y="144"/>
                                </a:lnTo>
                                <a:lnTo>
                                  <a:pt x="144" y="72"/>
                                </a:lnTo>
                                <a:lnTo>
                                  <a:pt x="72" y="0"/>
                                </a:lnTo>
                                <a:close/>
                              </a:path>
                            </a:pathLst>
                          </a:custGeom>
                          <a:solidFill>
                            <a:srgbClr val="2E75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1912F34" id="Group 337" o:spid="_x0000_s1026" style="position:absolute;margin-left:465.95pt;margin-top:9.35pt;width:7.2pt;height:14.4pt;z-index:251681792;mso-position-horizontal-relative:page" coordorigin="9319,187" coordsize="144,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">
                <v:shape id="Freeform 354" o:spid="_x0000_s1027" style="position:absolute;left:9331;top:354;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" path="m60,l37,4,18,17,5,36,,60,5,83r13,19l37,115r23,5l83,115r19,-13l115,83r5,-23l115,36,102,17,83,4,60,xe" fillcolor="#ed7d31" stroked="f">
                  <v:path arrowok="t" o:connecttype="custom" o:connectlocs="60,355;37,359;18,372;5,391;0,415;5,438;18,457;37,470;60,475;83,470;102,457;115,438;120,415;115,391;102,372;83,359;60,355" o:connectangles="0,0,0,0,0,0,0,0,0,0,0,0,0,0,0,0,0"/>
                </v:shape>
                <v:shape id="Freeform 355" o:spid="_x0000_s1028" style="position:absolute;left:9319;top:186;width:144;height:144;visibility:visible;mso-wrap-style:square;v-text-anchor:top" coordsize="14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" path="m72,l,72r72,72l144,72,72,xe" fillcolor="#2e75b6" stroked="f">
                  <v:path arrowok="t" o:connecttype="custom" o:connectlocs="72,187;0,259;72,331;144,259;72,187" o:connectangles="0,0,0,0,0"/>
                </v:shape>
                <w10:wrap anchorx="page"/>
              </v:group>
            </w:pict>
          </mc:Fallback>
        </mc:AlternateContent>
      </w:r>
      <w:r w:rsidRPr="00DB0C40">
        <w:rPr>
          <w:rFonts w:asciiTheme="minorHAnsi" w:eastAsia="Calibri Light" w:hAnsiTheme="minorHAnsi" w:cstheme="minorHAnsi"/>
          <w:noProof/>
          <w:sz w:val="22"/>
          <w:szCs w:val="22"/>
          <w:lang w:eastAsia="en-GB"/>
        </w:rPr>
        <mc:AlternateContent>
          <mc:Choice Requires="wpg">
            <w:drawing>
              <wp:anchor distT="0" distB="0" distL="114300" distR="114300" simplePos="0" relativeHeight="251682816" behindDoc="0" locked="0" layoutInCell="1" allowOverlap="1" wp14:anchorId="65C18DD2" wp14:editId="4D6A9FBC">
                <wp:simplePos x="0" y="0"/>
                <wp:positionH relativeFrom="page">
                  <wp:posOffset>6191885</wp:posOffset>
                </wp:positionH>
                <wp:positionV relativeFrom="paragraph">
                  <wp:posOffset>111125</wp:posOffset>
                </wp:positionV>
                <wp:extent cx="91440" cy="137160"/>
                <wp:effectExtent l="635" t="9525" r="3175" b="5715"/>
                <wp:wrapNone/>
                <wp:docPr id="334"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 cy="137160"/>
                          <a:chOff x="9751" y="175"/>
                          <a:chExt cx="144" cy="216"/>
                        </a:xfrm>
                      </wpg:grpSpPr>
                      <wps:wsp>
                        <wps:cNvPr id="335" name="Freeform 357"/>
                        <wps:cNvSpPr>
                          <a:spLocks/>
                        </wps:cNvSpPr>
                        <wps:spPr bwMode="auto">
                          <a:xfrm>
                            <a:off x="9763" y="174"/>
                            <a:ext cx="120" cy="120"/>
                          </a:xfrm>
                          <a:custGeom>
                            <a:avLst/>
                            <a:gdLst>
                              <a:gd name="T0" fmla="+- 0 9823 9763"/>
                              <a:gd name="T1" fmla="*/ T0 w 120"/>
                              <a:gd name="T2" fmla="+- 0 175 175"/>
                              <a:gd name="T3" fmla="*/ 175 h 120"/>
                              <a:gd name="T4" fmla="+- 0 9800 9763"/>
                              <a:gd name="T5" fmla="*/ T4 w 120"/>
                              <a:gd name="T6" fmla="+- 0 179 175"/>
                              <a:gd name="T7" fmla="*/ 179 h 120"/>
                              <a:gd name="T8" fmla="+- 0 9781 9763"/>
                              <a:gd name="T9" fmla="*/ T8 w 120"/>
                              <a:gd name="T10" fmla="+- 0 192 175"/>
                              <a:gd name="T11" fmla="*/ 192 h 120"/>
                              <a:gd name="T12" fmla="+- 0 9768 9763"/>
                              <a:gd name="T13" fmla="*/ T12 w 120"/>
                              <a:gd name="T14" fmla="+- 0 211 175"/>
                              <a:gd name="T15" fmla="*/ 211 h 120"/>
                              <a:gd name="T16" fmla="+- 0 9763 9763"/>
                              <a:gd name="T17" fmla="*/ T16 w 120"/>
                              <a:gd name="T18" fmla="+- 0 235 175"/>
                              <a:gd name="T19" fmla="*/ 235 h 120"/>
                              <a:gd name="T20" fmla="+- 0 9768 9763"/>
                              <a:gd name="T21" fmla="*/ T20 w 120"/>
                              <a:gd name="T22" fmla="+- 0 258 175"/>
                              <a:gd name="T23" fmla="*/ 258 h 120"/>
                              <a:gd name="T24" fmla="+- 0 9781 9763"/>
                              <a:gd name="T25" fmla="*/ T24 w 120"/>
                              <a:gd name="T26" fmla="+- 0 277 175"/>
                              <a:gd name="T27" fmla="*/ 277 h 120"/>
                              <a:gd name="T28" fmla="+- 0 9800 9763"/>
                              <a:gd name="T29" fmla="*/ T28 w 120"/>
                              <a:gd name="T30" fmla="+- 0 290 175"/>
                              <a:gd name="T31" fmla="*/ 290 h 120"/>
                              <a:gd name="T32" fmla="+- 0 9823 9763"/>
                              <a:gd name="T33" fmla="*/ T32 w 120"/>
                              <a:gd name="T34" fmla="+- 0 295 175"/>
                              <a:gd name="T35" fmla="*/ 295 h 120"/>
                              <a:gd name="T36" fmla="+- 0 9846 9763"/>
                              <a:gd name="T37" fmla="*/ T36 w 120"/>
                              <a:gd name="T38" fmla="+- 0 290 175"/>
                              <a:gd name="T39" fmla="*/ 290 h 120"/>
                              <a:gd name="T40" fmla="+- 0 9865 9763"/>
                              <a:gd name="T41" fmla="*/ T40 w 120"/>
                              <a:gd name="T42" fmla="+- 0 277 175"/>
                              <a:gd name="T43" fmla="*/ 277 h 120"/>
                              <a:gd name="T44" fmla="+- 0 9878 9763"/>
                              <a:gd name="T45" fmla="*/ T44 w 120"/>
                              <a:gd name="T46" fmla="+- 0 258 175"/>
                              <a:gd name="T47" fmla="*/ 258 h 120"/>
                              <a:gd name="T48" fmla="+- 0 9883 9763"/>
                              <a:gd name="T49" fmla="*/ T48 w 120"/>
                              <a:gd name="T50" fmla="+- 0 235 175"/>
                              <a:gd name="T51" fmla="*/ 235 h 120"/>
                              <a:gd name="T52" fmla="+- 0 9878 9763"/>
                              <a:gd name="T53" fmla="*/ T52 w 120"/>
                              <a:gd name="T54" fmla="+- 0 211 175"/>
                              <a:gd name="T55" fmla="*/ 211 h 120"/>
                              <a:gd name="T56" fmla="+- 0 9865 9763"/>
                              <a:gd name="T57" fmla="*/ T56 w 120"/>
                              <a:gd name="T58" fmla="+- 0 192 175"/>
                              <a:gd name="T59" fmla="*/ 192 h 120"/>
                              <a:gd name="T60" fmla="+- 0 9846 9763"/>
                              <a:gd name="T61" fmla="*/ T60 w 120"/>
                              <a:gd name="T62" fmla="+- 0 179 175"/>
                              <a:gd name="T63" fmla="*/ 179 h 120"/>
                              <a:gd name="T64" fmla="+- 0 9823 9763"/>
                              <a:gd name="T65" fmla="*/ T64 w 120"/>
                              <a:gd name="T66" fmla="+- 0 175 175"/>
                              <a:gd name="T67" fmla="*/ 175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20" h="120">
                                <a:moveTo>
                                  <a:pt x="60" y="0"/>
                                </a:moveTo>
                                <a:lnTo>
                                  <a:pt x="37" y="4"/>
                                </a:lnTo>
                                <a:lnTo>
                                  <a:pt x="18" y="17"/>
                                </a:lnTo>
                                <a:lnTo>
                                  <a:pt x="5" y="36"/>
                                </a:lnTo>
                                <a:lnTo>
                                  <a:pt x="0" y="60"/>
                                </a:lnTo>
                                <a:lnTo>
                                  <a:pt x="5" y="83"/>
                                </a:lnTo>
                                <a:lnTo>
                                  <a:pt x="18" y="102"/>
                                </a:lnTo>
                                <a:lnTo>
                                  <a:pt x="37" y="115"/>
                                </a:lnTo>
                                <a:lnTo>
                                  <a:pt x="60" y="120"/>
                                </a:lnTo>
                                <a:lnTo>
                                  <a:pt x="83" y="115"/>
                                </a:lnTo>
                                <a:lnTo>
                                  <a:pt x="102" y="102"/>
                                </a:lnTo>
                                <a:lnTo>
                                  <a:pt x="115" y="83"/>
                                </a:lnTo>
                                <a:lnTo>
                                  <a:pt x="120" y="60"/>
                                </a:lnTo>
                                <a:lnTo>
                                  <a:pt x="115" y="36"/>
                                </a:lnTo>
                                <a:lnTo>
                                  <a:pt x="102" y="17"/>
                                </a:lnTo>
                                <a:lnTo>
                                  <a:pt x="83" y="4"/>
                                </a:lnTo>
                                <a:lnTo>
                                  <a:pt x="60" y="0"/>
                                </a:lnTo>
                                <a:close/>
                              </a:path>
                            </a:pathLst>
                          </a:custGeom>
                          <a:solidFill>
                            <a:srgbClr val="ED7D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 name="Freeform 358"/>
                        <wps:cNvSpPr>
                          <a:spLocks/>
                        </wps:cNvSpPr>
                        <wps:spPr bwMode="auto">
                          <a:xfrm>
                            <a:off x="9751" y="246"/>
                            <a:ext cx="144" cy="144"/>
                          </a:xfrm>
                          <a:custGeom>
                            <a:avLst/>
                            <a:gdLst>
                              <a:gd name="T0" fmla="+- 0 9823 9751"/>
                              <a:gd name="T1" fmla="*/ T0 w 144"/>
                              <a:gd name="T2" fmla="+- 0 247 247"/>
                              <a:gd name="T3" fmla="*/ 247 h 144"/>
                              <a:gd name="T4" fmla="+- 0 9751 9751"/>
                              <a:gd name="T5" fmla="*/ T4 w 144"/>
                              <a:gd name="T6" fmla="+- 0 319 247"/>
                              <a:gd name="T7" fmla="*/ 319 h 144"/>
                              <a:gd name="T8" fmla="+- 0 9823 9751"/>
                              <a:gd name="T9" fmla="*/ T8 w 144"/>
                              <a:gd name="T10" fmla="+- 0 391 247"/>
                              <a:gd name="T11" fmla="*/ 391 h 144"/>
                              <a:gd name="T12" fmla="+- 0 9895 9751"/>
                              <a:gd name="T13" fmla="*/ T12 w 144"/>
                              <a:gd name="T14" fmla="+- 0 319 247"/>
                              <a:gd name="T15" fmla="*/ 319 h 144"/>
                              <a:gd name="T16" fmla="+- 0 9823 9751"/>
                              <a:gd name="T17" fmla="*/ T16 w 144"/>
                              <a:gd name="T18" fmla="+- 0 247 247"/>
                              <a:gd name="T19" fmla="*/ 247 h 144"/>
                            </a:gdLst>
                            <a:ahLst/>
                            <a:cxnLst>
                              <a:cxn ang="0">
                                <a:pos x="T1" y="T3"/>
                              </a:cxn>
                              <a:cxn ang="0">
                                <a:pos x="T5" y="T7"/>
                              </a:cxn>
                              <a:cxn ang="0">
                                <a:pos x="T9" y="T11"/>
                              </a:cxn>
                              <a:cxn ang="0">
                                <a:pos x="T13" y="T15"/>
                              </a:cxn>
                              <a:cxn ang="0">
                                <a:pos x="T17" y="T19"/>
                              </a:cxn>
                            </a:cxnLst>
                            <a:rect l="0" t="0" r="r" b="b"/>
                            <a:pathLst>
                              <a:path w="144" h="144">
                                <a:moveTo>
                                  <a:pt x="72" y="0"/>
                                </a:moveTo>
                                <a:lnTo>
                                  <a:pt x="0" y="72"/>
                                </a:lnTo>
                                <a:lnTo>
                                  <a:pt x="72" y="144"/>
                                </a:lnTo>
                                <a:lnTo>
                                  <a:pt x="144" y="72"/>
                                </a:lnTo>
                                <a:lnTo>
                                  <a:pt x="72" y="0"/>
                                </a:lnTo>
                                <a:close/>
                              </a:path>
                            </a:pathLst>
                          </a:custGeom>
                          <a:solidFill>
                            <a:srgbClr val="2E75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9D02244" id="Group 334" o:spid="_x0000_s1026" style="position:absolute;margin-left:487.55pt;margin-top:8.75pt;width:7.2pt;height:10.8pt;z-index:251682816;mso-position-horizontal-relative:page" coordorigin="9751,175" coordsize="14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">
                <v:shape id="Freeform 357" o:spid="_x0000_s1027" style="position:absolute;left:9763;top:174;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" path="m60,l37,4,18,17,5,36,,60,5,83r13,19l37,115r23,5l83,115r19,-13l115,83r5,-23l115,36,102,17,83,4,60,xe" fillcolor="#ed7d31" stroked="f">
                  <v:path arrowok="t" o:connecttype="custom" o:connectlocs="60,175;37,179;18,192;5,211;0,235;5,258;18,277;37,290;60,295;83,290;102,277;115,258;120,235;115,211;102,192;83,179;60,175" o:connectangles="0,0,0,0,0,0,0,0,0,0,0,0,0,0,0,0,0"/>
                </v:shape>
                <v:shape id="Freeform 358" o:spid="_x0000_s1028" style="position:absolute;left:9751;top:246;width:144;height:144;visibility:visible;mso-wrap-style:square;v-text-anchor:top" coordsize="14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" path="m72,l,72r72,72l144,72,72,xe" fillcolor="#2e75b6" stroked="f">
                  <v:path arrowok="t" o:connecttype="custom" o:connectlocs="72,247;0,319;72,391;144,319;72,247" o:connectangles="0,0,0,0,0"/>
                </v:shape>
                <w10:wrap anchorx="page"/>
              </v:group>
            </w:pict>
          </mc:Fallback>
        </mc:AlternateContent>
      </w:r>
      <w:r w:rsidRPr="00DB0C40">
        <w:rPr>
          <w:rFonts w:asciiTheme="minorHAnsi" w:eastAsia="Calibri Light" w:hAnsiTheme="minorHAnsi" w:cstheme="minorHAnsi"/>
          <w:w w:val="105"/>
          <w:sz w:val="22"/>
          <w:szCs w:val="22"/>
        </w:rPr>
        <w:t>10</w:t>
      </w:r>
    </w:p>
    <w:p w14:paraId="5284B50E" w14:textId="77777777" w:rsidR="002557B7" w:rsidRPr="00DB0C40" w:rsidRDefault="002557B7" w:rsidP="002557B7">
      <w:pPr>
        <w:widowControl w:val="0"/>
        <w:autoSpaceDE w:val="0"/>
        <w:autoSpaceDN w:val="0"/>
        <w:spacing w:before="39"/>
        <w:ind w:left="752"/>
        <w:rPr>
          <w:rFonts w:asciiTheme="minorHAnsi" w:eastAsia="Calibri Light" w:hAnsiTheme="minorHAnsi" w:cstheme="minorHAnsi"/>
          <w:sz w:val="22"/>
          <w:szCs w:val="22"/>
        </w:rPr>
      </w:pPr>
      <w:r w:rsidRPr="00DB0C40">
        <w:rPr>
          <w:rFonts w:asciiTheme="minorHAnsi" w:eastAsia="Calibri Light" w:hAnsiTheme="minorHAnsi" w:cstheme="minorHAnsi"/>
          <w:w w:val="103"/>
          <w:sz w:val="22"/>
          <w:szCs w:val="22"/>
        </w:rPr>
        <w:t>5</w:t>
      </w:r>
    </w:p>
    <w:p w14:paraId="4822AF21" w14:textId="77777777" w:rsidR="002557B7" w:rsidRPr="00DB0C40" w:rsidRDefault="002557B7" w:rsidP="002557B7">
      <w:pPr>
        <w:widowControl w:val="0"/>
        <w:autoSpaceDE w:val="0"/>
        <w:autoSpaceDN w:val="0"/>
        <w:spacing w:before="40" w:after="22"/>
        <w:ind w:left="752"/>
        <w:rPr>
          <w:rFonts w:asciiTheme="minorHAnsi" w:eastAsia="Calibri Light" w:hAnsiTheme="minorHAnsi" w:cstheme="minorHAnsi"/>
          <w:sz w:val="22"/>
          <w:szCs w:val="22"/>
        </w:rPr>
      </w:pPr>
      <w:r w:rsidRPr="00DB0C40">
        <w:rPr>
          <w:rFonts w:asciiTheme="minorHAnsi" w:eastAsia="Calibri Light" w:hAnsiTheme="minorHAnsi" w:cstheme="minorHAnsi"/>
          <w:w w:val="103"/>
          <w:sz w:val="22"/>
          <w:szCs w:val="22"/>
        </w:rPr>
        <w:t>0</w:t>
      </w:r>
    </w:p>
    <w:p w14:paraId="75A5650B" w14:textId="77777777" w:rsidR="002557B7" w:rsidRPr="00DB0C40" w:rsidRDefault="002557B7" w:rsidP="002557B7">
      <w:pPr>
        <w:widowControl w:val="0"/>
        <w:tabs>
          <w:tab w:val="left" w:pos="2714"/>
          <w:tab w:val="left" w:pos="4437"/>
        </w:tabs>
        <w:autoSpaceDE w:val="0"/>
        <w:autoSpaceDN w:val="0"/>
        <w:ind w:left="854"/>
        <w:rPr>
          <w:rFonts w:asciiTheme="minorHAnsi" w:eastAsia="Calibri Light" w:hAnsiTheme="minorHAnsi" w:cstheme="minorHAnsi"/>
          <w:sz w:val="22"/>
          <w:szCs w:val="22"/>
        </w:rPr>
      </w:pPr>
      <w:r w:rsidRPr="00DB0C40">
        <w:rPr>
          <w:rFonts w:asciiTheme="minorHAnsi" w:eastAsia="Calibri Light" w:hAnsiTheme="minorHAnsi" w:cstheme="minorHAnsi"/>
          <w:noProof/>
          <w:position w:val="34"/>
          <w:sz w:val="22"/>
          <w:szCs w:val="22"/>
          <w:lang w:eastAsia="en-GB"/>
        </w:rPr>
        <w:drawing>
          <wp:inline distT="0" distB="0" distL="0" distR="0" wp14:anchorId="0E7EBF19" wp14:editId="2F75E6B8">
            <wp:extent cx="220559" cy="200025"/>
            <wp:effectExtent l="0" t="0" r="0" b="0"/>
            <wp:docPr id="328"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70.png"/>
                    <pic:cNvPicPr/>
                  </pic:nvPicPr>
                  <pic:blipFill>
                    <a:blip r:embed="rId29" cstate="print"/>
                    <a:stretch>
                      <a:fillRect/>
                    </a:stretch>
                  </pic:blipFill>
                  <pic:spPr>
                    <a:xfrm>
                      <a:off x="0" y="0"/>
                      <a:ext cx="220559" cy="200025"/>
                    </a:xfrm>
                    <a:prstGeom prst="rect">
                      <a:avLst/>
                    </a:prstGeom>
                  </pic:spPr>
                </pic:pic>
              </a:graphicData>
            </a:graphic>
          </wp:inline>
        </w:drawing>
      </w:r>
      <w:r w:rsidRPr="00DB0C40">
        <w:rPr>
          <w:rFonts w:asciiTheme="minorHAnsi" w:eastAsia="Calibri Light" w:hAnsiTheme="minorHAnsi" w:cstheme="minorHAnsi"/>
          <w:spacing w:val="88"/>
          <w:position w:val="34"/>
          <w:sz w:val="22"/>
          <w:szCs w:val="22"/>
        </w:rPr>
        <w:t xml:space="preserve"> </w:t>
      </w:r>
      <w:r w:rsidRPr="00DB0C40">
        <w:rPr>
          <w:rFonts w:asciiTheme="minorHAnsi" w:eastAsia="Calibri Light" w:hAnsiTheme="minorHAnsi" w:cstheme="minorHAnsi"/>
          <w:noProof/>
          <w:spacing w:val="88"/>
          <w:position w:val="6"/>
          <w:sz w:val="22"/>
          <w:szCs w:val="22"/>
          <w:lang w:eastAsia="en-GB"/>
        </w:rPr>
        <w:drawing>
          <wp:inline distT="0" distB="0" distL="0" distR="0" wp14:anchorId="5920E301" wp14:editId="5DB1861D">
            <wp:extent cx="460089" cy="381000"/>
            <wp:effectExtent l="0" t="0" r="0" b="0"/>
            <wp:docPr id="329" name="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71.png"/>
                    <pic:cNvPicPr/>
                  </pic:nvPicPr>
                  <pic:blipFill>
                    <a:blip r:embed="rId30" cstate="print"/>
                    <a:stretch>
                      <a:fillRect/>
                    </a:stretch>
                  </pic:blipFill>
                  <pic:spPr>
                    <a:xfrm>
                      <a:off x="0" y="0"/>
                      <a:ext cx="460089" cy="381000"/>
                    </a:xfrm>
                    <a:prstGeom prst="rect">
                      <a:avLst/>
                    </a:prstGeom>
                  </pic:spPr>
                </pic:pic>
              </a:graphicData>
            </a:graphic>
          </wp:inline>
        </w:drawing>
      </w:r>
      <w:r w:rsidRPr="00DB0C40">
        <w:rPr>
          <w:rFonts w:asciiTheme="minorHAnsi" w:eastAsia="Calibri Light" w:hAnsiTheme="minorHAnsi" w:cstheme="minorHAnsi"/>
          <w:spacing w:val="54"/>
          <w:position w:val="6"/>
          <w:sz w:val="22"/>
          <w:szCs w:val="22"/>
        </w:rPr>
        <w:t xml:space="preserve"> </w:t>
      </w:r>
      <w:r w:rsidRPr="00DB0C40">
        <w:rPr>
          <w:rFonts w:asciiTheme="minorHAnsi" w:eastAsia="Calibri Light" w:hAnsiTheme="minorHAnsi" w:cstheme="minorHAnsi"/>
          <w:noProof/>
          <w:spacing w:val="54"/>
          <w:position w:val="35"/>
          <w:sz w:val="22"/>
          <w:szCs w:val="22"/>
          <w:lang w:eastAsia="en-GB"/>
        </w:rPr>
        <w:drawing>
          <wp:inline distT="0" distB="0" distL="0" distR="0" wp14:anchorId="7E72DDD3" wp14:editId="17B4D8F2">
            <wp:extent cx="205235" cy="200691"/>
            <wp:effectExtent l="0" t="0" r="0" b="0"/>
            <wp:docPr id="330"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72.png"/>
                    <pic:cNvPicPr/>
                  </pic:nvPicPr>
                  <pic:blipFill>
                    <a:blip r:embed="rId31" cstate="print"/>
                    <a:stretch>
                      <a:fillRect/>
                    </a:stretch>
                  </pic:blipFill>
                  <pic:spPr>
                    <a:xfrm>
                      <a:off x="0" y="0"/>
                      <a:ext cx="205235" cy="200691"/>
                    </a:xfrm>
                    <a:prstGeom prst="rect">
                      <a:avLst/>
                    </a:prstGeom>
                  </pic:spPr>
                </pic:pic>
              </a:graphicData>
            </a:graphic>
          </wp:inline>
        </w:drawing>
      </w:r>
      <w:r w:rsidRPr="00DB0C40">
        <w:rPr>
          <w:rFonts w:asciiTheme="minorHAnsi" w:eastAsia="Calibri Light" w:hAnsiTheme="minorHAnsi" w:cstheme="minorHAnsi"/>
          <w:spacing w:val="54"/>
          <w:position w:val="35"/>
          <w:sz w:val="22"/>
          <w:szCs w:val="22"/>
        </w:rPr>
        <w:tab/>
      </w:r>
      <w:r w:rsidRPr="00DB0C40">
        <w:rPr>
          <w:rFonts w:asciiTheme="minorHAnsi" w:eastAsia="Calibri Light" w:hAnsiTheme="minorHAnsi" w:cstheme="minorHAnsi"/>
          <w:noProof/>
          <w:spacing w:val="54"/>
          <w:sz w:val="22"/>
          <w:szCs w:val="22"/>
          <w:lang w:eastAsia="en-GB"/>
        </w:rPr>
        <w:drawing>
          <wp:inline distT="0" distB="0" distL="0" distR="0" wp14:anchorId="0FF387F8" wp14:editId="0CB3F696">
            <wp:extent cx="959172" cy="438150"/>
            <wp:effectExtent l="0" t="0" r="0" b="0"/>
            <wp:docPr id="331"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73.png"/>
                    <pic:cNvPicPr/>
                  </pic:nvPicPr>
                  <pic:blipFill>
                    <a:blip r:embed="rId32" cstate="print"/>
                    <a:stretch>
                      <a:fillRect/>
                    </a:stretch>
                  </pic:blipFill>
                  <pic:spPr>
                    <a:xfrm>
                      <a:off x="0" y="0"/>
                      <a:ext cx="959172" cy="438150"/>
                    </a:xfrm>
                    <a:prstGeom prst="rect">
                      <a:avLst/>
                    </a:prstGeom>
                  </pic:spPr>
                </pic:pic>
              </a:graphicData>
            </a:graphic>
          </wp:inline>
        </w:drawing>
      </w:r>
      <w:r w:rsidRPr="00DB0C40">
        <w:rPr>
          <w:rFonts w:asciiTheme="minorHAnsi" w:eastAsia="Calibri Light" w:hAnsiTheme="minorHAnsi" w:cstheme="minorHAnsi"/>
          <w:spacing w:val="54"/>
          <w:sz w:val="22"/>
          <w:szCs w:val="22"/>
        </w:rPr>
        <w:tab/>
      </w:r>
      <w:r w:rsidRPr="00DB0C40">
        <w:rPr>
          <w:rFonts w:asciiTheme="minorHAnsi" w:eastAsia="Calibri Light" w:hAnsiTheme="minorHAnsi" w:cstheme="minorHAnsi"/>
          <w:noProof/>
          <w:spacing w:val="54"/>
          <w:position w:val="17"/>
          <w:sz w:val="22"/>
          <w:szCs w:val="22"/>
          <w:lang w:eastAsia="en-GB"/>
        </w:rPr>
        <w:drawing>
          <wp:inline distT="0" distB="0" distL="0" distR="0" wp14:anchorId="6F078286" wp14:editId="0E274B10">
            <wp:extent cx="2314532" cy="338137"/>
            <wp:effectExtent l="0" t="0" r="0" b="0"/>
            <wp:docPr id="332"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74.png"/>
                    <pic:cNvPicPr/>
                  </pic:nvPicPr>
                  <pic:blipFill>
                    <a:blip r:embed="rId33" cstate="print"/>
                    <a:stretch>
                      <a:fillRect/>
                    </a:stretch>
                  </pic:blipFill>
                  <pic:spPr>
                    <a:xfrm>
                      <a:off x="0" y="0"/>
                      <a:ext cx="2314532" cy="338137"/>
                    </a:xfrm>
                    <a:prstGeom prst="rect">
                      <a:avLst/>
                    </a:prstGeom>
                  </pic:spPr>
                </pic:pic>
              </a:graphicData>
            </a:graphic>
          </wp:inline>
        </w:drawing>
      </w:r>
      <w:r w:rsidRPr="00DB0C40">
        <w:rPr>
          <w:rFonts w:asciiTheme="minorHAnsi" w:eastAsia="Calibri Light" w:hAnsiTheme="minorHAnsi" w:cstheme="minorHAnsi"/>
          <w:spacing w:val="137"/>
          <w:position w:val="17"/>
          <w:sz w:val="22"/>
          <w:szCs w:val="22"/>
        </w:rPr>
        <w:t xml:space="preserve"> </w:t>
      </w:r>
      <w:r w:rsidRPr="00DB0C40">
        <w:rPr>
          <w:rFonts w:asciiTheme="minorHAnsi" w:eastAsia="Calibri Light" w:hAnsiTheme="minorHAnsi" w:cstheme="minorHAnsi"/>
          <w:noProof/>
          <w:spacing w:val="137"/>
          <w:position w:val="44"/>
          <w:sz w:val="22"/>
          <w:szCs w:val="22"/>
          <w:lang w:eastAsia="en-GB"/>
        </w:rPr>
        <w:drawing>
          <wp:inline distT="0" distB="0" distL="0" distR="0" wp14:anchorId="14776C5F" wp14:editId="44853DE5">
            <wp:extent cx="162305" cy="155448"/>
            <wp:effectExtent l="0" t="0" r="0" b="0"/>
            <wp:docPr id="333"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75.png"/>
                    <pic:cNvPicPr/>
                  </pic:nvPicPr>
                  <pic:blipFill>
                    <a:blip r:embed="rId34" cstate="print"/>
                    <a:stretch>
                      <a:fillRect/>
                    </a:stretch>
                  </pic:blipFill>
                  <pic:spPr>
                    <a:xfrm>
                      <a:off x="0" y="0"/>
                      <a:ext cx="162305" cy="155448"/>
                    </a:xfrm>
                    <a:prstGeom prst="rect">
                      <a:avLst/>
                    </a:prstGeom>
                  </pic:spPr>
                </pic:pic>
              </a:graphicData>
            </a:graphic>
          </wp:inline>
        </w:drawing>
      </w:r>
    </w:p>
    <w:p w14:paraId="652251F4" w14:textId="77777777" w:rsidR="002557B7" w:rsidRPr="00DB0C40" w:rsidRDefault="002557B7" w:rsidP="002557B7">
      <w:pPr>
        <w:widowControl w:val="0"/>
        <w:autoSpaceDE w:val="0"/>
        <w:autoSpaceDN w:val="0"/>
        <w:spacing w:before="2"/>
        <w:rPr>
          <w:rFonts w:asciiTheme="minorHAnsi" w:eastAsia="Calibri Light" w:hAnsiTheme="minorHAnsi" w:cstheme="minorHAnsi"/>
          <w:sz w:val="22"/>
          <w:szCs w:val="22"/>
        </w:rPr>
      </w:pPr>
    </w:p>
    <w:p w14:paraId="70AEDA53" w14:textId="77777777" w:rsidR="002557B7" w:rsidRPr="00DB0C40" w:rsidRDefault="002557B7" w:rsidP="002557B7">
      <w:pPr>
        <w:widowControl w:val="0"/>
        <w:autoSpaceDE w:val="0"/>
        <w:autoSpaceDN w:val="0"/>
        <w:spacing w:before="1"/>
        <w:ind w:left="119" w:right="156"/>
        <w:jc w:val="both"/>
        <w:rPr>
          <w:rFonts w:asciiTheme="minorHAnsi" w:eastAsia="Calibri Light" w:hAnsiTheme="minorHAnsi" w:cstheme="minorHAnsi"/>
          <w:sz w:val="18"/>
          <w:szCs w:val="18"/>
        </w:rPr>
      </w:pPr>
      <w:r w:rsidRPr="00DB0C40">
        <w:rPr>
          <w:rFonts w:asciiTheme="minorHAnsi" w:eastAsia="Calibri Light" w:hAnsiTheme="minorHAnsi" w:cstheme="minorHAnsi"/>
          <w:sz w:val="18"/>
          <w:szCs w:val="18"/>
        </w:rPr>
        <w:t>Note:</w:t>
      </w:r>
      <w:r w:rsidRPr="00DB0C40">
        <w:rPr>
          <w:rFonts w:asciiTheme="minorHAnsi" w:eastAsia="Calibri Light" w:hAnsiTheme="minorHAnsi" w:cstheme="minorHAnsi"/>
          <w:spacing w:val="-4"/>
          <w:sz w:val="18"/>
          <w:szCs w:val="18"/>
        </w:rPr>
        <w:t xml:space="preserve"> </w:t>
      </w:r>
      <w:r w:rsidRPr="00DB0C40">
        <w:rPr>
          <w:rFonts w:asciiTheme="minorHAnsi" w:eastAsia="Calibri Light" w:hAnsiTheme="minorHAnsi" w:cstheme="minorHAnsi"/>
          <w:sz w:val="18"/>
          <w:szCs w:val="18"/>
        </w:rPr>
        <w:t>The</w:t>
      </w:r>
      <w:r w:rsidRPr="00DB0C40">
        <w:rPr>
          <w:rFonts w:asciiTheme="minorHAnsi" w:eastAsia="Calibri Light" w:hAnsiTheme="minorHAnsi" w:cstheme="minorHAnsi"/>
          <w:spacing w:val="-3"/>
          <w:sz w:val="18"/>
          <w:szCs w:val="18"/>
        </w:rPr>
        <w:t xml:space="preserve"> </w:t>
      </w:r>
      <w:r w:rsidRPr="00DB0C40">
        <w:rPr>
          <w:rFonts w:asciiTheme="minorHAnsi" w:eastAsia="Calibri Light" w:hAnsiTheme="minorHAnsi" w:cstheme="minorHAnsi"/>
          <w:sz w:val="18"/>
          <w:szCs w:val="18"/>
        </w:rPr>
        <w:t>data</w:t>
      </w:r>
      <w:r w:rsidRPr="00DB0C40">
        <w:rPr>
          <w:rFonts w:asciiTheme="minorHAnsi" w:eastAsia="Calibri Light" w:hAnsiTheme="minorHAnsi" w:cstheme="minorHAnsi"/>
          <w:spacing w:val="-3"/>
          <w:sz w:val="18"/>
          <w:szCs w:val="18"/>
        </w:rPr>
        <w:t xml:space="preserve"> </w:t>
      </w:r>
      <w:r w:rsidRPr="00DB0C40">
        <w:rPr>
          <w:rFonts w:asciiTheme="minorHAnsi" w:eastAsia="Calibri Light" w:hAnsiTheme="minorHAnsi" w:cstheme="minorHAnsi"/>
          <w:sz w:val="18"/>
          <w:szCs w:val="18"/>
        </w:rPr>
        <w:t>refer</w:t>
      </w:r>
      <w:r w:rsidRPr="00DB0C40">
        <w:rPr>
          <w:rFonts w:asciiTheme="minorHAnsi" w:eastAsia="Calibri Light" w:hAnsiTheme="minorHAnsi" w:cstheme="minorHAnsi"/>
          <w:spacing w:val="-4"/>
          <w:sz w:val="18"/>
          <w:szCs w:val="18"/>
        </w:rPr>
        <w:t xml:space="preserve"> </w:t>
      </w:r>
      <w:r w:rsidRPr="00DB0C40">
        <w:rPr>
          <w:rFonts w:asciiTheme="minorHAnsi" w:eastAsia="Calibri Light" w:hAnsiTheme="minorHAnsi" w:cstheme="minorHAnsi"/>
          <w:sz w:val="18"/>
          <w:szCs w:val="18"/>
        </w:rPr>
        <w:t>to</w:t>
      </w:r>
      <w:r w:rsidRPr="00DB0C40">
        <w:rPr>
          <w:rFonts w:asciiTheme="minorHAnsi" w:eastAsia="Calibri Light" w:hAnsiTheme="minorHAnsi" w:cstheme="minorHAnsi"/>
          <w:spacing w:val="-4"/>
          <w:sz w:val="18"/>
          <w:szCs w:val="18"/>
        </w:rPr>
        <w:t xml:space="preserve"> </w:t>
      </w:r>
      <w:r w:rsidRPr="00DB0C40">
        <w:rPr>
          <w:rFonts w:asciiTheme="minorHAnsi" w:eastAsia="Calibri Light" w:hAnsiTheme="minorHAnsi" w:cstheme="minorHAnsi"/>
          <w:sz w:val="18"/>
          <w:szCs w:val="18"/>
        </w:rPr>
        <w:t>gross</w:t>
      </w:r>
      <w:r w:rsidRPr="00DB0C40">
        <w:rPr>
          <w:rFonts w:asciiTheme="minorHAnsi" w:eastAsia="Calibri Light" w:hAnsiTheme="minorHAnsi" w:cstheme="minorHAnsi"/>
          <w:spacing w:val="-3"/>
          <w:sz w:val="18"/>
          <w:szCs w:val="18"/>
        </w:rPr>
        <w:t xml:space="preserve"> </w:t>
      </w:r>
      <w:r w:rsidRPr="00DB0C40">
        <w:rPr>
          <w:rFonts w:asciiTheme="minorHAnsi" w:eastAsia="Calibri Light" w:hAnsiTheme="minorHAnsi" w:cstheme="minorHAnsi"/>
          <w:sz w:val="18"/>
          <w:szCs w:val="18"/>
        </w:rPr>
        <w:t>(monthly</w:t>
      </w:r>
      <w:r w:rsidRPr="00DB0C40">
        <w:rPr>
          <w:rFonts w:asciiTheme="minorHAnsi" w:eastAsia="Calibri Light" w:hAnsiTheme="minorHAnsi" w:cstheme="minorHAnsi"/>
          <w:spacing w:val="-6"/>
          <w:sz w:val="18"/>
          <w:szCs w:val="18"/>
        </w:rPr>
        <w:t xml:space="preserve"> </w:t>
      </w:r>
      <w:r w:rsidRPr="00DB0C40">
        <w:rPr>
          <w:rFonts w:asciiTheme="minorHAnsi" w:eastAsia="Calibri Light" w:hAnsiTheme="minorHAnsi" w:cstheme="minorHAnsi"/>
          <w:sz w:val="18"/>
          <w:szCs w:val="18"/>
        </w:rPr>
        <w:t>or</w:t>
      </w:r>
      <w:r w:rsidRPr="00DB0C40">
        <w:rPr>
          <w:rFonts w:asciiTheme="minorHAnsi" w:eastAsia="Calibri Light" w:hAnsiTheme="minorHAnsi" w:cstheme="minorHAnsi"/>
          <w:spacing w:val="-3"/>
          <w:sz w:val="18"/>
          <w:szCs w:val="18"/>
        </w:rPr>
        <w:t xml:space="preserve"> </w:t>
      </w:r>
      <w:r w:rsidRPr="00DB0C40">
        <w:rPr>
          <w:rFonts w:asciiTheme="minorHAnsi" w:eastAsia="Calibri Light" w:hAnsiTheme="minorHAnsi" w:cstheme="minorHAnsi"/>
          <w:sz w:val="18"/>
          <w:szCs w:val="18"/>
        </w:rPr>
        <w:t>weekly)</w:t>
      </w:r>
      <w:r w:rsidRPr="00DB0C40">
        <w:rPr>
          <w:rFonts w:asciiTheme="minorHAnsi" w:eastAsia="Calibri Light" w:hAnsiTheme="minorHAnsi" w:cstheme="minorHAnsi"/>
          <w:spacing w:val="-2"/>
          <w:sz w:val="18"/>
          <w:szCs w:val="18"/>
        </w:rPr>
        <w:t xml:space="preserve"> </w:t>
      </w:r>
      <w:r w:rsidRPr="00DB0C40">
        <w:rPr>
          <w:rFonts w:asciiTheme="minorHAnsi" w:eastAsia="Calibri Light" w:hAnsiTheme="minorHAnsi" w:cstheme="minorHAnsi"/>
          <w:sz w:val="18"/>
          <w:szCs w:val="18"/>
        </w:rPr>
        <w:t>earnings</w:t>
      </w:r>
      <w:r w:rsidRPr="00DB0C40">
        <w:rPr>
          <w:rFonts w:asciiTheme="minorHAnsi" w:eastAsia="Calibri Light" w:hAnsiTheme="minorHAnsi" w:cstheme="minorHAnsi"/>
          <w:spacing w:val="-4"/>
          <w:sz w:val="18"/>
          <w:szCs w:val="18"/>
        </w:rPr>
        <w:t xml:space="preserve"> </w:t>
      </w:r>
      <w:r w:rsidRPr="00DB0C40">
        <w:rPr>
          <w:rFonts w:asciiTheme="minorHAnsi" w:eastAsia="Calibri Light" w:hAnsiTheme="minorHAnsi" w:cstheme="minorHAnsi"/>
          <w:sz w:val="18"/>
          <w:szCs w:val="18"/>
        </w:rPr>
        <w:t>of</w:t>
      </w:r>
      <w:r w:rsidRPr="00DB0C40">
        <w:rPr>
          <w:rFonts w:asciiTheme="minorHAnsi" w:eastAsia="Calibri Light" w:hAnsiTheme="minorHAnsi" w:cstheme="minorHAnsi"/>
          <w:spacing w:val="-3"/>
          <w:sz w:val="18"/>
          <w:szCs w:val="18"/>
        </w:rPr>
        <w:t xml:space="preserve"> </w:t>
      </w:r>
      <w:r w:rsidRPr="00DB0C40">
        <w:rPr>
          <w:rFonts w:asciiTheme="minorHAnsi" w:eastAsia="Calibri Light" w:hAnsiTheme="minorHAnsi" w:cstheme="minorHAnsi"/>
          <w:sz w:val="18"/>
          <w:szCs w:val="18"/>
        </w:rPr>
        <w:t>full-time</w:t>
      </w:r>
      <w:r w:rsidRPr="00DB0C40">
        <w:rPr>
          <w:rFonts w:asciiTheme="minorHAnsi" w:eastAsia="Calibri Light" w:hAnsiTheme="minorHAnsi" w:cstheme="minorHAnsi"/>
          <w:spacing w:val="-4"/>
          <w:sz w:val="18"/>
          <w:szCs w:val="18"/>
        </w:rPr>
        <w:t xml:space="preserve"> </w:t>
      </w:r>
      <w:r w:rsidRPr="00DB0C40">
        <w:rPr>
          <w:rFonts w:asciiTheme="minorHAnsi" w:eastAsia="Calibri Light" w:hAnsiTheme="minorHAnsi" w:cstheme="minorHAnsi"/>
          <w:sz w:val="18"/>
          <w:szCs w:val="18"/>
        </w:rPr>
        <w:t>wage</w:t>
      </w:r>
      <w:r w:rsidRPr="00DB0C40">
        <w:rPr>
          <w:rFonts w:asciiTheme="minorHAnsi" w:eastAsia="Calibri Light" w:hAnsiTheme="minorHAnsi" w:cstheme="minorHAnsi"/>
          <w:spacing w:val="-4"/>
          <w:sz w:val="18"/>
          <w:szCs w:val="18"/>
        </w:rPr>
        <w:t xml:space="preserve"> </w:t>
      </w:r>
      <w:r w:rsidRPr="00DB0C40">
        <w:rPr>
          <w:rFonts w:asciiTheme="minorHAnsi" w:eastAsia="Calibri Light" w:hAnsiTheme="minorHAnsi" w:cstheme="minorHAnsi"/>
          <w:sz w:val="18"/>
          <w:szCs w:val="18"/>
        </w:rPr>
        <w:t>and</w:t>
      </w:r>
      <w:r w:rsidRPr="00DB0C40">
        <w:rPr>
          <w:rFonts w:asciiTheme="minorHAnsi" w:eastAsia="Calibri Light" w:hAnsiTheme="minorHAnsi" w:cstheme="minorHAnsi"/>
          <w:spacing w:val="-3"/>
          <w:sz w:val="18"/>
          <w:szCs w:val="18"/>
        </w:rPr>
        <w:t xml:space="preserve"> </w:t>
      </w:r>
      <w:r w:rsidRPr="00DB0C40">
        <w:rPr>
          <w:rFonts w:asciiTheme="minorHAnsi" w:eastAsia="Calibri Light" w:hAnsiTheme="minorHAnsi" w:cstheme="minorHAnsi"/>
          <w:sz w:val="18"/>
          <w:szCs w:val="18"/>
        </w:rPr>
        <w:t>salary</w:t>
      </w:r>
      <w:r w:rsidRPr="00DB0C40">
        <w:rPr>
          <w:rFonts w:asciiTheme="minorHAnsi" w:eastAsia="Calibri Light" w:hAnsiTheme="minorHAnsi" w:cstheme="minorHAnsi"/>
          <w:spacing w:val="-5"/>
          <w:sz w:val="18"/>
          <w:szCs w:val="18"/>
        </w:rPr>
        <w:t xml:space="preserve"> </w:t>
      </w:r>
      <w:r w:rsidRPr="00DB0C40">
        <w:rPr>
          <w:rFonts w:asciiTheme="minorHAnsi" w:eastAsia="Calibri Light" w:hAnsiTheme="minorHAnsi" w:cstheme="minorHAnsi"/>
          <w:sz w:val="18"/>
          <w:szCs w:val="18"/>
        </w:rPr>
        <w:t>workers.</w:t>
      </w:r>
      <w:r w:rsidRPr="00DB0C40">
        <w:rPr>
          <w:rFonts w:asciiTheme="minorHAnsi" w:eastAsia="Calibri Light" w:hAnsiTheme="minorHAnsi" w:cstheme="minorHAnsi"/>
          <w:spacing w:val="-4"/>
          <w:sz w:val="18"/>
          <w:szCs w:val="18"/>
        </w:rPr>
        <w:t xml:space="preserve"> </w:t>
      </w:r>
      <w:r w:rsidRPr="00DB0C40">
        <w:rPr>
          <w:rFonts w:asciiTheme="minorHAnsi" w:eastAsia="Calibri Light" w:hAnsiTheme="minorHAnsi" w:cstheme="minorHAnsi"/>
          <w:sz w:val="18"/>
          <w:szCs w:val="18"/>
        </w:rPr>
        <w:t>The</w:t>
      </w:r>
      <w:r w:rsidRPr="00DB0C40">
        <w:rPr>
          <w:rFonts w:asciiTheme="minorHAnsi" w:eastAsia="Calibri Light" w:hAnsiTheme="minorHAnsi" w:cstheme="minorHAnsi"/>
          <w:spacing w:val="-2"/>
          <w:sz w:val="18"/>
          <w:szCs w:val="18"/>
        </w:rPr>
        <w:t xml:space="preserve"> </w:t>
      </w:r>
      <w:r w:rsidRPr="00DB0C40">
        <w:rPr>
          <w:rFonts w:asciiTheme="minorHAnsi" w:eastAsia="Calibri Light" w:hAnsiTheme="minorHAnsi" w:cstheme="minorHAnsi"/>
          <w:sz w:val="18"/>
          <w:szCs w:val="18"/>
        </w:rPr>
        <w:t>data</w:t>
      </w:r>
      <w:r w:rsidRPr="00DB0C40">
        <w:rPr>
          <w:rFonts w:asciiTheme="minorHAnsi" w:eastAsia="Calibri Light" w:hAnsiTheme="minorHAnsi" w:cstheme="minorHAnsi"/>
          <w:spacing w:val="-4"/>
          <w:sz w:val="18"/>
          <w:szCs w:val="18"/>
        </w:rPr>
        <w:t xml:space="preserve"> </w:t>
      </w:r>
      <w:r w:rsidRPr="00DB0C40">
        <w:rPr>
          <w:rFonts w:asciiTheme="minorHAnsi" w:eastAsia="Calibri Light" w:hAnsiTheme="minorHAnsi" w:cstheme="minorHAnsi"/>
          <w:sz w:val="18"/>
          <w:szCs w:val="18"/>
        </w:rPr>
        <w:t>for</w:t>
      </w:r>
      <w:r w:rsidRPr="00DB0C40">
        <w:rPr>
          <w:rFonts w:asciiTheme="minorHAnsi" w:eastAsia="Calibri Light" w:hAnsiTheme="minorHAnsi" w:cstheme="minorHAnsi"/>
          <w:spacing w:val="-3"/>
          <w:sz w:val="18"/>
          <w:szCs w:val="18"/>
        </w:rPr>
        <w:t xml:space="preserve"> </w:t>
      </w:r>
      <w:r w:rsidRPr="00DB0C40">
        <w:rPr>
          <w:rFonts w:asciiTheme="minorHAnsi" w:eastAsia="Calibri Light" w:hAnsiTheme="minorHAnsi" w:cstheme="minorHAnsi"/>
          <w:sz w:val="18"/>
          <w:szCs w:val="18"/>
        </w:rPr>
        <w:t>2017</w:t>
      </w:r>
      <w:r w:rsidRPr="00DB0C40">
        <w:rPr>
          <w:rFonts w:asciiTheme="minorHAnsi" w:eastAsia="Calibri Light" w:hAnsiTheme="minorHAnsi" w:cstheme="minorHAnsi"/>
          <w:spacing w:val="-4"/>
          <w:sz w:val="18"/>
          <w:szCs w:val="18"/>
        </w:rPr>
        <w:t xml:space="preserve"> </w:t>
      </w:r>
      <w:r w:rsidRPr="00DB0C40">
        <w:rPr>
          <w:rFonts w:asciiTheme="minorHAnsi" w:eastAsia="Calibri Light" w:hAnsiTheme="minorHAnsi" w:cstheme="minorHAnsi"/>
          <w:sz w:val="18"/>
          <w:szCs w:val="18"/>
        </w:rPr>
        <w:t>refer</w:t>
      </w:r>
      <w:r w:rsidRPr="00DB0C40">
        <w:rPr>
          <w:rFonts w:asciiTheme="minorHAnsi" w:eastAsia="Calibri Light" w:hAnsiTheme="minorHAnsi" w:cstheme="minorHAnsi"/>
          <w:spacing w:val="-4"/>
          <w:sz w:val="18"/>
          <w:szCs w:val="18"/>
        </w:rPr>
        <w:t xml:space="preserve"> </w:t>
      </w:r>
      <w:r w:rsidRPr="00DB0C40">
        <w:rPr>
          <w:rFonts w:asciiTheme="minorHAnsi" w:eastAsia="Calibri Light" w:hAnsiTheme="minorHAnsi" w:cstheme="minorHAnsi"/>
          <w:sz w:val="18"/>
          <w:szCs w:val="18"/>
        </w:rPr>
        <w:t>to:</w:t>
      </w:r>
      <w:r w:rsidRPr="00DB0C40">
        <w:rPr>
          <w:rFonts w:asciiTheme="minorHAnsi" w:eastAsia="Calibri Light" w:hAnsiTheme="minorHAnsi" w:cstheme="minorHAnsi"/>
          <w:spacing w:val="-3"/>
          <w:sz w:val="18"/>
          <w:szCs w:val="18"/>
        </w:rPr>
        <w:t xml:space="preserve"> </w:t>
      </w:r>
      <w:r w:rsidRPr="00DB0C40">
        <w:rPr>
          <w:rFonts w:asciiTheme="minorHAnsi" w:eastAsia="Calibri Light" w:hAnsiTheme="minorHAnsi" w:cstheme="minorHAnsi"/>
          <w:sz w:val="18"/>
          <w:szCs w:val="18"/>
        </w:rPr>
        <w:t>2012</w:t>
      </w:r>
      <w:r w:rsidRPr="00DB0C40">
        <w:rPr>
          <w:rFonts w:asciiTheme="minorHAnsi" w:eastAsia="Calibri Light" w:hAnsiTheme="minorHAnsi" w:cstheme="minorHAnsi"/>
          <w:spacing w:val="-42"/>
          <w:sz w:val="18"/>
          <w:szCs w:val="18"/>
        </w:rPr>
        <w:t xml:space="preserve"> </w:t>
      </w:r>
      <w:r w:rsidRPr="00DB0C40">
        <w:rPr>
          <w:rFonts w:asciiTheme="minorHAnsi" w:eastAsia="Calibri Light" w:hAnsiTheme="minorHAnsi" w:cstheme="minorHAnsi"/>
          <w:sz w:val="18"/>
          <w:szCs w:val="18"/>
        </w:rPr>
        <w:t>for</w:t>
      </w:r>
      <w:r w:rsidRPr="00DB0C40">
        <w:rPr>
          <w:rFonts w:asciiTheme="minorHAnsi" w:eastAsia="Calibri Light" w:hAnsiTheme="minorHAnsi" w:cstheme="minorHAnsi"/>
          <w:spacing w:val="-6"/>
          <w:sz w:val="18"/>
          <w:szCs w:val="18"/>
        </w:rPr>
        <w:t xml:space="preserve"> </w:t>
      </w:r>
      <w:r w:rsidRPr="00DB0C40">
        <w:rPr>
          <w:rFonts w:asciiTheme="minorHAnsi" w:eastAsia="Calibri Light" w:hAnsiTheme="minorHAnsi" w:cstheme="minorHAnsi"/>
          <w:sz w:val="18"/>
          <w:szCs w:val="18"/>
        </w:rPr>
        <w:t>India;</w:t>
      </w:r>
      <w:r w:rsidRPr="00DB0C40">
        <w:rPr>
          <w:rFonts w:asciiTheme="minorHAnsi" w:eastAsia="Calibri Light" w:hAnsiTheme="minorHAnsi" w:cstheme="minorHAnsi"/>
          <w:spacing w:val="-4"/>
          <w:sz w:val="18"/>
          <w:szCs w:val="18"/>
        </w:rPr>
        <w:t xml:space="preserve"> </w:t>
      </w:r>
      <w:r w:rsidRPr="00DB0C40">
        <w:rPr>
          <w:rFonts w:asciiTheme="minorHAnsi" w:eastAsia="Calibri Light" w:hAnsiTheme="minorHAnsi" w:cstheme="minorHAnsi"/>
          <w:sz w:val="18"/>
          <w:szCs w:val="18"/>
        </w:rPr>
        <w:t>2014</w:t>
      </w:r>
      <w:r w:rsidRPr="00DB0C40">
        <w:rPr>
          <w:rFonts w:asciiTheme="minorHAnsi" w:eastAsia="Calibri Light" w:hAnsiTheme="minorHAnsi" w:cstheme="minorHAnsi"/>
          <w:spacing w:val="-5"/>
          <w:sz w:val="18"/>
          <w:szCs w:val="18"/>
        </w:rPr>
        <w:t xml:space="preserve"> </w:t>
      </w:r>
      <w:r w:rsidRPr="00DB0C40">
        <w:rPr>
          <w:rFonts w:asciiTheme="minorHAnsi" w:eastAsia="Calibri Light" w:hAnsiTheme="minorHAnsi" w:cstheme="minorHAnsi"/>
          <w:sz w:val="18"/>
          <w:szCs w:val="18"/>
        </w:rPr>
        <w:t>for</w:t>
      </w:r>
      <w:r w:rsidRPr="00DB0C40">
        <w:rPr>
          <w:rFonts w:asciiTheme="minorHAnsi" w:eastAsia="Calibri Light" w:hAnsiTheme="minorHAnsi" w:cstheme="minorHAnsi"/>
          <w:spacing w:val="-5"/>
          <w:sz w:val="18"/>
          <w:szCs w:val="18"/>
        </w:rPr>
        <w:t xml:space="preserve"> </w:t>
      </w:r>
      <w:r w:rsidRPr="00DB0C40">
        <w:rPr>
          <w:rFonts w:asciiTheme="minorHAnsi" w:eastAsia="Calibri Light" w:hAnsiTheme="minorHAnsi" w:cstheme="minorHAnsi"/>
          <w:sz w:val="18"/>
          <w:szCs w:val="18"/>
        </w:rPr>
        <w:t>the</w:t>
      </w:r>
      <w:r w:rsidRPr="00DB0C40">
        <w:rPr>
          <w:rFonts w:asciiTheme="minorHAnsi" w:eastAsia="Calibri Light" w:hAnsiTheme="minorHAnsi" w:cstheme="minorHAnsi"/>
          <w:spacing w:val="-5"/>
          <w:sz w:val="18"/>
          <w:szCs w:val="18"/>
        </w:rPr>
        <w:t xml:space="preserve"> </w:t>
      </w:r>
      <w:r w:rsidRPr="00DB0C40">
        <w:rPr>
          <w:rFonts w:asciiTheme="minorHAnsi" w:eastAsia="Calibri Light" w:hAnsiTheme="minorHAnsi" w:cstheme="minorHAnsi"/>
          <w:sz w:val="18"/>
          <w:szCs w:val="18"/>
        </w:rPr>
        <w:t>EU,</w:t>
      </w:r>
      <w:r w:rsidRPr="00DB0C40">
        <w:rPr>
          <w:rFonts w:asciiTheme="minorHAnsi" w:eastAsia="Calibri Light" w:hAnsiTheme="minorHAnsi" w:cstheme="minorHAnsi"/>
          <w:spacing w:val="-4"/>
          <w:sz w:val="18"/>
          <w:szCs w:val="18"/>
        </w:rPr>
        <w:t xml:space="preserve"> </w:t>
      </w:r>
      <w:r w:rsidRPr="00DB0C40">
        <w:rPr>
          <w:rFonts w:asciiTheme="minorHAnsi" w:eastAsia="Calibri Light" w:hAnsiTheme="minorHAnsi" w:cstheme="minorHAnsi"/>
          <w:sz w:val="18"/>
          <w:szCs w:val="18"/>
        </w:rPr>
        <w:t>France,</w:t>
      </w:r>
      <w:r w:rsidRPr="00DB0C40">
        <w:rPr>
          <w:rFonts w:asciiTheme="minorHAnsi" w:eastAsia="Calibri Light" w:hAnsiTheme="minorHAnsi" w:cstheme="minorHAnsi"/>
          <w:spacing w:val="-5"/>
          <w:sz w:val="18"/>
          <w:szCs w:val="18"/>
        </w:rPr>
        <w:t xml:space="preserve"> </w:t>
      </w:r>
      <w:r w:rsidRPr="00DB0C40">
        <w:rPr>
          <w:rFonts w:asciiTheme="minorHAnsi" w:eastAsia="Calibri Light" w:hAnsiTheme="minorHAnsi" w:cstheme="minorHAnsi"/>
          <w:sz w:val="18"/>
          <w:szCs w:val="18"/>
        </w:rPr>
        <w:t>Spain</w:t>
      </w:r>
      <w:r w:rsidRPr="00DB0C40">
        <w:rPr>
          <w:rFonts w:asciiTheme="minorHAnsi" w:eastAsia="Calibri Light" w:hAnsiTheme="minorHAnsi" w:cstheme="minorHAnsi"/>
          <w:spacing w:val="-5"/>
          <w:sz w:val="18"/>
          <w:szCs w:val="18"/>
        </w:rPr>
        <w:t xml:space="preserve"> </w:t>
      </w:r>
      <w:r w:rsidRPr="00DB0C40">
        <w:rPr>
          <w:rFonts w:asciiTheme="minorHAnsi" w:eastAsia="Calibri Light" w:hAnsiTheme="minorHAnsi" w:cstheme="minorHAnsi"/>
          <w:sz w:val="18"/>
          <w:szCs w:val="18"/>
        </w:rPr>
        <w:t>and</w:t>
      </w:r>
      <w:r w:rsidRPr="00DB0C40">
        <w:rPr>
          <w:rFonts w:asciiTheme="minorHAnsi" w:eastAsia="Calibri Light" w:hAnsiTheme="minorHAnsi" w:cstheme="minorHAnsi"/>
          <w:spacing w:val="-5"/>
          <w:sz w:val="18"/>
          <w:szCs w:val="18"/>
        </w:rPr>
        <w:t xml:space="preserve"> </w:t>
      </w:r>
      <w:r w:rsidRPr="00DB0C40">
        <w:rPr>
          <w:rFonts w:asciiTheme="minorHAnsi" w:eastAsia="Calibri Light" w:hAnsiTheme="minorHAnsi" w:cstheme="minorHAnsi"/>
          <w:sz w:val="18"/>
          <w:szCs w:val="18"/>
        </w:rPr>
        <w:t>Türkiye;</w:t>
      </w:r>
      <w:r w:rsidRPr="00DB0C40">
        <w:rPr>
          <w:rFonts w:asciiTheme="minorHAnsi" w:eastAsia="Calibri Light" w:hAnsiTheme="minorHAnsi" w:cstheme="minorHAnsi"/>
          <w:spacing w:val="-5"/>
          <w:sz w:val="18"/>
          <w:szCs w:val="18"/>
        </w:rPr>
        <w:t xml:space="preserve"> </w:t>
      </w:r>
      <w:r w:rsidRPr="00DB0C40">
        <w:rPr>
          <w:rFonts w:asciiTheme="minorHAnsi" w:eastAsia="Calibri Light" w:hAnsiTheme="minorHAnsi" w:cstheme="minorHAnsi"/>
          <w:sz w:val="18"/>
          <w:szCs w:val="18"/>
        </w:rPr>
        <w:t>2015</w:t>
      </w:r>
      <w:r w:rsidRPr="00DB0C40">
        <w:rPr>
          <w:rFonts w:asciiTheme="minorHAnsi" w:eastAsia="Calibri Light" w:hAnsiTheme="minorHAnsi" w:cstheme="minorHAnsi"/>
          <w:spacing w:val="-6"/>
          <w:sz w:val="18"/>
          <w:szCs w:val="18"/>
        </w:rPr>
        <w:t xml:space="preserve"> </w:t>
      </w:r>
      <w:r w:rsidRPr="00DB0C40">
        <w:rPr>
          <w:rFonts w:asciiTheme="minorHAnsi" w:eastAsia="Calibri Light" w:hAnsiTheme="minorHAnsi" w:cstheme="minorHAnsi"/>
          <w:sz w:val="18"/>
          <w:szCs w:val="18"/>
        </w:rPr>
        <w:t>for</w:t>
      </w:r>
      <w:r w:rsidRPr="00DB0C40">
        <w:rPr>
          <w:rFonts w:asciiTheme="minorHAnsi" w:eastAsia="Calibri Light" w:hAnsiTheme="minorHAnsi" w:cstheme="minorHAnsi"/>
          <w:spacing w:val="-5"/>
          <w:sz w:val="18"/>
          <w:szCs w:val="18"/>
        </w:rPr>
        <w:t xml:space="preserve"> </w:t>
      </w:r>
      <w:r w:rsidRPr="00DB0C40">
        <w:rPr>
          <w:rFonts w:asciiTheme="minorHAnsi" w:eastAsia="Calibri Light" w:hAnsiTheme="minorHAnsi" w:cstheme="minorHAnsi"/>
          <w:sz w:val="18"/>
          <w:szCs w:val="18"/>
        </w:rPr>
        <w:t>Brazil</w:t>
      </w:r>
      <w:r w:rsidRPr="00DB0C40">
        <w:rPr>
          <w:rFonts w:asciiTheme="minorHAnsi" w:eastAsia="Calibri Light" w:hAnsiTheme="minorHAnsi" w:cstheme="minorHAnsi"/>
          <w:spacing w:val="-6"/>
          <w:sz w:val="18"/>
          <w:szCs w:val="18"/>
        </w:rPr>
        <w:t xml:space="preserve"> </w:t>
      </w:r>
      <w:r w:rsidRPr="00DB0C40">
        <w:rPr>
          <w:rFonts w:asciiTheme="minorHAnsi" w:eastAsia="Calibri Light" w:hAnsiTheme="minorHAnsi" w:cstheme="minorHAnsi"/>
          <w:sz w:val="18"/>
          <w:szCs w:val="18"/>
        </w:rPr>
        <w:t>and</w:t>
      </w:r>
      <w:r w:rsidRPr="00DB0C40">
        <w:rPr>
          <w:rFonts w:asciiTheme="minorHAnsi" w:eastAsia="Calibri Light" w:hAnsiTheme="minorHAnsi" w:cstheme="minorHAnsi"/>
          <w:spacing w:val="-5"/>
          <w:sz w:val="18"/>
          <w:szCs w:val="18"/>
        </w:rPr>
        <w:t xml:space="preserve"> </w:t>
      </w:r>
      <w:r w:rsidRPr="00DB0C40">
        <w:rPr>
          <w:rFonts w:asciiTheme="minorHAnsi" w:eastAsia="Calibri Light" w:hAnsiTheme="minorHAnsi" w:cstheme="minorHAnsi"/>
          <w:sz w:val="18"/>
          <w:szCs w:val="18"/>
        </w:rPr>
        <w:t>South</w:t>
      </w:r>
      <w:r w:rsidRPr="00DB0C40">
        <w:rPr>
          <w:rFonts w:asciiTheme="minorHAnsi" w:eastAsia="Calibri Light" w:hAnsiTheme="minorHAnsi" w:cstheme="minorHAnsi"/>
          <w:spacing w:val="-5"/>
          <w:sz w:val="18"/>
          <w:szCs w:val="18"/>
        </w:rPr>
        <w:t xml:space="preserve"> </w:t>
      </w:r>
      <w:r w:rsidRPr="00DB0C40">
        <w:rPr>
          <w:rFonts w:asciiTheme="minorHAnsi" w:eastAsia="Calibri Light" w:hAnsiTheme="minorHAnsi" w:cstheme="minorHAnsi"/>
          <w:sz w:val="18"/>
          <w:szCs w:val="18"/>
        </w:rPr>
        <w:t>Africa;</w:t>
      </w:r>
      <w:r w:rsidRPr="00DB0C40">
        <w:rPr>
          <w:rFonts w:asciiTheme="minorHAnsi" w:eastAsia="Calibri Light" w:hAnsiTheme="minorHAnsi" w:cstheme="minorHAnsi"/>
          <w:spacing w:val="-4"/>
          <w:sz w:val="18"/>
          <w:szCs w:val="18"/>
        </w:rPr>
        <w:t xml:space="preserve"> </w:t>
      </w:r>
      <w:r w:rsidRPr="00DB0C40">
        <w:rPr>
          <w:rFonts w:asciiTheme="minorHAnsi" w:eastAsia="Calibri Light" w:hAnsiTheme="minorHAnsi" w:cstheme="minorHAnsi"/>
          <w:sz w:val="18"/>
          <w:szCs w:val="18"/>
        </w:rPr>
        <w:t>and</w:t>
      </w:r>
      <w:r w:rsidRPr="00DB0C40">
        <w:rPr>
          <w:rFonts w:asciiTheme="minorHAnsi" w:eastAsia="Calibri Light" w:hAnsiTheme="minorHAnsi" w:cstheme="minorHAnsi"/>
          <w:spacing w:val="-5"/>
          <w:sz w:val="18"/>
          <w:szCs w:val="18"/>
        </w:rPr>
        <w:t xml:space="preserve"> </w:t>
      </w:r>
      <w:r w:rsidRPr="00DB0C40">
        <w:rPr>
          <w:rFonts w:asciiTheme="minorHAnsi" w:eastAsia="Calibri Light" w:hAnsiTheme="minorHAnsi" w:cstheme="minorHAnsi"/>
          <w:sz w:val="18"/>
          <w:szCs w:val="18"/>
        </w:rPr>
        <w:t>2016</w:t>
      </w:r>
      <w:r w:rsidRPr="00DB0C40">
        <w:rPr>
          <w:rFonts w:asciiTheme="minorHAnsi" w:eastAsia="Calibri Light" w:hAnsiTheme="minorHAnsi" w:cstheme="minorHAnsi"/>
          <w:spacing w:val="-5"/>
          <w:sz w:val="18"/>
          <w:szCs w:val="18"/>
        </w:rPr>
        <w:t xml:space="preserve"> </w:t>
      </w:r>
      <w:r w:rsidRPr="00DB0C40">
        <w:rPr>
          <w:rFonts w:asciiTheme="minorHAnsi" w:eastAsia="Calibri Light" w:hAnsiTheme="minorHAnsi" w:cstheme="minorHAnsi"/>
          <w:sz w:val="18"/>
          <w:szCs w:val="18"/>
        </w:rPr>
        <w:t>for</w:t>
      </w:r>
      <w:r w:rsidRPr="00DB0C40">
        <w:rPr>
          <w:rFonts w:asciiTheme="minorHAnsi" w:eastAsia="Calibri Light" w:hAnsiTheme="minorHAnsi" w:cstheme="minorHAnsi"/>
          <w:spacing w:val="-6"/>
          <w:sz w:val="18"/>
          <w:szCs w:val="18"/>
        </w:rPr>
        <w:t xml:space="preserve"> </w:t>
      </w:r>
      <w:r w:rsidRPr="00DB0C40">
        <w:rPr>
          <w:rFonts w:asciiTheme="minorHAnsi" w:eastAsia="Calibri Light" w:hAnsiTheme="minorHAnsi" w:cstheme="minorHAnsi"/>
          <w:sz w:val="18"/>
          <w:szCs w:val="18"/>
        </w:rPr>
        <w:t>Italy</w:t>
      </w:r>
      <w:r w:rsidRPr="00DB0C40">
        <w:rPr>
          <w:rFonts w:asciiTheme="minorHAnsi" w:eastAsia="Calibri Light" w:hAnsiTheme="minorHAnsi" w:cstheme="minorHAnsi"/>
          <w:spacing w:val="-5"/>
          <w:sz w:val="18"/>
          <w:szCs w:val="18"/>
        </w:rPr>
        <w:t xml:space="preserve"> </w:t>
      </w:r>
      <w:r w:rsidRPr="00DB0C40">
        <w:rPr>
          <w:rFonts w:asciiTheme="minorHAnsi" w:eastAsia="Calibri Light" w:hAnsiTheme="minorHAnsi" w:cstheme="minorHAnsi"/>
          <w:sz w:val="18"/>
          <w:szCs w:val="18"/>
        </w:rPr>
        <w:t>and</w:t>
      </w:r>
      <w:r w:rsidRPr="00DB0C40">
        <w:rPr>
          <w:rFonts w:asciiTheme="minorHAnsi" w:eastAsia="Calibri Light" w:hAnsiTheme="minorHAnsi" w:cstheme="minorHAnsi"/>
          <w:spacing w:val="-4"/>
          <w:sz w:val="18"/>
          <w:szCs w:val="18"/>
        </w:rPr>
        <w:t xml:space="preserve"> </w:t>
      </w:r>
      <w:r w:rsidRPr="00DB0C40">
        <w:rPr>
          <w:rFonts w:asciiTheme="minorHAnsi" w:eastAsia="Calibri Light" w:hAnsiTheme="minorHAnsi" w:cstheme="minorHAnsi"/>
          <w:sz w:val="18"/>
          <w:szCs w:val="18"/>
        </w:rPr>
        <w:t>Germany.</w:t>
      </w:r>
      <w:r w:rsidRPr="00DB0C40">
        <w:rPr>
          <w:rFonts w:asciiTheme="minorHAnsi" w:eastAsia="Calibri Light" w:hAnsiTheme="minorHAnsi" w:cstheme="minorHAnsi"/>
          <w:spacing w:val="-4"/>
          <w:sz w:val="18"/>
          <w:szCs w:val="18"/>
        </w:rPr>
        <w:t xml:space="preserve"> </w:t>
      </w:r>
      <w:r w:rsidRPr="00DB0C40">
        <w:rPr>
          <w:rFonts w:asciiTheme="minorHAnsi" w:eastAsia="Calibri Light" w:hAnsiTheme="minorHAnsi" w:cstheme="minorHAnsi"/>
          <w:sz w:val="18"/>
          <w:szCs w:val="18"/>
        </w:rPr>
        <w:t>The</w:t>
      </w:r>
      <w:r w:rsidRPr="00DB0C40">
        <w:rPr>
          <w:rFonts w:asciiTheme="minorHAnsi" w:eastAsia="Calibri Light" w:hAnsiTheme="minorHAnsi" w:cstheme="minorHAnsi"/>
          <w:spacing w:val="-5"/>
          <w:sz w:val="18"/>
          <w:szCs w:val="18"/>
        </w:rPr>
        <w:t xml:space="preserve"> </w:t>
      </w:r>
      <w:r w:rsidRPr="00DB0C40">
        <w:rPr>
          <w:rFonts w:asciiTheme="minorHAnsi" w:eastAsia="Calibri Light" w:hAnsiTheme="minorHAnsi" w:cstheme="minorHAnsi"/>
          <w:sz w:val="18"/>
          <w:szCs w:val="18"/>
        </w:rPr>
        <w:t>data</w:t>
      </w:r>
      <w:r w:rsidRPr="00DB0C40">
        <w:rPr>
          <w:rFonts w:asciiTheme="minorHAnsi" w:eastAsia="Calibri Light" w:hAnsiTheme="minorHAnsi" w:cstheme="minorHAnsi"/>
          <w:spacing w:val="-42"/>
          <w:sz w:val="18"/>
          <w:szCs w:val="18"/>
        </w:rPr>
        <w:t xml:space="preserve"> </w:t>
      </w:r>
      <w:r w:rsidRPr="00DB0C40">
        <w:rPr>
          <w:rFonts w:asciiTheme="minorHAnsi" w:eastAsia="Calibri Light" w:hAnsiTheme="minorHAnsi" w:cstheme="minorHAnsi"/>
          <w:sz w:val="18"/>
          <w:szCs w:val="18"/>
        </w:rPr>
        <w:t>for</w:t>
      </w:r>
      <w:r w:rsidRPr="00DB0C40">
        <w:rPr>
          <w:rFonts w:asciiTheme="minorHAnsi" w:eastAsia="Calibri Light" w:hAnsiTheme="minorHAnsi" w:cstheme="minorHAnsi"/>
          <w:spacing w:val="-2"/>
          <w:sz w:val="18"/>
          <w:szCs w:val="18"/>
        </w:rPr>
        <w:t xml:space="preserve"> </w:t>
      </w:r>
      <w:r w:rsidRPr="00DB0C40">
        <w:rPr>
          <w:rFonts w:asciiTheme="minorHAnsi" w:eastAsia="Calibri Light" w:hAnsiTheme="minorHAnsi" w:cstheme="minorHAnsi"/>
          <w:sz w:val="18"/>
          <w:szCs w:val="18"/>
        </w:rPr>
        <w:t>2006</w:t>
      </w:r>
      <w:r w:rsidRPr="00DB0C40">
        <w:rPr>
          <w:rFonts w:asciiTheme="minorHAnsi" w:eastAsia="Calibri Light" w:hAnsiTheme="minorHAnsi" w:cstheme="minorHAnsi"/>
          <w:spacing w:val="1"/>
          <w:sz w:val="18"/>
          <w:szCs w:val="18"/>
        </w:rPr>
        <w:t xml:space="preserve"> </w:t>
      </w:r>
      <w:r w:rsidRPr="00DB0C40">
        <w:rPr>
          <w:rFonts w:asciiTheme="minorHAnsi" w:eastAsia="Calibri Light" w:hAnsiTheme="minorHAnsi" w:cstheme="minorHAnsi"/>
          <w:sz w:val="18"/>
          <w:szCs w:val="18"/>
        </w:rPr>
        <w:t>refer</w:t>
      </w:r>
      <w:r w:rsidRPr="00DB0C40">
        <w:rPr>
          <w:rFonts w:asciiTheme="minorHAnsi" w:eastAsia="Calibri Light" w:hAnsiTheme="minorHAnsi" w:cstheme="minorHAnsi"/>
          <w:spacing w:val="1"/>
          <w:sz w:val="18"/>
          <w:szCs w:val="18"/>
        </w:rPr>
        <w:t xml:space="preserve"> </w:t>
      </w:r>
      <w:r w:rsidRPr="00DB0C40">
        <w:rPr>
          <w:rFonts w:asciiTheme="minorHAnsi" w:eastAsia="Calibri Light" w:hAnsiTheme="minorHAnsi" w:cstheme="minorHAnsi"/>
          <w:sz w:val="18"/>
          <w:szCs w:val="18"/>
        </w:rPr>
        <w:t>to</w:t>
      </w:r>
      <w:r w:rsidRPr="00DB0C40">
        <w:rPr>
          <w:rFonts w:asciiTheme="minorHAnsi" w:eastAsia="Calibri Light" w:hAnsiTheme="minorHAnsi" w:cstheme="minorHAnsi"/>
          <w:spacing w:val="1"/>
          <w:sz w:val="18"/>
          <w:szCs w:val="18"/>
        </w:rPr>
        <w:t xml:space="preserve"> </w:t>
      </w:r>
      <w:r w:rsidRPr="00DB0C40">
        <w:rPr>
          <w:rFonts w:asciiTheme="minorHAnsi" w:eastAsia="Calibri Light" w:hAnsiTheme="minorHAnsi" w:cstheme="minorHAnsi"/>
          <w:sz w:val="18"/>
          <w:szCs w:val="18"/>
        </w:rPr>
        <w:t>2008</w:t>
      </w:r>
      <w:r w:rsidRPr="00DB0C40">
        <w:rPr>
          <w:rFonts w:asciiTheme="minorHAnsi" w:eastAsia="Calibri Light" w:hAnsiTheme="minorHAnsi" w:cstheme="minorHAnsi"/>
          <w:spacing w:val="-1"/>
          <w:sz w:val="18"/>
          <w:szCs w:val="18"/>
        </w:rPr>
        <w:t xml:space="preserve"> </w:t>
      </w:r>
      <w:r w:rsidRPr="00DB0C40">
        <w:rPr>
          <w:rFonts w:asciiTheme="minorHAnsi" w:eastAsia="Calibri Light" w:hAnsiTheme="minorHAnsi" w:cstheme="minorHAnsi"/>
          <w:sz w:val="18"/>
          <w:szCs w:val="18"/>
        </w:rPr>
        <w:t>for</w:t>
      </w:r>
      <w:r w:rsidRPr="00DB0C40">
        <w:rPr>
          <w:rFonts w:asciiTheme="minorHAnsi" w:eastAsia="Calibri Light" w:hAnsiTheme="minorHAnsi" w:cstheme="minorHAnsi"/>
          <w:spacing w:val="-1"/>
          <w:sz w:val="18"/>
          <w:szCs w:val="18"/>
        </w:rPr>
        <w:t xml:space="preserve"> </w:t>
      </w:r>
      <w:r w:rsidRPr="00DB0C40">
        <w:rPr>
          <w:rFonts w:asciiTheme="minorHAnsi" w:eastAsia="Calibri Light" w:hAnsiTheme="minorHAnsi" w:cstheme="minorHAnsi"/>
          <w:sz w:val="18"/>
          <w:szCs w:val="18"/>
        </w:rPr>
        <w:t>South</w:t>
      </w:r>
      <w:r w:rsidRPr="00DB0C40">
        <w:rPr>
          <w:rFonts w:asciiTheme="minorHAnsi" w:eastAsia="Calibri Light" w:hAnsiTheme="minorHAnsi" w:cstheme="minorHAnsi"/>
          <w:spacing w:val="-1"/>
          <w:sz w:val="18"/>
          <w:szCs w:val="18"/>
        </w:rPr>
        <w:t xml:space="preserve"> </w:t>
      </w:r>
      <w:r w:rsidRPr="00DB0C40">
        <w:rPr>
          <w:rFonts w:asciiTheme="minorHAnsi" w:eastAsia="Calibri Light" w:hAnsiTheme="minorHAnsi" w:cstheme="minorHAnsi"/>
          <w:sz w:val="18"/>
          <w:szCs w:val="18"/>
        </w:rPr>
        <w:t>Africa.</w:t>
      </w:r>
    </w:p>
    <w:p w14:paraId="7EFA9670" w14:textId="77777777" w:rsidR="002557B7" w:rsidRPr="00DB0C40" w:rsidRDefault="002557B7" w:rsidP="002557B7">
      <w:pPr>
        <w:widowControl w:val="0"/>
        <w:autoSpaceDE w:val="0"/>
        <w:autoSpaceDN w:val="0"/>
        <w:spacing w:before="120"/>
        <w:ind w:left="119" w:right="156"/>
        <w:jc w:val="both"/>
        <w:rPr>
          <w:rFonts w:asciiTheme="minorHAnsi" w:eastAsia="Calibri Light" w:hAnsiTheme="minorHAnsi" w:cstheme="minorHAnsi"/>
          <w:sz w:val="18"/>
          <w:szCs w:val="18"/>
        </w:rPr>
      </w:pPr>
      <w:r w:rsidRPr="00DB0C40">
        <w:rPr>
          <w:rFonts w:asciiTheme="minorHAnsi" w:eastAsia="Calibri Light" w:hAnsiTheme="minorHAnsi" w:cstheme="minorHAnsi"/>
          <w:sz w:val="18"/>
          <w:szCs w:val="18"/>
        </w:rPr>
        <w:t>Source: OECD Earnings Distribution Database, OECD estimates based on national labour force surveys for Argentina, Brazil,</w:t>
      </w:r>
      <w:r w:rsidRPr="00DB0C40">
        <w:rPr>
          <w:rFonts w:asciiTheme="minorHAnsi" w:eastAsia="Calibri Light" w:hAnsiTheme="minorHAnsi" w:cstheme="minorHAnsi"/>
          <w:spacing w:val="1"/>
          <w:sz w:val="18"/>
          <w:szCs w:val="18"/>
        </w:rPr>
        <w:t xml:space="preserve"> </w:t>
      </w:r>
      <w:r w:rsidRPr="00DB0C40">
        <w:rPr>
          <w:rFonts w:asciiTheme="minorHAnsi" w:eastAsia="Calibri Light" w:hAnsiTheme="minorHAnsi" w:cstheme="minorHAnsi"/>
          <w:sz w:val="18"/>
          <w:szCs w:val="18"/>
        </w:rPr>
        <w:t>India</w:t>
      </w:r>
      <w:r w:rsidRPr="00DB0C40">
        <w:rPr>
          <w:rFonts w:asciiTheme="minorHAnsi" w:eastAsia="Calibri Light" w:hAnsiTheme="minorHAnsi" w:cstheme="minorHAnsi"/>
          <w:spacing w:val="-1"/>
          <w:sz w:val="18"/>
          <w:szCs w:val="18"/>
        </w:rPr>
        <w:t xml:space="preserve"> </w:t>
      </w:r>
      <w:r w:rsidRPr="00DB0C40">
        <w:rPr>
          <w:rFonts w:asciiTheme="minorHAnsi" w:eastAsia="Calibri Light" w:hAnsiTheme="minorHAnsi" w:cstheme="minorHAnsi"/>
          <w:sz w:val="18"/>
          <w:szCs w:val="18"/>
        </w:rPr>
        <w:t>and Indonesia, and the NIDS panel survey</w:t>
      </w:r>
      <w:r w:rsidRPr="00DB0C40">
        <w:rPr>
          <w:rFonts w:asciiTheme="minorHAnsi" w:eastAsia="Calibri Light" w:hAnsiTheme="minorHAnsi" w:cstheme="minorHAnsi"/>
          <w:spacing w:val="-2"/>
          <w:sz w:val="18"/>
          <w:szCs w:val="18"/>
        </w:rPr>
        <w:t xml:space="preserve"> </w:t>
      </w:r>
      <w:r w:rsidRPr="00DB0C40">
        <w:rPr>
          <w:rFonts w:asciiTheme="minorHAnsi" w:eastAsia="Calibri Light" w:hAnsiTheme="minorHAnsi" w:cstheme="minorHAnsi"/>
          <w:sz w:val="18"/>
          <w:szCs w:val="18"/>
        </w:rPr>
        <w:t>for South Africa.</w:t>
      </w:r>
    </w:p>
    <w:p w14:paraId="6E6A434A" w14:textId="77777777" w:rsidR="002557B7" w:rsidRPr="00DB0C40" w:rsidRDefault="002557B7" w:rsidP="002557B7">
      <w:pPr>
        <w:spacing w:after="160" w:line="259" w:lineRule="auto"/>
        <w:jc w:val="both"/>
        <w:rPr>
          <w:rFonts w:asciiTheme="minorHAnsi" w:eastAsiaTheme="minorHAnsi" w:hAnsiTheme="minorHAnsi" w:cstheme="minorHAnsi"/>
          <w:iCs/>
          <w:sz w:val="22"/>
          <w:szCs w:val="22"/>
        </w:rPr>
      </w:pPr>
    </w:p>
    <w:p w14:paraId="7DA470C7" w14:textId="1C43316D" w:rsidR="002557B7" w:rsidRPr="00DB0C40" w:rsidRDefault="002557B7" w:rsidP="002557B7">
      <w:pPr>
        <w:spacing w:after="160" w:line="259" w:lineRule="auto"/>
        <w:jc w:val="both"/>
        <w:rPr>
          <w:rFonts w:asciiTheme="minorHAnsi" w:eastAsiaTheme="minorHAnsi" w:hAnsiTheme="minorHAnsi" w:cstheme="minorHAnsi"/>
          <w:iCs/>
          <w:sz w:val="22"/>
          <w:szCs w:val="22"/>
        </w:rPr>
      </w:pPr>
      <w:r w:rsidRPr="00DB0C40">
        <w:rPr>
          <w:rFonts w:asciiTheme="minorHAnsi" w:eastAsiaTheme="minorHAnsi" w:hAnsiTheme="minorHAnsi" w:cstheme="minorHAnsi"/>
          <w:iCs/>
          <w:sz w:val="22"/>
          <w:szCs w:val="22"/>
        </w:rPr>
        <w:t xml:space="preserve">In terms of policy action to foster greater gender equality in the labour market, 2019’s report noted increased attention towards measures aimed at supporting women through work transitions, in particular returning to work after maternity. In 2020, G20 countries are converging in promoting better family leave policies and work‐life balance, taking into consideration that greater choice over time use would be particularly effective within a world of work where everybody needs to be more involved in care. Overall efforts in increasing childcare provisions are re‐confirmed practically in all G20 countries, while more efforts should be undertaken in the context of long‐term care, including care leave provisions. While quality, affordable and inclusive public care services and well‐designed care leave policies for both women and men will help to reduce women’s unpaid work responsibilities, more needs to be done to ensure that men take on a </w:t>
      </w:r>
      <w:r w:rsidR="00853140">
        <w:rPr>
          <w:rFonts w:asciiTheme="minorHAnsi" w:eastAsiaTheme="minorHAnsi" w:hAnsiTheme="minorHAnsi" w:cstheme="minorHAnsi"/>
          <w:iCs/>
          <w:sz w:val="22"/>
          <w:szCs w:val="22"/>
        </w:rPr>
        <w:t>larger</w:t>
      </w:r>
      <w:r w:rsidRPr="00DB0C40">
        <w:rPr>
          <w:rFonts w:asciiTheme="minorHAnsi" w:eastAsiaTheme="minorHAnsi" w:hAnsiTheme="minorHAnsi" w:cstheme="minorHAnsi"/>
          <w:iCs/>
          <w:sz w:val="22"/>
          <w:szCs w:val="22"/>
        </w:rPr>
        <w:t xml:space="preserve"> responsibility for unpaid work. There is scope for initiatives, such as well‐tailored awareness‐raising campaigns, that challenge deep‐seated gender stereotypes and change mind‐sets concerning what is the ‘appropriate’ role of women and men at home and at work.</w:t>
      </w:r>
    </w:p>
    <w:p w14:paraId="28878F16" w14:textId="58CBE4AF" w:rsidR="002557B7" w:rsidRPr="00DB0C40" w:rsidRDefault="002557B7" w:rsidP="002557B7">
      <w:pPr>
        <w:spacing w:after="160" w:line="259" w:lineRule="auto"/>
        <w:jc w:val="both"/>
        <w:rPr>
          <w:rFonts w:asciiTheme="minorHAnsi" w:eastAsiaTheme="minorHAnsi" w:hAnsiTheme="minorHAnsi" w:cstheme="minorHAnsi"/>
          <w:iCs/>
          <w:sz w:val="22"/>
          <w:szCs w:val="22"/>
        </w:rPr>
      </w:pPr>
      <w:r w:rsidRPr="00DB0C40">
        <w:rPr>
          <w:rFonts w:asciiTheme="minorHAnsi" w:eastAsiaTheme="minorHAnsi" w:hAnsiTheme="minorHAnsi" w:cstheme="minorHAnsi"/>
          <w:iCs/>
          <w:sz w:val="22"/>
          <w:szCs w:val="22"/>
        </w:rPr>
        <w:t>Reinvigorated efforts are also noticeable in the context of tackling gender‐based discrimination, including pregnancy and maternity status, and violence and harassment in the world of work. However, this is an area that should be further explored as concerns have been raised regarding the use of non‐standard forms of employment, including in the platform economy, to circumvent the requirement to respect non‐discriminatory provisions and maternity protection legislation for women.</w:t>
      </w:r>
    </w:p>
    <w:p w14:paraId="7388FE27" w14:textId="77777777" w:rsidR="002557B7" w:rsidRPr="00DB0C40" w:rsidRDefault="002557B7" w:rsidP="002557B7">
      <w:pPr>
        <w:spacing w:after="160" w:line="259" w:lineRule="auto"/>
        <w:jc w:val="both"/>
        <w:rPr>
          <w:rFonts w:asciiTheme="minorHAnsi" w:eastAsiaTheme="minorHAnsi" w:hAnsiTheme="minorHAnsi" w:cstheme="minorHAnsi"/>
          <w:iCs/>
          <w:sz w:val="22"/>
          <w:szCs w:val="22"/>
        </w:rPr>
      </w:pPr>
      <w:r w:rsidRPr="00DB0C40">
        <w:rPr>
          <w:rFonts w:asciiTheme="minorHAnsi" w:eastAsiaTheme="minorHAnsi" w:hAnsiTheme="minorHAnsi" w:cstheme="minorHAnsi"/>
          <w:iCs/>
          <w:sz w:val="22"/>
          <w:szCs w:val="22"/>
        </w:rPr>
        <w:lastRenderedPageBreak/>
        <w:t>Although entrepreneurship development remains a common intervention area among all G20 countries, more efforts should be devoted to ensure that such opportunities embrace all women, including older women. Recognizing their life experience, self‐confidence and willingness to try new things would help to boost economies, including in rural areas, and tackle poverty in old ages, which is a growing concern in many G20 countries. However, it will also be important to ensure that there are adequate employment and social protections in place for these jobs.</w:t>
      </w:r>
    </w:p>
    <w:p w14:paraId="698B2317" w14:textId="77777777" w:rsidR="002557B7" w:rsidRPr="00CD2A61" w:rsidRDefault="002557B7">
      <w:pPr>
        <w:pStyle w:val="ListParagraph"/>
        <w:numPr>
          <w:ilvl w:val="3"/>
          <w:numId w:val="45"/>
        </w:numPr>
        <w:spacing w:after="160" w:line="259" w:lineRule="auto"/>
        <w:jc w:val="both"/>
        <w:rPr>
          <w:rFonts w:asciiTheme="majorHAnsi" w:eastAsiaTheme="majorEastAsia" w:hAnsiTheme="majorHAnsi" w:cstheme="majorBidi"/>
          <w:color w:val="1F3763" w:themeColor="accent1" w:themeShade="7F"/>
        </w:rPr>
      </w:pPr>
      <w:bookmarkStart w:id="82" w:name="_Hlk106961227"/>
      <w:r w:rsidRPr="00CD2A61">
        <w:rPr>
          <w:rFonts w:asciiTheme="majorHAnsi" w:eastAsiaTheme="majorEastAsia" w:hAnsiTheme="majorHAnsi" w:cstheme="majorBidi"/>
          <w:color w:val="1F3763" w:themeColor="accent1" w:themeShade="7F"/>
        </w:rPr>
        <w:t>Indicators Analysed by the World Bank (“Women, Business and the Law”)</w:t>
      </w:r>
    </w:p>
    <w:bookmarkEnd w:id="82"/>
    <w:p w14:paraId="19CE0C30" w14:textId="77777777" w:rsidR="002557B7" w:rsidRPr="00DB0C40" w:rsidRDefault="002557B7" w:rsidP="002557B7">
      <w:pPr>
        <w:spacing w:after="160" w:line="259" w:lineRule="auto"/>
        <w:jc w:val="both"/>
        <w:rPr>
          <w:rFonts w:asciiTheme="minorHAnsi" w:eastAsiaTheme="minorHAnsi" w:hAnsiTheme="minorHAnsi" w:cstheme="minorHAnsi"/>
          <w:sz w:val="22"/>
          <w:szCs w:val="22"/>
        </w:rPr>
      </w:pPr>
      <w:r w:rsidRPr="00DB0C40">
        <w:rPr>
          <w:rFonts w:asciiTheme="minorHAnsi" w:eastAsiaTheme="minorHAnsi" w:hAnsiTheme="minorHAnsi" w:cstheme="minorHAnsi"/>
          <w:sz w:val="22"/>
          <w:szCs w:val="22"/>
        </w:rPr>
        <w:t>The Women Business and the Law Reports is a series of annual studies measuring the laws and regulations in 190 economies, in eight areas impacting women’s economic participation – mobility, workplace, pay, marriage, parenthood, entrepreneurship, assets, and pensions. The 2022 Report also includes pilot research on the legal frameworks for available, affordable and quality childcare, as well as on the implementation of laws.</w:t>
      </w:r>
    </w:p>
    <w:p w14:paraId="10B65752" w14:textId="77777777" w:rsidR="002557B7" w:rsidRPr="00DB0C40" w:rsidRDefault="002557B7" w:rsidP="002557B7">
      <w:pPr>
        <w:spacing w:after="160" w:line="259" w:lineRule="auto"/>
        <w:jc w:val="both"/>
        <w:rPr>
          <w:rFonts w:asciiTheme="minorHAnsi" w:eastAsiaTheme="minorHAnsi" w:hAnsiTheme="minorHAnsi" w:cstheme="minorHAnsi"/>
          <w:sz w:val="22"/>
          <w:szCs w:val="22"/>
        </w:rPr>
      </w:pPr>
      <w:r w:rsidRPr="00DB0C40">
        <w:rPr>
          <w:rFonts w:asciiTheme="minorHAnsi" w:eastAsiaTheme="minorHAnsi" w:hAnsiTheme="minorHAnsi" w:cstheme="minorHAnsi"/>
          <w:sz w:val="22"/>
          <w:szCs w:val="22"/>
        </w:rPr>
        <w:t xml:space="preserve">An important methodological note to be consider is that Data refer to the laws and regulations that are applicable to the main business city (Istanbul). Based on this approach, Türkiye scores 82.5 out of 100. The overall score for Türkiye is only slightly lower than the regional average observed across Europe and Central Asia (84.1). </w:t>
      </w:r>
    </w:p>
    <w:p w14:paraId="3E409C03" w14:textId="5D60DBF7" w:rsidR="002557B7" w:rsidRPr="00DB0C40" w:rsidRDefault="002557B7" w:rsidP="00044DE2">
      <w:pPr>
        <w:spacing w:after="160" w:line="259" w:lineRule="auto"/>
        <w:jc w:val="center"/>
        <w:rPr>
          <w:rFonts w:asciiTheme="minorHAnsi" w:eastAsiaTheme="minorHAnsi" w:hAnsiTheme="minorHAnsi" w:cstheme="minorHAnsi"/>
          <w:b/>
          <w:bCs/>
          <w:sz w:val="22"/>
          <w:szCs w:val="22"/>
        </w:rPr>
      </w:pPr>
      <w:bookmarkStart w:id="83" w:name="_Hlk107137615"/>
      <w:r w:rsidRPr="00DB0C40">
        <w:rPr>
          <w:rFonts w:asciiTheme="minorHAnsi" w:eastAsiaTheme="minorHAnsi" w:hAnsiTheme="minorHAnsi" w:cstheme="minorHAnsi"/>
          <w:b/>
          <w:bCs/>
          <w:sz w:val="22"/>
          <w:szCs w:val="22"/>
        </w:rPr>
        <w:t>Figure</w:t>
      </w:r>
      <w:r w:rsidR="00044DE2" w:rsidRPr="00DB0C40">
        <w:rPr>
          <w:rFonts w:asciiTheme="minorHAnsi" w:eastAsiaTheme="minorHAnsi" w:hAnsiTheme="minorHAnsi" w:cstheme="minorHAnsi"/>
          <w:b/>
          <w:bCs/>
          <w:sz w:val="22"/>
          <w:szCs w:val="22"/>
        </w:rPr>
        <w:t xml:space="preserve"> 5</w:t>
      </w:r>
      <w:r w:rsidRPr="00DB0C40">
        <w:rPr>
          <w:rFonts w:asciiTheme="minorHAnsi" w:eastAsiaTheme="minorHAnsi" w:hAnsiTheme="minorHAnsi" w:cstheme="minorHAnsi"/>
          <w:b/>
          <w:bCs/>
          <w:sz w:val="22"/>
          <w:szCs w:val="22"/>
        </w:rPr>
        <w:t>. Türkiye - Scores for Women, Business and the Law 2022</w:t>
      </w:r>
    </w:p>
    <w:bookmarkEnd w:id="83"/>
    <w:p w14:paraId="4FADF3E8" w14:textId="77777777" w:rsidR="002557B7" w:rsidRPr="00DB0C40" w:rsidRDefault="002557B7" w:rsidP="002557B7">
      <w:pPr>
        <w:spacing w:after="160" w:line="259" w:lineRule="auto"/>
        <w:jc w:val="both"/>
        <w:rPr>
          <w:rFonts w:asciiTheme="minorHAnsi" w:eastAsiaTheme="minorHAnsi" w:hAnsiTheme="minorHAnsi" w:cstheme="minorHAnsi"/>
          <w:sz w:val="22"/>
          <w:szCs w:val="22"/>
        </w:rPr>
      </w:pPr>
      <w:r w:rsidRPr="00DB0C40">
        <w:rPr>
          <w:rFonts w:asciiTheme="minorHAnsi" w:eastAsiaTheme="minorHAnsi" w:hAnsiTheme="minorHAnsi" w:cstheme="minorHAnsi"/>
          <w:noProof/>
          <w:sz w:val="22"/>
          <w:szCs w:val="22"/>
          <w:lang w:eastAsia="en-GB"/>
        </w:rPr>
        <w:drawing>
          <wp:inline distT="0" distB="0" distL="0" distR="0" wp14:anchorId="46A45BAC" wp14:editId="2A5DBB63">
            <wp:extent cx="5943600" cy="1086485"/>
            <wp:effectExtent l="0" t="0" r="0" b="0"/>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1086485"/>
                    </a:xfrm>
                    <a:prstGeom prst="rect">
                      <a:avLst/>
                    </a:prstGeom>
                  </pic:spPr>
                </pic:pic>
              </a:graphicData>
            </a:graphic>
          </wp:inline>
        </w:drawing>
      </w:r>
    </w:p>
    <w:p w14:paraId="5F72FCCC" w14:textId="77777777" w:rsidR="002557B7" w:rsidRPr="00DB0C40" w:rsidRDefault="002557B7" w:rsidP="002557B7">
      <w:pPr>
        <w:spacing w:after="160" w:line="259" w:lineRule="auto"/>
        <w:jc w:val="center"/>
        <w:rPr>
          <w:rFonts w:asciiTheme="minorHAnsi" w:eastAsiaTheme="minorHAnsi" w:hAnsiTheme="minorHAnsi" w:cstheme="minorHAnsi"/>
          <w:sz w:val="18"/>
          <w:szCs w:val="18"/>
        </w:rPr>
      </w:pPr>
      <w:r w:rsidRPr="00DB0C40">
        <w:rPr>
          <w:rFonts w:asciiTheme="minorHAnsi" w:eastAsiaTheme="minorHAnsi" w:hAnsiTheme="minorHAnsi" w:cstheme="minorHAnsi"/>
          <w:sz w:val="18"/>
          <w:szCs w:val="18"/>
        </w:rPr>
        <w:t>Source: World Bank, “Women, Business and the Law” (2022)</w:t>
      </w:r>
      <w:r w:rsidRPr="00DB0C40">
        <w:rPr>
          <w:rFonts w:asciiTheme="minorHAnsi" w:eastAsiaTheme="minorHAnsi" w:hAnsiTheme="minorHAnsi" w:cstheme="minorHAnsi"/>
          <w:sz w:val="18"/>
          <w:szCs w:val="18"/>
        </w:rPr>
        <w:br w:type="page"/>
      </w:r>
    </w:p>
    <w:p w14:paraId="5958FF11" w14:textId="77777777" w:rsidR="002557B7" w:rsidRPr="00DB0C40" w:rsidRDefault="002557B7" w:rsidP="002557B7">
      <w:pPr>
        <w:shd w:val="clear" w:color="auto" w:fill="FFFFFF"/>
        <w:jc w:val="both"/>
        <w:rPr>
          <w:rFonts w:asciiTheme="minorHAnsi" w:eastAsia="Times New Roman" w:hAnsiTheme="minorHAnsi" w:cstheme="minorHAnsi"/>
          <w:sz w:val="22"/>
          <w:szCs w:val="22"/>
        </w:rPr>
      </w:pPr>
      <w:r w:rsidRPr="00DB0C40">
        <w:rPr>
          <w:rFonts w:asciiTheme="minorHAnsi" w:eastAsia="Times New Roman" w:hAnsiTheme="minorHAnsi" w:cstheme="minorHAnsi"/>
          <w:sz w:val="22"/>
          <w:szCs w:val="22"/>
        </w:rPr>
        <w:lastRenderedPageBreak/>
        <w:t xml:space="preserve">On relative Strengths, when it comes to constraints on freedom of movement, laws affecting women’s decisions to work, and gender differences in property and inheritance, Türkiye gets a perfect score. </w:t>
      </w:r>
    </w:p>
    <w:p w14:paraId="463E0AAA" w14:textId="77777777" w:rsidR="002557B7" w:rsidRPr="00DB0C40" w:rsidRDefault="002557B7" w:rsidP="002557B7">
      <w:pPr>
        <w:shd w:val="clear" w:color="auto" w:fill="FFFFFF"/>
        <w:jc w:val="both"/>
        <w:rPr>
          <w:rFonts w:asciiTheme="minorHAnsi" w:eastAsia="Times New Roman" w:hAnsiTheme="minorHAnsi" w:cstheme="minorHAnsi"/>
          <w:sz w:val="22"/>
          <w:szCs w:val="22"/>
        </w:rPr>
      </w:pPr>
    </w:p>
    <w:p w14:paraId="552BED47" w14:textId="77777777" w:rsidR="002557B7" w:rsidRPr="00DB0C40" w:rsidRDefault="002557B7" w:rsidP="002557B7">
      <w:pPr>
        <w:shd w:val="clear" w:color="auto" w:fill="FFFFFF"/>
        <w:jc w:val="both"/>
        <w:rPr>
          <w:rFonts w:asciiTheme="minorHAnsi" w:eastAsia="Times New Roman" w:hAnsiTheme="minorHAnsi" w:cstheme="minorHAnsi"/>
          <w:sz w:val="22"/>
          <w:szCs w:val="22"/>
        </w:rPr>
      </w:pPr>
      <w:r w:rsidRPr="00DB0C40">
        <w:rPr>
          <w:rFonts w:asciiTheme="minorHAnsi" w:eastAsia="Times New Roman" w:hAnsiTheme="minorHAnsi" w:cstheme="minorHAnsi"/>
          <w:sz w:val="22"/>
          <w:szCs w:val="22"/>
        </w:rPr>
        <w:t xml:space="preserve">The following Table shows some of the questions considered on “Workplace” and “Pay” and the answer applied. </w:t>
      </w:r>
    </w:p>
    <w:p w14:paraId="113AAE9D" w14:textId="0F0205BA" w:rsidR="002557B7" w:rsidRPr="00DB0C40" w:rsidRDefault="002557B7" w:rsidP="002557B7">
      <w:pPr>
        <w:shd w:val="clear" w:color="auto" w:fill="FFFFFF"/>
        <w:jc w:val="both"/>
        <w:rPr>
          <w:rFonts w:asciiTheme="minorHAnsi" w:eastAsia="Times New Roman" w:hAnsiTheme="minorHAnsi" w:cstheme="minorHAnsi"/>
          <w:sz w:val="22"/>
          <w:szCs w:val="22"/>
        </w:rPr>
      </w:pPr>
    </w:p>
    <w:p w14:paraId="5BA27A60" w14:textId="5A17EE0F" w:rsidR="00044DE2" w:rsidRPr="00DB0C40" w:rsidRDefault="00044DE2" w:rsidP="00EF4332">
      <w:pPr>
        <w:shd w:val="clear" w:color="auto" w:fill="FFFFFF"/>
        <w:jc w:val="center"/>
        <w:rPr>
          <w:rFonts w:asciiTheme="minorHAnsi" w:eastAsia="Times New Roman" w:hAnsiTheme="minorHAnsi" w:cstheme="minorHAnsi"/>
          <w:b/>
          <w:bCs/>
          <w:sz w:val="22"/>
          <w:szCs w:val="22"/>
        </w:rPr>
      </w:pPr>
      <w:bookmarkStart w:id="84" w:name="_Hlk107137784"/>
      <w:r w:rsidRPr="00DB0C40">
        <w:rPr>
          <w:rFonts w:asciiTheme="minorHAnsi" w:eastAsia="Times New Roman" w:hAnsiTheme="minorHAnsi" w:cstheme="minorHAnsi"/>
          <w:b/>
          <w:bCs/>
          <w:sz w:val="22"/>
          <w:szCs w:val="22"/>
        </w:rPr>
        <w:t>Table 3. Law Sources used for the Women Business and the Law Reports</w:t>
      </w:r>
      <w:r w:rsidR="00EF4332" w:rsidRPr="00DB0C40">
        <w:rPr>
          <w:rFonts w:asciiTheme="minorHAnsi" w:eastAsia="Times New Roman" w:hAnsiTheme="minorHAnsi" w:cstheme="minorHAnsi"/>
          <w:b/>
          <w:bCs/>
          <w:sz w:val="22"/>
          <w:szCs w:val="22"/>
        </w:rPr>
        <w:t xml:space="preserve"> in Turkiye</w:t>
      </w:r>
    </w:p>
    <w:bookmarkEnd w:id="84"/>
    <w:p w14:paraId="13496D24" w14:textId="77777777" w:rsidR="002557B7" w:rsidRPr="00DB0C40" w:rsidRDefault="002557B7" w:rsidP="002557B7">
      <w:pPr>
        <w:shd w:val="clear" w:color="auto" w:fill="FFFFFF"/>
        <w:jc w:val="both"/>
        <w:rPr>
          <w:rFonts w:asciiTheme="minorHAnsi" w:eastAsia="Times New Roman" w:hAnsiTheme="minorHAnsi" w:cstheme="minorHAnsi"/>
          <w:sz w:val="22"/>
          <w:szCs w:val="22"/>
        </w:rPr>
      </w:pPr>
      <w:r w:rsidRPr="00DB0C40">
        <w:rPr>
          <w:rFonts w:asciiTheme="minorHAnsi" w:eastAsia="Times New Roman" w:hAnsiTheme="minorHAnsi" w:cstheme="minorHAnsi"/>
          <w:sz w:val="22"/>
          <w:szCs w:val="22"/>
        </w:rPr>
        <w:t> </w:t>
      </w:r>
    </w:p>
    <w:tbl>
      <w:tblPr>
        <w:tblStyle w:val="TableGrid3"/>
        <w:tblW w:w="0" w:type="auto"/>
        <w:tblLook w:val="04A0" w:firstRow="1" w:lastRow="0" w:firstColumn="1" w:lastColumn="0" w:noHBand="0" w:noVBand="1"/>
      </w:tblPr>
      <w:tblGrid>
        <w:gridCol w:w="1022"/>
        <w:gridCol w:w="4269"/>
        <w:gridCol w:w="783"/>
        <w:gridCol w:w="3276"/>
      </w:tblGrid>
      <w:tr w:rsidR="002557B7" w:rsidRPr="00DB0C40" w14:paraId="2C7C07CA" w14:textId="77777777" w:rsidTr="00EA37BB">
        <w:tc>
          <w:tcPr>
            <w:tcW w:w="0" w:type="auto"/>
            <w:shd w:val="clear" w:color="auto" w:fill="D9E2F3" w:themeFill="accent1" w:themeFillTint="33"/>
          </w:tcPr>
          <w:p w14:paraId="02ECC916" w14:textId="77777777" w:rsidR="002557B7" w:rsidRPr="00DB0C40" w:rsidRDefault="002557B7" w:rsidP="002557B7">
            <w:pPr>
              <w:jc w:val="both"/>
              <w:rPr>
                <w:rFonts w:eastAsia="Times New Roman" w:cstheme="minorHAnsi"/>
                <w:sz w:val="18"/>
                <w:szCs w:val="18"/>
                <w:lang w:val="en-GB"/>
              </w:rPr>
            </w:pPr>
          </w:p>
        </w:tc>
        <w:tc>
          <w:tcPr>
            <w:tcW w:w="0" w:type="auto"/>
            <w:shd w:val="clear" w:color="auto" w:fill="D9E2F3" w:themeFill="accent1" w:themeFillTint="33"/>
          </w:tcPr>
          <w:p w14:paraId="50EAFDA6" w14:textId="77777777" w:rsidR="002557B7" w:rsidRPr="00DB0C40" w:rsidRDefault="002557B7" w:rsidP="002557B7">
            <w:pPr>
              <w:jc w:val="both"/>
              <w:rPr>
                <w:rFonts w:eastAsia="Times New Roman" w:cstheme="minorHAnsi"/>
                <w:b/>
                <w:bCs/>
                <w:sz w:val="18"/>
                <w:szCs w:val="18"/>
                <w:lang w:val="en-GB"/>
              </w:rPr>
            </w:pPr>
            <w:r w:rsidRPr="00DB0C40">
              <w:rPr>
                <w:rFonts w:eastAsia="Times New Roman" w:cstheme="minorHAnsi"/>
                <w:b/>
                <w:bCs/>
                <w:sz w:val="18"/>
                <w:szCs w:val="18"/>
                <w:lang w:val="en-GB"/>
              </w:rPr>
              <w:t>Question</w:t>
            </w:r>
          </w:p>
        </w:tc>
        <w:tc>
          <w:tcPr>
            <w:tcW w:w="0" w:type="auto"/>
            <w:shd w:val="clear" w:color="auto" w:fill="D9E2F3" w:themeFill="accent1" w:themeFillTint="33"/>
          </w:tcPr>
          <w:p w14:paraId="6211AD09" w14:textId="77777777" w:rsidR="002557B7" w:rsidRPr="00DB0C40" w:rsidRDefault="002557B7" w:rsidP="002557B7">
            <w:pPr>
              <w:jc w:val="both"/>
              <w:rPr>
                <w:rFonts w:eastAsia="Times New Roman" w:cstheme="minorHAnsi"/>
                <w:b/>
                <w:bCs/>
                <w:sz w:val="18"/>
                <w:szCs w:val="18"/>
                <w:lang w:val="en-GB"/>
              </w:rPr>
            </w:pPr>
            <w:r w:rsidRPr="00DB0C40">
              <w:rPr>
                <w:rFonts w:eastAsia="Times New Roman" w:cstheme="minorHAnsi"/>
                <w:b/>
                <w:bCs/>
                <w:sz w:val="18"/>
                <w:szCs w:val="18"/>
                <w:lang w:val="en-GB"/>
              </w:rPr>
              <w:t>Answer</w:t>
            </w:r>
          </w:p>
        </w:tc>
        <w:tc>
          <w:tcPr>
            <w:tcW w:w="0" w:type="auto"/>
            <w:shd w:val="clear" w:color="auto" w:fill="D9E2F3" w:themeFill="accent1" w:themeFillTint="33"/>
          </w:tcPr>
          <w:p w14:paraId="5B281A0B" w14:textId="77777777" w:rsidR="002557B7" w:rsidRPr="00DB0C40" w:rsidRDefault="002557B7" w:rsidP="002557B7">
            <w:pPr>
              <w:jc w:val="both"/>
              <w:rPr>
                <w:rFonts w:eastAsia="Times New Roman" w:cstheme="minorHAnsi"/>
                <w:b/>
                <w:bCs/>
                <w:sz w:val="18"/>
                <w:szCs w:val="18"/>
                <w:lang w:val="en-GB"/>
              </w:rPr>
            </w:pPr>
            <w:r w:rsidRPr="00DB0C40">
              <w:rPr>
                <w:rFonts w:eastAsia="Times New Roman" w:cstheme="minorHAnsi"/>
                <w:b/>
                <w:bCs/>
                <w:sz w:val="18"/>
                <w:szCs w:val="18"/>
                <w:lang w:val="en-GB"/>
              </w:rPr>
              <w:t>Legal Basis</w:t>
            </w:r>
          </w:p>
        </w:tc>
      </w:tr>
      <w:tr w:rsidR="002557B7" w:rsidRPr="00DB0C40" w14:paraId="243293B6" w14:textId="77777777" w:rsidTr="00EA37BB">
        <w:tc>
          <w:tcPr>
            <w:tcW w:w="0" w:type="auto"/>
            <w:shd w:val="clear" w:color="auto" w:fill="B4C6E7" w:themeFill="accent1" w:themeFillTint="66"/>
          </w:tcPr>
          <w:p w14:paraId="2D43AA86" w14:textId="77777777" w:rsidR="002557B7" w:rsidRPr="00DB0C40" w:rsidRDefault="002557B7" w:rsidP="002557B7">
            <w:pPr>
              <w:jc w:val="both"/>
              <w:rPr>
                <w:rFonts w:eastAsia="Times New Roman" w:cstheme="minorHAnsi"/>
                <w:b/>
                <w:bCs/>
                <w:sz w:val="18"/>
                <w:szCs w:val="18"/>
                <w:lang w:val="en-GB"/>
              </w:rPr>
            </w:pPr>
            <w:r w:rsidRPr="00DB0C40">
              <w:rPr>
                <w:rFonts w:eastAsia="Times New Roman" w:cstheme="minorHAnsi"/>
                <w:b/>
                <w:bCs/>
                <w:sz w:val="18"/>
                <w:szCs w:val="18"/>
                <w:lang w:val="en-GB"/>
              </w:rPr>
              <w:t>Mobility</w:t>
            </w:r>
          </w:p>
        </w:tc>
        <w:tc>
          <w:tcPr>
            <w:tcW w:w="0" w:type="auto"/>
            <w:shd w:val="clear" w:color="auto" w:fill="FBE4D5" w:themeFill="accent2" w:themeFillTint="33"/>
          </w:tcPr>
          <w:p w14:paraId="17F19DDD" w14:textId="77777777" w:rsidR="002557B7" w:rsidRPr="00DB0C40" w:rsidRDefault="002557B7" w:rsidP="002557B7">
            <w:pPr>
              <w:jc w:val="both"/>
              <w:rPr>
                <w:rFonts w:eastAsia="Times New Roman" w:cstheme="minorHAnsi"/>
                <w:sz w:val="18"/>
                <w:szCs w:val="18"/>
                <w:lang w:val="en-GB"/>
              </w:rPr>
            </w:pPr>
            <w:r w:rsidRPr="00DB0C40">
              <w:rPr>
                <w:rFonts w:eastAsia="Times New Roman" w:cstheme="minorHAnsi"/>
                <w:iCs/>
                <w:sz w:val="18"/>
                <w:szCs w:val="18"/>
                <w:lang w:val="en-GB"/>
              </w:rPr>
              <w:t xml:space="preserve">Can a woman choose where to live in the same way as a man? </w:t>
            </w:r>
          </w:p>
        </w:tc>
        <w:tc>
          <w:tcPr>
            <w:tcW w:w="0" w:type="auto"/>
            <w:shd w:val="clear" w:color="auto" w:fill="FBE4D5" w:themeFill="accent2" w:themeFillTint="33"/>
          </w:tcPr>
          <w:p w14:paraId="2B41F031" w14:textId="77777777" w:rsidR="002557B7" w:rsidRPr="00DB0C40" w:rsidRDefault="002557B7" w:rsidP="002557B7">
            <w:pPr>
              <w:jc w:val="both"/>
              <w:rPr>
                <w:rFonts w:eastAsia="Times New Roman" w:cstheme="minorHAnsi"/>
                <w:sz w:val="18"/>
                <w:szCs w:val="18"/>
                <w:lang w:val="en-GB"/>
              </w:rPr>
            </w:pPr>
            <w:r w:rsidRPr="00DB0C40">
              <w:rPr>
                <w:rFonts w:eastAsia="Times New Roman" w:cstheme="minorHAnsi"/>
                <w:sz w:val="18"/>
                <w:szCs w:val="18"/>
                <w:lang w:val="en-GB"/>
              </w:rPr>
              <w:t>Yes</w:t>
            </w:r>
          </w:p>
        </w:tc>
        <w:tc>
          <w:tcPr>
            <w:tcW w:w="0" w:type="auto"/>
            <w:shd w:val="clear" w:color="auto" w:fill="FBE4D5" w:themeFill="accent2" w:themeFillTint="33"/>
          </w:tcPr>
          <w:p w14:paraId="1BA85787" w14:textId="77777777" w:rsidR="002557B7" w:rsidRPr="00DB0C40" w:rsidRDefault="002557B7" w:rsidP="002557B7">
            <w:pPr>
              <w:jc w:val="both"/>
              <w:rPr>
                <w:rFonts w:eastAsia="Times New Roman" w:cstheme="minorHAnsi"/>
                <w:sz w:val="18"/>
                <w:szCs w:val="18"/>
                <w:lang w:val="en-GB"/>
              </w:rPr>
            </w:pPr>
            <w:r w:rsidRPr="00DB0C40">
              <w:rPr>
                <w:rFonts w:eastAsia="Times New Roman" w:cstheme="minorHAnsi"/>
                <w:iCs/>
                <w:sz w:val="18"/>
                <w:szCs w:val="18"/>
                <w:lang w:val="en-GB"/>
              </w:rPr>
              <w:t>Civil Code, Art. 186</w:t>
            </w:r>
          </w:p>
        </w:tc>
      </w:tr>
      <w:tr w:rsidR="002557B7" w:rsidRPr="00DB0C40" w14:paraId="30DC7C69" w14:textId="77777777" w:rsidTr="00EA37BB">
        <w:tc>
          <w:tcPr>
            <w:tcW w:w="0" w:type="auto"/>
            <w:vMerge w:val="restart"/>
            <w:shd w:val="clear" w:color="auto" w:fill="B4C6E7" w:themeFill="accent1" w:themeFillTint="66"/>
          </w:tcPr>
          <w:p w14:paraId="43597366" w14:textId="77777777" w:rsidR="002557B7" w:rsidRPr="00DB0C40" w:rsidRDefault="002557B7" w:rsidP="002557B7">
            <w:pPr>
              <w:jc w:val="both"/>
              <w:rPr>
                <w:rFonts w:eastAsia="Times New Roman" w:cstheme="minorHAnsi"/>
                <w:b/>
                <w:bCs/>
                <w:sz w:val="18"/>
                <w:szCs w:val="18"/>
                <w:lang w:val="en-GB"/>
              </w:rPr>
            </w:pPr>
            <w:r w:rsidRPr="00DB0C40">
              <w:rPr>
                <w:rFonts w:eastAsia="Times New Roman" w:cstheme="minorHAnsi"/>
                <w:b/>
                <w:bCs/>
                <w:sz w:val="18"/>
                <w:szCs w:val="18"/>
                <w:lang w:val="en-GB"/>
              </w:rPr>
              <w:t>Workplace</w:t>
            </w:r>
          </w:p>
        </w:tc>
        <w:tc>
          <w:tcPr>
            <w:tcW w:w="0" w:type="auto"/>
            <w:shd w:val="clear" w:color="auto" w:fill="FBE4D5" w:themeFill="accent2" w:themeFillTint="33"/>
          </w:tcPr>
          <w:p w14:paraId="59ACF86E" w14:textId="77777777" w:rsidR="002557B7" w:rsidRPr="00DB0C40" w:rsidRDefault="002557B7" w:rsidP="002557B7">
            <w:pPr>
              <w:jc w:val="both"/>
              <w:rPr>
                <w:rFonts w:eastAsia="Times New Roman" w:cstheme="minorHAnsi"/>
                <w:sz w:val="18"/>
                <w:szCs w:val="18"/>
                <w:lang w:val="en-GB"/>
              </w:rPr>
            </w:pPr>
            <w:r w:rsidRPr="00DB0C40">
              <w:rPr>
                <w:rFonts w:eastAsia="Times New Roman" w:cstheme="minorHAnsi"/>
                <w:iCs/>
                <w:sz w:val="18"/>
                <w:szCs w:val="18"/>
                <w:lang w:val="en-GB"/>
              </w:rPr>
              <w:t xml:space="preserve">Can a woman get a job in the same way as a man? </w:t>
            </w:r>
          </w:p>
        </w:tc>
        <w:tc>
          <w:tcPr>
            <w:tcW w:w="0" w:type="auto"/>
            <w:shd w:val="clear" w:color="auto" w:fill="FBE4D5" w:themeFill="accent2" w:themeFillTint="33"/>
          </w:tcPr>
          <w:p w14:paraId="5BC36EC6" w14:textId="77777777" w:rsidR="002557B7" w:rsidRPr="00DB0C40" w:rsidRDefault="002557B7" w:rsidP="002557B7">
            <w:pPr>
              <w:jc w:val="both"/>
              <w:rPr>
                <w:rFonts w:eastAsia="Times New Roman" w:cstheme="minorHAnsi"/>
                <w:sz w:val="18"/>
                <w:szCs w:val="18"/>
                <w:lang w:val="en-GB"/>
              </w:rPr>
            </w:pPr>
            <w:r w:rsidRPr="00DB0C40">
              <w:rPr>
                <w:rFonts w:eastAsia="Times New Roman" w:cstheme="minorHAnsi"/>
                <w:sz w:val="18"/>
                <w:szCs w:val="18"/>
                <w:lang w:val="en-GB"/>
              </w:rPr>
              <w:t>Yes</w:t>
            </w:r>
          </w:p>
        </w:tc>
        <w:tc>
          <w:tcPr>
            <w:tcW w:w="0" w:type="auto"/>
            <w:shd w:val="clear" w:color="auto" w:fill="FBE4D5" w:themeFill="accent2" w:themeFillTint="33"/>
          </w:tcPr>
          <w:p w14:paraId="737D8176" w14:textId="77777777" w:rsidR="002557B7" w:rsidRPr="00DB0C40" w:rsidRDefault="002557B7" w:rsidP="002557B7">
            <w:pPr>
              <w:jc w:val="both"/>
              <w:rPr>
                <w:rFonts w:eastAsia="Times New Roman" w:cstheme="minorHAnsi"/>
                <w:sz w:val="18"/>
                <w:szCs w:val="18"/>
                <w:lang w:val="en-GB"/>
              </w:rPr>
            </w:pPr>
            <w:r w:rsidRPr="00DB0C40">
              <w:rPr>
                <w:rFonts w:eastAsia="Times New Roman" w:cstheme="minorHAnsi"/>
                <w:iCs/>
                <w:sz w:val="18"/>
                <w:szCs w:val="18"/>
                <w:lang w:val="en-GB"/>
              </w:rPr>
              <w:t>Civil Code, Art. 192</w:t>
            </w:r>
          </w:p>
        </w:tc>
      </w:tr>
      <w:tr w:rsidR="002557B7" w:rsidRPr="00DB0C40" w14:paraId="5560FB89" w14:textId="77777777" w:rsidTr="00EA37BB">
        <w:tc>
          <w:tcPr>
            <w:tcW w:w="0" w:type="auto"/>
            <w:vMerge/>
            <w:shd w:val="clear" w:color="auto" w:fill="B4C6E7" w:themeFill="accent1" w:themeFillTint="66"/>
          </w:tcPr>
          <w:p w14:paraId="159D9B65" w14:textId="77777777" w:rsidR="002557B7" w:rsidRPr="00DB0C40" w:rsidRDefault="002557B7" w:rsidP="002557B7">
            <w:pPr>
              <w:jc w:val="both"/>
              <w:rPr>
                <w:rFonts w:eastAsia="Times New Roman" w:cstheme="minorHAnsi"/>
                <w:b/>
                <w:bCs/>
                <w:sz w:val="18"/>
                <w:szCs w:val="18"/>
                <w:lang w:val="en-GB"/>
              </w:rPr>
            </w:pPr>
          </w:p>
        </w:tc>
        <w:tc>
          <w:tcPr>
            <w:tcW w:w="0" w:type="auto"/>
            <w:shd w:val="clear" w:color="auto" w:fill="FBE4D5" w:themeFill="accent2" w:themeFillTint="33"/>
          </w:tcPr>
          <w:p w14:paraId="5A5F1D99" w14:textId="77777777" w:rsidR="002557B7" w:rsidRPr="00DB0C40" w:rsidRDefault="002557B7" w:rsidP="002557B7">
            <w:pPr>
              <w:jc w:val="both"/>
              <w:rPr>
                <w:rFonts w:eastAsia="Times New Roman" w:cstheme="minorHAnsi"/>
                <w:sz w:val="18"/>
                <w:szCs w:val="18"/>
                <w:lang w:val="en-GB"/>
              </w:rPr>
            </w:pPr>
            <w:r w:rsidRPr="00DB0C40">
              <w:rPr>
                <w:rFonts w:eastAsia="Times New Roman" w:cstheme="minorHAnsi"/>
                <w:iCs/>
                <w:sz w:val="18"/>
                <w:szCs w:val="18"/>
                <w:lang w:val="en-GB"/>
              </w:rPr>
              <w:t xml:space="preserve">Does the law prohibit discrimination in employment based on gender? </w:t>
            </w:r>
          </w:p>
        </w:tc>
        <w:tc>
          <w:tcPr>
            <w:tcW w:w="0" w:type="auto"/>
            <w:shd w:val="clear" w:color="auto" w:fill="FBE4D5" w:themeFill="accent2" w:themeFillTint="33"/>
          </w:tcPr>
          <w:p w14:paraId="0DFF615C" w14:textId="77777777" w:rsidR="002557B7" w:rsidRPr="00DB0C40" w:rsidRDefault="002557B7" w:rsidP="002557B7">
            <w:pPr>
              <w:jc w:val="both"/>
              <w:rPr>
                <w:rFonts w:eastAsia="Times New Roman" w:cstheme="minorHAnsi"/>
                <w:sz w:val="18"/>
                <w:szCs w:val="18"/>
                <w:lang w:val="en-GB"/>
              </w:rPr>
            </w:pPr>
            <w:r w:rsidRPr="00DB0C40">
              <w:rPr>
                <w:rFonts w:eastAsia="Times New Roman" w:cstheme="minorHAnsi"/>
                <w:sz w:val="18"/>
                <w:szCs w:val="18"/>
                <w:lang w:val="en-GB"/>
              </w:rPr>
              <w:t>Yes</w:t>
            </w:r>
          </w:p>
        </w:tc>
        <w:tc>
          <w:tcPr>
            <w:tcW w:w="0" w:type="auto"/>
            <w:shd w:val="clear" w:color="auto" w:fill="FBE4D5" w:themeFill="accent2" w:themeFillTint="33"/>
          </w:tcPr>
          <w:p w14:paraId="1946B3AE" w14:textId="77777777" w:rsidR="002557B7" w:rsidRPr="00DB0C40" w:rsidRDefault="002557B7" w:rsidP="002557B7">
            <w:pPr>
              <w:jc w:val="both"/>
              <w:rPr>
                <w:rFonts w:eastAsia="Times New Roman" w:cstheme="minorHAnsi"/>
                <w:iCs/>
                <w:sz w:val="18"/>
                <w:szCs w:val="18"/>
                <w:lang w:val="en-GB"/>
              </w:rPr>
            </w:pPr>
            <w:r w:rsidRPr="00DB0C40">
              <w:rPr>
                <w:rFonts w:eastAsia="Times New Roman" w:cstheme="minorHAnsi"/>
                <w:iCs/>
                <w:sz w:val="18"/>
                <w:szCs w:val="18"/>
                <w:lang w:val="en-GB"/>
              </w:rPr>
              <w:t>Labour Act, Art. 5</w:t>
            </w:r>
          </w:p>
          <w:p w14:paraId="4867E8F6" w14:textId="77777777" w:rsidR="002557B7" w:rsidRPr="00DB0C40" w:rsidRDefault="002557B7" w:rsidP="002557B7">
            <w:pPr>
              <w:jc w:val="both"/>
              <w:rPr>
                <w:rFonts w:eastAsia="Times New Roman" w:cstheme="minorHAnsi"/>
                <w:sz w:val="18"/>
                <w:szCs w:val="18"/>
                <w:lang w:val="en-GB"/>
              </w:rPr>
            </w:pPr>
            <w:r w:rsidRPr="00DB0C40">
              <w:rPr>
                <w:rFonts w:eastAsia="Times New Roman" w:cstheme="minorHAnsi"/>
                <w:iCs/>
                <w:sz w:val="18"/>
                <w:szCs w:val="18"/>
                <w:lang w:val="en-GB"/>
              </w:rPr>
              <w:t>Law on Human Rights and Equality, Arts. 3 and 6</w:t>
            </w:r>
          </w:p>
        </w:tc>
      </w:tr>
      <w:tr w:rsidR="002557B7" w:rsidRPr="00DB0C40" w14:paraId="330656CE" w14:textId="77777777" w:rsidTr="00EA37BB">
        <w:tc>
          <w:tcPr>
            <w:tcW w:w="0" w:type="auto"/>
            <w:vMerge/>
            <w:shd w:val="clear" w:color="auto" w:fill="B4C6E7" w:themeFill="accent1" w:themeFillTint="66"/>
          </w:tcPr>
          <w:p w14:paraId="049E8C44" w14:textId="77777777" w:rsidR="002557B7" w:rsidRPr="00DB0C40" w:rsidRDefault="002557B7" w:rsidP="002557B7">
            <w:pPr>
              <w:jc w:val="both"/>
              <w:rPr>
                <w:rFonts w:eastAsia="Times New Roman" w:cstheme="minorHAnsi"/>
                <w:b/>
                <w:bCs/>
                <w:sz w:val="18"/>
                <w:szCs w:val="18"/>
                <w:lang w:val="en-GB"/>
              </w:rPr>
            </w:pPr>
          </w:p>
        </w:tc>
        <w:tc>
          <w:tcPr>
            <w:tcW w:w="0" w:type="auto"/>
            <w:shd w:val="clear" w:color="auto" w:fill="FBE4D5" w:themeFill="accent2" w:themeFillTint="33"/>
          </w:tcPr>
          <w:p w14:paraId="5177C9D8" w14:textId="77777777" w:rsidR="002557B7" w:rsidRPr="00DB0C40" w:rsidRDefault="002557B7" w:rsidP="002557B7">
            <w:pPr>
              <w:jc w:val="both"/>
              <w:rPr>
                <w:rFonts w:eastAsia="Times New Roman" w:cstheme="minorHAnsi"/>
                <w:sz w:val="18"/>
                <w:szCs w:val="18"/>
                <w:lang w:val="en-GB"/>
              </w:rPr>
            </w:pPr>
            <w:r w:rsidRPr="00DB0C40">
              <w:rPr>
                <w:rFonts w:eastAsia="Times New Roman" w:cstheme="minorHAnsi"/>
                <w:iCs/>
                <w:sz w:val="18"/>
                <w:szCs w:val="18"/>
                <w:lang w:val="en-GB"/>
              </w:rPr>
              <w:t>Is there legislation on sexual harassment in employment?</w:t>
            </w:r>
          </w:p>
        </w:tc>
        <w:tc>
          <w:tcPr>
            <w:tcW w:w="0" w:type="auto"/>
            <w:shd w:val="clear" w:color="auto" w:fill="FBE4D5" w:themeFill="accent2" w:themeFillTint="33"/>
          </w:tcPr>
          <w:p w14:paraId="7B8745B2" w14:textId="77777777" w:rsidR="002557B7" w:rsidRPr="00DB0C40" w:rsidRDefault="002557B7" w:rsidP="002557B7">
            <w:pPr>
              <w:jc w:val="both"/>
              <w:rPr>
                <w:rFonts w:eastAsia="Times New Roman" w:cstheme="minorHAnsi"/>
                <w:sz w:val="18"/>
                <w:szCs w:val="18"/>
                <w:lang w:val="en-GB"/>
              </w:rPr>
            </w:pPr>
            <w:r w:rsidRPr="00DB0C40">
              <w:rPr>
                <w:rFonts w:eastAsia="Times New Roman" w:cstheme="minorHAnsi"/>
                <w:sz w:val="18"/>
                <w:szCs w:val="18"/>
                <w:lang w:val="en-GB"/>
              </w:rPr>
              <w:t>Yes</w:t>
            </w:r>
          </w:p>
        </w:tc>
        <w:tc>
          <w:tcPr>
            <w:tcW w:w="0" w:type="auto"/>
            <w:shd w:val="clear" w:color="auto" w:fill="FBE4D5" w:themeFill="accent2" w:themeFillTint="33"/>
          </w:tcPr>
          <w:p w14:paraId="0F89C2E4" w14:textId="77777777" w:rsidR="002557B7" w:rsidRPr="00DB0C40" w:rsidRDefault="002557B7" w:rsidP="002557B7">
            <w:pPr>
              <w:jc w:val="both"/>
              <w:rPr>
                <w:rFonts w:eastAsia="Times New Roman" w:cstheme="minorHAnsi"/>
                <w:sz w:val="18"/>
                <w:szCs w:val="18"/>
                <w:lang w:val="en-GB"/>
              </w:rPr>
            </w:pPr>
            <w:r w:rsidRPr="00DB0C40">
              <w:rPr>
                <w:rFonts w:eastAsia="Times New Roman" w:cstheme="minorHAnsi"/>
                <w:iCs/>
                <w:sz w:val="18"/>
                <w:szCs w:val="18"/>
                <w:lang w:val="en-GB"/>
              </w:rPr>
              <w:t>Penal Code, Art. 105(2); Labour Act, Art. 24(II)(a)</w:t>
            </w:r>
          </w:p>
        </w:tc>
      </w:tr>
      <w:tr w:rsidR="002557B7" w:rsidRPr="00DB0C40" w14:paraId="6E1BC329" w14:textId="77777777" w:rsidTr="00EA37BB">
        <w:tc>
          <w:tcPr>
            <w:tcW w:w="0" w:type="auto"/>
            <w:vMerge/>
            <w:shd w:val="clear" w:color="auto" w:fill="B4C6E7" w:themeFill="accent1" w:themeFillTint="66"/>
          </w:tcPr>
          <w:p w14:paraId="153CFC99" w14:textId="77777777" w:rsidR="002557B7" w:rsidRPr="00DB0C40" w:rsidRDefault="002557B7" w:rsidP="002557B7">
            <w:pPr>
              <w:jc w:val="both"/>
              <w:rPr>
                <w:rFonts w:eastAsia="Times New Roman" w:cstheme="minorHAnsi"/>
                <w:b/>
                <w:bCs/>
                <w:sz w:val="18"/>
                <w:szCs w:val="18"/>
                <w:lang w:val="en-GB"/>
              </w:rPr>
            </w:pPr>
          </w:p>
        </w:tc>
        <w:tc>
          <w:tcPr>
            <w:tcW w:w="0" w:type="auto"/>
            <w:shd w:val="clear" w:color="auto" w:fill="FBE4D5" w:themeFill="accent2" w:themeFillTint="33"/>
          </w:tcPr>
          <w:p w14:paraId="5FB3324D" w14:textId="77777777" w:rsidR="002557B7" w:rsidRPr="00DB0C40" w:rsidRDefault="002557B7" w:rsidP="002557B7">
            <w:pPr>
              <w:jc w:val="both"/>
              <w:rPr>
                <w:rFonts w:eastAsia="Times New Roman" w:cstheme="minorHAnsi"/>
                <w:sz w:val="18"/>
                <w:szCs w:val="18"/>
                <w:lang w:val="en-GB"/>
              </w:rPr>
            </w:pPr>
            <w:r w:rsidRPr="00DB0C40">
              <w:rPr>
                <w:rFonts w:eastAsia="Times New Roman" w:cstheme="minorHAnsi"/>
                <w:iCs/>
                <w:sz w:val="18"/>
                <w:szCs w:val="18"/>
                <w:lang w:val="en-GB"/>
              </w:rPr>
              <w:t>Are there criminal penalties or civil remedies for sexual harassment in employment?</w:t>
            </w:r>
          </w:p>
        </w:tc>
        <w:tc>
          <w:tcPr>
            <w:tcW w:w="0" w:type="auto"/>
            <w:shd w:val="clear" w:color="auto" w:fill="FBE4D5" w:themeFill="accent2" w:themeFillTint="33"/>
          </w:tcPr>
          <w:p w14:paraId="789DA111" w14:textId="77777777" w:rsidR="002557B7" w:rsidRPr="00DB0C40" w:rsidRDefault="002557B7" w:rsidP="002557B7">
            <w:pPr>
              <w:jc w:val="both"/>
              <w:rPr>
                <w:rFonts w:eastAsia="Times New Roman" w:cstheme="minorHAnsi"/>
                <w:sz w:val="18"/>
                <w:szCs w:val="18"/>
                <w:lang w:val="en-GB"/>
              </w:rPr>
            </w:pPr>
            <w:r w:rsidRPr="00DB0C40">
              <w:rPr>
                <w:rFonts w:eastAsia="Times New Roman" w:cstheme="minorHAnsi"/>
                <w:sz w:val="18"/>
                <w:szCs w:val="18"/>
                <w:lang w:val="en-GB"/>
              </w:rPr>
              <w:t>Yes</w:t>
            </w:r>
          </w:p>
        </w:tc>
        <w:tc>
          <w:tcPr>
            <w:tcW w:w="0" w:type="auto"/>
            <w:shd w:val="clear" w:color="auto" w:fill="FBE4D5" w:themeFill="accent2" w:themeFillTint="33"/>
          </w:tcPr>
          <w:p w14:paraId="5238F4FF" w14:textId="77777777" w:rsidR="002557B7" w:rsidRPr="00DB0C40" w:rsidRDefault="002557B7" w:rsidP="002557B7">
            <w:pPr>
              <w:jc w:val="both"/>
              <w:rPr>
                <w:rFonts w:eastAsia="Times New Roman" w:cstheme="minorHAnsi"/>
                <w:sz w:val="18"/>
                <w:szCs w:val="18"/>
                <w:lang w:val="en-GB"/>
              </w:rPr>
            </w:pPr>
            <w:r w:rsidRPr="00DB0C40">
              <w:rPr>
                <w:rFonts w:eastAsia="Times New Roman" w:cstheme="minorHAnsi"/>
                <w:iCs/>
                <w:sz w:val="18"/>
                <w:szCs w:val="18"/>
                <w:lang w:val="en-GB"/>
              </w:rPr>
              <w:t>Criminal: Penal Code, Art. 105(2) Civil: Penal Code, Art. 50(1)(b)</w:t>
            </w:r>
          </w:p>
        </w:tc>
      </w:tr>
      <w:tr w:rsidR="002557B7" w:rsidRPr="00DB0C40" w14:paraId="3F5B7C05" w14:textId="77777777" w:rsidTr="00EA37BB">
        <w:tc>
          <w:tcPr>
            <w:tcW w:w="0" w:type="auto"/>
            <w:vMerge w:val="restart"/>
            <w:shd w:val="clear" w:color="auto" w:fill="B4C6E7" w:themeFill="accent1" w:themeFillTint="66"/>
          </w:tcPr>
          <w:p w14:paraId="3A1AE4A5" w14:textId="77777777" w:rsidR="002557B7" w:rsidRPr="00DB0C40" w:rsidRDefault="002557B7" w:rsidP="002557B7">
            <w:pPr>
              <w:jc w:val="both"/>
              <w:rPr>
                <w:rFonts w:eastAsia="Times New Roman" w:cstheme="minorHAnsi"/>
                <w:b/>
                <w:bCs/>
                <w:sz w:val="18"/>
                <w:szCs w:val="18"/>
                <w:lang w:val="en-GB"/>
              </w:rPr>
            </w:pPr>
            <w:r w:rsidRPr="00DB0C40">
              <w:rPr>
                <w:rFonts w:eastAsia="Times New Roman" w:cstheme="minorHAnsi"/>
                <w:b/>
                <w:bCs/>
                <w:sz w:val="18"/>
                <w:szCs w:val="18"/>
                <w:lang w:val="en-GB"/>
              </w:rPr>
              <w:t>Pay</w:t>
            </w:r>
          </w:p>
        </w:tc>
        <w:tc>
          <w:tcPr>
            <w:tcW w:w="0" w:type="auto"/>
            <w:shd w:val="clear" w:color="auto" w:fill="FBE4D5" w:themeFill="accent2" w:themeFillTint="33"/>
          </w:tcPr>
          <w:p w14:paraId="34C26562" w14:textId="77777777" w:rsidR="002557B7" w:rsidRPr="00DB0C40" w:rsidRDefault="002557B7" w:rsidP="002557B7">
            <w:pPr>
              <w:jc w:val="both"/>
              <w:rPr>
                <w:rFonts w:eastAsia="Times New Roman" w:cstheme="minorHAnsi"/>
                <w:sz w:val="18"/>
                <w:szCs w:val="18"/>
                <w:lang w:val="en-GB"/>
              </w:rPr>
            </w:pPr>
            <w:r w:rsidRPr="00DB0C40">
              <w:rPr>
                <w:rFonts w:eastAsia="Times New Roman" w:cstheme="minorHAnsi"/>
                <w:iCs/>
                <w:sz w:val="18"/>
                <w:szCs w:val="18"/>
                <w:lang w:val="en-GB"/>
              </w:rPr>
              <w:t>Does the law mandate equal remuneration for work of equal value?</w:t>
            </w:r>
          </w:p>
        </w:tc>
        <w:tc>
          <w:tcPr>
            <w:tcW w:w="0" w:type="auto"/>
            <w:shd w:val="clear" w:color="auto" w:fill="FBE4D5" w:themeFill="accent2" w:themeFillTint="33"/>
          </w:tcPr>
          <w:p w14:paraId="20B83978" w14:textId="77777777" w:rsidR="002557B7" w:rsidRPr="00DB0C40" w:rsidRDefault="002557B7" w:rsidP="002557B7">
            <w:pPr>
              <w:jc w:val="both"/>
              <w:rPr>
                <w:rFonts w:eastAsia="Times New Roman" w:cstheme="minorHAnsi"/>
                <w:sz w:val="18"/>
                <w:szCs w:val="18"/>
                <w:lang w:val="en-GB"/>
              </w:rPr>
            </w:pPr>
            <w:r w:rsidRPr="00DB0C40">
              <w:rPr>
                <w:rFonts w:eastAsia="Times New Roman" w:cstheme="minorHAnsi"/>
                <w:sz w:val="18"/>
                <w:szCs w:val="18"/>
                <w:lang w:val="en-GB"/>
              </w:rPr>
              <w:t>Yes</w:t>
            </w:r>
          </w:p>
        </w:tc>
        <w:tc>
          <w:tcPr>
            <w:tcW w:w="0" w:type="auto"/>
            <w:shd w:val="clear" w:color="auto" w:fill="FBE4D5" w:themeFill="accent2" w:themeFillTint="33"/>
          </w:tcPr>
          <w:p w14:paraId="56817467" w14:textId="77777777" w:rsidR="002557B7" w:rsidRPr="00DB0C40" w:rsidRDefault="002557B7" w:rsidP="002557B7">
            <w:pPr>
              <w:jc w:val="both"/>
              <w:rPr>
                <w:rFonts w:eastAsia="Times New Roman" w:cstheme="minorHAnsi"/>
                <w:sz w:val="18"/>
                <w:szCs w:val="18"/>
                <w:lang w:val="en-GB"/>
              </w:rPr>
            </w:pPr>
            <w:r w:rsidRPr="00DB0C40">
              <w:rPr>
                <w:rFonts w:eastAsia="Times New Roman" w:cstheme="minorHAnsi"/>
                <w:iCs/>
                <w:sz w:val="18"/>
                <w:szCs w:val="18"/>
                <w:lang w:val="en-GB"/>
              </w:rPr>
              <w:t>Labour Act, Art. 5</w:t>
            </w:r>
          </w:p>
        </w:tc>
      </w:tr>
      <w:tr w:rsidR="002557B7" w:rsidRPr="00DB0C40" w14:paraId="64CA0FAC" w14:textId="77777777" w:rsidTr="00EA37BB">
        <w:tc>
          <w:tcPr>
            <w:tcW w:w="0" w:type="auto"/>
            <w:vMerge/>
            <w:shd w:val="clear" w:color="auto" w:fill="B4C6E7" w:themeFill="accent1" w:themeFillTint="66"/>
          </w:tcPr>
          <w:p w14:paraId="33B1952C" w14:textId="77777777" w:rsidR="002557B7" w:rsidRPr="00DB0C40" w:rsidRDefault="002557B7" w:rsidP="002557B7">
            <w:pPr>
              <w:jc w:val="both"/>
              <w:rPr>
                <w:rFonts w:eastAsia="Times New Roman" w:cstheme="minorHAnsi"/>
                <w:sz w:val="18"/>
                <w:szCs w:val="18"/>
                <w:lang w:val="en-GB"/>
              </w:rPr>
            </w:pPr>
          </w:p>
        </w:tc>
        <w:tc>
          <w:tcPr>
            <w:tcW w:w="0" w:type="auto"/>
            <w:shd w:val="clear" w:color="auto" w:fill="FBE4D5" w:themeFill="accent2" w:themeFillTint="33"/>
          </w:tcPr>
          <w:p w14:paraId="3EB48C28" w14:textId="77777777" w:rsidR="002557B7" w:rsidRPr="00DB0C40" w:rsidRDefault="002557B7" w:rsidP="002557B7">
            <w:pPr>
              <w:jc w:val="both"/>
              <w:rPr>
                <w:rFonts w:eastAsia="Times New Roman" w:cstheme="minorHAnsi"/>
                <w:sz w:val="18"/>
                <w:szCs w:val="18"/>
                <w:lang w:val="en-GB"/>
              </w:rPr>
            </w:pPr>
            <w:r w:rsidRPr="00DB0C40">
              <w:rPr>
                <w:rFonts w:eastAsia="Times New Roman" w:cstheme="minorHAnsi"/>
                <w:iCs/>
                <w:sz w:val="18"/>
                <w:szCs w:val="18"/>
                <w:lang w:val="en-GB"/>
              </w:rPr>
              <w:t>Can a woman work at night in the same way as a man?</w:t>
            </w:r>
          </w:p>
        </w:tc>
        <w:tc>
          <w:tcPr>
            <w:tcW w:w="0" w:type="auto"/>
            <w:shd w:val="clear" w:color="auto" w:fill="FBE4D5" w:themeFill="accent2" w:themeFillTint="33"/>
          </w:tcPr>
          <w:p w14:paraId="2F71A5D6" w14:textId="77777777" w:rsidR="002557B7" w:rsidRPr="00DB0C40" w:rsidRDefault="002557B7" w:rsidP="002557B7">
            <w:pPr>
              <w:jc w:val="both"/>
              <w:rPr>
                <w:rFonts w:eastAsia="Times New Roman" w:cstheme="minorHAnsi"/>
                <w:sz w:val="18"/>
                <w:szCs w:val="18"/>
                <w:lang w:val="en-GB"/>
              </w:rPr>
            </w:pPr>
            <w:r w:rsidRPr="00DB0C40">
              <w:rPr>
                <w:rFonts w:eastAsia="Times New Roman" w:cstheme="minorHAnsi"/>
                <w:sz w:val="18"/>
                <w:szCs w:val="18"/>
                <w:lang w:val="en-GB"/>
              </w:rPr>
              <w:t>Yes</w:t>
            </w:r>
          </w:p>
        </w:tc>
        <w:tc>
          <w:tcPr>
            <w:tcW w:w="0" w:type="auto"/>
            <w:shd w:val="clear" w:color="auto" w:fill="FBE4D5" w:themeFill="accent2" w:themeFillTint="33"/>
          </w:tcPr>
          <w:p w14:paraId="35F3CB46" w14:textId="77777777" w:rsidR="002557B7" w:rsidRPr="00DB0C40" w:rsidRDefault="002557B7" w:rsidP="002557B7">
            <w:pPr>
              <w:jc w:val="both"/>
              <w:rPr>
                <w:rFonts w:eastAsia="Times New Roman" w:cstheme="minorHAnsi"/>
                <w:sz w:val="18"/>
                <w:szCs w:val="18"/>
                <w:lang w:val="en-GB"/>
              </w:rPr>
            </w:pPr>
            <w:r w:rsidRPr="00DB0C40">
              <w:rPr>
                <w:rFonts w:eastAsia="Times New Roman" w:cstheme="minorHAnsi"/>
                <w:iCs/>
                <w:sz w:val="18"/>
                <w:szCs w:val="18"/>
                <w:lang w:val="en-GB"/>
              </w:rPr>
              <w:t>No restrictions could be located</w:t>
            </w:r>
          </w:p>
        </w:tc>
      </w:tr>
      <w:tr w:rsidR="002557B7" w:rsidRPr="00DB0C40" w14:paraId="598C3F1E" w14:textId="77777777" w:rsidTr="00EA37BB">
        <w:tc>
          <w:tcPr>
            <w:tcW w:w="0" w:type="auto"/>
            <w:vMerge/>
            <w:shd w:val="clear" w:color="auto" w:fill="B4C6E7" w:themeFill="accent1" w:themeFillTint="66"/>
          </w:tcPr>
          <w:p w14:paraId="36C8321F" w14:textId="77777777" w:rsidR="002557B7" w:rsidRPr="00DB0C40" w:rsidRDefault="002557B7" w:rsidP="002557B7">
            <w:pPr>
              <w:jc w:val="both"/>
              <w:rPr>
                <w:rFonts w:eastAsia="Times New Roman" w:cstheme="minorHAnsi"/>
                <w:sz w:val="18"/>
                <w:szCs w:val="18"/>
                <w:lang w:val="en-GB"/>
              </w:rPr>
            </w:pPr>
          </w:p>
        </w:tc>
        <w:tc>
          <w:tcPr>
            <w:tcW w:w="0" w:type="auto"/>
            <w:shd w:val="clear" w:color="auto" w:fill="FBE4D5" w:themeFill="accent2" w:themeFillTint="33"/>
          </w:tcPr>
          <w:p w14:paraId="393793AC" w14:textId="77777777" w:rsidR="002557B7" w:rsidRPr="00DB0C40" w:rsidRDefault="002557B7" w:rsidP="002557B7">
            <w:pPr>
              <w:jc w:val="both"/>
              <w:rPr>
                <w:rFonts w:eastAsia="Times New Roman" w:cstheme="minorHAnsi"/>
                <w:sz w:val="18"/>
                <w:szCs w:val="18"/>
                <w:lang w:val="en-GB"/>
              </w:rPr>
            </w:pPr>
            <w:r w:rsidRPr="00DB0C40">
              <w:rPr>
                <w:rFonts w:eastAsia="Times New Roman" w:cstheme="minorHAnsi"/>
                <w:sz w:val="18"/>
                <w:szCs w:val="18"/>
                <w:lang w:val="en-GB"/>
              </w:rPr>
              <w:t>Can a woman work in a job deemed dangerous in the same way as a man?</w:t>
            </w:r>
          </w:p>
        </w:tc>
        <w:tc>
          <w:tcPr>
            <w:tcW w:w="0" w:type="auto"/>
            <w:shd w:val="clear" w:color="auto" w:fill="FBE4D5" w:themeFill="accent2" w:themeFillTint="33"/>
          </w:tcPr>
          <w:p w14:paraId="2429011B" w14:textId="77777777" w:rsidR="002557B7" w:rsidRPr="00DB0C40" w:rsidRDefault="002557B7" w:rsidP="002557B7">
            <w:pPr>
              <w:jc w:val="both"/>
              <w:rPr>
                <w:rFonts w:eastAsia="Times New Roman" w:cstheme="minorHAnsi"/>
                <w:sz w:val="18"/>
                <w:szCs w:val="18"/>
                <w:lang w:val="en-GB"/>
              </w:rPr>
            </w:pPr>
            <w:r w:rsidRPr="00DB0C40">
              <w:rPr>
                <w:rFonts w:eastAsia="Times New Roman" w:cstheme="minorHAnsi"/>
                <w:sz w:val="18"/>
                <w:szCs w:val="18"/>
                <w:lang w:val="en-GB"/>
              </w:rPr>
              <w:t>Yes</w:t>
            </w:r>
          </w:p>
        </w:tc>
        <w:tc>
          <w:tcPr>
            <w:tcW w:w="0" w:type="auto"/>
            <w:shd w:val="clear" w:color="auto" w:fill="FBE4D5" w:themeFill="accent2" w:themeFillTint="33"/>
          </w:tcPr>
          <w:p w14:paraId="541C378F" w14:textId="77777777" w:rsidR="002557B7" w:rsidRPr="00DB0C40" w:rsidRDefault="002557B7" w:rsidP="002557B7">
            <w:pPr>
              <w:jc w:val="both"/>
              <w:rPr>
                <w:rFonts w:eastAsia="Times New Roman" w:cstheme="minorHAnsi"/>
                <w:sz w:val="18"/>
                <w:szCs w:val="18"/>
                <w:lang w:val="en-GB"/>
              </w:rPr>
            </w:pPr>
            <w:r w:rsidRPr="00DB0C40">
              <w:rPr>
                <w:rFonts w:eastAsia="Times New Roman" w:cstheme="minorHAnsi"/>
                <w:iCs/>
                <w:sz w:val="18"/>
                <w:szCs w:val="18"/>
                <w:lang w:val="en-GB"/>
              </w:rPr>
              <w:t>No restrictions could be located</w:t>
            </w:r>
          </w:p>
        </w:tc>
      </w:tr>
      <w:tr w:rsidR="002557B7" w:rsidRPr="00DB0C40" w14:paraId="18FB5399" w14:textId="77777777" w:rsidTr="00EA37BB">
        <w:tc>
          <w:tcPr>
            <w:tcW w:w="0" w:type="auto"/>
            <w:vMerge/>
            <w:shd w:val="clear" w:color="auto" w:fill="B4C6E7" w:themeFill="accent1" w:themeFillTint="66"/>
          </w:tcPr>
          <w:p w14:paraId="745E3764" w14:textId="77777777" w:rsidR="002557B7" w:rsidRPr="00DB0C40" w:rsidRDefault="002557B7" w:rsidP="002557B7">
            <w:pPr>
              <w:jc w:val="both"/>
              <w:rPr>
                <w:rFonts w:eastAsia="Times New Roman" w:cstheme="minorHAnsi"/>
                <w:sz w:val="18"/>
                <w:szCs w:val="18"/>
                <w:lang w:val="en-GB"/>
              </w:rPr>
            </w:pPr>
          </w:p>
        </w:tc>
        <w:tc>
          <w:tcPr>
            <w:tcW w:w="0" w:type="auto"/>
            <w:shd w:val="clear" w:color="auto" w:fill="FBE4D5" w:themeFill="accent2" w:themeFillTint="33"/>
          </w:tcPr>
          <w:p w14:paraId="5D7FDAD5" w14:textId="77777777" w:rsidR="002557B7" w:rsidRPr="00DB0C40" w:rsidRDefault="002557B7" w:rsidP="002557B7">
            <w:pPr>
              <w:jc w:val="both"/>
              <w:rPr>
                <w:rFonts w:eastAsia="Times New Roman" w:cstheme="minorHAnsi"/>
                <w:sz w:val="18"/>
                <w:szCs w:val="18"/>
                <w:lang w:val="en-GB"/>
              </w:rPr>
            </w:pPr>
            <w:r w:rsidRPr="00DB0C40">
              <w:rPr>
                <w:rFonts w:eastAsia="Times New Roman" w:cstheme="minorHAnsi"/>
                <w:iCs/>
                <w:sz w:val="18"/>
                <w:szCs w:val="18"/>
                <w:lang w:val="en-GB"/>
              </w:rPr>
              <w:t xml:space="preserve">Can a woman work in an industrial job in the same way as a man? </w:t>
            </w:r>
          </w:p>
        </w:tc>
        <w:tc>
          <w:tcPr>
            <w:tcW w:w="0" w:type="auto"/>
            <w:shd w:val="clear" w:color="auto" w:fill="FBE4D5" w:themeFill="accent2" w:themeFillTint="33"/>
          </w:tcPr>
          <w:p w14:paraId="0CFAFF9D" w14:textId="77777777" w:rsidR="002557B7" w:rsidRPr="00DB0C40" w:rsidRDefault="002557B7" w:rsidP="002557B7">
            <w:pPr>
              <w:jc w:val="both"/>
              <w:rPr>
                <w:rFonts w:eastAsia="Times New Roman" w:cstheme="minorHAnsi"/>
                <w:sz w:val="18"/>
                <w:szCs w:val="18"/>
                <w:lang w:val="en-GB"/>
              </w:rPr>
            </w:pPr>
            <w:r w:rsidRPr="00DB0C40">
              <w:rPr>
                <w:rFonts w:eastAsia="Times New Roman" w:cstheme="minorHAnsi"/>
                <w:sz w:val="18"/>
                <w:szCs w:val="18"/>
                <w:lang w:val="en-GB"/>
              </w:rPr>
              <w:t>No</w:t>
            </w:r>
          </w:p>
        </w:tc>
        <w:tc>
          <w:tcPr>
            <w:tcW w:w="0" w:type="auto"/>
            <w:shd w:val="clear" w:color="auto" w:fill="FBE4D5" w:themeFill="accent2" w:themeFillTint="33"/>
          </w:tcPr>
          <w:p w14:paraId="142CE289" w14:textId="77777777" w:rsidR="002557B7" w:rsidRPr="00DB0C40" w:rsidRDefault="002557B7" w:rsidP="002557B7">
            <w:pPr>
              <w:jc w:val="both"/>
              <w:rPr>
                <w:rFonts w:eastAsia="Times New Roman" w:cstheme="minorHAnsi"/>
                <w:sz w:val="18"/>
                <w:szCs w:val="18"/>
                <w:lang w:val="en-GB"/>
              </w:rPr>
            </w:pPr>
            <w:r w:rsidRPr="00DB0C40">
              <w:rPr>
                <w:rFonts w:eastAsia="Times New Roman" w:cstheme="minorHAnsi"/>
                <w:iCs/>
                <w:sz w:val="18"/>
                <w:szCs w:val="18"/>
                <w:lang w:val="en-GB"/>
              </w:rPr>
              <w:t>Labour Act, Art. 72</w:t>
            </w:r>
          </w:p>
        </w:tc>
      </w:tr>
    </w:tbl>
    <w:p w14:paraId="7CC2E666" w14:textId="684C3025" w:rsidR="002557B7" w:rsidRPr="00DB0C40" w:rsidRDefault="00EF4332" w:rsidP="00EF4332">
      <w:pPr>
        <w:shd w:val="clear" w:color="auto" w:fill="FFFFFF"/>
        <w:jc w:val="center"/>
        <w:rPr>
          <w:rFonts w:asciiTheme="minorHAnsi" w:eastAsia="Times New Roman" w:hAnsiTheme="minorHAnsi" w:cstheme="minorHAnsi"/>
          <w:sz w:val="18"/>
          <w:szCs w:val="18"/>
        </w:rPr>
      </w:pPr>
      <w:r w:rsidRPr="00DB0C40">
        <w:rPr>
          <w:rFonts w:asciiTheme="minorHAnsi" w:eastAsia="Times New Roman" w:hAnsiTheme="minorHAnsi" w:cstheme="minorHAnsi"/>
          <w:sz w:val="18"/>
          <w:szCs w:val="18"/>
        </w:rPr>
        <w:t>Source: Women Business and the Law</w:t>
      </w:r>
    </w:p>
    <w:p w14:paraId="5C0DE4BE" w14:textId="77777777" w:rsidR="002557B7" w:rsidRPr="00DB0C40" w:rsidRDefault="002557B7" w:rsidP="002557B7">
      <w:pPr>
        <w:spacing w:after="160" w:line="259" w:lineRule="auto"/>
        <w:jc w:val="both"/>
        <w:rPr>
          <w:rFonts w:asciiTheme="minorHAnsi" w:eastAsiaTheme="minorHAnsi" w:hAnsiTheme="minorHAnsi" w:cstheme="minorHAnsi"/>
          <w:iCs/>
          <w:sz w:val="22"/>
          <w:szCs w:val="22"/>
        </w:rPr>
      </w:pPr>
    </w:p>
    <w:p w14:paraId="1C0D3972" w14:textId="41F6D667" w:rsidR="002557B7" w:rsidRPr="00CD2A61" w:rsidRDefault="00EF6EB8" w:rsidP="00CD2A61">
      <w:pPr>
        <w:spacing w:after="160" w:line="259" w:lineRule="auto"/>
        <w:jc w:val="both"/>
        <w:rPr>
          <w:rFonts w:asciiTheme="majorHAnsi" w:eastAsiaTheme="majorEastAsia" w:hAnsiTheme="majorHAnsi" w:cstheme="majorBidi"/>
          <w:color w:val="1F3763" w:themeColor="accent1" w:themeShade="7F"/>
        </w:rPr>
      </w:pPr>
      <w:bookmarkStart w:id="85" w:name="_Hlk106961353"/>
      <w:r>
        <w:rPr>
          <w:rFonts w:asciiTheme="majorHAnsi" w:eastAsiaTheme="majorEastAsia" w:hAnsiTheme="majorHAnsi" w:cstheme="majorBidi"/>
          <w:color w:val="1F3763" w:themeColor="accent1" w:themeShade="7F"/>
        </w:rPr>
        <w:t xml:space="preserve">3.8.3 </w:t>
      </w:r>
      <w:r w:rsidRPr="00CD2A61">
        <w:rPr>
          <w:rFonts w:asciiTheme="majorHAnsi" w:eastAsiaTheme="majorEastAsia" w:hAnsiTheme="majorHAnsi" w:cstheme="majorBidi"/>
          <w:color w:val="1F3763" w:themeColor="accent1" w:themeShade="7F"/>
        </w:rPr>
        <w:t>Some Indicators for Türkiye</w:t>
      </w:r>
    </w:p>
    <w:bookmarkEnd w:id="85"/>
    <w:p w14:paraId="42619DE2" w14:textId="77777777" w:rsidR="002557B7" w:rsidRPr="00DB0C40" w:rsidRDefault="002557B7" w:rsidP="002557B7">
      <w:pPr>
        <w:spacing w:after="160" w:line="259" w:lineRule="auto"/>
        <w:jc w:val="both"/>
        <w:rPr>
          <w:rFonts w:asciiTheme="minorHAnsi" w:eastAsiaTheme="minorHAnsi" w:hAnsiTheme="minorHAnsi" w:cstheme="minorHAnsi"/>
          <w:iCs/>
          <w:sz w:val="22"/>
          <w:szCs w:val="22"/>
        </w:rPr>
      </w:pPr>
      <w:r w:rsidRPr="00DB0C40">
        <w:rPr>
          <w:rFonts w:asciiTheme="minorHAnsi" w:eastAsiaTheme="minorHAnsi" w:hAnsiTheme="minorHAnsi" w:cstheme="minorHAnsi"/>
          <w:iCs/>
          <w:sz w:val="22"/>
          <w:szCs w:val="22"/>
        </w:rPr>
        <w:t xml:space="preserve">As we mentioned, the impact of Laws and government policies are key drivers of female labour force participation. We briefly analyse some changes in the labour market from 2015 to 2021 according to some indicators and also some indicators that show social changes of women in Türkiye for the same period. Lastly, we analyse the indicators mentioned for the World Bank’s Women, Business and the Law Database (WBL) for Türkiye on legal restrictions and regulations relating to women’s economic participation and entrepreneurship, including limitations related to accessing institutions, owning and managing property, getting a job (such as restrictions on women’s work, including working at night or in certain industries), building credit, and going to court for the period mentioned. </w:t>
      </w:r>
    </w:p>
    <w:p w14:paraId="35F2CE47" w14:textId="570964A4" w:rsidR="002557B7" w:rsidRPr="00CD2A61" w:rsidRDefault="002557B7">
      <w:pPr>
        <w:pStyle w:val="ListParagraph"/>
        <w:keepNext/>
        <w:keepLines/>
        <w:numPr>
          <w:ilvl w:val="3"/>
          <w:numId w:val="46"/>
        </w:numPr>
        <w:spacing w:before="240" w:after="120" w:line="259" w:lineRule="auto"/>
        <w:outlineLvl w:val="0"/>
        <w:rPr>
          <w:rFonts w:asciiTheme="majorHAnsi" w:eastAsiaTheme="majorEastAsia" w:hAnsiTheme="majorHAnsi" w:cstheme="majorBidi"/>
          <w:color w:val="1F3763" w:themeColor="accent1" w:themeShade="7F"/>
        </w:rPr>
      </w:pPr>
      <w:bookmarkStart w:id="86" w:name="_Hlk106961392"/>
      <w:r w:rsidRPr="00CD2A61">
        <w:rPr>
          <w:rFonts w:asciiTheme="majorHAnsi" w:eastAsiaTheme="majorEastAsia" w:hAnsiTheme="majorHAnsi" w:cstheme="majorBidi"/>
          <w:color w:val="1F3763" w:themeColor="accent1" w:themeShade="7F"/>
        </w:rPr>
        <w:t>Analysis of Data Gender Employment in Türkiye during the Period 2015 – 2021</w:t>
      </w:r>
    </w:p>
    <w:bookmarkEnd w:id="86"/>
    <w:p w14:paraId="3EE05834" w14:textId="77777777" w:rsidR="002557B7" w:rsidRPr="00DB0C40" w:rsidRDefault="002557B7" w:rsidP="002557B7">
      <w:pPr>
        <w:spacing w:after="160" w:line="259" w:lineRule="auto"/>
        <w:jc w:val="both"/>
        <w:rPr>
          <w:rFonts w:asciiTheme="minorHAnsi" w:eastAsiaTheme="minorHAnsi" w:hAnsiTheme="minorHAnsi" w:cstheme="minorHAnsi"/>
          <w:sz w:val="22"/>
          <w:szCs w:val="22"/>
        </w:rPr>
      </w:pPr>
      <w:r w:rsidRPr="00DB0C40">
        <w:rPr>
          <w:rFonts w:asciiTheme="minorHAnsi" w:eastAsiaTheme="minorHAnsi" w:hAnsiTheme="minorHAnsi" w:cstheme="minorHAnsi"/>
          <w:sz w:val="22"/>
          <w:szCs w:val="22"/>
        </w:rPr>
        <w:t>In 2015, according to the Turkish Household Labour Force Survey, the countrywide employment rate stood at 46%. Of those working, only about half were formal wage earners with a permanent job (51%), while one in five were self-employed (4% with employees, 17% without employees). Other workers were split between formal wage earners with a temporary job (4%), informal wage earners (7%) and unpaid family workers (12%), the vast majority of whom worked informally. As a result, the Turkish labour market was also notably characterised by a dual structure with a sharp distinction between formal and informal employment arrangements. Labour market disparities exist throughout the Turkish labour market and are particularly visible when employment rates are disaggregated by gender.</w:t>
      </w:r>
    </w:p>
    <w:p w14:paraId="3FA497A3" w14:textId="6B497D3A" w:rsidR="002557B7" w:rsidRPr="00DB0C40" w:rsidRDefault="002557B7" w:rsidP="002557B7">
      <w:pPr>
        <w:spacing w:after="160" w:line="259" w:lineRule="auto"/>
        <w:jc w:val="both"/>
        <w:rPr>
          <w:rFonts w:asciiTheme="minorHAnsi" w:eastAsiaTheme="minorHAnsi" w:hAnsiTheme="minorHAnsi" w:cstheme="minorHAnsi"/>
          <w:sz w:val="22"/>
          <w:szCs w:val="22"/>
        </w:rPr>
      </w:pPr>
      <w:r w:rsidRPr="00DB0C40">
        <w:rPr>
          <w:rFonts w:asciiTheme="minorHAnsi" w:eastAsiaTheme="minorHAnsi" w:hAnsiTheme="minorHAnsi" w:cstheme="minorHAnsi"/>
          <w:sz w:val="22"/>
          <w:szCs w:val="22"/>
        </w:rPr>
        <w:lastRenderedPageBreak/>
        <w:t xml:space="preserve">Here the Report shows  the trends in female employment, from 2015 to 2021 according the data of </w:t>
      </w:r>
      <w:r w:rsidR="00A45334">
        <w:rPr>
          <w:rFonts w:asciiTheme="minorHAnsi" w:eastAsiaTheme="minorHAnsi" w:hAnsiTheme="minorHAnsi" w:cstheme="minorHAnsi"/>
          <w:sz w:val="22"/>
          <w:szCs w:val="22"/>
        </w:rPr>
        <w:t>TURKSTAT</w:t>
      </w:r>
      <w:r w:rsidRPr="00DB0C40">
        <w:rPr>
          <w:rFonts w:asciiTheme="minorHAnsi" w:eastAsiaTheme="minorHAnsi" w:hAnsiTheme="minorHAnsi" w:cstheme="minorHAnsi"/>
          <w:sz w:val="22"/>
          <w:szCs w:val="22"/>
          <w:vertAlign w:val="superscript"/>
        </w:rPr>
        <w:footnoteReference w:id="36"/>
      </w:r>
      <w:r w:rsidRPr="00DB0C40">
        <w:rPr>
          <w:rFonts w:asciiTheme="minorHAnsi" w:eastAsiaTheme="minorHAnsi" w:hAnsiTheme="minorHAnsi" w:cstheme="minorHAnsi"/>
          <w:sz w:val="22"/>
          <w:szCs w:val="22"/>
        </w:rPr>
        <w:t xml:space="preserve"> to show the impact of the legislation on women employment of the year 2016.</w:t>
      </w:r>
    </w:p>
    <w:p w14:paraId="285A0C67" w14:textId="43402877" w:rsidR="002557B7" w:rsidRPr="00CD2A61" w:rsidRDefault="002557B7">
      <w:pPr>
        <w:pStyle w:val="ListParagraph"/>
        <w:keepNext/>
        <w:keepLines/>
        <w:numPr>
          <w:ilvl w:val="4"/>
          <w:numId w:val="46"/>
        </w:numPr>
        <w:spacing w:before="40"/>
        <w:outlineLvl w:val="1"/>
        <w:rPr>
          <w:rFonts w:asciiTheme="majorHAnsi" w:eastAsiaTheme="majorEastAsia" w:hAnsiTheme="majorHAnsi" w:cstheme="majorBidi"/>
          <w:color w:val="1F3763" w:themeColor="accent1" w:themeShade="7F"/>
        </w:rPr>
      </w:pPr>
      <w:bookmarkStart w:id="87" w:name="_Toc92359093"/>
      <w:bookmarkStart w:id="88" w:name="_Hlk107138001"/>
      <w:r w:rsidRPr="00CD2A61">
        <w:rPr>
          <w:rFonts w:asciiTheme="majorHAnsi" w:eastAsiaTheme="majorEastAsia" w:hAnsiTheme="majorHAnsi" w:cstheme="majorBidi"/>
          <w:color w:val="1F3763" w:themeColor="accent1" w:themeShade="7F"/>
        </w:rPr>
        <w:t>Female Employment Rate (2015 – 2021)</w:t>
      </w:r>
      <w:bookmarkEnd w:id="87"/>
      <w:r w:rsidRPr="00CD2A61">
        <w:rPr>
          <w:rFonts w:asciiTheme="majorHAnsi" w:eastAsiaTheme="majorEastAsia" w:hAnsiTheme="majorHAnsi" w:cstheme="majorBidi"/>
          <w:color w:val="1F3763" w:themeColor="accent1" w:themeShade="7F"/>
        </w:rPr>
        <w:t xml:space="preserve"> </w:t>
      </w:r>
    </w:p>
    <w:bookmarkEnd w:id="88"/>
    <w:p w14:paraId="219A8A23" w14:textId="77777777" w:rsidR="002557B7" w:rsidRPr="00DB0C40" w:rsidRDefault="002557B7" w:rsidP="002557B7">
      <w:pPr>
        <w:keepNext/>
        <w:keepLines/>
        <w:spacing w:before="40"/>
        <w:outlineLvl w:val="1"/>
        <w:rPr>
          <w:rFonts w:asciiTheme="minorHAnsi" w:eastAsiaTheme="majorEastAsia" w:hAnsiTheme="minorHAnsi" w:cstheme="minorHAnsi"/>
          <w:b/>
          <w:bCs/>
          <w:sz w:val="22"/>
          <w:szCs w:val="22"/>
        </w:rPr>
      </w:pPr>
    </w:p>
    <w:p w14:paraId="40B21577" w14:textId="77777777" w:rsidR="002557B7" w:rsidRPr="00DB0C40" w:rsidRDefault="002557B7" w:rsidP="002557B7">
      <w:pPr>
        <w:spacing w:after="160" w:line="259" w:lineRule="auto"/>
        <w:jc w:val="both"/>
        <w:rPr>
          <w:rFonts w:asciiTheme="minorHAnsi" w:eastAsiaTheme="minorHAnsi" w:hAnsiTheme="minorHAnsi" w:cstheme="minorHAnsi"/>
          <w:sz w:val="22"/>
          <w:szCs w:val="22"/>
        </w:rPr>
      </w:pPr>
      <w:r w:rsidRPr="00DB0C40">
        <w:rPr>
          <w:rFonts w:asciiTheme="minorHAnsi" w:eastAsiaTheme="minorHAnsi" w:hAnsiTheme="minorHAnsi" w:cstheme="minorHAnsi"/>
          <w:sz w:val="22"/>
          <w:szCs w:val="22"/>
        </w:rPr>
        <w:t>According to the results of the Household Labour Force Survey; in 2015, the proportion of those who were 15 years of age and over and in employment was 32</w:t>
      </w:r>
      <w:r w:rsidRPr="00DB0C40">
        <w:rPr>
          <w:rFonts w:asciiTheme="minorHAnsi" w:eastAsiaTheme="minorHAnsi" w:hAnsiTheme="minorHAnsi" w:cstheme="minorHAnsi"/>
          <w:b/>
          <w:bCs/>
          <w:sz w:val="22"/>
          <w:szCs w:val="22"/>
        </w:rPr>
        <w:t>.</w:t>
      </w:r>
      <w:r w:rsidRPr="00DB0C40">
        <w:rPr>
          <w:rFonts w:asciiTheme="minorHAnsi" w:eastAsiaTheme="minorHAnsi" w:hAnsiTheme="minorHAnsi" w:cstheme="minorHAnsi"/>
          <w:sz w:val="22"/>
          <w:szCs w:val="22"/>
        </w:rPr>
        <w:t>2% for females and 71.0% for males, and the gender gap was 38,8%. The percentage of women and men remained at the same average, declining during 2020 as a consequence of the pandemic to 31.0% for females and 64.0% for males, improving in 2021 to an average similar to that of 2015. (There was an improvement of 0.7% in women’s employment during 2021)</w:t>
      </w:r>
    </w:p>
    <w:p w14:paraId="0AEE4B47" w14:textId="4F06DB03" w:rsidR="002557B7" w:rsidRPr="00DB0C40" w:rsidRDefault="002557B7" w:rsidP="002557B7">
      <w:pPr>
        <w:spacing w:after="160" w:line="259" w:lineRule="auto"/>
        <w:jc w:val="center"/>
        <w:rPr>
          <w:rFonts w:asciiTheme="minorHAnsi" w:eastAsiaTheme="minorHAnsi" w:hAnsiTheme="minorHAnsi" w:cstheme="minorHAnsi"/>
          <w:b/>
          <w:bCs/>
          <w:sz w:val="22"/>
          <w:szCs w:val="22"/>
        </w:rPr>
      </w:pPr>
      <w:bookmarkStart w:id="89" w:name="_Hlk107138055"/>
      <w:r w:rsidRPr="00DB0C40">
        <w:rPr>
          <w:rFonts w:asciiTheme="minorHAnsi" w:eastAsiaTheme="minorHAnsi" w:hAnsiTheme="minorHAnsi" w:cstheme="minorHAnsi"/>
          <w:b/>
          <w:bCs/>
          <w:sz w:val="22"/>
          <w:szCs w:val="22"/>
        </w:rPr>
        <w:t xml:space="preserve">Figure </w:t>
      </w:r>
      <w:r w:rsidR="00EF4332" w:rsidRPr="00DB0C40">
        <w:rPr>
          <w:rFonts w:asciiTheme="minorHAnsi" w:eastAsiaTheme="minorHAnsi" w:hAnsiTheme="minorHAnsi" w:cstheme="minorHAnsi"/>
          <w:b/>
          <w:bCs/>
          <w:sz w:val="22"/>
          <w:szCs w:val="22"/>
        </w:rPr>
        <w:t>6</w:t>
      </w:r>
      <w:r w:rsidRPr="00DB0C40">
        <w:rPr>
          <w:rFonts w:asciiTheme="minorHAnsi" w:eastAsiaTheme="minorHAnsi" w:hAnsiTheme="minorHAnsi" w:cstheme="minorHAnsi"/>
          <w:b/>
          <w:bCs/>
          <w:sz w:val="22"/>
          <w:szCs w:val="22"/>
        </w:rPr>
        <w:t>. Female Employment Rate</w:t>
      </w:r>
      <w:r w:rsidR="00EF4332" w:rsidRPr="00DB0C40">
        <w:rPr>
          <w:rFonts w:asciiTheme="minorHAnsi" w:eastAsiaTheme="majorEastAsia" w:hAnsiTheme="minorHAnsi" w:cstheme="minorHAnsi"/>
          <w:b/>
          <w:bCs/>
          <w:sz w:val="22"/>
          <w:szCs w:val="22"/>
        </w:rPr>
        <w:t xml:space="preserve"> </w:t>
      </w:r>
      <w:r w:rsidR="00EF4332" w:rsidRPr="00DB0C40">
        <w:rPr>
          <w:rFonts w:asciiTheme="minorHAnsi" w:eastAsiaTheme="minorHAnsi" w:hAnsiTheme="minorHAnsi" w:cstheme="minorHAnsi"/>
          <w:b/>
          <w:bCs/>
          <w:sz w:val="22"/>
          <w:szCs w:val="22"/>
        </w:rPr>
        <w:t>Türkiye</w:t>
      </w:r>
      <w:r w:rsidRPr="00DB0C40">
        <w:rPr>
          <w:rFonts w:asciiTheme="minorHAnsi" w:eastAsiaTheme="minorHAnsi" w:hAnsiTheme="minorHAnsi" w:cstheme="minorHAnsi"/>
          <w:b/>
          <w:bCs/>
          <w:sz w:val="22"/>
          <w:szCs w:val="22"/>
        </w:rPr>
        <w:t xml:space="preserve"> (2015 – 2021)</w:t>
      </w:r>
    </w:p>
    <w:bookmarkEnd w:id="89"/>
    <w:p w14:paraId="72CA9C7C" w14:textId="77777777" w:rsidR="002557B7" w:rsidRPr="00DB0C40" w:rsidRDefault="002557B7" w:rsidP="002557B7">
      <w:pPr>
        <w:spacing w:after="160" w:line="259" w:lineRule="auto"/>
        <w:jc w:val="center"/>
        <w:rPr>
          <w:rFonts w:asciiTheme="minorHAnsi" w:eastAsiaTheme="minorHAnsi" w:hAnsiTheme="minorHAnsi" w:cstheme="minorHAnsi"/>
          <w:sz w:val="22"/>
          <w:szCs w:val="22"/>
        </w:rPr>
      </w:pPr>
    </w:p>
    <w:p w14:paraId="61E23C01" w14:textId="77777777" w:rsidR="002557B7" w:rsidRPr="00DB0C40" w:rsidRDefault="002557B7" w:rsidP="002557B7">
      <w:pPr>
        <w:spacing w:after="160" w:line="259" w:lineRule="auto"/>
        <w:jc w:val="center"/>
        <w:rPr>
          <w:rFonts w:asciiTheme="minorHAnsi" w:eastAsiaTheme="minorHAnsi" w:hAnsiTheme="minorHAnsi" w:cstheme="minorHAnsi"/>
          <w:sz w:val="22"/>
          <w:szCs w:val="22"/>
        </w:rPr>
      </w:pPr>
      <w:r w:rsidRPr="00DB0C40">
        <w:rPr>
          <w:rFonts w:asciiTheme="minorHAnsi" w:eastAsiaTheme="minorHAnsi" w:hAnsiTheme="minorHAnsi" w:cstheme="minorHAnsi"/>
          <w:noProof/>
          <w:sz w:val="22"/>
          <w:szCs w:val="22"/>
          <w:lang w:eastAsia="en-GB"/>
        </w:rPr>
        <w:drawing>
          <wp:inline distT="0" distB="0" distL="0" distR="0" wp14:anchorId="68EAA000" wp14:editId="0C091471">
            <wp:extent cx="4718292" cy="2089257"/>
            <wp:effectExtent l="19050" t="19050" r="25400" b="2540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718292" cy="2089257"/>
                    </a:xfrm>
                    <a:prstGeom prst="rect">
                      <a:avLst/>
                    </a:prstGeom>
                    <a:ln w="6350">
                      <a:solidFill>
                        <a:sysClr val="windowText" lastClr="000000"/>
                      </a:solidFill>
                    </a:ln>
                  </pic:spPr>
                </pic:pic>
              </a:graphicData>
            </a:graphic>
          </wp:inline>
        </w:drawing>
      </w:r>
    </w:p>
    <w:p w14:paraId="0227F3A7" w14:textId="69635662" w:rsidR="002557B7" w:rsidRPr="00A45334" w:rsidRDefault="002557B7" w:rsidP="002557B7">
      <w:pPr>
        <w:spacing w:after="160" w:line="259" w:lineRule="auto"/>
        <w:jc w:val="center"/>
        <w:rPr>
          <w:rFonts w:asciiTheme="minorHAnsi" w:eastAsiaTheme="minorHAnsi" w:hAnsiTheme="minorHAnsi" w:cstheme="minorHAnsi"/>
          <w:sz w:val="18"/>
          <w:szCs w:val="18"/>
        </w:rPr>
      </w:pPr>
      <w:bookmarkStart w:id="90" w:name="_Hlk88582683"/>
      <w:r w:rsidRPr="00A45334">
        <w:rPr>
          <w:rFonts w:asciiTheme="minorHAnsi" w:eastAsiaTheme="minorHAnsi" w:hAnsiTheme="minorHAnsi" w:cstheme="minorHAnsi"/>
          <w:sz w:val="18"/>
          <w:szCs w:val="18"/>
        </w:rPr>
        <w:t xml:space="preserve">Source: </w:t>
      </w:r>
      <w:r w:rsidR="00A45334">
        <w:rPr>
          <w:rFonts w:asciiTheme="minorHAnsi" w:eastAsiaTheme="minorHAnsi" w:hAnsiTheme="minorHAnsi" w:cstheme="minorHAnsi"/>
          <w:sz w:val="18"/>
          <w:szCs w:val="18"/>
        </w:rPr>
        <w:t>TurkStat</w:t>
      </w:r>
    </w:p>
    <w:bookmarkEnd w:id="90"/>
    <w:p w14:paraId="51BAFD8C" w14:textId="77777777" w:rsidR="002557B7" w:rsidRPr="00DB0C40" w:rsidRDefault="002557B7" w:rsidP="002557B7">
      <w:pPr>
        <w:spacing w:after="160" w:line="259" w:lineRule="auto"/>
        <w:ind w:left="720"/>
        <w:contextualSpacing/>
        <w:rPr>
          <w:rFonts w:asciiTheme="minorHAnsi" w:hAnsiTheme="minorHAnsi" w:cstheme="minorHAnsi"/>
          <w:b/>
          <w:bCs/>
          <w:sz w:val="22"/>
          <w:szCs w:val="22"/>
        </w:rPr>
      </w:pPr>
    </w:p>
    <w:p w14:paraId="0D9DC054" w14:textId="0F1F7516" w:rsidR="002557B7" w:rsidRPr="00CD2A61" w:rsidRDefault="002557B7">
      <w:pPr>
        <w:pStyle w:val="ListParagraph"/>
        <w:keepNext/>
        <w:keepLines/>
        <w:numPr>
          <w:ilvl w:val="4"/>
          <w:numId w:val="46"/>
        </w:numPr>
        <w:spacing w:before="40"/>
        <w:outlineLvl w:val="1"/>
        <w:rPr>
          <w:rFonts w:asciiTheme="majorHAnsi" w:eastAsiaTheme="majorEastAsia" w:hAnsiTheme="majorHAnsi" w:cstheme="majorBidi"/>
          <w:color w:val="1F3763" w:themeColor="accent1" w:themeShade="7F"/>
        </w:rPr>
      </w:pPr>
      <w:bookmarkStart w:id="91" w:name="_Toc92359094"/>
      <w:bookmarkStart w:id="92" w:name="_Hlk107138098"/>
      <w:r w:rsidRPr="00CD2A61">
        <w:rPr>
          <w:rFonts w:asciiTheme="majorHAnsi" w:eastAsiaTheme="majorEastAsia" w:hAnsiTheme="majorHAnsi" w:cstheme="majorBidi"/>
          <w:color w:val="1F3763" w:themeColor="accent1" w:themeShade="7F"/>
        </w:rPr>
        <w:t>Gender Employment Gap (2015 – 2021)</w:t>
      </w:r>
      <w:bookmarkEnd w:id="91"/>
    </w:p>
    <w:bookmarkEnd w:id="92"/>
    <w:p w14:paraId="77E8002C" w14:textId="77777777" w:rsidR="002557B7" w:rsidRPr="00DB0C40" w:rsidRDefault="002557B7" w:rsidP="002557B7">
      <w:pPr>
        <w:keepNext/>
        <w:keepLines/>
        <w:spacing w:before="40"/>
        <w:ind w:left="1080"/>
        <w:contextualSpacing/>
        <w:outlineLvl w:val="1"/>
        <w:rPr>
          <w:rFonts w:asciiTheme="minorHAnsi" w:eastAsiaTheme="majorEastAsia" w:hAnsiTheme="minorHAnsi" w:cstheme="minorHAnsi"/>
          <w:sz w:val="22"/>
          <w:szCs w:val="22"/>
        </w:rPr>
      </w:pPr>
    </w:p>
    <w:p w14:paraId="1A5B97E4" w14:textId="77777777" w:rsidR="002557B7" w:rsidRPr="00DB0C40" w:rsidRDefault="002557B7" w:rsidP="002557B7">
      <w:pPr>
        <w:spacing w:after="160" w:line="259" w:lineRule="auto"/>
        <w:jc w:val="both"/>
        <w:rPr>
          <w:rFonts w:asciiTheme="minorHAnsi" w:eastAsiaTheme="minorHAnsi" w:hAnsiTheme="minorHAnsi" w:cstheme="minorHAnsi"/>
          <w:sz w:val="22"/>
          <w:szCs w:val="22"/>
        </w:rPr>
      </w:pPr>
      <w:r w:rsidRPr="00DB0C40">
        <w:rPr>
          <w:rFonts w:asciiTheme="minorHAnsi" w:eastAsiaTheme="minorHAnsi" w:hAnsiTheme="minorHAnsi" w:cstheme="minorHAnsi"/>
          <w:sz w:val="22"/>
          <w:szCs w:val="22"/>
        </w:rPr>
        <w:t>The gender employment gap is defined by Eurostat as the difference between the employment rates of men and women aged 20–64. Hidden behind this indicator is the reality of millions of women who are unable to participate in the labour market. These include women who would like to have a job but who cannot take one due to family responsibilities, women who cannot secure a job under the right conditions, one that offers fair treatment, good job quality and equal pay, and women who seek to avoid segregation into the traditional ‘women’s’ sectors.</w:t>
      </w:r>
    </w:p>
    <w:p w14:paraId="46DEBBB4" w14:textId="77777777" w:rsidR="002557B7" w:rsidRPr="00DB0C40" w:rsidRDefault="002557B7" w:rsidP="002557B7">
      <w:pPr>
        <w:spacing w:after="160" w:line="259" w:lineRule="auto"/>
        <w:jc w:val="both"/>
        <w:rPr>
          <w:rFonts w:asciiTheme="minorHAnsi" w:eastAsiaTheme="minorHAnsi" w:hAnsiTheme="minorHAnsi" w:cstheme="minorHAnsi"/>
          <w:sz w:val="22"/>
          <w:szCs w:val="22"/>
        </w:rPr>
      </w:pPr>
      <w:r w:rsidRPr="00DB0C40">
        <w:rPr>
          <w:rFonts w:asciiTheme="minorHAnsi" w:eastAsiaTheme="minorHAnsi" w:hAnsiTheme="minorHAnsi" w:cstheme="minorHAnsi"/>
          <w:sz w:val="22"/>
          <w:szCs w:val="22"/>
        </w:rPr>
        <w:t xml:space="preserve">In Türkiye, the employed rate gap by gender (%) starts with 36.4% in 2015, moves to 34.9% in 2018, 32.6% in 2020 during the pandemic, and returns to 35.7% in 2021. </w:t>
      </w:r>
    </w:p>
    <w:p w14:paraId="69D3B2DE" w14:textId="77777777" w:rsidR="002557B7" w:rsidRPr="00DB0C40" w:rsidRDefault="002557B7" w:rsidP="002557B7">
      <w:pPr>
        <w:spacing w:after="160" w:line="259" w:lineRule="auto"/>
        <w:jc w:val="both"/>
        <w:rPr>
          <w:rFonts w:asciiTheme="minorHAnsi" w:eastAsiaTheme="minorHAnsi" w:hAnsiTheme="minorHAnsi" w:cstheme="minorHAnsi"/>
          <w:sz w:val="22"/>
          <w:szCs w:val="22"/>
        </w:rPr>
      </w:pPr>
    </w:p>
    <w:p w14:paraId="7981DD9D" w14:textId="1A27AC60" w:rsidR="002557B7" w:rsidRPr="00DB0C40" w:rsidRDefault="002557B7" w:rsidP="002557B7">
      <w:pPr>
        <w:spacing w:after="160" w:line="259" w:lineRule="auto"/>
        <w:jc w:val="center"/>
        <w:rPr>
          <w:rFonts w:asciiTheme="minorHAnsi" w:eastAsiaTheme="minorHAnsi" w:hAnsiTheme="minorHAnsi" w:cstheme="minorHAnsi"/>
          <w:b/>
          <w:bCs/>
          <w:sz w:val="22"/>
          <w:szCs w:val="22"/>
        </w:rPr>
      </w:pPr>
      <w:bookmarkStart w:id="93" w:name="_Hlk107138180"/>
      <w:r w:rsidRPr="00DB0C40">
        <w:rPr>
          <w:rFonts w:asciiTheme="minorHAnsi" w:eastAsiaTheme="minorHAnsi" w:hAnsiTheme="minorHAnsi" w:cstheme="minorHAnsi"/>
          <w:b/>
          <w:bCs/>
          <w:sz w:val="22"/>
          <w:szCs w:val="22"/>
        </w:rPr>
        <w:t xml:space="preserve">Figure </w:t>
      </w:r>
      <w:r w:rsidR="00AD2223" w:rsidRPr="00DB0C40">
        <w:rPr>
          <w:rFonts w:asciiTheme="minorHAnsi" w:eastAsiaTheme="minorHAnsi" w:hAnsiTheme="minorHAnsi" w:cstheme="minorHAnsi"/>
          <w:b/>
          <w:bCs/>
          <w:sz w:val="22"/>
          <w:szCs w:val="22"/>
        </w:rPr>
        <w:t>7</w:t>
      </w:r>
      <w:r w:rsidRPr="00DB0C40">
        <w:rPr>
          <w:rFonts w:asciiTheme="minorHAnsi" w:eastAsiaTheme="minorHAnsi" w:hAnsiTheme="minorHAnsi" w:cstheme="minorHAnsi"/>
          <w:b/>
          <w:bCs/>
          <w:sz w:val="22"/>
          <w:szCs w:val="22"/>
        </w:rPr>
        <w:t>. Employed Rate by gender</w:t>
      </w:r>
      <w:r w:rsidR="00AD2223" w:rsidRPr="00DB0C40">
        <w:rPr>
          <w:rFonts w:asciiTheme="minorHAnsi" w:eastAsiaTheme="minorHAnsi" w:hAnsiTheme="minorHAnsi" w:cstheme="minorHAnsi"/>
          <w:b/>
          <w:bCs/>
          <w:sz w:val="22"/>
          <w:szCs w:val="22"/>
        </w:rPr>
        <w:t xml:space="preserve"> </w:t>
      </w:r>
      <w:r w:rsidR="00EF4332" w:rsidRPr="00DB0C40">
        <w:rPr>
          <w:rFonts w:asciiTheme="minorHAnsi" w:eastAsiaTheme="minorHAnsi" w:hAnsiTheme="minorHAnsi" w:cstheme="minorHAnsi"/>
          <w:b/>
          <w:bCs/>
          <w:sz w:val="22"/>
          <w:szCs w:val="22"/>
        </w:rPr>
        <w:t>Türkiye</w:t>
      </w:r>
      <w:r w:rsidRPr="00DB0C40">
        <w:rPr>
          <w:rFonts w:asciiTheme="minorHAnsi" w:eastAsiaTheme="minorHAnsi" w:hAnsiTheme="minorHAnsi" w:cstheme="minorHAnsi"/>
          <w:b/>
          <w:bCs/>
          <w:sz w:val="22"/>
          <w:szCs w:val="22"/>
        </w:rPr>
        <w:t xml:space="preserve"> (%) (2015 - 2021)</w:t>
      </w:r>
    </w:p>
    <w:bookmarkEnd w:id="93"/>
    <w:p w14:paraId="061FD09E" w14:textId="77777777" w:rsidR="002557B7" w:rsidRPr="00DB0C40" w:rsidRDefault="002557B7" w:rsidP="002557B7">
      <w:pPr>
        <w:spacing w:after="160" w:line="259" w:lineRule="auto"/>
        <w:jc w:val="center"/>
        <w:rPr>
          <w:rFonts w:asciiTheme="minorHAnsi" w:eastAsiaTheme="minorHAnsi" w:hAnsiTheme="minorHAnsi" w:cstheme="minorHAnsi"/>
          <w:sz w:val="22"/>
          <w:szCs w:val="22"/>
        </w:rPr>
      </w:pPr>
      <w:r w:rsidRPr="00DB0C40">
        <w:rPr>
          <w:rFonts w:asciiTheme="minorHAnsi" w:eastAsiaTheme="minorHAnsi" w:hAnsiTheme="minorHAnsi" w:cstheme="minorHAnsi"/>
          <w:noProof/>
          <w:sz w:val="22"/>
          <w:szCs w:val="22"/>
          <w:lang w:eastAsia="en-GB"/>
        </w:rPr>
        <w:lastRenderedPageBreak/>
        <w:drawing>
          <wp:inline distT="0" distB="0" distL="0" distR="0" wp14:anchorId="5361F0DE" wp14:editId="6F6248DE">
            <wp:extent cx="4584700" cy="276796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84700" cy="2767965"/>
                    </a:xfrm>
                    <a:prstGeom prst="rect">
                      <a:avLst/>
                    </a:prstGeom>
                    <a:noFill/>
                  </pic:spPr>
                </pic:pic>
              </a:graphicData>
            </a:graphic>
          </wp:inline>
        </w:drawing>
      </w:r>
    </w:p>
    <w:p w14:paraId="0D92E530" w14:textId="28ABD5BD" w:rsidR="002557B7" w:rsidRPr="00A45334" w:rsidRDefault="002557B7" w:rsidP="002557B7">
      <w:pPr>
        <w:spacing w:after="160" w:line="259" w:lineRule="auto"/>
        <w:jc w:val="center"/>
        <w:rPr>
          <w:rFonts w:asciiTheme="minorHAnsi" w:eastAsiaTheme="minorHAnsi" w:hAnsiTheme="minorHAnsi" w:cstheme="minorHAnsi"/>
          <w:sz w:val="18"/>
          <w:szCs w:val="18"/>
        </w:rPr>
      </w:pPr>
      <w:r w:rsidRPr="00A45334">
        <w:rPr>
          <w:rFonts w:asciiTheme="minorHAnsi" w:eastAsiaTheme="minorHAnsi" w:hAnsiTheme="minorHAnsi" w:cstheme="minorHAnsi"/>
          <w:sz w:val="18"/>
          <w:szCs w:val="18"/>
        </w:rPr>
        <w:t xml:space="preserve">Source: </w:t>
      </w:r>
      <w:r w:rsidR="00A45334" w:rsidRPr="00A45334">
        <w:rPr>
          <w:rFonts w:asciiTheme="minorHAnsi" w:eastAsiaTheme="minorHAnsi" w:hAnsiTheme="minorHAnsi" w:cstheme="minorHAnsi"/>
          <w:sz w:val="18"/>
          <w:szCs w:val="18"/>
        </w:rPr>
        <w:t>T</w:t>
      </w:r>
      <w:r w:rsidR="00A45334">
        <w:rPr>
          <w:rFonts w:asciiTheme="minorHAnsi" w:eastAsiaTheme="minorHAnsi" w:hAnsiTheme="minorHAnsi" w:cstheme="minorHAnsi"/>
          <w:sz w:val="18"/>
          <w:szCs w:val="18"/>
        </w:rPr>
        <w:t>urkStat</w:t>
      </w:r>
    </w:p>
    <w:p w14:paraId="576F2738" w14:textId="77777777" w:rsidR="002557B7" w:rsidRPr="00DB0C40" w:rsidRDefault="002557B7" w:rsidP="002557B7">
      <w:pPr>
        <w:spacing w:after="160" w:line="259" w:lineRule="auto"/>
        <w:jc w:val="both"/>
        <w:rPr>
          <w:rFonts w:asciiTheme="minorHAnsi" w:eastAsiaTheme="minorHAnsi" w:hAnsiTheme="minorHAnsi" w:cstheme="minorHAnsi"/>
          <w:sz w:val="22"/>
          <w:szCs w:val="22"/>
        </w:rPr>
      </w:pPr>
      <w:r w:rsidRPr="00DB0C40">
        <w:rPr>
          <w:rFonts w:asciiTheme="minorHAnsi" w:eastAsiaTheme="minorHAnsi" w:hAnsiTheme="minorHAnsi" w:cstheme="minorHAnsi"/>
          <w:sz w:val="22"/>
          <w:szCs w:val="22"/>
        </w:rPr>
        <w:t xml:space="preserve">But the employment gap can be better understood with a rise, sometimes sharp, in unemployment. In 2015, 12.7% of women were unemployed (Instead of 9.3% of men) - a gender gap of -3,4%. In 2016, the gap increases to -4.6%, and then decreases to -3.2% in 2018. In 2020, during the pandemic, the gender gap was 1.7%, but returned to -4.6% in 2021. </w:t>
      </w:r>
    </w:p>
    <w:p w14:paraId="71C0A8F7" w14:textId="7D46B104" w:rsidR="00AD2223" w:rsidRPr="00DB0C40" w:rsidRDefault="002557B7" w:rsidP="00AD2223">
      <w:pPr>
        <w:spacing w:after="160" w:line="259" w:lineRule="auto"/>
        <w:jc w:val="center"/>
        <w:rPr>
          <w:rFonts w:asciiTheme="minorHAnsi" w:eastAsiaTheme="minorHAnsi" w:hAnsiTheme="minorHAnsi" w:cstheme="minorHAnsi"/>
          <w:b/>
          <w:bCs/>
          <w:sz w:val="22"/>
          <w:szCs w:val="22"/>
        </w:rPr>
      </w:pPr>
      <w:bookmarkStart w:id="94" w:name="_Hlk107138220"/>
      <w:r w:rsidRPr="00DB0C40">
        <w:rPr>
          <w:rFonts w:asciiTheme="minorHAnsi" w:eastAsiaTheme="minorHAnsi" w:hAnsiTheme="minorHAnsi" w:cstheme="minorHAnsi"/>
          <w:b/>
          <w:bCs/>
          <w:sz w:val="22"/>
          <w:szCs w:val="22"/>
        </w:rPr>
        <w:t xml:space="preserve">Figure </w:t>
      </w:r>
      <w:r w:rsidR="00AD2223" w:rsidRPr="00DB0C40">
        <w:rPr>
          <w:rFonts w:asciiTheme="minorHAnsi" w:eastAsiaTheme="minorHAnsi" w:hAnsiTheme="minorHAnsi" w:cstheme="minorHAnsi"/>
          <w:b/>
          <w:bCs/>
          <w:sz w:val="22"/>
          <w:szCs w:val="22"/>
        </w:rPr>
        <w:t>8</w:t>
      </w:r>
      <w:r w:rsidRPr="00DB0C40">
        <w:rPr>
          <w:rFonts w:asciiTheme="minorHAnsi" w:eastAsiaTheme="minorHAnsi" w:hAnsiTheme="minorHAnsi" w:cstheme="minorHAnsi"/>
          <w:b/>
          <w:bCs/>
          <w:sz w:val="22"/>
          <w:szCs w:val="22"/>
        </w:rPr>
        <w:t>.  Unemployment rate by gender</w:t>
      </w:r>
      <w:r w:rsidR="00AD2223" w:rsidRPr="00DB0C40">
        <w:rPr>
          <w:rFonts w:asciiTheme="minorHAnsi" w:eastAsiaTheme="minorHAnsi" w:hAnsiTheme="minorHAnsi" w:cstheme="minorHAnsi"/>
          <w:b/>
          <w:bCs/>
          <w:sz w:val="22"/>
          <w:szCs w:val="22"/>
        </w:rPr>
        <w:t xml:space="preserve"> </w:t>
      </w:r>
      <w:r w:rsidR="00EF4332" w:rsidRPr="00DB0C40">
        <w:rPr>
          <w:rFonts w:asciiTheme="minorHAnsi" w:eastAsiaTheme="minorHAnsi" w:hAnsiTheme="minorHAnsi" w:cstheme="minorHAnsi"/>
          <w:b/>
          <w:bCs/>
          <w:sz w:val="22"/>
          <w:szCs w:val="22"/>
        </w:rPr>
        <w:t>Türkiye</w:t>
      </w:r>
      <w:r w:rsidR="00AD2223" w:rsidRPr="00DB0C40">
        <w:rPr>
          <w:rFonts w:asciiTheme="minorHAnsi" w:eastAsiaTheme="minorHAnsi" w:hAnsiTheme="minorHAnsi" w:cstheme="minorHAnsi"/>
          <w:b/>
          <w:bCs/>
          <w:sz w:val="22"/>
          <w:szCs w:val="22"/>
        </w:rPr>
        <w:t xml:space="preserve"> (%) (2015 - 2021)</w:t>
      </w:r>
    </w:p>
    <w:bookmarkEnd w:id="94"/>
    <w:p w14:paraId="5E4085CE" w14:textId="071EEEDD" w:rsidR="002557B7" w:rsidRPr="00DB0C40" w:rsidRDefault="002557B7" w:rsidP="002557B7">
      <w:pPr>
        <w:spacing w:after="160" w:line="259" w:lineRule="auto"/>
        <w:jc w:val="center"/>
        <w:rPr>
          <w:rFonts w:asciiTheme="minorHAnsi" w:eastAsiaTheme="minorHAnsi" w:hAnsiTheme="minorHAnsi" w:cstheme="minorHAnsi"/>
          <w:b/>
          <w:bCs/>
          <w:sz w:val="22"/>
          <w:szCs w:val="22"/>
        </w:rPr>
      </w:pPr>
      <w:r w:rsidRPr="00DB0C40">
        <w:rPr>
          <w:rFonts w:asciiTheme="minorHAnsi" w:eastAsiaTheme="minorHAnsi" w:hAnsiTheme="minorHAnsi" w:cstheme="minorHAnsi"/>
          <w:b/>
          <w:bCs/>
          <w:sz w:val="22"/>
          <w:szCs w:val="22"/>
        </w:rPr>
        <w:t xml:space="preserve"> (%) (2015 – 2021)</w:t>
      </w:r>
    </w:p>
    <w:p w14:paraId="6C5A1057" w14:textId="77777777" w:rsidR="002557B7" w:rsidRPr="00DB0C40" w:rsidRDefault="002557B7" w:rsidP="002557B7">
      <w:pPr>
        <w:spacing w:after="160" w:line="259" w:lineRule="auto"/>
        <w:jc w:val="center"/>
        <w:rPr>
          <w:rFonts w:asciiTheme="minorHAnsi" w:eastAsiaTheme="minorHAnsi" w:hAnsiTheme="minorHAnsi" w:cstheme="minorHAnsi"/>
          <w:sz w:val="22"/>
          <w:szCs w:val="22"/>
        </w:rPr>
      </w:pPr>
      <w:r w:rsidRPr="00DB0C40">
        <w:rPr>
          <w:rFonts w:asciiTheme="minorHAnsi" w:eastAsiaTheme="minorHAnsi" w:hAnsiTheme="minorHAnsi" w:cstheme="minorHAnsi"/>
          <w:noProof/>
          <w:sz w:val="22"/>
          <w:szCs w:val="22"/>
          <w:lang w:eastAsia="en-GB"/>
        </w:rPr>
        <w:drawing>
          <wp:inline distT="0" distB="0" distL="0" distR="0" wp14:anchorId="28924CC8" wp14:editId="0F98704C">
            <wp:extent cx="4584700" cy="28225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84700" cy="2822575"/>
                    </a:xfrm>
                    <a:prstGeom prst="rect">
                      <a:avLst/>
                    </a:prstGeom>
                    <a:noFill/>
                  </pic:spPr>
                </pic:pic>
              </a:graphicData>
            </a:graphic>
          </wp:inline>
        </w:drawing>
      </w:r>
    </w:p>
    <w:p w14:paraId="5631D802" w14:textId="6732EA79" w:rsidR="002557B7" w:rsidRPr="00DB0C40" w:rsidRDefault="002557B7" w:rsidP="002557B7">
      <w:pPr>
        <w:spacing w:after="160" w:line="259" w:lineRule="auto"/>
        <w:jc w:val="center"/>
        <w:rPr>
          <w:rFonts w:asciiTheme="minorHAnsi" w:eastAsiaTheme="minorHAnsi" w:hAnsiTheme="minorHAnsi" w:cstheme="minorHAnsi"/>
          <w:sz w:val="18"/>
          <w:szCs w:val="18"/>
        </w:rPr>
      </w:pPr>
      <w:r w:rsidRPr="00DB0C40">
        <w:rPr>
          <w:rFonts w:asciiTheme="minorHAnsi" w:eastAsiaTheme="minorHAnsi" w:hAnsiTheme="minorHAnsi" w:cstheme="minorHAnsi"/>
          <w:sz w:val="18"/>
          <w:szCs w:val="18"/>
        </w:rPr>
        <w:t xml:space="preserve">Source: </w:t>
      </w:r>
      <w:r w:rsidR="00A45334">
        <w:rPr>
          <w:rFonts w:asciiTheme="minorHAnsi" w:eastAsiaTheme="minorHAnsi" w:hAnsiTheme="minorHAnsi" w:cstheme="minorHAnsi"/>
          <w:sz w:val="18"/>
          <w:szCs w:val="18"/>
        </w:rPr>
        <w:t>TurkStat</w:t>
      </w:r>
    </w:p>
    <w:p w14:paraId="5138AF0D" w14:textId="77777777" w:rsidR="002557B7" w:rsidRPr="00DB0C40" w:rsidRDefault="002557B7" w:rsidP="002557B7">
      <w:pPr>
        <w:spacing w:after="160" w:line="259" w:lineRule="auto"/>
        <w:jc w:val="both"/>
        <w:rPr>
          <w:rFonts w:asciiTheme="minorHAnsi" w:eastAsiaTheme="minorHAnsi" w:hAnsiTheme="minorHAnsi" w:cstheme="minorHAnsi"/>
          <w:sz w:val="22"/>
          <w:szCs w:val="22"/>
        </w:rPr>
      </w:pPr>
      <w:r w:rsidRPr="00DB0C40">
        <w:rPr>
          <w:rFonts w:asciiTheme="minorHAnsi" w:eastAsiaTheme="minorHAnsi" w:hAnsiTheme="minorHAnsi" w:cstheme="minorHAnsi"/>
          <w:sz w:val="22"/>
          <w:szCs w:val="22"/>
        </w:rPr>
        <w:t xml:space="preserve">An important consideration is related to educational level. The relatively high shares of women in such different occupational groups (for instance professionals, but also service and sales workers) is a reflection </w:t>
      </w:r>
      <w:r w:rsidRPr="00DB0C40">
        <w:rPr>
          <w:rFonts w:asciiTheme="minorHAnsi" w:eastAsiaTheme="minorHAnsi" w:hAnsiTheme="minorHAnsi" w:cstheme="minorHAnsi"/>
          <w:sz w:val="22"/>
          <w:szCs w:val="22"/>
        </w:rPr>
        <w:lastRenderedPageBreak/>
        <w:t xml:space="preserve">of a gendered and segregated labour market, and of highly uneven educational outcomes. When compared to men, women have either relatively low or relatively high levels of education. Among active workers, in 2019, 46% of women had a primary level of education, compared to 37% of men; at the same time, however, 26% of women were graduates of tertiary education, compared to only 19% of men. Women with higher education levels are more likely to participate in the labour market than men, and the gender wage gap is narrowest among those with a tertiary level of education. The higher rates of labour market participation among women with tertiary education skew the data relating to inequalities in earnings, resulting in a mean wage gap that is narrower than the median wage gap (10% compared to 20%). It is also clear that the gender wage gap is wider among those with lower levels of education, affecting a greater number of women. </w:t>
      </w:r>
    </w:p>
    <w:p w14:paraId="06A055E6" w14:textId="77777777" w:rsidR="002557B7" w:rsidRPr="00DB0C40" w:rsidRDefault="002557B7" w:rsidP="002557B7">
      <w:pPr>
        <w:spacing w:after="160" w:line="259" w:lineRule="auto"/>
        <w:jc w:val="both"/>
        <w:rPr>
          <w:rFonts w:asciiTheme="minorHAnsi" w:eastAsiaTheme="minorHAnsi" w:hAnsiTheme="minorHAnsi" w:cstheme="minorHAnsi"/>
          <w:sz w:val="22"/>
          <w:szCs w:val="22"/>
        </w:rPr>
      </w:pPr>
      <w:r w:rsidRPr="00DB0C40">
        <w:rPr>
          <w:rFonts w:asciiTheme="minorHAnsi" w:eastAsiaTheme="minorHAnsi" w:hAnsiTheme="minorHAnsi" w:cstheme="minorHAnsi"/>
          <w:sz w:val="22"/>
          <w:szCs w:val="22"/>
        </w:rPr>
        <w:t>To see the employment rate according the level of studies, we can consider that: In 2015, the employment rate by educational level shows that percentage of women with less than high school was 23,9%; started to increase in 2016 to 24.2%, having a maximum for the period considered in 2018 at 25.1% and decreasing again in the following years (to 20.8% in the first quarter of 2021). For women with high school education, the trend starts in 2015 with 26.0%, reaching 27.7% in 2018 before decreasing to 24.5% in the first quarter of 2021. For women in vocational high school, the percentage of the start of the period in 2015 is 33.4% (that shows a gap of 41.5%), maintain the percentage during all the period to show a reduction for the first quarter of 2021: 28.2% (a gap of 41.5%).</w:t>
      </w:r>
    </w:p>
    <w:p w14:paraId="500C19AB" w14:textId="6F3AB5E7" w:rsidR="002557B7" w:rsidRPr="00DB0C40" w:rsidRDefault="002557B7" w:rsidP="002557B7">
      <w:pPr>
        <w:spacing w:after="160" w:line="259" w:lineRule="auto"/>
        <w:jc w:val="center"/>
        <w:rPr>
          <w:rFonts w:asciiTheme="minorHAnsi" w:eastAsiaTheme="minorHAnsi" w:hAnsiTheme="minorHAnsi" w:cstheme="minorHAnsi"/>
          <w:b/>
          <w:bCs/>
          <w:sz w:val="22"/>
          <w:szCs w:val="22"/>
        </w:rPr>
      </w:pPr>
      <w:bookmarkStart w:id="95" w:name="_Hlk88582838"/>
      <w:r w:rsidRPr="00DB0C40">
        <w:rPr>
          <w:rFonts w:asciiTheme="minorHAnsi" w:eastAsiaTheme="minorHAnsi" w:hAnsiTheme="minorHAnsi" w:cstheme="minorHAnsi"/>
          <w:b/>
          <w:bCs/>
          <w:sz w:val="22"/>
          <w:szCs w:val="22"/>
        </w:rPr>
        <w:t xml:space="preserve">Figure </w:t>
      </w:r>
      <w:r w:rsidR="00AD2223" w:rsidRPr="00DB0C40">
        <w:rPr>
          <w:rFonts w:asciiTheme="minorHAnsi" w:eastAsiaTheme="minorHAnsi" w:hAnsiTheme="minorHAnsi" w:cstheme="minorHAnsi"/>
          <w:b/>
          <w:bCs/>
          <w:sz w:val="22"/>
          <w:szCs w:val="22"/>
        </w:rPr>
        <w:t>9</w:t>
      </w:r>
      <w:r w:rsidRPr="00DB0C40">
        <w:rPr>
          <w:rFonts w:asciiTheme="minorHAnsi" w:eastAsiaTheme="minorHAnsi" w:hAnsiTheme="minorHAnsi" w:cstheme="minorHAnsi"/>
          <w:b/>
          <w:bCs/>
          <w:sz w:val="22"/>
          <w:szCs w:val="22"/>
        </w:rPr>
        <w:t>. Employment rate by educational level</w:t>
      </w:r>
      <w:r w:rsidR="00AD2223" w:rsidRPr="00DB0C40">
        <w:rPr>
          <w:rFonts w:asciiTheme="minorHAnsi" w:eastAsiaTheme="minorHAnsi" w:hAnsiTheme="minorHAnsi" w:cstheme="minorHAnsi"/>
          <w:b/>
          <w:bCs/>
          <w:sz w:val="22"/>
          <w:szCs w:val="22"/>
        </w:rPr>
        <w:t xml:space="preserve"> </w:t>
      </w:r>
      <w:r w:rsidR="00EF4332" w:rsidRPr="00DB0C40">
        <w:rPr>
          <w:rFonts w:asciiTheme="minorHAnsi" w:eastAsiaTheme="minorHAnsi" w:hAnsiTheme="minorHAnsi" w:cstheme="minorHAnsi"/>
          <w:b/>
          <w:bCs/>
          <w:sz w:val="22"/>
          <w:szCs w:val="22"/>
        </w:rPr>
        <w:t>Türkiye</w:t>
      </w:r>
      <w:r w:rsidRPr="00DB0C40">
        <w:rPr>
          <w:rFonts w:asciiTheme="minorHAnsi" w:eastAsiaTheme="minorHAnsi" w:hAnsiTheme="minorHAnsi" w:cstheme="minorHAnsi"/>
          <w:b/>
          <w:bCs/>
          <w:sz w:val="22"/>
          <w:szCs w:val="22"/>
        </w:rPr>
        <w:t xml:space="preserve"> (less than high school) (%) (2015 – 2021)</w:t>
      </w:r>
    </w:p>
    <w:bookmarkEnd w:id="95"/>
    <w:p w14:paraId="7B41890A" w14:textId="77777777" w:rsidR="002557B7" w:rsidRPr="00DB0C40" w:rsidRDefault="002557B7" w:rsidP="002557B7">
      <w:pPr>
        <w:spacing w:after="160" w:line="259" w:lineRule="auto"/>
        <w:jc w:val="center"/>
        <w:rPr>
          <w:rFonts w:asciiTheme="minorHAnsi" w:eastAsiaTheme="minorHAnsi" w:hAnsiTheme="minorHAnsi" w:cstheme="minorHAnsi"/>
          <w:sz w:val="22"/>
          <w:szCs w:val="22"/>
        </w:rPr>
      </w:pPr>
      <w:r w:rsidRPr="00DB0C40">
        <w:rPr>
          <w:rFonts w:asciiTheme="minorHAnsi" w:eastAsiaTheme="minorHAnsi" w:hAnsiTheme="minorHAnsi" w:cstheme="minorHAnsi"/>
          <w:noProof/>
          <w:sz w:val="22"/>
          <w:szCs w:val="22"/>
          <w:lang w:eastAsia="en-GB"/>
        </w:rPr>
        <w:drawing>
          <wp:inline distT="0" distB="0" distL="0" distR="0" wp14:anchorId="6618CCB4" wp14:editId="6071FEF7">
            <wp:extent cx="4651375" cy="27559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651375" cy="2755900"/>
                    </a:xfrm>
                    <a:prstGeom prst="rect">
                      <a:avLst/>
                    </a:prstGeom>
                    <a:noFill/>
                  </pic:spPr>
                </pic:pic>
              </a:graphicData>
            </a:graphic>
          </wp:inline>
        </w:drawing>
      </w:r>
    </w:p>
    <w:p w14:paraId="1C332F42" w14:textId="50CB7703" w:rsidR="002557B7" w:rsidRPr="00DB0C40" w:rsidRDefault="002557B7" w:rsidP="002557B7">
      <w:pPr>
        <w:spacing w:after="160" w:line="259" w:lineRule="auto"/>
        <w:jc w:val="center"/>
        <w:rPr>
          <w:rFonts w:asciiTheme="minorHAnsi" w:eastAsiaTheme="minorHAnsi" w:hAnsiTheme="minorHAnsi" w:cstheme="minorHAnsi"/>
          <w:sz w:val="18"/>
          <w:szCs w:val="18"/>
        </w:rPr>
      </w:pPr>
      <w:r w:rsidRPr="00DB0C40">
        <w:rPr>
          <w:rFonts w:asciiTheme="minorHAnsi" w:eastAsiaTheme="minorHAnsi" w:hAnsiTheme="minorHAnsi" w:cstheme="minorHAnsi"/>
          <w:sz w:val="18"/>
          <w:szCs w:val="18"/>
        </w:rPr>
        <w:t xml:space="preserve">Source: </w:t>
      </w:r>
      <w:r w:rsidR="00A45334">
        <w:rPr>
          <w:rFonts w:asciiTheme="minorHAnsi" w:eastAsiaTheme="minorHAnsi" w:hAnsiTheme="minorHAnsi" w:cstheme="minorHAnsi"/>
          <w:sz w:val="18"/>
          <w:szCs w:val="18"/>
        </w:rPr>
        <w:t>TurkStat</w:t>
      </w:r>
    </w:p>
    <w:p w14:paraId="72A8BCBB" w14:textId="788A273D" w:rsidR="002557B7" w:rsidRPr="00DB0C40" w:rsidRDefault="002557B7" w:rsidP="002557B7">
      <w:pPr>
        <w:spacing w:after="160" w:line="259" w:lineRule="auto"/>
        <w:jc w:val="center"/>
        <w:rPr>
          <w:rFonts w:asciiTheme="minorHAnsi" w:eastAsiaTheme="minorHAnsi" w:hAnsiTheme="minorHAnsi" w:cstheme="minorHAnsi"/>
          <w:b/>
          <w:bCs/>
          <w:sz w:val="22"/>
          <w:szCs w:val="22"/>
        </w:rPr>
      </w:pPr>
    </w:p>
    <w:p w14:paraId="6710568E" w14:textId="77777777" w:rsidR="00AD2223" w:rsidRPr="00DB0C40" w:rsidRDefault="00AD2223" w:rsidP="002557B7">
      <w:pPr>
        <w:spacing w:after="160" w:line="259" w:lineRule="auto"/>
        <w:jc w:val="center"/>
        <w:rPr>
          <w:rFonts w:asciiTheme="minorHAnsi" w:eastAsiaTheme="minorHAnsi" w:hAnsiTheme="minorHAnsi" w:cstheme="minorHAnsi"/>
          <w:b/>
          <w:bCs/>
          <w:sz w:val="22"/>
          <w:szCs w:val="22"/>
        </w:rPr>
      </w:pPr>
    </w:p>
    <w:p w14:paraId="4E5D5642" w14:textId="77777777" w:rsidR="002557B7" w:rsidRPr="00DB0C40" w:rsidRDefault="002557B7" w:rsidP="002557B7">
      <w:pPr>
        <w:spacing w:after="160" w:line="259" w:lineRule="auto"/>
        <w:jc w:val="center"/>
        <w:rPr>
          <w:rFonts w:asciiTheme="minorHAnsi" w:eastAsiaTheme="minorHAnsi" w:hAnsiTheme="minorHAnsi" w:cstheme="minorHAnsi"/>
          <w:b/>
          <w:bCs/>
          <w:sz w:val="22"/>
          <w:szCs w:val="22"/>
        </w:rPr>
      </w:pPr>
    </w:p>
    <w:p w14:paraId="6DC2F36C" w14:textId="251DA5E5" w:rsidR="002557B7" w:rsidRPr="00DB0C40" w:rsidRDefault="002557B7" w:rsidP="002557B7">
      <w:pPr>
        <w:spacing w:after="160" w:line="259" w:lineRule="auto"/>
        <w:jc w:val="center"/>
        <w:rPr>
          <w:rFonts w:asciiTheme="minorHAnsi" w:eastAsiaTheme="minorHAnsi" w:hAnsiTheme="minorHAnsi" w:cstheme="minorHAnsi"/>
          <w:b/>
          <w:bCs/>
          <w:sz w:val="22"/>
          <w:szCs w:val="22"/>
        </w:rPr>
      </w:pPr>
      <w:bookmarkStart w:id="96" w:name="_Hlk107138325"/>
      <w:r w:rsidRPr="00DB0C40">
        <w:rPr>
          <w:rFonts w:asciiTheme="minorHAnsi" w:eastAsiaTheme="minorHAnsi" w:hAnsiTheme="minorHAnsi" w:cstheme="minorHAnsi"/>
          <w:b/>
          <w:bCs/>
          <w:sz w:val="22"/>
          <w:szCs w:val="22"/>
        </w:rPr>
        <w:t xml:space="preserve">Figure </w:t>
      </w:r>
      <w:r w:rsidR="00AD2223" w:rsidRPr="00DB0C40">
        <w:rPr>
          <w:rFonts w:asciiTheme="minorHAnsi" w:eastAsiaTheme="minorHAnsi" w:hAnsiTheme="minorHAnsi" w:cstheme="minorHAnsi"/>
          <w:b/>
          <w:bCs/>
          <w:sz w:val="22"/>
          <w:szCs w:val="22"/>
        </w:rPr>
        <w:t>10</w:t>
      </w:r>
      <w:r w:rsidRPr="00DB0C40">
        <w:rPr>
          <w:rFonts w:asciiTheme="minorHAnsi" w:eastAsiaTheme="minorHAnsi" w:hAnsiTheme="minorHAnsi" w:cstheme="minorHAnsi"/>
          <w:b/>
          <w:bCs/>
          <w:sz w:val="22"/>
          <w:szCs w:val="22"/>
        </w:rPr>
        <w:t xml:space="preserve">. Employment rate by educational level </w:t>
      </w:r>
      <w:r w:rsidR="00EF4332" w:rsidRPr="00DB0C40">
        <w:rPr>
          <w:rFonts w:asciiTheme="minorHAnsi" w:eastAsiaTheme="minorHAnsi" w:hAnsiTheme="minorHAnsi" w:cstheme="minorHAnsi"/>
          <w:b/>
          <w:bCs/>
          <w:sz w:val="22"/>
          <w:szCs w:val="22"/>
        </w:rPr>
        <w:t>Türkiye</w:t>
      </w:r>
      <w:r w:rsidR="00AD2223" w:rsidRPr="00DB0C40">
        <w:rPr>
          <w:rFonts w:asciiTheme="minorHAnsi" w:eastAsiaTheme="minorHAnsi" w:hAnsiTheme="minorHAnsi" w:cstheme="minorHAnsi"/>
          <w:b/>
          <w:bCs/>
          <w:sz w:val="22"/>
          <w:szCs w:val="22"/>
        </w:rPr>
        <w:t xml:space="preserve"> </w:t>
      </w:r>
      <w:r w:rsidRPr="00DB0C40">
        <w:rPr>
          <w:rFonts w:asciiTheme="minorHAnsi" w:eastAsiaTheme="minorHAnsi" w:hAnsiTheme="minorHAnsi" w:cstheme="minorHAnsi"/>
          <w:b/>
          <w:bCs/>
          <w:sz w:val="22"/>
          <w:szCs w:val="22"/>
        </w:rPr>
        <w:t>(high school) (%) (2015 – 2021)</w:t>
      </w:r>
    </w:p>
    <w:bookmarkEnd w:id="96"/>
    <w:p w14:paraId="6B016114" w14:textId="77777777" w:rsidR="002557B7" w:rsidRPr="00DB0C40" w:rsidRDefault="002557B7" w:rsidP="002557B7">
      <w:pPr>
        <w:spacing w:after="160" w:line="259" w:lineRule="auto"/>
        <w:jc w:val="center"/>
        <w:rPr>
          <w:rFonts w:asciiTheme="minorHAnsi" w:eastAsiaTheme="minorHAnsi" w:hAnsiTheme="minorHAnsi" w:cstheme="minorHAnsi"/>
          <w:sz w:val="22"/>
          <w:szCs w:val="22"/>
        </w:rPr>
      </w:pPr>
      <w:r w:rsidRPr="00DB0C40">
        <w:rPr>
          <w:rFonts w:asciiTheme="minorHAnsi" w:eastAsiaTheme="minorHAnsi" w:hAnsiTheme="minorHAnsi" w:cstheme="minorHAnsi"/>
          <w:noProof/>
          <w:sz w:val="22"/>
          <w:szCs w:val="22"/>
          <w:lang w:eastAsia="en-GB"/>
        </w:rPr>
        <w:lastRenderedPageBreak/>
        <w:drawing>
          <wp:inline distT="0" distB="0" distL="0" distR="0" wp14:anchorId="104F20F3" wp14:editId="46AFCE3D">
            <wp:extent cx="4657725" cy="27432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57725" cy="2743200"/>
                    </a:xfrm>
                    <a:prstGeom prst="rect">
                      <a:avLst/>
                    </a:prstGeom>
                    <a:noFill/>
                  </pic:spPr>
                </pic:pic>
              </a:graphicData>
            </a:graphic>
          </wp:inline>
        </w:drawing>
      </w:r>
    </w:p>
    <w:p w14:paraId="2EF63D5E" w14:textId="74164673" w:rsidR="002557B7" w:rsidRPr="00DB0C40" w:rsidRDefault="002557B7" w:rsidP="002557B7">
      <w:pPr>
        <w:spacing w:after="160" w:line="259" w:lineRule="auto"/>
        <w:jc w:val="center"/>
        <w:rPr>
          <w:rFonts w:asciiTheme="minorHAnsi" w:eastAsiaTheme="minorHAnsi" w:hAnsiTheme="minorHAnsi" w:cstheme="minorHAnsi"/>
          <w:sz w:val="18"/>
          <w:szCs w:val="18"/>
        </w:rPr>
      </w:pPr>
      <w:r w:rsidRPr="00DB0C40">
        <w:rPr>
          <w:rFonts w:asciiTheme="minorHAnsi" w:eastAsiaTheme="minorHAnsi" w:hAnsiTheme="minorHAnsi" w:cstheme="minorHAnsi"/>
          <w:sz w:val="18"/>
          <w:szCs w:val="18"/>
        </w:rPr>
        <w:t xml:space="preserve">Source: </w:t>
      </w:r>
      <w:r w:rsidR="00A45334">
        <w:rPr>
          <w:rFonts w:asciiTheme="minorHAnsi" w:eastAsiaTheme="minorHAnsi" w:hAnsiTheme="minorHAnsi" w:cstheme="minorHAnsi"/>
          <w:sz w:val="18"/>
          <w:szCs w:val="18"/>
        </w:rPr>
        <w:t>T</w:t>
      </w:r>
      <w:r w:rsidR="00C2410D">
        <w:rPr>
          <w:rFonts w:asciiTheme="minorHAnsi" w:eastAsiaTheme="minorHAnsi" w:hAnsiTheme="minorHAnsi" w:cstheme="minorHAnsi"/>
          <w:sz w:val="18"/>
          <w:szCs w:val="18"/>
        </w:rPr>
        <w:t>urkStat</w:t>
      </w:r>
    </w:p>
    <w:p w14:paraId="379D17CA" w14:textId="77777777" w:rsidR="002557B7" w:rsidRPr="00DB0C40" w:rsidRDefault="002557B7" w:rsidP="002557B7">
      <w:pPr>
        <w:spacing w:after="160" w:line="259" w:lineRule="auto"/>
        <w:jc w:val="center"/>
        <w:rPr>
          <w:rFonts w:asciiTheme="minorHAnsi" w:eastAsiaTheme="minorHAnsi" w:hAnsiTheme="minorHAnsi" w:cstheme="minorHAnsi"/>
          <w:sz w:val="22"/>
          <w:szCs w:val="22"/>
        </w:rPr>
      </w:pPr>
    </w:p>
    <w:p w14:paraId="20A675A7" w14:textId="0B969E5C" w:rsidR="002557B7" w:rsidRPr="00DB0C40" w:rsidRDefault="002557B7" w:rsidP="002557B7">
      <w:pPr>
        <w:spacing w:after="160" w:line="259" w:lineRule="auto"/>
        <w:jc w:val="center"/>
        <w:rPr>
          <w:rFonts w:asciiTheme="minorHAnsi" w:eastAsiaTheme="minorHAnsi" w:hAnsiTheme="minorHAnsi" w:cstheme="minorHAnsi"/>
          <w:b/>
          <w:bCs/>
          <w:sz w:val="22"/>
          <w:szCs w:val="22"/>
        </w:rPr>
      </w:pPr>
      <w:bookmarkStart w:id="97" w:name="_Hlk107138359"/>
      <w:r w:rsidRPr="00DB0C40">
        <w:rPr>
          <w:rFonts w:asciiTheme="minorHAnsi" w:eastAsiaTheme="minorHAnsi" w:hAnsiTheme="minorHAnsi" w:cstheme="minorHAnsi"/>
          <w:b/>
          <w:bCs/>
          <w:sz w:val="22"/>
          <w:szCs w:val="22"/>
        </w:rPr>
        <w:t xml:space="preserve">Figure </w:t>
      </w:r>
      <w:r w:rsidR="00AD2223" w:rsidRPr="00DB0C40">
        <w:rPr>
          <w:rFonts w:asciiTheme="minorHAnsi" w:eastAsiaTheme="minorHAnsi" w:hAnsiTheme="minorHAnsi" w:cstheme="minorHAnsi"/>
          <w:b/>
          <w:bCs/>
          <w:sz w:val="22"/>
          <w:szCs w:val="22"/>
        </w:rPr>
        <w:t>11</w:t>
      </w:r>
      <w:r w:rsidRPr="00DB0C40">
        <w:rPr>
          <w:rFonts w:asciiTheme="minorHAnsi" w:eastAsiaTheme="minorHAnsi" w:hAnsiTheme="minorHAnsi" w:cstheme="minorHAnsi"/>
          <w:b/>
          <w:bCs/>
          <w:sz w:val="22"/>
          <w:szCs w:val="22"/>
        </w:rPr>
        <w:t xml:space="preserve">. Employment rate by educational level </w:t>
      </w:r>
      <w:r w:rsidR="00EF4332" w:rsidRPr="00DB0C40">
        <w:rPr>
          <w:rFonts w:asciiTheme="minorHAnsi" w:eastAsiaTheme="minorHAnsi" w:hAnsiTheme="minorHAnsi" w:cstheme="minorHAnsi"/>
          <w:b/>
          <w:bCs/>
          <w:sz w:val="22"/>
          <w:szCs w:val="22"/>
        </w:rPr>
        <w:t>Türkiye</w:t>
      </w:r>
      <w:r w:rsidR="00AD2223" w:rsidRPr="00DB0C40">
        <w:rPr>
          <w:rFonts w:asciiTheme="minorHAnsi" w:eastAsiaTheme="minorHAnsi" w:hAnsiTheme="minorHAnsi" w:cstheme="minorHAnsi"/>
          <w:b/>
          <w:bCs/>
          <w:sz w:val="22"/>
          <w:szCs w:val="22"/>
        </w:rPr>
        <w:t xml:space="preserve"> </w:t>
      </w:r>
      <w:r w:rsidRPr="00DB0C40">
        <w:rPr>
          <w:rFonts w:asciiTheme="minorHAnsi" w:eastAsiaTheme="minorHAnsi" w:hAnsiTheme="minorHAnsi" w:cstheme="minorHAnsi"/>
          <w:b/>
          <w:bCs/>
          <w:sz w:val="22"/>
          <w:szCs w:val="22"/>
        </w:rPr>
        <w:t>(vocational high school) (%) (2015 – 2021)</w:t>
      </w:r>
    </w:p>
    <w:bookmarkEnd w:id="97"/>
    <w:p w14:paraId="2CFC5645" w14:textId="77777777" w:rsidR="002557B7" w:rsidRPr="00DB0C40" w:rsidRDefault="002557B7" w:rsidP="002557B7">
      <w:pPr>
        <w:spacing w:after="160" w:line="259" w:lineRule="auto"/>
        <w:jc w:val="center"/>
        <w:rPr>
          <w:rFonts w:asciiTheme="minorHAnsi" w:eastAsiaTheme="minorHAnsi" w:hAnsiTheme="minorHAnsi" w:cstheme="minorHAnsi"/>
          <w:sz w:val="22"/>
          <w:szCs w:val="22"/>
        </w:rPr>
      </w:pPr>
      <w:r w:rsidRPr="00DB0C40">
        <w:rPr>
          <w:rFonts w:asciiTheme="minorHAnsi" w:eastAsiaTheme="minorHAnsi" w:hAnsiTheme="minorHAnsi" w:cstheme="minorHAnsi"/>
          <w:noProof/>
          <w:sz w:val="22"/>
          <w:szCs w:val="22"/>
          <w:lang w:eastAsia="en-GB"/>
        </w:rPr>
        <w:drawing>
          <wp:inline distT="0" distB="0" distL="0" distR="0" wp14:anchorId="6187CA55" wp14:editId="316A065B">
            <wp:extent cx="4651375" cy="27559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651375" cy="2755900"/>
                    </a:xfrm>
                    <a:prstGeom prst="rect">
                      <a:avLst/>
                    </a:prstGeom>
                    <a:noFill/>
                  </pic:spPr>
                </pic:pic>
              </a:graphicData>
            </a:graphic>
          </wp:inline>
        </w:drawing>
      </w:r>
    </w:p>
    <w:p w14:paraId="67865D4C" w14:textId="3BECBE14" w:rsidR="002557B7" w:rsidRPr="00DB0C40" w:rsidRDefault="002557B7" w:rsidP="002557B7">
      <w:pPr>
        <w:spacing w:after="160" w:line="259" w:lineRule="auto"/>
        <w:jc w:val="center"/>
        <w:rPr>
          <w:rFonts w:asciiTheme="minorHAnsi" w:eastAsiaTheme="minorHAnsi" w:hAnsiTheme="minorHAnsi" w:cstheme="minorHAnsi"/>
          <w:sz w:val="18"/>
          <w:szCs w:val="18"/>
        </w:rPr>
      </w:pPr>
      <w:r w:rsidRPr="00DB0C40">
        <w:rPr>
          <w:rFonts w:asciiTheme="minorHAnsi" w:eastAsiaTheme="minorHAnsi" w:hAnsiTheme="minorHAnsi" w:cstheme="minorHAnsi"/>
          <w:sz w:val="18"/>
          <w:szCs w:val="18"/>
        </w:rPr>
        <w:t xml:space="preserve">Source: </w:t>
      </w:r>
      <w:r w:rsidR="00A45334">
        <w:rPr>
          <w:rFonts w:asciiTheme="minorHAnsi" w:eastAsiaTheme="minorHAnsi" w:hAnsiTheme="minorHAnsi" w:cstheme="minorHAnsi"/>
          <w:sz w:val="18"/>
          <w:szCs w:val="18"/>
        </w:rPr>
        <w:t>T</w:t>
      </w:r>
      <w:r w:rsidR="00C2410D">
        <w:rPr>
          <w:rFonts w:asciiTheme="minorHAnsi" w:eastAsiaTheme="minorHAnsi" w:hAnsiTheme="minorHAnsi" w:cstheme="minorHAnsi"/>
          <w:sz w:val="18"/>
          <w:szCs w:val="18"/>
        </w:rPr>
        <w:t>urkStat</w:t>
      </w:r>
    </w:p>
    <w:p w14:paraId="28B60A59" w14:textId="77777777" w:rsidR="002557B7" w:rsidRPr="00DB0C40" w:rsidRDefault="002557B7" w:rsidP="002557B7">
      <w:pPr>
        <w:spacing w:after="160" w:line="259" w:lineRule="auto"/>
        <w:jc w:val="center"/>
        <w:rPr>
          <w:rFonts w:asciiTheme="minorHAnsi" w:eastAsiaTheme="minorHAnsi" w:hAnsiTheme="minorHAnsi" w:cstheme="minorHAnsi"/>
          <w:b/>
          <w:bCs/>
          <w:sz w:val="22"/>
          <w:szCs w:val="22"/>
        </w:rPr>
      </w:pPr>
    </w:p>
    <w:p w14:paraId="6AB7B4B9" w14:textId="77777777" w:rsidR="002557B7" w:rsidRPr="00DB0C40" w:rsidRDefault="002557B7" w:rsidP="002557B7">
      <w:pPr>
        <w:spacing w:after="160" w:line="259" w:lineRule="auto"/>
        <w:jc w:val="center"/>
        <w:rPr>
          <w:rFonts w:asciiTheme="minorHAnsi" w:eastAsiaTheme="minorHAnsi" w:hAnsiTheme="minorHAnsi" w:cstheme="minorHAnsi"/>
          <w:b/>
          <w:bCs/>
          <w:sz w:val="22"/>
          <w:szCs w:val="22"/>
        </w:rPr>
      </w:pPr>
    </w:p>
    <w:p w14:paraId="249D067C" w14:textId="0444C722" w:rsidR="002557B7" w:rsidRDefault="002557B7" w:rsidP="002557B7">
      <w:pPr>
        <w:spacing w:after="160" w:line="259" w:lineRule="auto"/>
        <w:jc w:val="center"/>
        <w:rPr>
          <w:rFonts w:asciiTheme="minorHAnsi" w:eastAsiaTheme="minorHAnsi" w:hAnsiTheme="minorHAnsi" w:cstheme="minorHAnsi"/>
          <w:b/>
          <w:bCs/>
          <w:sz w:val="22"/>
          <w:szCs w:val="22"/>
        </w:rPr>
      </w:pPr>
    </w:p>
    <w:p w14:paraId="5D9809DD" w14:textId="77777777" w:rsidR="00C2410D" w:rsidRPr="00DB0C40" w:rsidRDefault="00C2410D" w:rsidP="002557B7">
      <w:pPr>
        <w:spacing w:after="160" w:line="259" w:lineRule="auto"/>
        <w:jc w:val="center"/>
        <w:rPr>
          <w:rFonts w:asciiTheme="minorHAnsi" w:eastAsiaTheme="minorHAnsi" w:hAnsiTheme="minorHAnsi" w:cstheme="minorHAnsi"/>
          <w:b/>
          <w:bCs/>
          <w:sz w:val="22"/>
          <w:szCs w:val="22"/>
        </w:rPr>
      </w:pPr>
    </w:p>
    <w:p w14:paraId="370E7E64" w14:textId="77777777" w:rsidR="002557B7" w:rsidRPr="00DB0C40" w:rsidRDefault="002557B7" w:rsidP="002557B7">
      <w:pPr>
        <w:spacing w:after="160" w:line="259" w:lineRule="auto"/>
        <w:jc w:val="center"/>
        <w:rPr>
          <w:rFonts w:asciiTheme="minorHAnsi" w:eastAsiaTheme="minorHAnsi" w:hAnsiTheme="minorHAnsi" w:cstheme="minorHAnsi"/>
          <w:b/>
          <w:bCs/>
          <w:sz w:val="22"/>
          <w:szCs w:val="22"/>
        </w:rPr>
      </w:pPr>
    </w:p>
    <w:p w14:paraId="421396C6" w14:textId="6274B8B2" w:rsidR="002557B7" w:rsidRPr="00DB0C40" w:rsidRDefault="002557B7" w:rsidP="002557B7">
      <w:pPr>
        <w:spacing w:after="160" w:line="259" w:lineRule="auto"/>
        <w:jc w:val="center"/>
        <w:rPr>
          <w:rFonts w:asciiTheme="minorHAnsi" w:eastAsiaTheme="minorHAnsi" w:hAnsiTheme="minorHAnsi" w:cstheme="minorHAnsi"/>
          <w:b/>
          <w:bCs/>
          <w:sz w:val="22"/>
          <w:szCs w:val="22"/>
        </w:rPr>
      </w:pPr>
      <w:bookmarkStart w:id="98" w:name="_Hlk107138386"/>
      <w:r w:rsidRPr="00DB0C40">
        <w:rPr>
          <w:rFonts w:asciiTheme="minorHAnsi" w:eastAsiaTheme="minorHAnsi" w:hAnsiTheme="minorHAnsi" w:cstheme="minorHAnsi"/>
          <w:b/>
          <w:bCs/>
          <w:sz w:val="22"/>
          <w:szCs w:val="22"/>
        </w:rPr>
        <w:lastRenderedPageBreak/>
        <w:t xml:space="preserve">Figure </w:t>
      </w:r>
      <w:r w:rsidR="00B15F85" w:rsidRPr="00DB0C40">
        <w:rPr>
          <w:rFonts w:asciiTheme="minorHAnsi" w:eastAsiaTheme="minorHAnsi" w:hAnsiTheme="minorHAnsi" w:cstheme="minorHAnsi"/>
          <w:b/>
          <w:bCs/>
          <w:sz w:val="22"/>
          <w:szCs w:val="22"/>
        </w:rPr>
        <w:t>12</w:t>
      </w:r>
      <w:r w:rsidRPr="00DB0C40">
        <w:rPr>
          <w:rFonts w:asciiTheme="minorHAnsi" w:eastAsiaTheme="minorHAnsi" w:hAnsiTheme="minorHAnsi" w:cstheme="minorHAnsi"/>
          <w:b/>
          <w:bCs/>
          <w:sz w:val="22"/>
          <w:szCs w:val="22"/>
        </w:rPr>
        <w:t>. Employment rate by educational level</w:t>
      </w:r>
      <w:r w:rsidR="00B15F85" w:rsidRPr="00DB0C40">
        <w:rPr>
          <w:rFonts w:asciiTheme="minorHAnsi" w:eastAsiaTheme="minorHAnsi" w:hAnsiTheme="minorHAnsi" w:cstheme="minorBidi"/>
          <w:b/>
          <w:bCs/>
          <w:sz w:val="22"/>
          <w:szCs w:val="22"/>
        </w:rPr>
        <w:t xml:space="preserve"> </w:t>
      </w:r>
      <w:r w:rsidR="00EF4332" w:rsidRPr="00DB0C40">
        <w:rPr>
          <w:rFonts w:asciiTheme="minorHAnsi" w:eastAsiaTheme="minorHAnsi" w:hAnsiTheme="minorHAnsi" w:cstheme="minorHAnsi"/>
          <w:b/>
          <w:bCs/>
          <w:sz w:val="22"/>
          <w:szCs w:val="22"/>
        </w:rPr>
        <w:t>Türkiye</w:t>
      </w:r>
      <w:r w:rsidRPr="00DB0C40">
        <w:rPr>
          <w:rFonts w:asciiTheme="minorHAnsi" w:eastAsiaTheme="minorHAnsi" w:hAnsiTheme="minorHAnsi" w:cstheme="minorHAnsi"/>
          <w:b/>
          <w:bCs/>
          <w:sz w:val="22"/>
          <w:szCs w:val="22"/>
        </w:rPr>
        <w:t xml:space="preserve"> (less than high school) (%) (2015 – 2021)</w:t>
      </w:r>
    </w:p>
    <w:bookmarkEnd w:id="98"/>
    <w:p w14:paraId="048BF89C" w14:textId="77777777" w:rsidR="002557B7" w:rsidRPr="00DB0C40" w:rsidRDefault="002557B7" w:rsidP="002557B7">
      <w:pPr>
        <w:spacing w:after="160" w:line="259" w:lineRule="auto"/>
        <w:jc w:val="center"/>
        <w:rPr>
          <w:rFonts w:asciiTheme="minorHAnsi" w:eastAsiaTheme="minorHAnsi" w:hAnsiTheme="minorHAnsi" w:cstheme="minorHAnsi"/>
          <w:sz w:val="22"/>
          <w:szCs w:val="22"/>
        </w:rPr>
      </w:pPr>
      <w:r w:rsidRPr="00DB0C40">
        <w:rPr>
          <w:rFonts w:asciiTheme="minorHAnsi" w:eastAsiaTheme="minorHAnsi" w:hAnsiTheme="minorHAnsi" w:cstheme="minorHAnsi"/>
          <w:noProof/>
          <w:sz w:val="22"/>
          <w:szCs w:val="22"/>
          <w:lang w:eastAsia="en-GB"/>
        </w:rPr>
        <w:drawing>
          <wp:inline distT="0" distB="0" distL="0" distR="0" wp14:anchorId="4B82A4FA" wp14:editId="6DFFF571">
            <wp:extent cx="4657725" cy="27559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57725" cy="2755900"/>
                    </a:xfrm>
                    <a:prstGeom prst="rect">
                      <a:avLst/>
                    </a:prstGeom>
                    <a:noFill/>
                  </pic:spPr>
                </pic:pic>
              </a:graphicData>
            </a:graphic>
          </wp:inline>
        </w:drawing>
      </w:r>
    </w:p>
    <w:p w14:paraId="08CD2183" w14:textId="6F41C841" w:rsidR="002557B7" w:rsidRPr="00DB0C40" w:rsidRDefault="002557B7" w:rsidP="002557B7">
      <w:pPr>
        <w:spacing w:after="160" w:line="259" w:lineRule="auto"/>
        <w:jc w:val="center"/>
        <w:rPr>
          <w:rFonts w:asciiTheme="minorHAnsi" w:eastAsiaTheme="minorHAnsi" w:hAnsiTheme="minorHAnsi" w:cstheme="minorHAnsi"/>
          <w:sz w:val="18"/>
          <w:szCs w:val="18"/>
        </w:rPr>
      </w:pPr>
      <w:bookmarkStart w:id="99" w:name="_Hlk88652242"/>
      <w:r w:rsidRPr="00DB0C40">
        <w:rPr>
          <w:rFonts w:asciiTheme="minorHAnsi" w:eastAsiaTheme="minorHAnsi" w:hAnsiTheme="minorHAnsi" w:cstheme="minorHAnsi"/>
          <w:sz w:val="18"/>
          <w:szCs w:val="18"/>
        </w:rPr>
        <w:t xml:space="preserve">Source: </w:t>
      </w:r>
      <w:r w:rsidR="00A45334">
        <w:rPr>
          <w:rFonts w:asciiTheme="minorHAnsi" w:eastAsiaTheme="minorHAnsi" w:hAnsiTheme="minorHAnsi" w:cstheme="minorHAnsi"/>
          <w:sz w:val="18"/>
          <w:szCs w:val="18"/>
        </w:rPr>
        <w:t>T</w:t>
      </w:r>
      <w:r w:rsidR="00C2410D">
        <w:rPr>
          <w:rFonts w:asciiTheme="minorHAnsi" w:eastAsiaTheme="minorHAnsi" w:hAnsiTheme="minorHAnsi" w:cstheme="minorHAnsi"/>
          <w:sz w:val="18"/>
          <w:szCs w:val="18"/>
        </w:rPr>
        <w:t>urkStat</w:t>
      </w:r>
    </w:p>
    <w:bookmarkEnd w:id="99"/>
    <w:p w14:paraId="408B51D7" w14:textId="77777777" w:rsidR="002557B7" w:rsidRPr="00DB0C40" w:rsidRDefault="002557B7" w:rsidP="002557B7">
      <w:pPr>
        <w:spacing w:after="160" w:line="259" w:lineRule="auto"/>
        <w:jc w:val="center"/>
        <w:rPr>
          <w:rFonts w:asciiTheme="minorHAnsi" w:eastAsiaTheme="minorHAnsi" w:hAnsiTheme="minorHAnsi" w:cstheme="minorHAnsi"/>
          <w:sz w:val="22"/>
          <w:szCs w:val="22"/>
        </w:rPr>
      </w:pPr>
    </w:p>
    <w:p w14:paraId="3BCF883C" w14:textId="77777777" w:rsidR="002557B7" w:rsidRPr="00DB0C40" w:rsidRDefault="002557B7" w:rsidP="002557B7">
      <w:pPr>
        <w:spacing w:after="160" w:line="259" w:lineRule="auto"/>
        <w:jc w:val="both"/>
        <w:rPr>
          <w:rFonts w:asciiTheme="minorHAnsi" w:eastAsiaTheme="minorHAnsi" w:hAnsiTheme="minorHAnsi" w:cstheme="minorHAnsi"/>
          <w:sz w:val="22"/>
          <w:szCs w:val="22"/>
        </w:rPr>
      </w:pPr>
      <w:r w:rsidRPr="00DB0C40">
        <w:rPr>
          <w:rFonts w:asciiTheme="minorHAnsi" w:eastAsiaTheme="minorHAnsi" w:hAnsiTheme="minorHAnsi" w:cstheme="minorHAnsi"/>
          <w:sz w:val="22"/>
          <w:szCs w:val="22"/>
        </w:rPr>
        <w:t>Gender disparities are also observed across different occupations, and men outnumber women in every occupational category. In terms of the total number of women employed, the most common occupational groups for women are service and sales workers, elementary occupations and agricultural workers. These three occupational groups are also the most common among all workers, irrespective of gender, with agricultural workers outnumbering workers in elementary occupations by 1 percentage point. As a proportion of the occupational workforce, there is a relatively high presence of women who work in clerical support (this occupation also has the greatest gender parity), as professionals, and service and sales workers. Other conclusions on women employment in sectors are:</w:t>
      </w:r>
    </w:p>
    <w:p w14:paraId="23AA4B8D" w14:textId="12DC15EF" w:rsidR="002557B7" w:rsidRPr="00DB0C40" w:rsidRDefault="002557B7">
      <w:pPr>
        <w:numPr>
          <w:ilvl w:val="0"/>
          <w:numId w:val="31"/>
        </w:numPr>
        <w:spacing w:after="160" w:line="259" w:lineRule="auto"/>
        <w:contextualSpacing/>
        <w:jc w:val="both"/>
        <w:rPr>
          <w:rFonts w:asciiTheme="minorHAnsi" w:hAnsiTheme="minorHAnsi" w:cstheme="minorHAnsi"/>
          <w:sz w:val="22"/>
          <w:szCs w:val="22"/>
        </w:rPr>
      </w:pPr>
      <w:r w:rsidRPr="00DB0C40">
        <w:rPr>
          <w:rFonts w:asciiTheme="minorHAnsi" w:hAnsiTheme="minorHAnsi" w:cstheme="minorHAnsi"/>
          <w:sz w:val="22"/>
          <w:szCs w:val="22"/>
        </w:rPr>
        <w:t xml:space="preserve">on employment by sector of activity (% of men and women), from the data collected by </w:t>
      </w:r>
      <w:r w:rsidR="00A45334">
        <w:rPr>
          <w:rFonts w:asciiTheme="minorHAnsi" w:hAnsiTheme="minorHAnsi" w:cstheme="minorHAnsi"/>
          <w:sz w:val="22"/>
          <w:szCs w:val="22"/>
        </w:rPr>
        <w:t>TURKSTAT</w:t>
      </w:r>
      <w:r w:rsidRPr="00DB0C40">
        <w:rPr>
          <w:rFonts w:asciiTheme="minorHAnsi" w:hAnsiTheme="minorHAnsi" w:cstheme="minorHAnsi"/>
          <w:sz w:val="22"/>
          <w:szCs w:val="22"/>
        </w:rPr>
        <w:t>, and considering only 4 sectors (Agriculture, Industry, Construction and Service), women are particularly employed in services. Even though, the gender gap in this sector starts at -3.7% in 2015 and reached -5.0% during the first quarter of 2021.</w:t>
      </w:r>
    </w:p>
    <w:p w14:paraId="57212D53" w14:textId="77777777" w:rsidR="002557B7" w:rsidRPr="00DB0C40" w:rsidRDefault="002557B7">
      <w:pPr>
        <w:numPr>
          <w:ilvl w:val="0"/>
          <w:numId w:val="31"/>
        </w:numPr>
        <w:spacing w:after="160" w:line="259" w:lineRule="auto"/>
        <w:contextualSpacing/>
        <w:jc w:val="both"/>
        <w:rPr>
          <w:rFonts w:asciiTheme="minorHAnsi" w:hAnsiTheme="minorHAnsi" w:cstheme="minorHAnsi"/>
          <w:sz w:val="22"/>
          <w:szCs w:val="22"/>
        </w:rPr>
      </w:pPr>
      <w:r w:rsidRPr="00DB0C40">
        <w:rPr>
          <w:rFonts w:asciiTheme="minorHAnsi" w:hAnsiTheme="minorHAnsi" w:cstheme="minorHAnsi"/>
          <w:sz w:val="22"/>
          <w:szCs w:val="22"/>
        </w:rPr>
        <w:t xml:space="preserve"> The contribution of women in agriculture was 26.8% in 2015 (representing a gender gap of -12.2%) to decrease year after year to 24.9% in 2021 (with a gender gap of 10%).</w:t>
      </w:r>
    </w:p>
    <w:p w14:paraId="2ED49F79" w14:textId="77777777" w:rsidR="002557B7" w:rsidRPr="00DB0C40" w:rsidRDefault="002557B7">
      <w:pPr>
        <w:numPr>
          <w:ilvl w:val="0"/>
          <w:numId w:val="31"/>
        </w:numPr>
        <w:spacing w:after="160" w:line="259" w:lineRule="auto"/>
        <w:contextualSpacing/>
        <w:jc w:val="both"/>
        <w:rPr>
          <w:rFonts w:asciiTheme="minorHAnsi" w:hAnsiTheme="minorHAnsi" w:cstheme="minorHAnsi"/>
          <w:sz w:val="22"/>
          <w:szCs w:val="22"/>
        </w:rPr>
      </w:pPr>
      <w:r w:rsidRPr="00DB0C40">
        <w:rPr>
          <w:rFonts w:asciiTheme="minorHAnsi" w:hAnsiTheme="minorHAnsi" w:cstheme="minorHAnsi"/>
          <w:sz w:val="22"/>
          <w:szCs w:val="22"/>
        </w:rPr>
        <w:t>Only a 15.3% of women were represented in industry in 2015 (with a gender gap of 6.5%). This increased during 2020 to 17.9% before reducing to 16.7% during the first quarter of 2021 (a gender gap of 6.8%).</w:t>
      </w:r>
    </w:p>
    <w:p w14:paraId="2DF6A206" w14:textId="77777777" w:rsidR="002557B7" w:rsidRPr="00DB0C40" w:rsidRDefault="002557B7">
      <w:pPr>
        <w:numPr>
          <w:ilvl w:val="0"/>
          <w:numId w:val="31"/>
        </w:numPr>
        <w:spacing w:after="160" w:line="259" w:lineRule="auto"/>
        <w:contextualSpacing/>
        <w:jc w:val="both"/>
        <w:rPr>
          <w:rFonts w:asciiTheme="minorHAnsi" w:hAnsiTheme="minorHAnsi" w:cstheme="minorHAnsi"/>
          <w:sz w:val="22"/>
          <w:szCs w:val="22"/>
        </w:rPr>
      </w:pPr>
      <w:r w:rsidRPr="00DB0C40">
        <w:rPr>
          <w:rFonts w:asciiTheme="minorHAnsi" w:hAnsiTheme="minorHAnsi" w:cstheme="minorHAnsi"/>
          <w:sz w:val="22"/>
          <w:szCs w:val="22"/>
        </w:rPr>
        <w:t xml:space="preserve">Finally, in construction, the percentage of women was 0.7% (representing a gender gap of 9.4% for the sector). The gender gap started to diminish in 2017 and in 2021 reached 8.2%. </w:t>
      </w:r>
    </w:p>
    <w:p w14:paraId="69B29B71" w14:textId="77777777" w:rsidR="002557B7" w:rsidRPr="00DB0C40" w:rsidRDefault="002557B7" w:rsidP="002557B7">
      <w:pPr>
        <w:spacing w:after="160" w:line="259" w:lineRule="auto"/>
        <w:jc w:val="center"/>
        <w:rPr>
          <w:rFonts w:asciiTheme="minorHAnsi" w:eastAsiaTheme="minorHAnsi" w:hAnsiTheme="minorHAnsi" w:cstheme="minorHAnsi"/>
          <w:b/>
          <w:bCs/>
          <w:sz w:val="22"/>
          <w:szCs w:val="22"/>
        </w:rPr>
      </w:pPr>
    </w:p>
    <w:p w14:paraId="04022109" w14:textId="77777777" w:rsidR="002557B7" w:rsidRPr="00DB0C40" w:rsidRDefault="002557B7" w:rsidP="002557B7">
      <w:pPr>
        <w:spacing w:after="160" w:line="259" w:lineRule="auto"/>
        <w:jc w:val="center"/>
        <w:rPr>
          <w:rFonts w:asciiTheme="minorHAnsi" w:eastAsiaTheme="minorHAnsi" w:hAnsiTheme="minorHAnsi" w:cstheme="minorHAnsi"/>
          <w:b/>
          <w:bCs/>
          <w:sz w:val="22"/>
          <w:szCs w:val="22"/>
        </w:rPr>
      </w:pPr>
    </w:p>
    <w:p w14:paraId="60BA07B8" w14:textId="77777777" w:rsidR="002557B7" w:rsidRPr="00DB0C40" w:rsidRDefault="002557B7" w:rsidP="002557B7">
      <w:pPr>
        <w:spacing w:after="160" w:line="259" w:lineRule="auto"/>
        <w:jc w:val="center"/>
        <w:rPr>
          <w:rFonts w:asciiTheme="minorHAnsi" w:eastAsiaTheme="minorHAnsi" w:hAnsiTheme="minorHAnsi" w:cstheme="minorHAnsi"/>
          <w:b/>
          <w:bCs/>
          <w:sz w:val="22"/>
          <w:szCs w:val="22"/>
        </w:rPr>
      </w:pPr>
    </w:p>
    <w:p w14:paraId="5BC7198D" w14:textId="77777777" w:rsidR="002557B7" w:rsidRPr="00DB0C40" w:rsidRDefault="002557B7" w:rsidP="002557B7">
      <w:pPr>
        <w:spacing w:after="160" w:line="259" w:lineRule="auto"/>
        <w:jc w:val="center"/>
        <w:rPr>
          <w:rFonts w:asciiTheme="minorHAnsi" w:eastAsiaTheme="minorHAnsi" w:hAnsiTheme="minorHAnsi" w:cstheme="minorHAnsi"/>
          <w:b/>
          <w:bCs/>
          <w:sz w:val="22"/>
          <w:szCs w:val="22"/>
        </w:rPr>
      </w:pPr>
    </w:p>
    <w:p w14:paraId="002C0BCC" w14:textId="605001CC" w:rsidR="002557B7" w:rsidRPr="00DB0C40" w:rsidRDefault="002557B7" w:rsidP="002557B7">
      <w:pPr>
        <w:spacing w:after="160" w:line="259" w:lineRule="auto"/>
        <w:jc w:val="center"/>
        <w:rPr>
          <w:rFonts w:asciiTheme="minorHAnsi" w:eastAsiaTheme="minorHAnsi" w:hAnsiTheme="minorHAnsi" w:cstheme="minorHAnsi"/>
          <w:b/>
          <w:bCs/>
          <w:sz w:val="22"/>
          <w:szCs w:val="22"/>
        </w:rPr>
      </w:pPr>
      <w:bookmarkStart w:id="100" w:name="_Hlk107138435"/>
      <w:r w:rsidRPr="00DB0C40">
        <w:rPr>
          <w:rFonts w:asciiTheme="minorHAnsi" w:eastAsiaTheme="minorHAnsi" w:hAnsiTheme="minorHAnsi" w:cstheme="minorHAnsi"/>
          <w:b/>
          <w:bCs/>
          <w:sz w:val="22"/>
          <w:szCs w:val="22"/>
        </w:rPr>
        <w:t>Figure</w:t>
      </w:r>
      <w:r w:rsidR="00B15F85" w:rsidRPr="00DB0C40">
        <w:rPr>
          <w:rFonts w:asciiTheme="minorHAnsi" w:eastAsiaTheme="minorHAnsi" w:hAnsiTheme="minorHAnsi" w:cstheme="minorHAnsi"/>
          <w:b/>
          <w:bCs/>
          <w:sz w:val="22"/>
          <w:szCs w:val="22"/>
        </w:rPr>
        <w:t xml:space="preserve"> 13</w:t>
      </w:r>
      <w:r w:rsidRPr="00DB0C40">
        <w:rPr>
          <w:rFonts w:asciiTheme="minorHAnsi" w:eastAsiaTheme="minorHAnsi" w:hAnsiTheme="minorHAnsi" w:cstheme="minorHAnsi"/>
          <w:b/>
          <w:bCs/>
          <w:sz w:val="22"/>
          <w:szCs w:val="22"/>
        </w:rPr>
        <w:t>. Employment by sector of activity - Agriculture</w:t>
      </w:r>
      <w:r w:rsidR="00B15F85" w:rsidRPr="00DB0C40">
        <w:rPr>
          <w:rFonts w:asciiTheme="minorHAnsi" w:eastAsiaTheme="minorHAnsi" w:hAnsiTheme="minorHAnsi" w:cstheme="minorBidi"/>
          <w:b/>
          <w:bCs/>
          <w:sz w:val="22"/>
          <w:szCs w:val="22"/>
        </w:rPr>
        <w:t xml:space="preserve"> </w:t>
      </w:r>
      <w:r w:rsidR="00EF4332" w:rsidRPr="00DB0C40">
        <w:rPr>
          <w:rFonts w:asciiTheme="minorHAnsi" w:eastAsiaTheme="minorHAnsi" w:hAnsiTheme="minorHAnsi" w:cstheme="minorHAnsi"/>
          <w:b/>
          <w:bCs/>
          <w:sz w:val="22"/>
          <w:szCs w:val="22"/>
        </w:rPr>
        <w:t>Türkiye</w:t>
      </w:r>
      <w:r w:rsidRPr="00DB0C40">
        <w:rPr>
          <w:rFonts w:asciiTheme="minorHAnsi" w:eastAsiaTheme="minorHAnsi" w:hAnsiTheme="minorHAnsi" w:cstheme="minorHAnsi"/>
          <w:b/>
          <w:bCs/>
          <w:sz w:val="22"/>
          <w:szCs w:val="22"/>
        </w:rPr>
        <w:t xml:space="preserve"> (% of men and women) (2015 – 2021)</w:t>
      </w:r>
    </w:p>
    <w:bookmarkEnd w:id="100"/>
    <w:p w14:paraId="34CD2EDB" w14:textId="77777777" w:rsidR="002557B7" w:rsidRPr="00DB0C40" w:rsidRDefault="002557B7" w:rsidP="002557B7">
      <w:pPr>
        <w:spacing w:after="160" w:line="259" w:lineRule="auto"/>
        <w:jc w:val="center"/>
        <w:rPr>
          <w:rFonts w:asciiTheme="minorHAnsi" w:eastAsiaTheme="minorHAnsi" w:hAnsiTheme="minorHAnsi" w:cstheme="minorHAnsi"/>
          <w:b/>
          <w:bCs/>
          <w:sz w:val="22"/>
          <w:szCs w:val="22"/>
        </w:rPr>
      </w:pPr>
      <w:r w:rsidRPr="00DB0C40">
        <w:rPr>
          <w:rFonts w:asciiTheme="minorHAnsi" w:eastAsiaTheme="minorHAnsi" w:hAnsiTheme="minorHAnsi" w:cstheme="minorHAnsi"/>
          <w:b/>
          <w:bCs/>
          <w:noProof/>
          <w:sz w:val="22"/>
          <w:szCs w:val="22"/>
          <w:lang w:eastAsia="en-GB"/>
        </w:rPr>
        <w:drawing>
          <wp:inline distT="0" distB="0" distL="0" distR="0" wp14:anchorId="0F77DC1A" wp14:editId="0443823A">
            <wp:extent cx="4603115" cy="27559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603115" cy="2755900"/>
                    </a:xfrm>
                    <a:prstGeom prst="rect">
                      <a:avLst/>
                    </a:prstGeom>
                    <a:noFill/>
                  </pic:spPr>
                </pic:pic>
              </a:graphicData>
            </a:graphic>
          </wp:inline>
        </w:drawing>
      </w:r>
    </w:p>
    <w:p w14:paraId="3E8B65AC" w14:textId="3772D43F" w:rsidR="002557B7" w:rsidRPr="00DB0C40" w:rsidRDefault="002557B7" w:rsidP="002557B7">
      <w:pPr>
        <w:spacing w:after="160" w:line="259" w:lineRule="auto"/>
        <w:jc w:val="center"/>
        <w:rPr>
          <w:rFonts w:asciiTheme="minorHAnsi" w:eastAsiaTheme="minorHAnsi" w:hAnsiTheme="minorHAnsi" w:cstheme="minorHAnsi"/>
          <w:sz w:val="18"/>
          <w:szCs w:val="18"/>
        </w:rPr>
      </w:pPr>
      <w:r w:rsidRPr="00DB0C40">
        <w:rPr>
          <w:rFonts w:asciiTheme="minorHAnsi" w:eastAsiaTheme="minorHAnsi" w:hAnsiTheme="minorHAnsi" w:cstheme="minorHAnsi"/>
          <w:sz w:val="18"/>
          <w:szCs w:val="18"/>
        </w:rPr>
        <w:t xml:space="preserve">Source: </w:t>
      </w:r>
      <w:r w:rsidR="00A45334">
        <w:rPr>
          <w:rFonts w:asciiTheme="minorHAnsi" w:eastAsiaTheme="minorHAnsi" w:hAnsiTheme="minorHAnsi" w:cstheme="minorHAnsi"/>
          <w:sz w:val="18"/>
          <w:szCs w:val="18"/>
        </w:rPr>
        <w:t>T</w:t>
      </w:r>
      <w:r w:rsidR="00C2410D">
        <w:rPr>
          <w:rFonts w:asciiTheme="minorHAnsi" w:eastAsiaTheme="minorHAnsi" w:hAnsiTheme="minorHAnsi" w:cstheme="minorHAnsi"/>
          <w:sz w:val="18"/>
          <w:szCs w:val="18"/>
        </w:rPr>
        <w:t>urkStat</w:t>
      </w:r>
    </w:p>
    <w:p w14:paraId="04C83EBF" w14:textId="77777777" w:rsidR="002557B7" w:rsidRPr="00DB0C40" w:rsidRDefault="002557B7" w:rsidP="002557B7">
      <w:pPr>
        <w:spacing w:after="160" w:line="259" w:lineRule="auto"/>
        <w:rPr>
          <w:rFonts w:asciiTheme="minorHAnsi" w:eastAsiaTheme="minorHAnsi" w:hAnsiTheme="minorHAnsi" w:cstheme="minorHAnsi"/>
          <w:b/>
          <w:bCs/>
          <w:sz w:val="22"/>
          <w:szCs w:val="22"/>
        </w:rPr>
      </w:pPr>
    </w:p>
    <w:p w14:paraId="111BCEE6" w14:textId="4919C070" w:rsidR="002557B7" w:rsidRPr="00DB0C40" w:rsidRDefault="002557B7" w:rsidP="002557B7">
      <w:pPr>
        <w:spacing w:after="160" w:line="259" w:lineRule="auto"/>
        <w:jc w:val="center"/>
        <w:rPr>
          <w:rFonts w:asciiTheme="minorHAnsi" w:eastAsiaTheme="minorHAnsi" w:hAnsiTheme="minorHAnsi" w:cstheme="minorHAnsi"/>
          <w:b/>
          <w:bCs/>
          <w:sz w:val="22"/>
          <w:szCs w:val="22"/>
        </w:rPr>
      </w:pPr>
      <w:bookmarkStart w:id="101" w:name="_Hlk107138468"/>
      <w:r w:rsidRPr="00DB0C40">
        <w:rPr>
          <w:rFonts w:asciiTheme="minorHAnsi" w:eastAsiaTheme="minorHAnsi" w:hAnsiTheme="minorHAnsi" w:cstheme="minorHAnsi"/>
          <w:b/>
          <w:bCs/>
          <w:sz w:val="22"/>
          <w:szCs w:val="22"/>
        </w:rPr>
        <w:t xml:space="preserve">Figure </w:t>
      </w:r>
      <w:r w:rsidR="00B15F85" w:rsidRPr="00DB0C40">
        <w:rPr>
          <w:rFonts w:asciiTheme="minorHAnsi" w:eastAsiaTheme="minorHAnsi" w:hAnsiTheme="minorHAnsi" w:cstheme="minorHAnsi"/>
          <w:b/>
          <w:bCs/>
          <w:sz w:val="22"/>
          <w:szCs w:val="22"/>
        </w:rPr>
        <w:t>14</w:t>
      </w:r>
      <w:r w:rsidRPr="00DB0C40">
        <w:rPr>
          <w:rFonts w:asciiTheme="minorHAnsi" w:eastAsiaTheme="minorHAnsi" w:hAnsiTheme="minorHAnsi" w:cstheme="minorHAnsi"/>
          <w:b/>
          <w:bCs/>
          <w:sz w:val="22"/>
          <w:szCs w:val="22"/>
        </w:rPr>
        <w:t>. Employment by sector of activity - Industry</w:t>
      </w:r>
      <w:r w:rsidR="00B15F85" w:rsidRPr="00DB0C40">
        <w:rPr>
          <w:rFonts w:asciiTheme="minorHAnsi" w:eastAsiaTheme="minorHAnsi" w:hAnsiTheme="minorHAnsi" w:cstheme="minorHAnsi"/>
          <w:b/>
          <w:bCs/>
          <w:sz w:val="22"/>
          <w:szCs w:val="22"/>
        </w:rPr>
        <w:t xml:space="preserve"> </w:t>
      </w:r>
      <w:r w:rsidR="00EF4332" w:rsidRPr="00DB0C40">
        <w:rPr>
          <w:rFonts w:asciiTheme="minorHAnsi" w:eastAsiaTheme="minorHAnsi" w:hAnsiTheme="minorHAnsi" w:cstheme="minorHAnsi"/>
          <w:b/>
          <w:bCs/>
          <w:sz w:val="22"/>
          <w:szCs w:val="22"/>
        </w:rPr>
        <w:t>Türkiye</w:t>
      </w:r>
      <w:r w:rsidRPr="00DB0C40">
        <w:rPr>
          <w:rFonts w:asciiTheme="minorHAnsi" w:eastAsiaTheme="minorHAnsi" w:hAnsiTheme="minorHAnsi" w:cstheme="minorHAnsi"/>
          <w:b/>
          <w:bCs/>
          <w:sz w:val="22"/>
          <w:szCs w:val="22"/>
        </w:rPr>
        <w:t xml:space="preserve"> (% of men and women) (2015 – 2021)</w:t>
      </w:r>
    </w:p>
    <w:bookmarkEnd w:id="101"/>
    <w:p w14:paraId="72DD1928" w14:textId="77777777" w:rsidR="002557B7" w:rsidRPr="00DB0C40" w:rsidRDefault="002557B7" w:rsidP="002557B7">
      <w:pPr>
        <w:spacing w:after="160" w:line="259" w:lineRule="auto"/>
        <w:jc w:val="center"/>
        <w:rPr>
          <w:rFonts w:asciiTheme="minorHAnsi" w:eastAsiaTheme="minorHAnsi" w:hAnsiTheme="minorHAnsi" w:cstheme="minorHAnsi"/>
          <w:b/>
          <w:bCs/>
          <w:sz w:val="22"/>
          <w:szCs w:val="22"/>
        </w:rPr>
      </w:pPr>
    </w:p>
    <w:p w14:paraId="271AF7F0" w14:textId="77777777" w:rsidR="002557B7" w:rsidRPr="00DB0C40" w:rsidRDefault="002557B7" w:rsidP="002557B7">
      <w:pPr>
        <w:spacing w:after="160" w:line="259" w:lineRule="auto"/>
        <w:jc w:val="center"/>
        <w:rPr>
          <w:rFonts w:asciiTheme="minorHAnsi" w:eastAsiaTheme="minorHAnsi" w:hAnsiTheme="minorHAnsi" w:cstheme="minorHAnsi"/>
          <w:b/>
          <w:bCs/>
          <w:sz w:val="22"/>
          <w:szCs w:val="22"/>
        </w:rPr>
      </w:pPr>
      <w:r w:rsidRPr="00DB0C40">
        <w:rPr>
          <w:rFonts w:asciiTheme="minorHAnsi" w:eastAsiaTheme="minorHAnsi" w:hAnsiTheme="minorHAnsi" w:cstheme="minorHAnsi"/>
          <w:b/>
          <w:bCs/>
          <w:noProof/>
          <w:sz w:val="22"/>
          <w:szCs w:val="22"/>
          <w:lang w:eastAsia="en-GB"/>
        </w:rPr>
        <w:drawing>
          <wp:inline distT="0" distB="0" distL="0" distR="0" wp14:anchorId="2CE7A810" wp14:editId="4E27421B">
            <wp:extent cx="4609465" cy="2759702"/>
            <wp:effectExtent l="0" t="0" r="635"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10513" cy="2760329"/>
                    </a:xfrm>
                    <a:prstGeom prst="rect">
                      <a:avLst/>
                    </a:prstGeom>
                    <a:noFill/>
                  </pic:spPr>
                </pic:pic>
              </a:graphicData>
            </a:graphic>
          </wp:inline>
        </w:drawing>
      </w:r>
    </w:p>
    <w:p w14:paraId="50A674F3" w14:textId="6D12EFF5" w:rsidR="002557B7" w:rsidRPr="00DB0C40" w:rsidRDefault="002557B7" w:rsidP="002557B7">
      <w:pPr>
        <w:spacing w:after="160" w:line="259" w:lineRule="auto"/>
        <w:jc w:val="center"/>
        <w:rPr>
          <w:rFonts w:asciiTheme="minorHAnsi" w:eastAsiaTheme="minorHAnsi" w:hAnsiTheme="minorHAnsi" w:cstheme="minorHAnsi"/>
          <w:sz w:val="18"/>
          <w:szCs w:val="18"/>
        </w:rPr>
      </w:pPr>
      <w:r w:rsidRPr="00DB0C40">
        <w:rPr>
          <w:rFonts w:asciiTheme="minorHAnsi" w:eastAsiaTheme="minorHAnsi" w:hAnsiTheme="minorHAnsi" w:cstheme="minorHAnsi"/>
          <w:sz w:val="18"/>
          <w:szCs w:val="18"/>
        </w:rPr>
        <w:t xml:space="preserve">Source: </w:t>
      </w:r>
      <w:r w:rsidR="00C2410D">
        <w:rPr>
          <w:rFonts w:asciiTheme="minorHAnsi" w:eastAsiaTheme="minorHAnsi" w:hAnsiTheme="minorHAnsi" w:cstheme="minorHAnsi"/>
          <w:sz w:val="18"/>
          <w:szCs w:val="18"/>
        </w:rPr>
        <w:t>TurkStat</w:t>
      </w:r>
    </w:p>
    <w:p w14:paraId="1CE1620D" w14:textId="77777777" w:rsidR="002557B7" w:rsidRPr="00DB0C40" w:rsidRDefault="002557B7" w:rsidP="002557B7">
      <w:pPr>
        <w:spacing w:after="160" w:line="259" w:lineRule="auto"/>
        <w:jc w:val="center"/>
        <w:rPr>
          <w:rFonts w:asciiTheme="minorHAnsi" w:eastAsiaTheme="minorHAnsi" w:hAnsiTheme="minorHAnsi" w:cstheme="minorHAnsi"/>
          <w:b/>
          <w:bCs/>
          <w:sz w:val="22"/>
          <w:szCs w:val="22"/>
        </w:rPr>
      </w:pPr>
    </w:p>
    <w:p w14:paraId="0D7B430D" w14:textId="77777777" w:rsidR="002557B7" w:rsidRPr="00DB0C40" w:rsidRDefault="002557B7" w:rsidP="002557B7">
      <w:pPr>
        <w:spacing w:after="160" w:line="259" w:lineRule="auto"/>
        <w:jc w:val="center"/>
        <w:rPr>
          <w:rFonts w:asciiTheme="minorHAnsi" w:eastAsiaTheme="minorHAnsi" w:hAnsiTheme="minorHAnsi" w:cstheme="minorHAnsi"/>
          <w:b/>
          <w:bCs/>
          <w:sz w:val="22"/>
          <w:szCs w:val="22"/>
        </w:rPr>
      </w:pPr>
    </w:p>
    <w:p w14:paraId="4CC7F149" w14:textId="77777777" w:rsidR="002557B7" w:rsidRPr="00DB0C40" w:rsidRDefault="002557B7" w:rsidP="002557B7">
      <w:pPr>
        <w:spacing w:after="160" w:line="259" w:lineRule="auto"/>
        <w:jc w:val="center"/>
        <w:rPr>
          <w:rFonts w:asciiTheme="minorHAnsi" w:eastAsiaTheme="minorHAnsi" w:hAnsiTheme="minorHAnsi" w:cstheme="minorHAnsi"/>
          <w:b/>
          <w:bCs/>
          <w:sz w:val="22"/>
          <w:szCs w:val="22"/>
        </w:rPr>
      </w:pPr>
    </w:p>
    <w:p w14:paraId="2D8053C3" w14:textId="440FFEE4" w:rsidR="002557B7" w:rsidRPr="00DB0C40" w:rsidRDefault="002557B7" w:rsidP="002557B7">
      <w:pPr>
        <w:spacing w:after="160" w:line="259" w:lineRule="auto"/>
        <w:jc w:val="center"/>
        <w:rPr>
          <w:rFonts w:asciiTheme="minorHAnsi" w:eastAsiaTheme="minorHAnsi" w:hAnsiTheme="minorHAnsi" w:cstheme="minorHAnsi"/>
          <w:b/>
          <w:bCs/>
          <w:sz w:val="22"/>
          <w:szCs w:val="22"/>
        </w:rPr>
      </w:pPr>
      <w:bookmarkStart w:id="102" w:name="_Hlk107138509"/>
      <w:r w:rsidRPr="00DB0C40">
        <w:rPr>
          <w:rFonts w:asciiTheme="minorHAnsi" w:eastAsiaTheme="minorHAnsi" w:hAnsiTheme="minorHAnsi" w:cstheme="minorHAnsi"/>
          <w:b/>
          <w:bCs/>
          <w:sz w:val="22"/>
          <w:szCs w:val="22"/>
        </w:rPr>
        <w:t xml:space="preserve">Figure </w:t>
      </w:r>
      <w:r w:rsidR="00B15F85" w:rsidRPr="00DB0C40">
        <w:rPr>
          <w:rFonts w:asciiTheme="minorHAnsi" w:eastAsiaTheme="minorHAnsi" w:hAnsiTheme="minorHAnsi" w:cstheme="minorHAnsi"/>
          <w:b/>
          <w:bCs/>
          <w:sz w:val="22"/>
          <w:szCs w:val="22"/>
        </w:rPr>
        <w:t>15</w:t>
      </w:r>
      <w:r w:rsidRPr="00DB0C40">
        <w:rPr>
          <w:rFonts w:asciiTheme="minorHAnsi" w:eastAsiaTheme="minorHAnsi" w:hAnsiTheme="minorHAnsi" w:cstheme="minorHAnsi"/>
          <w:b/>
          <w:bCs/>
          <w:sz w:val="22"/>
          <w:szCs w:val="22"/>
        </w:rPr>
        <w:t xml:space="preserve">. Employment by sector of activity - Construction </w:t>
      </w:r>
      <w:r w:rsidR="00EF4332" w:rsidRPr="00DB0C40">
        <w:rPr>
          <w:rFonts w:asciiTheme="minorHAnsi" w:eastAsiaTheme="minorHAnsi" w:hAnsiTheme="minorHAnsi" w:cstheme="minorHAnsi"/>
          <w:b/>
          <w:bCs/>
          <w:sz w:val="22"/>
          <w:szCs w:val="22"/>
        </w:rPr>
        <w:t>Türkiye</w:t>
      </w:r>
      <w:r w:rsidR="00B15F85" w:rsidRPr="00DB0C40">
        <w:rPr>
          <w:rFonts w:asciiTheme="minorHAnsi" w:eastAsiaTheme="minorHAnsi" w:hAnsiTheme="minorHAnsi" w:cstheme="minorHAnsi"/>
          <w:b/>
          <w:bCs/>
          <w:sz w:val="22"/>
          <w:szCs w:val="22"/>
        </w:rPr>
        <w:t xml:space="preserve"> </w:t>
      </w:r>
      <w:r w:rsidRPr="00DB0C40">
        <w:rPr>
          <w:rFonts w:asciiTheme="minorHAnsi" w:eastAsiaTheme="minorHAnsi" w:hAnsiTheme="minorHAnsi" w:cstheme="minorHAnsi"/>
          <w:b/>
          <w:bCs/>
          <w:sz w:val="22"/>
          <w:szCs w:val="22"/>
        </w:rPr>
        <w:t>(% of men and women) (2015 – 2021)</w:t>
      </w:r>
    </w:p>
    <w:bookmarkEnd w:id="102"/>
    <w:p w14:paraId="2F1A3C4D" w14:textId="77777777" w:rsidR="002557B7" w:rsidRPr="00DB0C40" w:rsidRDefault="002557B7" w:rsidP="002557B7">
      <w:pPr>
        <w:spacing w:after="160" w:line="259" w:lineRule="auto"/>
        <w:jc w:val="center"/>
        <w:rPr>
          <w:rFonts w:asciiTheme="minorHAnsi" w:eastAsiaTheme="minorHAnsi" w:hAnsiTheme="minorHAnsi" w:cstheme="minorHAnsi"/>
          <w:b/>
          <w:bCs/>
          <w:sz w:val="22"/>
          <w:szCs w:val="22"/>
        </w:rPr>
      </w:pPr>
    </w:p>
    <w:p w14:paraId="1C88355C" w14:textId="77777777" w:rsidR="002557B7" w:rsidRPr="00DB0C40" w:rsidRDefault="002557B7" w:rsidP="002557B7">
      <w:pPr>
        <w:spacing w:after="160" w:line="259" w:lineRule="auto"/>
        <w:jc w:val="center"/>
        <w:rPr>
          <w:rFonts w:asciiTheme="minorHAnsi" w:eastAsiaTheme="minorHAnsi" w:hAnsiTheme="minorHAnsi" w:cstheme="minorHAnsi"/>
          <w:b/>
          <w:bCs/>
          <w:sz w:val="22"/>
          <w:szCs w:val="22"/>
        </w:rPr>
      </w:pPr>
      <w:r w:rsidRPr="00DB0C40">
        <w:rPr>
          <w:rFonts w:asciiTheme="minorHAnsi" w:eastAsiaTheme="minorHAnsi" w:hAnsiTheme="minorHAnsi" w:cstheme="minorHAnsi"/>
          <w:b/>
          <w:bCs/>
          <w:noProof/>
          <w:sz w:val="22"/>
          <w:szCs w:val="22"/>
          <w:lang w:eastAsia="en-GB"/>
        </w:rPr>
        <w:drawing>
          <wp:inline distT="0" distB="0" distL="0" distR="0" wp14:anchorId="531FECE9" wp14:editId="0AD07E17">
            <wp:extent cx="4603115" cy="27559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603115" cy="2755900"/>
                    </a:xfrm>
                    <a:prstGeom prst="rect">
                      <a:avLst/>
                    </a:prstGeom>
                    <a:noFill/>
                  </pic:spPr>
                </pic:pic>
              </a:graphicData>
            </a:graphic>
          </wp:inline>
        </w:drawing>
      </w:r>
    </w:p>
    <w:p w14:paraId="3073C6AA" w14:textId="3B153B63" w:rsidR="002557B7" w:rsidRPr="00DB0C40" w:rsidRDefault="002557B7" w:rsidP="002557B7">
      <w:pPr>
        <w:spacing w:after="160" w:line="259" w:lineRule="auto"/>
        <w:jc w:val="center"/>
        <w:rPr>
          <w:rFonts w:asciiTheme="minorHAnsi" w:eastAsiaTheme="minorHAnsi" w:hAnsiTheme="minorHAnsi" w:cstheme="minorHAnsi"/>
          <w:sz w:val="18"/>
          <w:szCs w:val="18"/>
        </w:rPr>
      </w:pPr>
      <w:r w:rsidRPr="00DB0C40">
        <w:rPr>
          <w:rFonts w:asciiTheme="minorHAnsi" w:eastAsiaTheme="minorHAnsi" w:hAnsiTheme="minorHAnsi" w:cstheme="minorHAnsi"/>
          <w:sz w:val="18"/>
          <w:szCs w:val="18"/>
        </w:rPr>
        <w:t xml:space="preserve">Source: </w:t>
      </w:r>
      <w:r w:rsidR="00A45334">
        <w:rPr>
          <w:rFonts w:asciiTheme="minorHAnsi" w:eastAsiaTheme="minorHAnsi" w:hAnsiTheme="minorHAnsi" w:cstheme="minorHAnsi"/>
          <w:sz w:val="18"/>
          <w:szCs w:val="18"/>
        </w:rPr>
        <w:t>T</w:t>
      </w:r>
      <w:r w:rsidR="00C2410D">
        <w:rPr>
          <w:rFonts w:asciiTheme="minorHAnsi" w:eastAsiaTheme="minorHAnsi" w:hAnsiTheme="minorHAnsi" w:cstheme="minorHAnsi"/>
          <w:sz w:val="18"/>
          <w:szCs w:val="18"/>
        </w:rPr>
        <w:t>urkStat</w:t>
      </w:r>
    </w:p>
    <w:p w14:paraId="64994318" w14:textId="77777777" w:rsidR="002557B7" w:rsidRPr="00DB0C40" w:rsidRDefault="002557B7" w:rsidP="002557B7">
      <w:pPr>
        <w:spacing w:after="160" w:line="259" w:lineRule="auto"/>
        <w:rPr>
          <w:rFonts w:asciiTheme="minorHAnsi" w:eastAsiaTheme="minorHAnsi" w:hAnsiTheme="minorHAnsi" w:cstheme="minorHAnsi"/>
          <w:b/>
          <w:bCs/>
          <w:sz w:val="22"/>
          <w:szCs w:val="22"/>
        </w:rPr>
      </w:pPr>
    </w:p>
    <w:p w14:paraId="66AFD9AA" w14:textId="50064E70" w:rsidR="002557B7" w:rsidRPr="00DB0C40" w:rsidRDefault="002557B7" w:rsidP="002557B7">
      <w:pPr>
        <w:spacing w:after="160" w:line="259" w:lineRule="auto"/>
        <w:jc w:val="center"/>
        <w:rPr>
          <w:rFonts w:asciiTheme="minorHAnsi" w:eastAsiaTheme="minorHAnsi" w:hAnsiTheme="minorHAnsi" w:cstheme="minorHAnsi"/>
          <w:b/>
          <w:bCs/>
          <w:sz w:val="22"/>
          <w:szCs w:val="22"/>
        </w:rPr>
      </w:pPr>
      <w:bookmarkStart w:id="103" w:name="_Hlk107138543"/>
      <w:r w:rsidRPr="00DB0C40">
        <w:rPr>
          <w:rFonts w:asciiTheme="minorHAnsi" w:eastAsiaTheme="minorHAnsi" w:hAnsiTheme="minorHAnsi" w:cstheme="minorHAnsi"/>
          <w:b/>
          <w:bCs/>
          <w:sz w:val="22"/>
          <w:szCs w:val="22"/>
        </w:rPr>
        <w:t xml:space="preserve">Figure </w:t>
      </w:r>
      <w:r w:rsidR="00B15F85" w:rsidRPr="00DB0C40">
        <w:rPr>
          <w:rFonts w:asciiTheme="minorHAnsi" w:eastAsiaTheme="minorHAnsi" w:hAnsiTheme="minorHAnsi" w:cstheme="minorHAnsi"/>
          <w:b/>
          <w:bCs/>
          <w:sz w:val="22"/>
          <w:szCs w:val="22"/>
        </w:rPr>
        <w:t>16</w:t>
      </w:r>
      <w:r w:rsidRPr="00DB0C40">
        <w:rPr>
          <w:rFonts w:asciiTheme="minorHAnsi" w:eastAsiaTheme="minorHAnsi" w:hAnsiTheme="minorHAnsi" w:cstheme="minorHAnsi"/>
          <w:b/>
          <w:bCs/>
          <w:sz w:val="22"/>
          <w:szCs w:val="22"/>
        </w:rPr>
        <w:t xml:space="preserve">. Employment by sector of activity - Service </w:t>
      </w:r>
      <w:bookmarkStart w:id="104" w:name="_Hlk107138576"/>
      <w:r w:rsidR="00EF4332" w:rsidRPr="00DB0C40">
        <w:rPr>
          <w:rFonts w:asciiTheme="minorHAnsi" w:eastAsiaTheme="minorHAnsi" w:hAnsiTheme="minorHAnsi" w:cstheme="minorHAnsi"/>
          <w:b/>
          <w:bCs/>
          <w:sz w:val="22"/>
          <w:szCs w:val="22"/>
        </w:rPr>
        <w:t>Türkiye</w:t>
      </w:r>
      <w:r w:rsidR="00B15F85" w:rsidRPr="00DB0C40">
        <w:rPr>
          <w:rFonts w:asciiTheme="minorHAnsi" w:eastAsiaTheme="minorHAnsi" w:hAnsiTheme="minorHAnsi" w:cstheme="minorHAnsi"/>
          <w:b/>
          <w:bCs/>
          <w:sz w:val="22"/>
          <w:szCs w:val="22"/>
        </w:rPr>
        <w:t xml:space="preserve"> </w:t>
      </w:r>
      <w:bookmarkEnd w:id="104"/>
      <w:r w:rsidRPr="00DB0C40">
        <w:rPr>
          <w:rFonts w:asciiTheme="minorHAnsi" w:eastAsiaTheme="minorHAnsi" w:hAnsiTheme="minorHAnsi" w:cstheme="minorHAnsi"/>
          <w:b/>
          <w:bCs/>
          <w:sz w:val="22"/>
          <w:szCs w:val="22"/>
        </w:rPr>
        <w:t>(% of men and women) (2015 – 2021)</w:t>
      </w:r>
    </w:p>
    <w:bookmarkEnd w:id="103"/>
    <w:p w14:paraId="033E48D2" w14:textId="77777777" w:rsidR="002557B7" w:rsidRPr="00DB0C40" w:rsidRDefault="002557B7" w:rsidP="002557B7">
      <w:pPr>
        <w:spacing w:after="160" w:line="259" w:lineRule="auto"/>
        <w:jc w:val="center"/>
        <w:rPr>
          <w:rFonts w:asciiTheme="minorHAnsi" w:eastAsiaTheme="minorHAnsi" w:hAnsiTheme="minorHAnsi" w:cstheme="minorHAnsi"/>
          <w:b/>
          <w:bCs/>
          <w:sz w:val="22"/>
          <w:szCs w:val="22"/>
        </w:rPr>
      </w:pPr>
    </w:p>
    <w:p w14:paraId="077C4FA6" w14:textId="77777777" w:rsidR="002557B7" w:rsidRPr="00DB0C40" w:rsidRDefault="002557B7" w:rsidP="002557B7">
      <w:pPr>
        <w:spacing w:after="160" w:line="259" w:lineRule="auto"/>
        <w:jc w:val="center"/>
        <w:rPr>
          <w:rFonts w:asciiTheme="minorHAnsi" w:eastAsiaTheme="minorHAnsi" w:hAnsiTheme="minorHAnsi" w:cstheme="minorHAnsi"/>
          <w:b/>
          <w:bCs/>
          <w:sz w:val="22"/>
          <w:szCs w:val="22"/>
        </w:rPr>
      </w:pPr>
      <w:r w:rsidRPr="00DB0C40">
        <w:rPr>
          <w:rFonts w:asciiTheme="minorHAnsi" w:eastAsiaTheme="minorHAnsi" w:hAnsiTheme="minorHAnsi" w:cstheme="minorHAnsi"/>
          <w:b/>
          <w:bCs/>
          <w:noProof/>
          <w:sz w:val="22"/>
          <w:szCs w:val="22"/>
          <w:lang w:eastAsia="en-GB"/>
        </w:rPr>
        <w:drawing>
          <wp:inline distT="0" distB="0" distL="0" distR="0" wp14:anchorId="7B81EADB" wp14:editId="421BBDBB">
            <wp:extent cx="4603115" cy="27559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603115" cy="2755900"/>
                    </a:xfrm>
                    <a:prstGeom prst="rect">
                      <a:avLst/>
                    </a:prstGeom>
                    <a:noFill/>
                  </pic:spPr>
                </pic:pic>
              </a:graphicData>
            </a:graphic>
          </wp:inline>
        </w:drawing>
      </w:r>
    </w:p>
    <w:p w14:paraId="47083EFD" w14:textId="5384E144" w:rsidR="002557B7" w:rsidRPr="00DB0C40" w:rsidRDefault="002557B7" w:rsidP="002557B7">
      <w:pPr>
        <w:spacing w:after="160" w:line="259" w:lineRule="auto"/>
        <w:jc w:val="center"/>
        <w:rPr>
          <w:rFonts w:asciiTheme="minorHAnsi" w:eastAsiaTheme="minorHAnsi" w:hAnsiTheme="minorHAnsi" w:cstheme="minorHAnsi"/>
          <w:sz w:val="18"/>
          <w:szCs w:val="18"/>
        </w:rPr>
      </w:pPr>
      <w:r w:rsidRPr="00DB0C40">
        <w:rPr>
          <w:rFonts w:asciiTheme="minorHAnsi" w:eastAsiaTheme="minorHAnsi" w:hAnsiTheme="minorHAnsi" w:cstheme="minorHAnsi"/>
          <w:sz w:val="18"/>
          <w:szCs w:val="18"/>
        </w:rPr>
        <w:t xml:space="preserve">Source: </w:t>
      </w:r>
      <w:r w:rsidR="00A45334">
        <w:rPr>
          <w:rFonts w:asciiTheme="minorHAnsi" w:eastAsiaTheme="minorHAnsi" w:hAnsiTheme="minorHAnsi" w:cstheme="minorHAnsi"/>
          <w:sz w:val="18"/>
          <w:szCs w:val="18"/>
        </w:rPr>
        <w:t>T</w:t>
      </w:r>
      <w:r w:rsidR="00C2410D">
        <w:rPr>
          <w:rFonts w:asciiTheme="minorHAnsi" w:eastAsiaTheme="minorHAnsi" w:hAnsiTheme="minorHAnsi" w:cstheme="minorHAnsi"/>
          <w:sz w:val="18"/>
          <w:szCs w:val="18"/>
        </w:rPr>
        <w:t>urkStat</w:t>
      </w:r>
    </w:p>
    <w:p w14:paraId="22655CC6" w14:textId="77777777" w:rsidR="002557B7" w:rsidRPr="00DB0C40" w:rsidRDefault="002557B7" w:rsidP="002557B7">
      <w:pPr>
        <w:spacing w:after="160" w:line="259" w:lineRule="auto"/>
        <w:jc w:val="center"/>
        <w:rPr>
          <w:rFonts w:asciiTheme="minorHAnsi" w:eastAsiaTheme="minorHAnsi" w:hAnsiTheme="minorHAnsi" w:cstheme="minorHAnsi"/>
          <w:b/>
          <w:bCs/>
          <w:sz w:val="22"/>
          <w:szCs w:val="22"/>
        </w:rPr>
        <w:sectPr w:rsidR="002557B7" w:rsidRPr="00DB0C40" w:rsidSect="00EA37BB">
          <w:footerReference w:type="default" r:id="rId47"/>
          <w:pgSz w:w="12240" w:h="15840"/>
          <w:pgMar w:top="1440" w:right="1440" w:bottom="1440" w:left="1440" w:header="709" w:footer="709" w:gutter="0"/>
          <w:cols w:space="708"/>
          <w:docGrid w:linePitch="360"/>
        </w:sectPr>
      </w:pPr>
    </w:p>
    <w:p w14:paraId="25A4DF90" w14:textId="77777777" w:rsidR="002557B7" w:rsidRPr="00DB0C40" w:rsidRDefault="002557B7" w:rsidP="002557B7">
      <w:pPr>
        <w:spacing w:after="160" w:line="259" w:lineRule="auto"/>
        <w:jc w:val="center"/>
        <w:rPr>
          <w:rFonts w:asciiTheme="minorHAnsi" w:eastAsiaTheme="minorHAnsi" w:hAnsiTheme="minorHAnsi" w:cstheme="minorHAnsi"/>
          <w:sz w:val="22"/>
          <w:szCs w:val="22"/>
        </w:rPr>
      </w:pPr>
    </w:p>
    <w:p w14:paraId="412163AA" w14:textId="7E5665C5" w:rsidR="002557B7" w:rsidRPr="00DB0C40" w:rsidRDefault="002557B7" w:rsidP="002557B7">
      <w:pPr>
        <w:spacing w:after="160" w:line="259" w:lineRule="auto"/>
        <w:jc w:val="center"/>
        <w:rPr>
          <w:rFonts w:asciiTheme="minorHAnsi" w:eastAsiaTheme="minorHAnsi" w:hAnsiTheme="minorHAnsi" w:cstheme="minorHAnsi"/>
          <w:b/>
          <w:bCs/>
          <w:sz w:val="22"/>
          <w:szCs w:val="22"/>
        </w:rPr>
      </w:pPr>
      <w:bookmarkStart w:id="105" w:name="_Hlk107138592"/>
      <w:r w:rsidRPr="00DB0C40">
        <w:rPr>
          <w:rFonts w:asciiTheme="minorHAnsi" w:eastAsiaTheme="minorHAnsi" w:hAnsiTheme="minorHAnsi" w:cstheme="minorHAnsi"/>
          <w:b/>
          <w:bCs/>
          <w:sz w:val="22"/>
          <w:szCs w:val="22"/>
        </w:rPr>
        <w:t>Table</w:t>
      </w:r>
      <w:r w:rsidR="00B15F85" w:rsidRPr="00DB0C40">
        <w:rPr>
          <w:rFonts w:asciiTheme="minorHAnsi" w:eastAsiaTheme="minorHAnsi" w:hAnsiTheme="minorHAnsi" w:cstheme="minorHAnsi"/>
          <w:b/>
          <w:bCs/>
          <w:sz w:val="22"/>
          <w:szCs w:val="22"/>
        </w:rPr>
        <w:t xml:space="preserve"> 4</w:t>
      </w:r>
      <w:r w:rsidRPr="00DB0C40">
        <w:rPr>
          <w:rFonts w:asciiTheme="minorHAnsi" w:eastAsiaTheme="minorHAnsi" w:hAnsiTheme="minorHAnsi" w:cstheme="minorHAnsi"/>
          <w:b/>
          <w:bCs/>
          <w:sz w:val="22"/>
          <w:szCs w:val="22"/>
        </w:rPr>
        <w:t xml:space="preserve">. Comparative data on employment </w:t>
      </w:r>
      <w:r w:rsidR="00EF4332" w:rsidRPr="00DB0C40">
        <w:rPr>
          <w:rFonts w:asciiTheme="minorHAnsi" w:eastAsiaTheme="minorHAnsi" w:hAnsiTheme="minorHAnsi" w:cstheme="minorHAnsi"/>
          <w:b/>
          <w:bCs/>
          <w:sz w:val="22"/>
          <w:szCs w:val="22"/>
        </w:rPr>
        <w:t>Türkiye</w:t>
      </w:r>
      <w:r w:rsidR="00B15F85" w:rsidRPr="00DB0C40">
        <w:rPr>
          <w:rFonts w:asciiTheme="minorHAnsi" w:eastAsiaTheme="minorHAnsi" w:hAnsiTheme="minorHAnsi" w:cstheme="minorHAnsi"/>
          <w:b/>
          <w:bCs/>
          <w:sz w:val="22"/>
          <w:szCs w:val="22"/>
        </w:rPr>
        <w:t xml:space="preserve"> </w:t>
      </w:r>
      <w:r w:rsidRPr="00DB0C40">
        <w:rPr>
          <w:rFonts w:asciiTheme="minorHAnsi" w:eastAsiaTheme="minorHAnsi" w:hAnsiTheme="minorHAnsi" w:cstheme="minorHAnsi"/>
          <w:b/>
          <w:bCs/>
          <w:sz w:val="22"/>
          <w:szCs w:val="22"/>
        </w:rPr>
        <w:t>from 2015 to 2021</w:t>
      </w:r>
    </w:p>
    <w:bookmarkEnd w:id="105"/>
    <w:p w14:paraId="38F94E1F" w14:textId="77777777" w:rsidR="002557B7" w:rsidRPr="00DB0C40" w:rsidRDefault="002557B7" w:rsidP="002557B7">
      <w:pPr>
        <w:spacing w:after="160" w:line="259" w:lineRule="auto"/>
        <w:rPr>
          <w:rFonts w:asciiTheme="minorHAnsi" w:eastAsiaTheme="minorHAnsi" w:hAnsiTheme="minorHAnsi" w:cstheme="minorHAnsi"/>
          <w:sz w:val="22"/>
          <w:szCs w:val="22"/>
        </w:rPr>
      </w:pPr>
    </w:p>
    <w:p w14:paraId="4F36BB2D" w14:textId="77777777" w:rsidR="002557B7" w:rsidRPr="00DB0C40" w:rsidRDefault="002557B7" w:rsidP="002557B7">
      <w:pPr>
        <w:spacing w:after="160" w:line="259" w:lineRule="auto"/>
        <w:rPr>
          <w:rFonts w:asciiTheme="minorHAnsi" w:eastAsiaTheme="minorHAnsi" w:hAnsiTheme="minorHAnsi" w:cstheme="minorHAnsi"/>
          <w:sz w:val="22"/>
          <w:szCs w:val="22"/>
        </w:rPr>
      </w:pPr>
      <w:r w:rsidRPr="00DB0C40">
        <w:rPr>
          <w:rFonts w:asciiTheme="minorHAnsi" w:eastAsiaTheme="minorHAnsi" w:hAnsiTheme="minorHAnsi" w:cstheme="minorHAnsi"/>
          <w:noProof/>
          <w:sz w:val="22"/>
          <w:szCs w:val="22"/>
          <w:lang w:eastAsia="en-GB"/>
        </w:rPr>
        <w:drawing>
          <wp:inline distT="0" distB="0" distL="0" distR="0" wp14:anchorId="3D4A979C" wp14:editId="6388A9F4">
            <wp:extent cx="7264792" cy="2343120"/>
            <wp:effectExtent l="0" t="0" r="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7428397" cy="2395888"/>
                    </a:xfrm>
                    <a:prstGeom prst="rect">
                      <a:avLst/>
                    </a:prstGeom>
                    <a:noFill/>
                    <a:ln>
                      <a:noFill/>
                    </a:ln>
                  </pic:spPr>
                </pic:pic>
              </a:graphicData>
            </a:graphic>
          </wp:inline>
        </w:drawing>
      </w:r>
    </w:p>
    <w:p w14:paraId="01B784DE" w14:textId="66591A10" w:rsidR="002557B7" w:rsidRPr="00DB0C40" w:rsidRDefault="002557B7" w:rsidP="002557B7">
      <w:pPr>
        <w:spacing w:after="160" w:line="259" w:lineRule="auto"/>
        <w:jc w:val="center"/>
        <w:rPr>
          <w:rFonts w:asciiTheme="minorHAnsi" w:eastAsiaTheme="minorHAnsi" w:hAnsiTheme="minorHAnsi" w:cstheme="minorHAnsi"/>
          <w:sz w:val="18"/>
          <w:szCs w:val="18"/>
        </w:rPr>
      </w:pPr>
      <w:r w:rsidRPr="00DB0C40">
        <w:rPr>
          <w:rFonts w:asciiTheme="minorHAnsi" w:eastAsiaTheme="minorHAnsi" w:hAnsiTheme="minorHAnsi" w:cstheme="minorHAnsi"/>
          <w:sz w:val="18"/>
          <w:szCs w:val="18"/>
        </w:rPr>
        <w:t xml:space="preserve">Source: </w:t>
      </w:r>
      <w:r w:rsidR="00A45334">
        <w:rPr>
          <w:rFonts w:asciiTheme="minorHAnsi" w:eastAsiaTheme="minorHAnsi" w:hAnsiTheme="minorHAnsi" w:cstheme="minorHAnsi"/>
          <w:sz w:val="18"/>
          <w:szCs w:val="18"/>
        </w:rPr>
        <w:t>T</w:t>
      </w:r>
      <w:r w:rsidR="00C2410D">
        <w:rPr>
          <w:rFonts w:asciiTheme="minorHAnsi" w:eastAsiaTheme="minorHAnsi" w:hAnsiTheme="minorHAnsi" w:cstheme="minorHAnsi"/>
          <w:sz w:val="18"/>
          <w:szCs w:val="18"/>
        </w:rPr>
        <w:t>urkStat</w:t>
      </w:r>
    </w:p>
    <w:p w14:paraId="7870F21E" w14:textId="77777777" w:rsidR="002557B7" w:rsidRPr="00DB0C40" w:rsidRDefault="002557B7" w:rsidP="002557B7">
      <w:pPr>
        <w:rPr>
          <w:rFonts w:asciiTheme="minorHAnsi" w:eastAsiaTheme="minorHAnsi" w:hAnsiTheme="minorHAnsi" w:cstheme="minorHAnsi"/>
          <w:sz w:val="22"/>
          <w:szCs w:val="22"/>
        </w:rPr>
      </w:pPr>
      <w:r w:rsidRPr="00DB0C40">
        <w:rPr>
          <w:rFonts w:asciiTheme="minorHAnsi" w:eastAsiaTheme="minorHAnsi" w:hAnsiTheme="minorHAnsi" w:cstheme="minorHAnsi"/>
          <w:sz w:val="22"/>
          <w:szCs w:val="22"/>
        </w:rPr>
        <w:br w:type="page"/>
      </w:r>
    </w:p>
    <w:p w14:paraId="20054EF5" w14:textId="77777777" w:rsidR="002557B7" w:rsidRPr="00DB0C40" w:rsidRDefault="002557B7" w:rsidP="002557B7">
      <w:pPr>
        <w:rPr>
          <w:rFonts w:asciiTheme="minorHAnsi" w:eastAsiaTheme="minorHAnsi" w:hAnsiTheme="minorHAnsi" w:cstheme="minorHAnsi"/>
          <w:sz w:val="22"/>
          <w:szCs w:val="22"/>
        </w:rPr>
        <w:sectPr w:rsidR="002557B7" w:rsidRPr="00DB0C40" w:rsidSect="00EA37BB">
          <w:headerReference w:type="default" r:id="rId49"/>
          <w:footerReference w:type="even" r:id="rId50"/>
          <w:footerReference w:type="default" r:id="rId51"/>
          <w:pgSz w:w="16840" w:h="11900" w:orient="landscape"/>
          <w:pgMar w:top="1440" w:right="1582" w:bottom="1440" w:left="2319" w:header="709" w:footer="709" w:gutter="0"/>
          <w:cols w:space="708"/>
          <w:docGrid w:linePitch="360"/>
        </w:sectPr>
      </w:pPr>
    </w:p>
    <w:p w14:paraId="06B2C055" w14:textId="77777777" w:rsidR="002557B7" w:rsidRPr="00CD2A61" w:rsidRDefault="002557B7">
      <w:pPr>
        <w:keepNext/>
        <w:keepLines/>
        <w:numPr>
          <w:ilvl w:val="2"/>
          <w:numId w:val="46"/>
        </w:numPr>
        <w:spacing w:before="40" w:after="160" w:line="259" w:lineRule="auto"/>
        <w:contextualSpacing/>
        <w:outlineLvl w:val="1"/>
        <w:rPr>
          <w:rFonts w:asciiTheme="majorHAnsi" w:eastAsiaTheme="majorEastAsia" w:hAnsiTheme="majorHAnsi" w:cstheme="majorBidi"/>
          <w:color w:val="1F3763" w:themeColor="accent1" w:themeShade="7F"/>
        </w:rPr>
      </w:pPr>
      <w:bookmarkStart w:id="106" w:name="_Hlk106961442"/>
      <w:bookmarkStart w:id="107" w:name="_Toc92359095"/>
      <w:r w:rsidRPr="00CD2A61">
        <w:rPr>
          <w:rFonts w:asciiTheme="majorHAnsi" w:eastAsiaTheme="majorEastAsia" w:hAnsiTheme="majorHAnsi" w:cstheme="majorBidi"/>
          <w:color w:val="1F3763" w:themeColor="accent1" w:themeShade="7F"/>
        </w:rPr>
        <w:lastRenderedPageBreak/>
        <w:t xml:space="preserve">On Part-Time Work </w:t>
      </w:r>
    </w:p>
    <w:bookmarkEnd w:id="106"/>
    <w:p w14:paraId="75088608" w14:textId="77777777" w:rsidR="00853140" w:rsidRDefault="00853140" w:rsidP="002557B7">
      <w:pPr>
        <w:keepNext/>
        <w:keepLines/>
        <w:spacing w:before="40"/>
        <w:jc w:val="both"/>
        <w:outlineLvl w:val="1"/>
        <w:rPr>
          <w:rFonts w:asciiTheme="minorHAnsi" w:eastAsiaTheme="majorEastAsia" w:hAnsiTheme="minorHAnsi" w:cstheme="minorHAnsi"/>
          <w:sz w:val="22"/>
          <w:szCs w:val="22"/>
        </w:rPr>
      </w:pPr>
    </w:p>
    <w:p w14:paraId="1289409E" w14:textId="0CECD733" w:rsidR="002557B7" w:rsidRPr="00DB0C40" w:rsidRDefault="002557B7" w:rsidP="002557B7">
      <w:pPr>
        <w:keepNext/>
        <w:keepLines/>
        <w:spacing w:before="40"/>
        <w:jc w:val="both"/>
        <w:outlineLvl w:val="1"/>
        <w:rPr>
          <w:rFonts w:asciiTheme="minorHAnsi" w:eastAsiaTheme="majorEastAsia" w:hAnsiTheme="minorHAnsi" w:cstheme="minorHAnsi"/>
          <w:sz w:val="22"/>
          <w:szCs w:val="22"/>
        </w:rPr>
      </w:pPr>
      <w:r w:rsidRPr="00DB0C40">
        <w:rPr>
          <w:rFonts w:asciiTheme="minorHAnsi" w:eastAsiaTheme="majorEastAsia" w:hAnsiTheme="minorHAnsi" w:cstheme="minorHAnsi"/>
          <w:sz w:val="22"/>
          <w:szCs w:val="22"/>
        </w:rPr>
        <w:t xml:space="preserve">In 2016, </w:t>
      </w:r>
      <w:bookmarkStart w:id="108" w:name="_Hlk106376271"/>
      <w:r w:rsidRPr="00DB0C40">
        <w:rPr>
          <w:rFonts w:asciiTheme="minorHAnsi" w:eastAsiaTheme="majorEastAsia" w:hAnsiTheme="minorHAnsi" w:cstheme="minorHAnsi"/>
          <w:sz w:val="22"/>
          <w:szCs w:val="22"/>
        </w:rPr>
        <w:t xml:space="preserve">part-time work in female employment was three times </w:t>
      </w:r>
      <w:bookmarkEnd w:id="108"/>
      <w:r w:rsidRPr="00DB0C40">
        <w:rPr>
          <w:rFonts w:asciiTheme="minorHAnsi" w:eastAsiaTheme="majorEastAsia" w:hAnsiTheme="minorHAnsi" w:cstheme="minorHAnsi"/>
          <w:sz w:val="22"/>
          <w:szCs w:val="22"/>
        </w:rPr>
        <w:t>that of male, but in 2020 this had reduced to two times, showing an increase in part-time work for men, with the volume of part-time work for women remaining almost unchanged</w:t>
      </w:r>
    </w:p>
    <w:p w14:paraId="3680A8AB" w14:textId="77777777" w:rsidR="002557B7" w:rsidRPr="00DB0C40" w:rsidRDefault="002557B7" w:rsidP="002557B7">
      <w:pPr>
        <w:keepNext/>
        <w:keepLines/>
        <w:spacing w:before="40"/>
        <w:jc w:val="both"/>
        <w:outlineLvl w:val="1"/>
        <w:rPr>
          <w:rFonts w:asciiTheme="minorHAnsi" w:eastAsiaTheme="majorEastAsia" w:hAnsiTheme="minorHAnsi" w:cstheme="minorHAnsi"/>
          <w:sz w:val="22"/>
          <w:szCs w:val="22"/>
        </w:rPr>
      </w:pPr>
    </w:p>
    <w:p w14:paraId="00D3759A" w14:textId="556BF4B6" w:rsidR="002557B7" w:rsidRPr="00DB0C40" w:rsidRDefault="002557B7" w:rsidP="002557B7">
      <w:pPr>
        <w:keepNext/>
        <w:keepLines/>
        <w:spacing w:before="40"/>
        <w:jc w:val="center"/>
        <w:outlineLvl w:val="1"/>
        <w:rPr>
          <w:rFonts w:asciiTheme="minorHAnsi" w:eastAsiaTheme="majorEastAsia" w:hAnsiTheme="minorHAnsi" w:cstheme="minorHAnsi"/>
          <w:b/>
          <w:bCs/>
          <w:sz w:val="22"/>
          <w:szCs w:val="22"/>
        </w:rPr>
      </w:pPr>
      <w:bookmarkStart w:id="109" w:name="_Hlk107138633"/>
      <w:r w:rsidRPr="00DB0C40">
        <w:rPr>
          <w:rFonts w:asciiTheme="minorHAnsi" w:eastAsiaTheme="majorEastAsia" w:hAnsiTheme="minorHAnsi" w:cstheme="minorHAnsi"/>
          <w:b/>
          <w:bCs/>
          <w:sz w:val="22"/>
          <w:szCs w:val="22"/>
        </w:rPr>
        <w:t xml:space="preserve">Table </w:t>
      </w:r>
      <w:r w:rsidR="00B15F85" w:rsidRPr="00DB0C40">
        <w:rPr>
          <w:rFonts w:asciiTheme="minorHAnsi" w:eastAsiaTheme="majorEastAsia" w:hAnsiTheme="minorHAnsi" w:cstheme="minorHAnsi"/>
          <w:b/>
          <w:bCs/>
          <w:sz w:val="22"/>
          <w:szCs w:val="22"/>
        </w:rPr>
        <w:t xml:space="preserve">5. </w:t>
      </w:r>
      <w:r w:rsidRPr="00DB0C40">
        <w:rPr>
          <w:rFonts w:asciiTheme="minorHAnsi" w:eastAsiaTheme="majorEastAsia" w:hAnsiTheme="minorHAnsi" w:cstheme="minorHAnsi"/>
          <w:b/>
          <w:bCs/>
          <w:sz w:val="22"/>
          <w:szCs w:val="22"/>
        </w:rPr>
        <w:t xml:space="preserve"> Part – Time work in Türkiye (2016 – 2020)</w:t>
      </w:r>
    </w:p>
    <w:bookmarkEnd w:id="109"/>
    <w:p w14:paraId="4B534161" w14:textId="77777777" w:rsidR="002557B7" w:rsidRPr="00DB0C40" w:rsidRDefault="002557B7" w:rsidP="002557B7">
      <w:pPr>
        <w:keepNext/>
        <w:keepLines/>
        <w:spacing w:before="40"/>
        <w:jc w:val="center"/>
        <w:outlineLvl w:val="1"/>
        <w:rPr>
          <w:rFonts w:asciiTheme="minorHAnsi" w:eastAsiaTheme="majorEastAsia" w:hAnsiTheme="minorHAnsi" w:cstheme="minorHAnsi"/>
          <w:sz w:val="22"/>
          <w:szCs w:val="22"/>
        </w:rPr>
      </w:pPr>
    </w:p>
    <w:tbl>
      <w:tblPr>
        <w:tblStyle w:val="TableGrid3"/>
        <w:tblW w:w="0" w:type="auto"/>
        <w:jc w:val="center"/>
        <w:tblLook w:val="04A0" w:firstRow="1" w:lastRow="0" w:firstColumn="1" w:lastColumn="0" w:noHBand="0" w:noVBand="1"/>
      </w:tblPr>
      <w:tblGrid>
        <w:gridCol w:w="881"/>
        <w:gridCol w:w="961"/>
        <w:gridCol w:w="1474"/>
        <w:gridCol w:w="961"/>
      </w:tblGrid>
      <w:tr w:rsidR="002557B7" w:rsidRPr="00DB0C40" w14:paraId="4B1CAEF5" w14:textId="77777777" w:rsidTr="003F7BB3">
        <w:trPr>
          <w:jc w:val="center"/>
        </w:trPr>
        <w:tc>
          <w:tcPr>
            <w:tcW w:w="0" w:type="auto"/>
            <w:shd w:val="clear" w:color="auto" w:fill="D9E2F3" w:themeFill="accent1" w:themeFillTint="33"/>
          </w:tcPr>
          <w:p w14:paraId="53FFF510" w14:textId="77777777" w:rsidR="002557B7" w:rsidRPr="00DB0C40" w:rsidRDefault="002557B7" w:rsidP="002557B7">
            <w:pPr>
              <w:keepNext/>
              <w:keepLines/>
              <w:spacing w:before="40"/>
              <w:jc w:val="both"/>
              <w:outlineLvl w:val="1"/>
              <w:rPr>
                <w:rFonts w:eastAsiaTheme="majorEastAsia" w:cstheme="minorHAnsi"/>
                <w:b/>
                <w:bCs/>
                <w:lang w:val="en-GB"/>
              </w:rPr>
            </w:pPr>
          </w:p>
        </w:tc>
        <w:tc>
          <w:tcPr>
            <w:tcW w:w="0" w:type="auto"/>
            <w:shd w:val="clear" w:color="auto" w:fill="D9E2F3" w:themeFill="accent1" w:themeFillTint="33"/>
          </w:tcPr>
          <w:p w14:paraId="1D694F6A" w14:textId="77777777" w:rsidR="002557B7" w:rsidRPr="00DB0C40" w:rsidRDefault="002557B7" w:rsidP="002557B7">
            <w:pPr>
              <w:keepNext/>
              <w:keepLines/>
              <w:spacing w:before="40"/>
              <w:jc w:val="center"/>
              <w:outlineLvl w:val="1"/>
              <w:rPr>
                <w:rFonts w:eastAsiaTheme="majorEastAsia" w:cstheme="minorHAnsi"/>
                <w:b/>
                <w:bCs/>
                <w:lang w:val="en-GB"/>
              </w:rPr>
            </w:pPr>
            <w:r w:rsidRPr="00DB0C40">
              <w:rPr>
                <w:rFonts w:eastAsiaTheme="majorEastAsia" w:cstheme="minorHAnsi"/>
                <w:b/>
                <w:bCs/>
                <w:lang w:val="en-GB"/>
              </w:rPr>
              <w:t>2016 (1)</w:t>
            </w:r>
          </w:p>
        </w:tc>
        <w:tc>
          <w:tcPr>
            <w:tcW w:w="0" w:type="auto"/>
            <w:shd w:val="clear" w:color="auto" w:fill="D9E2F3" w:themeFill="accent1" w:themeFillTint="33"/>
          </w:tcPr>
          <w:p w14:paraId="6C185EDC" w14:textId="77777777" w:rsidR="002557B7" w:rsidRPr="00DB0C40" w:rsidRDefault="002557B7" w:rsidP="002557B7">
            <w:pPr>
              <w:keepNext/>
              <w:keepLines/>
              <w:spacing w:before="40"/>
              <w:jc w:val="center"/>
              <w:outlineLvl w:val="1"/>
              <w:rPr>
                <w:rFonts w:eastAsiaTheme="majorEastAsia" w:cstheme="minorHAnsi"/>
                <w:b/>
                <w:bCs/>
                <w:lang w:val="en-GB"/>
              </w:rPr>
            </w:pPr>
            <w:r w:rsidRPr="00DB0C40">
              <w:rPr>
                <w:rFonts w:eastAsiaTheme="majorEastAsia" w:cstheme="minorHAnsi"/>
                <w:b/>
                <w:bCs/>
                <w:lang w:val="en-GB"/>
              </w:rPr>
              <w:t>2017-2019 (2)</w:t>
            </w:r>
          </w:p>
        </w:tc>
        <w:tc>
          <w:tcPr>
            <w:tcW w:w="0" w:type="auto"/>
            <w:shd w:val="clear" w:color="auto" w:fill="D9E2F3" w:themeFill="accent1" w:themeFillTint="33"/>
          </w:tcPr>
          <w:p w14:paraId="7DFC1774" w14:textId="77777777" w:rsidR="002557B7" w:rsidRPr="00DB0C40" w:rsidRDefault="002557B7" w:rsidP="002557B7">
            <w:pPr>
              <w:keepNext/>
              <w:keepLines/>
              <w:spacing w:before="40"/>
              <w:jc w:val="center"/>
              <w:outlineLvl w:val="1"/>
              <w:rPr>
                <w:rFonts w:eastAsiaTheme="majorEastAsia" w:cstheme="minorHAnsi"/>
                <w:b/>
                <w:bCs/>
                <w:lang w:val="en-GB"/>
              </w:rPr>
            </w:pPr>
            <w:r w:rsidRPr="00DB0C40">
              <w:rPr>
                <w:rFonts w:eastAsiaTheme="majorEastAsia" w:cstheme="minorHAnsi"/>
                <w:b/>
                <w:bCs/>
                <w:lang w:val="en-GB"/>
              </w:rPr>
              <w:t>2020 (3)</w:t>
            </w:r>
          </w:p>
        </w:tc>
      </w:tr>
      <w:tr w:rsidR="002557B7" w:rsidRPr="00DB0C40" w14:paraId="45C288CE" w14:textId="77777777" w:rsidTr="007A7E2D">
        <w:trPr>
          <w:jc w:val="center"/>
        </w:trPr>
        <w:tc>
          <w:tcPr>
            <w:tcW w:w="0" w:type="auto"/>
            <w:shd w:val="clear" w:color="auto" w:fill="B4C6E7" w:themeFill="accent1" w:themeFillTint="66"/>
          </w:tcPr>
          <w:p w14:paraId="2670C38C" w14:textId="77777777" w:rsidR="002557B7" w:rsidRPr="00DB0C40" w:rsidRDefault="002557B7" w:rsidP="002557B7">
            <w:pPr>
              <w:keepNext/>
              <w:keepLines/>
              <w:spacing w:before="40"/>
              <w:jc w:val="both"/>
              <w:outlineLvl w:val="1"/>
              <w:rPr>
                <w:rFonts w:eastAsiaTheme="majorEastAsia" w:cstheme="minorHAnsi"/>
                <w:b/>
                <w:bCs/>
                <w:lang w:val="en-GB"/>
              </w:rPr>
            </w:pPr>
            <w:r w:rsidRPr="00DB0C40">
              <w:rPr>
                <w:rFonts w:eastAsiaTheme="majorEastAsia" w:cstheme="minorHAnsi"/>
                <w:b/>
                <w:bCs/>
                <w:lang w:val="en-GB"/>
              </w:rPr>
              <w:t>Total</w:t>
            </w:r>
          </w:p>
        </w:tc>
        <w:tc>
          <w:tcPr>
            <w:tcW w:w="0" w:type="auto"/>
            <w:shd w:val="clear" w:color="auto" w:fill="FBE4D5" w:themeFill="accent2" w:themeFillTint="33"/>
          </w:tcPr>
          <w:p w14:paraId="4F0AA3D5" w14:textId="77777777" w:rsidR="002557B7" w:rsidRPr="00DB0C40" w:rsidRDefault="002557B7" w:rsidP="002557B7">
            <w:pPr>
              <w:keepNext/>
              <w:keepLines/>
              <w:spacing w:before="40"/>
              <w:jc w:val="center"/>
              <w:outlineLvl w:val="1"/>
              <w:rPr>
                <w:rFonts w:eastAsiaTheme="majorEastAsia" w:cstheme="minorHAnsi"/>
                <w:lang w:val="en-GB"/>
              </w:rPr>
            </w:pPr>
            <w:r w:rsidRPr="00DB0C40">
              <w:rPr>
                <w:rFonts w:eastAsiaTheme="majorEastAsia" w:cstheme="minorHAnsi"/>
                <w:lang w:val="en-GB"/>
              </w:rPr>
              <w:t>10.3%</w:t>
            </w:r>
          </w:p>
        </w:tc>
        <w:tc>
          <w:tcPr>
            <w:tcW w:w="0" w:type="auto"/>
            <w:shd w:val="clear" w:color="auto" w:fill="FBE4D5" w:themeFill="accent2" w:themeFillTint="33"/>
          </w:tcPr>
          <w:p w14:paraId="663BF147" w14:textId="77777777" w:rsidR="002557B7" w:rsidRPr="00DB0C40" w:rsidRDefault="002557B7" w:rsidP="002557B7">
            <w:pPr>
              <w:keepNext/>
              <w:keepLines/>
              <w:spacing w:before="40"/>
              <w:jc w:val="center"/>
              <w:outlineLvl w:val="1"/>
              <w:rPr>
                <w:rFonts w:eastAsiaTheme="majorEastAsia" w:cstheme="minorHAnsi"/>
                <w:lang w:val="en-GB"/>
              </w:rPr>
            </w:pPr>
            <w:r w:rsidRPr="00DB0C40">
              <w:rPr>
                <w:rFonts w:eastAsiaTheme="majorEastAsia" w:cstheme="minorHAnsi"/>
                <w:lang w:val="en-GB"/>
              </w:rPr>
              <w:t>-</w:t>
            </w:r>
          </w:p>
        </w:tc>
        <w:tc>
          <w:tcPr>
            <w:tcW w:w="0" w:type="auto"/>
            <w:shd w:val="clear" w:color="auto" w:fill="FBE4D5" w:themeFill="accent2" w:themeFillTint="33"/>
          </w:tcPr>
          <w:p w14:paraId="24A414E6" w14:textId="77777777" w:rsidR="002557B7" w:rsidRPr="00DB0C40" w:rsidRDefault="002557B7" w:rsidP="002557B7">
            <w:pPr>
              <w:keepNext/>
              <w:keepLines/>
              <w:spacing w:before="40"/>
              <w:jc w:val="center"/>
              <w:outlineLvl w:val="1"/>
              <w:rPr>
                <w:rFonts w:eastAsiaTheme="majorEastAsia" w:cstheme="minorHAnsi"/>
                <w:lang w:val="en-GB"/>
              </w:rPr>
            </w:pPr>
            <w:r w:rsidRPr="00DB0C40">
              <w:rPr>
                <w:rFonts w:eastAsiaTheme="majorEastAsia" w:cstheme="minorHAnsi"/>
                <w:lang w:val="en-GB"/>
              </w:rPr>
              <w:t>12.4%</w:t>
            </w:r>
          </w:p>
        </w:tc>
      </w:tr>
      <w:tr w:rsidR="002557B7" w:rsidRPr="00DB0C40" w14:paraId="04C0874E" w14:textId="77777777" w:rsidTr="007A7E2D">
        <w:trPr>
          <w:jc w:val="center"/>
        </w:trPr>
        <w:tc>
          <w:tcPr>
            <w:tcW w:w="0" w:type="auto"/>
            <w:shd w:val="clear" w:color="auto" w:fill="B4C6E7" w:themeFill="accent1" w:themeFillTint="66"/>
          </w:tcPr>
          <w:p w14:paraId="53072B17" w14:textId="77777777" w:rsidR="002557B7" w:rsidRPr="00DB0C40" w:rsidRDefault="002557B7" w:rsidP="002557B7">
            <w:pPr>
              <w:keepNext/>
              <w:keepLines/>
              <w:spacing w:before="40"/>
              <w:jc w:val="both"/>
              <w:outlineLvl w:val="1"/>
              <w:rPr>
                <w:rFonts w:eastAsiaTheme="majorEastAsia" w:cstheme="minorHAnsi"/>
                <w:b/>
                <w:bCs/>
                <w:lang w:val="en-GB"/>
              </w:rPr>
            </w:pPr>
            <w:r w:rsidRPr="00DB0C40">
              <w:rPr>
                <w:rFonts w:eastAsiaTheme="majorEastAsia" w:cstheme="minorHAnsi"/>
                <w:b/>
                <w:bCs/>
                <w:lang w:val="en-GB"/>
              </w:rPr>
              <w:t>Male</w:t>
            </w:r>
          </w:p>
        </w:tc>
        <w:tc>
          <w:tcPr>
            <w:tcW w:w="0" w:type="auto"/>
            <w:shd w:val="clear" w:color="auto" w:fill="FBE4D5" w:themeFill="accent2" w:themeFillTint="33"/>
          </w:tcPr>
          <w:p w14:paraId="550CEC8B" w14:textId="77777777" w:rsidR="002557B7" w:rsidRPr="00DB0C40" w:rsidRDefault="002557B7" w:rsidP="002557B7">
            <w:pPr>
              <w:keepNext/>
              <w:keepLines/>
              <w:spacing w:before="40"/>
              <w:jc w:val="center"/>
              <w:outlineLvl w:val="1"/>
              <w:rPr>
                <w:rFonts w:eastAsiaTheme="majorEastAsia" w:cstheme="minorHAnsi"/>
                <w:lang w:val="en-GB"/>
              </w:rPr>
            </w:pPr>
            <w:r w:rsidRPr="00DB0C40">
              <w:rPr>
                <w:rFonts w:eastAsiaTheme="majorEastAsia" w:cstheme="minorHAnsi"/>
                <w:lang w:val="en-GB"/>
              </w:rPr>
              <w:t>6.5%</w:t>
            </w:r>
          </w:p>
        </w:tc>
        <w:tc>
          <w:tcPr>
            <w:tcW w:w="0" w:type="auto"/>
            <w:shd w:val="clear" w:color="auto" w:fill="FBE4D5" w:themeFill="accent2" w:themeFillTint="33"/>
          </w:tcPr>
          <w:p w14:paraId="6BDB6C81" w14:textId="77777777" w:rsidR="002557B7" w:rsidRPr="00DB0C40" w:rsidRDefault="002557B7" w:rsidP="002557B7">
            <w:pPr>
              <w:keepNext/>
              <w:keepLines/>
              <w:spacing w:before="40"/>
              <w:jc w:val="center"/>
              <w:outlineLvl w:val="1"/>
              <w:rPr>
                <w:rFonts w:eastAsiaTheme="majorEastAsia" w:cstheme="minorHAnsi"/>
                <w:lang w:val="en-GB"/>
              </w:rPr>
            </w:pPr>
            <w:r w:rsidRPr="00DB0C40">
              <w:rPr>
                <w:rFonts w:eastAsiaTheme="majorEastAsia" w:cstheme="minorHAnsi"/>
                <w:lang w:val="en-GB"/>
              </w:rPr>
              <w:t>-</w:t>
            </w:r>
          </w:p>
        </w:tc>
        <w:tc>
          <w:tcPr>
            <w:tcW w:w="0" w:type="auto"/>
            <w:shd w:val="clear" w:color="auto" w:fill="FBE4D5" w:themeFill="accent2" w:themeFillTint="33"/>
          </w:tcPr>
          <w:p w14:paraId="5BDE932A" w14:textId="77777777" w:rsidR="002557B7" w:rsidRPr="00DB0C40" w:rsidRDefault="002557B7" w:rsidP="002557B7">
            <w:pPr>
              <w:keepNext/>
              <w:keepLines/>
              <w:spacing w:before="40"/>
              <w:jc w:val="center"/>
              <w:outlineLvl w:val="1"/>
              <w:rPr>
                <w:rFonts w:eastAsiaTheme="majorEastAsia" w:cstheme="minorHAnsi"/>
                <w:lang w:val="en-GB"/>
              </w:rPr>
            </w:pPr>
            <w:r w:rsidRPr="00DB0C40">
              <w:rPr>
                <w:rFonts w:eastAsiaTheme="majorEastAsia" w:cstheme="minorHAnsi"/>
                <w:lang w:val="en-GB"/>
              </w:rPr>
              <w:t>9.3%</w:t>
            </w:r>
          </w:p>
        </w:tc>
      </w:tr>
      <w:tr w:rsidR="002557B7" w:rsidRPr="00DB0C40" w14:paraId="22ED4A24" w14:textId="77777777" w:rsidTr="007A7E2D">
        <w:trPr>
          <w:jc w:val="center"/>
        </w:trPr>
        <w:tc>
          <w:tcPr>
            <w:tcW w:w="0" w:type="auto"/>
            <w:shd w:val="clear" w:color="auto" w:fill="B4C6E7" w:themeFill="accent1" w:themeFillTint="66"/>
          </w:tcPr>
          <w:p w14:paraId="69137507" w14:textId="77777777" w:rsidR="002557B7" w:rsidRPr="00DB0C40" w:rsidRDefault="002557B7" w:rsidP="002557B7">
            <w:pPr>
              <w:keepNext/>
              <w:keepLines/>
              <w:spacing w:before="40"/>
              <w:jc w:val="both"/>
              <w:outlineLvl w:val="1"/>
              <w:rPr>
                <w:rFonts w:eastAsiaTheme="majorEastAsia" w:cstheme="minorHAnsi"/>
                <w:b/>
                <w:bCs/>
                <w:lang w:val="en-GB"/>
              </w:rPr>
            </w:pPr>
            <w:r w:rsidRPr="00DB0C40">
              <w:rPr>
                <w:rFonts w:eastAsiaTheme="majorEastAsia" w:cstheme="minorHAnsi"/>
                <w:b/>
                <w:bCs/>
                <w:lang w:val="en-GB"/>
              </w:rPr>
              <w:t>Female</w:t>
            </w:r>
          </w:p>
        </w:tc>
        <w:tc>
          <w:tcPr>
            <w:tcW w:w="0" w:type="auto"/>
            <w:shd w:val="clear" w:color="auto" w:fill="FBE4D5" w:themeFill="accent2" w:themeFillTint="33"/>
          </w:tcPr>
          <w:p w14:paraId="2A7D8880" w14:textId="77777777" w:rsidR="002557B7" w:rsidRPr="00DB0C40" w:rsidRDefault="002557B7" w:rsidP="002557B7">
            <w:pPr>
              <w:keepNext/>
              <w:keepLines/>
              <w:spacing w:before="40"/>
              <w:jc w:val="center"/>
              <w:outlineLvl w:val="1"/>
              <w:rPr>
                <w:rFonts w:eastAsiaTheme="majorEastAsia" w:cstheme="minorHAnsi"/>
                <w:lang w:val="en-GB"/>
              </w:rPr>
            </w:pPr>
            <w:r w:rsidRPr="00DB0C40">
              <w:rPr>
                <w:rFonts w:eastAsiaTheme="majorEastAsia" w:cstheme="minorHAnsi"/>
                <w:lang w:val="en-GB"/>
              </w:rPr>
              <w:t>19.1%</w:t>
            </w:r>
          </w:p>
        </w:tc>
        <w:tc>
          <w:tcPr>
            <w:tcW w:w="0" w:type="auto"/>
            <w:shd w:val="clear" w:color="auto" w:fill="FBE4D5" w:themeFill="accent2" w:themeFillTint="33"/>
          </w:tcPr>
          <w:p w14:paraId="2CEA731D" w14:textId="77777777" w:rsidR="002557B7" w:rsidRPr="00DB0C40" w:rsidRDefault="002557B7" w:rsidP="002557B7">
            <w:pPr>
              <w:keepNext/>
              <w:keepLines/>
              <w:spacing w:before="40"/>
              <w:jc w:val="center"/>
              <w:outlineLvl w:val="1"/>
              <w:rPr>
                <w:rFonts w:eastAsiaTheme="majorEastAsia" w:cstheme="minorHAnsi"/>
                <w:lang w:val="en-GB"/>
              </w:rPr>
            </w:pPr>
            <w:r w:rsidRPr="00DB0C40">
              <w:rPr>
                <w:rFonts w:eastAsiaTheme="majorEastAsia" w:cstheme="minorHAnsi"/>
                <w:lang w:val="en-GB"/>
              </w:rPr>
              <w:t>-</w:t>
            </w:r>
          </w:p>
        </w:tc>
        <w:tc>
          <w:tcPr>
            <w:tcW w:w="0" w:type="auto"/>
            <w:shd w:val="clear" w:color="auto" w:fill="FBE4D5" w:themeFill="accent2" w:themeFillTint="33"/>
          </w:tcPr>
          <w:p w14:paraId="394EE67E" w14:textId="77777777" w:rsidR="002557B7" w:rsidRPr="00DB0C40" w:rsidRDefault="002557B7" w:rsidP="002557B7">
            <w:pPr>
              <w:keepNext/>
              <w:keepLines/>
              <w:spacing w:before="40"/>
              <w:jc w:val="center"/>
              <w:outlineLvl w:val="1"/>
              <w:rPr>
                <w:rFonts w:eastAsiaTheme="majorEastAsia" w:cstheme="minorHAnsi"/>
                <w:lang w:val="en-GB"/>
              </w:rPr>
            </w:pPr>
            <w:r w:rsidRPr="00DB0C40">
              <w:rPr>
                <w:rFonts w:eastAsiaTheme="majorEastAsia" w:cstheme="minorHAnsi"/>
                <w:lang w:val="en-GB"/>
              </w:rPr>
              <w:t>19.5%</w:t>
            </w:r>
          </w:p>
        </w:tc>
      </w:tr>
    </w:tbl>
    <w:p w14:paraId="0441FCCE" w14:textId="19F0B12A" w:rsidR="002557B7" w:rsidRPr="00DB0C40" w:rsidRDefault="002557B7" w:rsidP="002557B7">
      <w:pPr>
        <w:keepNext/>
        <w:keepLines/>
        <w:spacing w:before="40"/>
        <w:jc w:val="center"/>
        <w:outlineLvl w:val="1"/>
        <w:rPr>
          <w:rFonts w:asciiTheme="minorHAnsi" w:eastAsiaTheme="majorEastAsia" w:hAnsiTheme="minorHAnsi" w:cstheme="minorHAnsi"/>
          <w:sz w:val="18"/>
          <w:szCs w:val="18"/>
        </w:rPr>
      </w:pPr>
      <w:r w:rsidRPr="00DB0C40">
        <w:rPr>
          <w:rFonts w:asciiTheme="minorHAnsi" w:eastAsiaTheme="majorEastAsia" w:hAnsiTheme="minorHAnsi" w:cstheme="minorHAnsi"/>
          <w:sz w:val="18"/>
          <w:szCs w:val="18"/>
        </w:rPr>
        <w:t xml:space="preserve">Source: TAT </w:t>
      </w:r>
      <w:r w:rsidR="00F37BC3" w:rsidRPr="00DB0C40">
        <w:rPr>
          <w:rFonts w:asciiTheme="minorHAnsi" w:eastAsiaTheme="majorEastAsia" w:hAnsiTheme="minorHAnsi" w:cstheme="minorHAnsi"/>
          <w:sz w:val="18"/>
          <w:szCs w:val="18"/>
        </w:rPr>
        <w:t>E</w:t>
      </w:r>
      <w:r w:rsidR="00F37BC3">
        <w:rPr>
          <w:rFonts w:asciiTheme="minorHAnsi" w:eastAsiaTheme="majorEastAsia" w:hAnsiTheme="minorHAnsi" w:cstheme="minorHAnsi"/>
          <w:sz w:val="18"/>
          <w:szCs w:val="18"/>
        </w:rPr>
        <w:t>labora</w:t>
      </w:r>
      <w:r w:rsidR="00F37BC3" w:rsidRPr="00DB0C40">
        <w:rPr>
          <w:rFonts w:asciiTheme="minorHAnsi" w:eastAsiaTheme="majorEastAsia" w:hAnsiTheme="minorHAnsi" w:cstheme="minorHAnsi"/>
          <w:sz w:val="18"/>
          <w:szCs w:val="18"/>
        </w:rPr>
        <w:t>tion</w:t>
      </w:r>
      <w:r w:rsidRPr="00DB0C40">
        <w:rPr>
          <w:rFonts w:asciiTheme="minorHAnsi" w:eastAsiaTheme="majorEastAsia" w:hAnsiTheme="minorHAnsi" w:cstheme="minorHAnsi"/>
          <w:sz w:val="18"/>
          <w:szCs w:val="18"/>
        </w:rPr>
        <w:t xml:space="preserve"> </w:t>
      </w:r>
    </w:p>
    <w:p w14:paraId="728C2760" w14:textId="77777777" w:rsidR="002557B7" w:rsidRPr="00DB0C40" w:rsidRDefault="002557B7" w:rsidP="002557B7">
      <w:pPr>
        <w:keepNext/>
        <w:keepLines/>
        <w:spacing w:before="40"/>
        <w:outlineLvl w:val="1"/>
        <w:rPr>
          <w:rFonts w:asciiTheme="minorHAnsi" w:eastAsiaTheme="majorEastAsia" w:hAnsiTheme="minorHAnsi" w:cstheme="minorHAnsi"/>
          <w:sz w:val="18"/>
          <w:szCs w:val="18"/>
        </w:rPr>
      </w:pPr>
      <w:r w:rsidRPr="00DB0C40">
        <w:rPr>
          <w:rFonts w:asciiTheme="minorHAnsi" w:eastAsiaTheme="majorEastAsia" w:hAnsiTheme="minorHAnsi" w:cstheme="minorHAnsi"/>
          <w:sz w:val="18"/>
          <w:szCs w:val="18"/>
        </w:rPr>
        <w:t xml:space="preserve">Sources of the data: </w:t>
      </w:r>
    </w:p>
    <w:p w14:paraId="05CF8517" w14:textId="77777777" w:rsidR="002557B7" w:rsidRPr="00DB0C40" w:rsidRDefault="002557B7">
      <w:pPr>
        <w:keepNext/>
        <w:keepLines/>
        <w:numPr>
          <w:ilvl w:val="0"/>
          <w:numId w:val="30"/>
        </w:numPr>
        <w:spacing w:before="40" w:after="160" w:line="259" w:lineRule="auto"/>
        <w:contextualSpacing/>
        <w:outlineLvl w:val="1"/>
        <w:rPr>
          <w:rFonts w:asciiTheme="minorHAnsi" w:eastAsiaTheme="majorEastAsia" w:hAnsiTheme="minorHAnsi" w:cstheme="minorHAnsi"/>
          <w:sz w:val="18"/>
          <w:szCs w:val="18"/>
        </w:rPr>
      </w:pPr>
      <w:r w:rsidRPr="00DB0C40">
        <w:rPr>
          <w:rFonts w:asciiTheme="minorHAnsi" w:eastAsiaTheme="majorEastAsia" w:hAnsiTheme="minorHAnsi" w:cstheme="minorHAnsi"/>
          <w:sz w:val="18"/>
          <w:szCs w:val="18"/>
        </w:rPr>
        <w:t>TUKSTAT, Women in Statistics (2017)</w:t>
      </w:r>
    </w:p>
    <w:p w14:paraId="05317689" w14:textId="5B461A78" w:rsidR="002557B7" w:rsidRPr="00DB0C40" w:rsidRDefault="00A45334">
      <w:pPr>
        <w:keepNext/>
        <w:keepLines/>
        <w:numPr>
          <w:ilvl w:val="0"/>
          <w:numId w:val="30"/>
        </w:numPr>
        <w:spacing w:before="40" w:after="160" w:line="259" w:lineRule="auto"/>
        <w:contextualSpacing/>
        <w:outlineLvl w:val="1"/>
        <w:rPr>
          <w:rFonts w:asciiTheme="minorHAnsi" w:eastAsiaTheme="majorEastAsia" w:hAnsiTheme="minorHAnsi" w:cstheme="minorHAnsi"/>
          <w:sz w:val="18"/>
          <w:szCs w:val="18"/>
        </w:rPr>
      </w:pPr>
      <w:r>
        <w:rPr>
          <w:rFonts w:asciiTheme="minorHAnsi" w:eastAsiaTheme="majorEastAsia" w:hAnsiTheme="minorHAnsi" w:cstheme="minorHAnsi"/>
          <w:sz w:val="18"/>
          <w:szCs w:val="18"/>
        </w:rPr>
        <w:t>TURKSTAT</w:t>
      </w:r>
      <w:r w:rsidR="002557B7" w:rsidRPr="00DB0C40">
        <w:rPr>
          <w:rFonts w:asciiTheme="minorHAnsi" w:eastAsiaTheme="majorEastAsia" w:hAnsiTheme="minorHAnsi" w:cstheme="minorHAnsi"/>
          <w:sz w:val="18"/>
          <w:szCs w:val="18"/>
        </w:rPr>
        <w:t>, Women in Statistics (2020) There is no information on this</w:t>
      </w:r>
    </w:p>
    <w:p w14:paraId="559D1B91" w14:textId="5ABAF887" w:rsidR="002557B7" w:rsidRPr="00DB0C40" w:rsidRDefault="00A45334">
      <w:pPr>
        <w:keepNext/>
        <w:keepLines/>
        <w:numPr>
          <w:ilvl w:val="0"/>
          <w:numId w:val="30"/>
        </w:numPr>
        <w:spacing w:before="40" w:after="160" w:line="259" w:lineRule="auto"/>
        <w:contextualSpacing/>
        <w:outlineLvl w:val="1"/>
        <w:rPr>
          <w:rFonts w:asciiTheme="minorHAnsi" w:eastAsiaTheme="majorEastAsia" w:hAnsiTheme="minorHAnsi" w:cstheme="minorHAnsi"/>
          <w:sz w:val="18"/>
          <w:szCs w:val="18"/>
        </w:rPr>
      </w:pPr>
      <w:r>
        <w:rPr>
          <w:rFonts w:asciiTheme="minorHAnsi" w:eastAsiaTheme="majorEastAsia" w:hAnsiTheme="minorHAnsi" w:cstheme="minorHAnsi"/>
          <w:sz w:val="18"/>
          <w:szCs w:val="18"/>
        </w:rPr>
        <w:t>TURKSTAT</w:t>
      </w:r>
      <w:r w:rsidR="002557B7" w:rsidRPr="00DB0C40">
        <w:rPr>
          <w:rFonts w:asciiTheme="minorHAnsi" w:eastAsiaTheme="majorEastAsia" w:hAnsiTheme="minorHAnsi" w:cstheme="minorHAnsi"/>
          <w:sz w:val="18"/>
          <w:szCs w:val="18"/>
        </w:rPr>
        <w:t>, Women in Statistics (2022)</w:t>
      </w:r>
    </w:p>
    <w:p w14:paraId="0737738E" w14:textId="77777777" w:rsidR="002557B7" w:rsidRPr="00DB0C40" w:rsidRDefault="002557B7" w:rsidP="002557B7">
      <w:pPr>
        <w:keepNext/>
        <w:keepLines/>
        <w:spacing w:before="40"/>
        <w:ind w:left="1080"/>
        <w:contextualSpacing/>
        <w:outlineLvl w:val="1"/>
        <w:rPr>
          <w:rFonts w:asciiTheme="minorHAnsi" w:eastAsiaTheme="majorEastAsia" w:hAnsiTheme="minorHAnsi" w:cstheme="minorHAnsi"/>
          <w:b/>
          <w:bCs/>
          <w:sz w:val="18"/>
          <w:szCs w:val="18"/>
        </w:rPr>
      </w:pPr>
    </w:p>
    <w:p w14:paraId="7558B4F2" w14:textId="0C6091A2" w:rsidR="002557B7" w:rsidRPr="00CD2A61" w:rsidRDefault="002557B7">
      <w:pPr>
        <w:keepNext/>
        <w:keepLines/>
        <w:numPr>
          <w:ilvl w:val="2"/>
          <w:numId w:val="46"/>
        </w:numPr>
        <w:spacing w:before="40" w:after="160" w:line="259" w:lineRule="auto"/>
        <w:contextualSpacing/>
        <w:outlineLvl w:val="1"/>
        <w:rPr>
          <w:rFonts w:asciiTheme="majorHAnsi" w:eastAsiaTheme="majorEastAsia" w:hAnsiTheme="majorHAnsi" w:cstheme="majorBidi"/>
          <w:color w:val="1F3763" w:themeColor="accent1" w:themeShade="7F"/>
        </w:rPr>
      </w:pPr>
      <w:bookmarkStart w:id="110" w:name="_Hlk107138703"/>
      <w:r w:rsidRPr="00CD2A61">
        <w:rPr>
          <w:rFonts w:asciiTheme="majorHAnsi" w:eastAsiaTheme="majorEastAsia" w:hAnsiTheme="majorHAnsi" w:cstheme="majorBidi"/>
          <w:color w:val="1F3763" w:themeColor="accent1" w:themeShade="7F"/>
        </w:rPr>
        <w:t>Gender Pay</w:t>
      </w:r>
      <w:r w:rsidR="00EF6EB8">
        <w:rPr>
          <w:rFonts w:asciiTheme="majorHAnsi" w:eastAsiaTheme="majorEastAsia" w:hAnsiTheme="majorHAnsi" w:cstheme="majorBidi"/>
          <w:color w:val="1F3763" w:themeColor="accent1" w:themeShade="7F"/>
        </w:rPr>
        <w:t xml:space="preserve"> </w:t>
      </w:r>
      <w:r w:rsidRPr="00CD2A61">
        <w:rPr>
          <w:rFonts w:asciiTheme="majorHAnsi" w:eastAsiaTheme="majorEastAsia" w:hAnsiTheme="majorHAnsi" w:cstheme="majorBidi"/>
          <w:color w:val="1F3763" w:themeColor="accent1" w:themeShade="7F"/>
          <w:sz w:val="16"/>
          <w:szCs w:val="16"/>
        </w:rPr>
        <w:footnoteReference w:id="37"/>
      </w:r>
      <w:r w:rsidRPr="00CD2A61">
        <w:rPr>
          <w:rFonts w:asciiTheme="majorHAnsi" w:eastAsiaTheme="majorEastAsia" w:hAnsiTheme="majorHAnsi" w:cstheme="majorBidi"/>
          <w:color w:val="1F3763" w:themeColor="accent1" w:themeShade="7F"/>
          <w:sz w:val="16"/>
          <w:szCs w:val="16"/>
        </w:rPr>
        <w:t xml:space="preserve"> </w:t>
      </w:r>
      <w:r w:rsidRPr="00CD2A61">
        <w:rPr>
          <w:rFonts w:asciiTheme="majorHAnsi" w:eastAsiaTheme="majorEastAsia" w:hAnsiTheme="majorHAnsi" w:cstheme="majorBidi"/>
          <w:color w:val="1F3763" w:themeColor="accent1" w:themeShade="7F"/>
        </w:rPr>
        <w:t>(2015 – 2018)</w:t>
      </w:r>
      <w:bookmarkEnd w:id="107"/>
    </w:p>
    <w:bookmarkEnd w:id="110"/>
    <w:p w14:paraId="6722A81D" w14:textId="77777777" w:rsidR="002557B7" w:rsidRPr="00DB0C40" w:rsidRDefault="002557B7" w:rsidP="002557B7">
      <w:pPr>
        <w:keepNext/>
        <w:keepLines/>
        <w:spacing w:before="40"/>
        <w:ind w:left="1080"/>
        <w:contextualSpacing/>
        <w:outlineLvl w:val="1"/>
        <w:rPr>
          <w:rFonts w:asciiTheme="minorHAnsi" w:eastAsiaTheme="majorEastAsia" w:hAnsiTheme="minorHAnsi" w:cstheme="minorHAnsi"/>
          <w:sz w:val="22"/>
          <w:szCs w:val="22"/>
        </w:rPr>
      </w:pPr>
    </w:p>
    <w:p w14:paraId="379858A5" w14:textId="77777777" w:rsidR="002557B7" w:rsidRPr="00DB0C40" w:rsidRDefault="002557B7" w:rsidP="002557B7">
      <w:pPr>
        <w:spacing w:after="160" w:line="259" w:lineRule="auto"/>
        <w:jc w:val="both"/>
        <w:rPr>
          <w:rFonts w:asciiTheme="minorHAnsi" w:eastAsiaTheme="minorHAnsi" w:hAnsiTheme="minorHAnsi" w:cstheme="minorHAnsi"/>
          <w:sz w:val="22"/>
          <w:szCs w:val="22"/>
        </w:rPr>
      </w:pPr>
      <w:r w:rsidRPr="00DB0C40">
        <w:rPr>
          <w:rFonts w:asciiTheme="minorHAnsi" w:eastAsiaTheme="minorHAnsi" w:hAnsiTheme="minorHAnsi" w:cstheme="minorHAnsi"/>
          <w:sz w:val="22"/>
          <w:szCs w:val="22"/>
        </w:rPr>
        <w:t>The Gender Pay Gap in Türkiye,</w:t>
      </w:r>
      <w:r w:rsidRPr="00DB0C40">
        <w:rPr>
          <w:rFonts w:asciiTheme="minorHAnsi" w:eastAsiaTheme="minorHAnsi" w:hAnsiTheme="minorHAnsi" w:cstheme="minorHAnsi"/>
          <w:sz w:val="22"/>
          <w:szCs w:val="22"/>
          <w:vertAlign w:val="superscript"/>
        </w:rPr>
        <w:footnoteReference w:id="38"/>
      </w:r>
      <w:r w:rsidRPr="00DB0C40">
        <w:rPr>
          <w:rFonts w:asciiTheme="minorHAnsi" w:eastAsiaTheme="minorHAnsi" w:hAnsiTheme="minorHAnsi" w:cstheme="minorHAnsi"/>
          <w:sz w:val="22"/>
          <w:szCs w:val="22"/>
        </w:rPr>
        <w:t xml:space="preserve"> for the period 2015 – 2018 was 15.6%, but gender gap increases with the age: while the gender pay gap is low (3.8%) at the beginning of working life, it rises significantly (25.9%) in 40s, and remains high at later ages</w:t>
      </w:r>
      <w:r w:rsidRPr="00DB0C40">
        <w:rPr>
          <w:rFonts w:asciiTheme="minorHAnsi" w:eastAsiaTheme="minorHAnsi" w:hAnsiTheme="minorHAnsi" w:cstheme="minorHAnsi"/>
          <w:sz w:val="22"/>
          <w:szCs w:val="22"/>
          <w:vertAlign w:val="superscript"/>
        </w:rPr>
        <w:footnoteReference w:id="39"/>
      </w:r>
      <w:r w:rsidRPr="00DB0C40">
        <w:rPr>
          <w:rFonts w:asciiTheme="minorHAnsi" w:eastAsiaTheme="minorHAnsi" w:hAnsiTheme="minorHAnsi" w:cstheme="minorHAnsi"/>
          <w:sz w:val="22"/>
          <w:szCs w:val="22"/>
        </w:rPr>
        <w:t xml:space="preserve"> (the gap is 29.9% for people aged 60 or over). There was a decline in the gender wage gap from 2015 to 2018 across all age groups. The largest change is observed for the age groups 30-39 and 50-59 age brackets. The proportion of 40 or older women among all women in employment, increased considerably over the period 2015-2018 (Table 1).</w:t>
      </w:r>
    </w:p>
    <w:p w14:paraId="6A8D924C" w14:textId="6A4458F9" w:rsidR="002557B7" w:rsidRPr="00DB0C40" w:rsidRDefault="002557B7" w:rsidP="002557B7">
      <w:pPr>
        <w:spacing w:after="160" w:line="259" w:lineRule="auto"/>
        <w:jc w:val="center"/>
        <w:rPr>
          <w:rFonts w:asciiTheme="minorHAnsi" w:eastAsiaTheme="minorHAnsi" w:hAnsiTheme="minorHAnsi" w:cstheme="minorHAnsi"/>
          <w:sz w:val="22"/>
          <w:szCs w:val="22"/>
        </w:rPr>
      </w:pPr>
      <w:bookmarkStart w:id="111" w:name="_Hlk107138753"/>
      <w:r w:rsidRPr="00DB0C40">
        <w:rPr>
          <w:rFonts w:asciiTheme="minorHAnsi" w:eastAsiaTheme="minorHAnsi" w:hAnsiTheme="minorHAnsi" w:cstheme="minorHAnsi"/>
          <w:b/>
          <w:bCs/>
          <w:sz w:val="22"/>
          <w:szCs w:val="22"/>
        </w:rPr>
        <w:t xml:space="preserve">Table </w:t>
      </w:r>
      <w:r w:rsidR="00517B7E" w:rsidRPr="00DB0C40">
        <w:rPr>
          <w:rFonts w:asciiTheme="minorHAnsi" w:eastAsiaTheme="minorHAnsi" w:hAnsiTheme="minorHAnsi" w:cstheme="minorHAnsi"/>
          <w:b/>
          <w:bCs/>
          <w:sz w:val="22"/>
          <w:szCs w:val="22"/>
        </w:rPr>
        <w:t>6</w:t>
      </w:r>
      <w:r w:rsidRPr="00DB0C40">
        <w:rPr>
          <w:rFonts w:asciiTheme="minorHAnsi" w:eastAsiaTheme="minorHAnsi" w:hAnsiTheme="minorHAnsi" w:cstheme="minorHAnsi"/>
          <w:b/>
          <w:bCs/>
          <w:sz w:val="22"/>
          <w:szCs w:val="22"/>
        </w:rPr>
        <w:t>. Distribution of Employment by Gender and Age Group</w:t>
      </w:r>
      <w:r w:rsidR="00517B7E" w:rsidRPr="00DB0C40">
        <w:rPr>
          <w:rFonts w:asciiTheme="minorHAnsi" w:eastAsiaTheme="majorEastAsia" w:hAnsiTheme="minorHAnsi" w:cstheme="minorHAnsi"/>
          <w:b/>
          <w:bCs/>
          <w:sz w:val="22"/>
          <w:szCs w:val="22"/>
        </w:rPr>
        <w:t xml:space="preserve"> </w:t>
      </w:r>
      <w:r w:rsidR="00517B7E" w:rsidRPr="00DB0C40">
        <w:rPr>
          <w:rFonts w:asciiTheme="minorHAnsi" w:eastAsiaTheme="minorHAnsi" w:hAnsiTheme="minorHAnsi" w:cstheme="minorHAnsi"/>
          <w:b/>
          <w:bCs/>
          <w:sz w:val="22"/>
          <w:szCs w:val="22"/>
        </w:rPr>
        <w:t>in Türkiye</w:t>
      </w:r>
      <w:r w:rsidRPr="00DB0C40">
        <w:rPr>
          <w:rFonts w:asciiTheme="minorHAnsi" w:eastAsiaTheme="minorHAnsi" w:hAnsiTheme="minorHAnsi" w:cstheme="minorHAnsi"/>
          <w:b/>
          <w:bCs/>
          <w:sz w:val="22"/>
          <w:szCs w:val="22"/>
        </w:rPr>
        <w:t xml:space="preserve"> (%)</w:t>
      </w:r>
    </w:p>
    <w:bookmarkEnd w:id="111"/>
    <w:tbl>
      <w:tblPr>
        <w:tblStyle w:val="TableGrid11"/>
        <w:tblW w:w="0" w:type="auto"/>
        <w:jc w:val="center"/>
        <w:tblLook w:val="04A0" w:firstRow="1" w:lastRow="0" w:firstColumn="1" w:lastColumn="0" w:noHBand="0" w:noVBand="1"/>
      </w:tblPr>
      <w:tblGrid>
        <w:gridCol w:w="730"/>
        <w:gridCol w:w="607"/>
        <w:gridCol w:w="607"/>
        <w:gridCol w:w="607"/>
        <w:gridCol w:w="607"/>
      </w:tblGrid>
      <w:tr w:rsidR="002557B7" w:rsidRPr="00DB0C40" w14:paraId="6ECA1614" w14:textId="77777777" w:rsidTr="00EA37BB">
        <w:trPr>
          <w:jc w:val="center"/>
        </w:trPr>
        <w:tc>
          <w:tcPr>
            <w:tcW w:w="0" w:type="auto"/>
            <w:vMerge w:val="restart"/>
            <w:shd w:val="clear" w:color="auto" w:fill="D9E2F3" w:themeFill="accent1" w:themeFillTint="33"/>
          </w:tcPr>
          <w:p w14:paraId="54325E13" w14:textId="77777777" w:rsidR="002557B7" w:rsidRPr="00DB0C40" w:rsidRDefault="002557B7" w:rsidP="002557B7">
            <w:pPr>
              <w:jc w:val="both"/>
              <w:rPr>
                <w:rFonts w:cstheme="minorHAnsi"/>
                <w:lang w:val="en-GB"/>
              </w:rPr>
            </w:pPr>
          </w:p>
        </w:tc>
        <w:tc>
          <w:tcPr>
            <w:tcW w:w="0" w:type="auto"/>
            <w:gridSpan w:val="2"/>
            <w:shd w:val="clear" w:color="auto" w:fill="D9E2F3" w:themeFill="accent1" w:themeFillTint="33"/>
          </w:tcPr>
          <w:p w14:paraId="2B4FF165" w14:textId="77777777" w:rsidR="002557B7" w:rsidRPr="00DB0C40" w:rsidRDefault="002557B7" w:rsidP="002557B7">
            <w:pPr>
              <w:jc w:val="both"/>
              <w:rPr>
                <w:rFonts w:cstheme="minorHAnsi"/>
                <w:lang w:val="en-GB"/>
              </w:rPr>
            </w:pPr>
            <w:r w:rsidRPr="00DB0C40">
              <w:rPr>
                <w:rFonts w:cstheme="minorHAnsi"/>
                <w:lang w:val="en-GB"/>
              </w:rPr>
              <w:t>2015</w:t>
            </w:r>
          </w:p>
        </w:tc>
        <w:tc>
          <w:tcPr>
            <w:tcW w:w="0" w:type="auto"/>
            <w:gridSpan w:val="2"/>
            <w:shd w:val="clear" w:color="auto" w:fill="D9E2F3" w:themeFill="accent1" w:themeFillTint="33"/>
          </w:tcPr>
          <w:p w14:paraId="34EC7826" w14:textId="77777777" w:rsidR="002557B7" w:rsidRPr="00DB0C40" w:rsidRDefault="002557B7" w:rsidP="002557B7">
            <w:pPr>
              <w:jc w:val="both"/>
              <w:rPr>
                <w:rFonts w:cstheme="minorHAnsi"/>
                <w:lang w:val="en-GB"/>
              </w:rPr>
            </w:pPr>
            <w:r w:rsidRPr="00DB0C40">
              <w:rPr>
                <w:rFonts w:cstheme="minorHAnsi"/>
                <w:lang w:val="en-GB"/>
              </w:rPr>
              <w:t>2018</w:t>
            </w:r>
          </w:p>
        </w:tc>
      </w:tr>
      <w:tr w:rsidR="002557B7" w:rsidRPr="00DB0C40" w14:paraId="3C348EC6" w14:textId="77777777" w:rsidTr="00EA37BB">
        <w:trPr>
          <w:jc w:val="center"/>
        </w:trPr>
        <w:tc>
          <w:tcPr>
            <w:tcW w:w="0" w:type="auto"/>
            <w:vMerge/>
            <w:shd w:val="clear" w:color="auto" w:fill="D9E2F3" w:themeFill="accent1" w:themeFillTint="33"/>
          </w:tcPr>
          <w:p w14:paraId="59BDFA05" w14:textId="77777777" w:rsidR="002557B7" w:rsidRPr="00DB0C40" w:rsidRDefault="002557B7" w:rsidP="002557B7">
            <w:pPr>
              <w:jc w:val="both"/>
              <w:rPr>
                <w:rFonts w:cstheme="minorHAnsi"/>
                <w:lang w:val="en-GB"/>
              </w:rPr>
            </w:pPr>
          </w:p>
        </w:tc>
        <w:tc>
          <w:tcPr>
            <w:tcW w:w="0" w:type="auto"/>
            <w:shd w:val="clear" w:color="auto" w:fill="D9E2F3" w:themeFill="accent1" w:themeFillTint="33"/>
          </w:tcPr>
          <w:p w14:paraId="682D7C4A" w14:textId="77777777" w:rsidR="002557B7" w:rsidRPr="00DB0C40" w:rsidRDefault="002557B7" w:rsidP="002557B7">
            <w:pPr>
              <w:jc w:val="both"/>
              <w:rPr>
                <w:rFonts w:cstheme="minorHAnsi"/>
                <w:lang w:val="en-GB"/>
              </w:rPr>
            </w:pPr>
            <w:r w:rsidRPr="00DB0C40">
              <w:rPr>
                <w:rFonts w:cstheme="minorHAnsi"/>
                <w:lang w:val="en-GB"/>
              </w:rPr>
              <w:t>f</w:t>
            </w:r>
          </w:p>
        </w:tc>
        <w:tc>
          <w:tcPr>
            <w:tcW w:w="0" w:type="auto"/>
            <w:shd w:val="clear" w:color="auto" w:fill="D9E2F3" w:themeFill="accent1" w:themeFillTint="33"/>
          </w:tcPr>
          <w:p w14:paraId="340600FE" w14:textId="77777777" w:rsidR="002557B7" w:rsidRPr="00DB0C40" w:rsidRDefault="002557B7" w:rsidP="002557B7">
            <w:pPr>
              <w:jc w:val="both"/>
              <w:rPr>
                <w:rFonts w:cstheme="minorHAnsi"/>
                <w:lang w:val="en-GB"/>
              </w:rPr>
            </w:pPr>
            <w:r w:rsidRPr="00DB0C40">
              <w:rPr>
                <w:rFonts w:cstheme="minorHAnsi"/>
                <w:lang w:val="en-GB"/>
              </w:rPr>
              <w:t>m</w:t>
            </w:r>
          </w:p>
        </w:tc>
        <w:tc>
          <w:tcPr>
            <w:tcW w:w="0" w:type="auto"/>
            <w:shd w:val="clear" w:color="auto" w:fill="D9E2F3" w:themeFill="accent1" w:themeFillTint="33"/>
          </w:tcPr>
          <w:p w14:paraId="6560EF81" w14:textId="77777777" w:rsidR="002557B7" w:rsidRPr="00DB0C40" w:rsidRDefault="002557B7" w:rsidP="002557B7">
            <w:pPr>
              <w:jc w:val="both"/>
              <w:rPr>
                <w:rFonts w:cstheme="minorHAnsi"/>
                <w:lang w:val="en-GB"/>
              </w:rPr>
            </w:pPr>
            <w:r w:rsidRPr="00DB0C40">
              <w:rPr>
                <w:rFonts w:cstheme="minorHAnsi"/>
                <w:lang w:val="en-GB"/>
              </w:rPr>
              <w:t>f</w:t>
            </w:r>
          </w:p>
        </w:tc>
        <w:tc>
          <w:tcPr>
            <w:tcW w:w="0" w:type="auto"/>
            <w:shd w:val="clear" w:color="auto" w:fill="D9E2F3" w:themeFill="accent1" w:themeFillTint="33"/>
          </w:tcPr>
          <w:p w14:paraId="52D122E5" w14:textId="77777777" w:rsidR="002557B7" w:rsidRPr="00DB0C40" w:rsidRDefault="002557B7" w:rsidP="002557B7">
            <w:pPr>
              <w:jc w:val="both"/>
              <w:rPr>
                <w:rFonts w:cstheme="minorHAnsi"/>
                <w:lang w:val="en-GB"/>
              </w:rPr>
            </w:pPr>
            <w:r w:rsidRPr="00DB0C40">
              <w:rPr>
                <w:rFonts w:cstheme="minorHAnsi"/>
                <w:lang w:val="en-GB"/>
              </w:rPr>
              <w:t>m</w:t>
            </w:r>
          </w:p>
        </w:tc>
      </w:tr>
      <w:tr w:rsidR="002557B7" w:rsidRPr="00DB0C40" w14:paraId="36BC1A1B" w14:textId="77777777" w:rsidTr="007A7E2D">
        <w:trPr>
          <w:jc w:val="center"/>
        </w:trPr>
        <w:tc>
          <w:tcPr>
            <w:tcW w:w="0" w:type="auto"/>
            <w:shd w:val="clear" w:color="auto" w:fill="B4C6E7" w:themeFill="accent1" w:themeFillTint="66"/>
          </w:tcPr>
          <w:p w14:paraId="475604C4" w14:textId="77777777" w:rsidR="002557B7" w:rsidRPr="00DB0C40" w:rsidRDefault="002557B7" w:rsidP="002557B7">
            <w:pPr>
              <w:jc w:val="both"/>
              <w:rPr>
                <w:rFonts w:cstheme="minorHAnsi"/>
                <w:lang w:val="en-GB"/>
              </w:rPr>
            </w:pPr>
            <w:r w:rsidRPr="00DB0C40">
              <w:rPr>
                <w:rFonts w:cstheme="minorHAnsi"/>
                <w:lang w:val="en-GB"/>
              </w:rPr>
              <w:t>Total</w:t>
            </w:r>
          </w:p>
        </w:tc>
        <w:tc>
          <w:tcPr>
            <w:tcW w:w="0" w:type="auto"/>
            <w:shd w:val="clear" w:color="auto" w:fill="FBE4D5" w:themeFill="accent2" w:themeFillTint="33"/>
          </w:tcPr>
          <w:p w14:paraId="4A01ADF1" w14:textId="77777777" w:rsidR="002557B7" w:rsidRPr="00DB0C40" w:rsidRDefault="002557B7" w:rsidP="002557B7">
            <w:pPr>
              <w:jc w:val="both"/>
              <w:rPr>
                <w:rFonts w:cstheme="minorHAnsi"/>
                <w:lang w:val="en-GB"/>
              </w:rPr>
            </w:pPr>
            <w:r w:rsidRPr="00DB0C40">
              <w:rPr>
                <w:rFonts w:cstheme="minorHAnsi"/>
                <w:lang w:val="en-GB"/>
              </w:rPr>
              <w:t>100</w:t>
            </w:r>
          </w:p>
        </w:tc>
        <w:tc>
          <w:tcPr>
            <w:tcW w:w="0" w:type="auto"/>
            <w:shd w:val="clear" w:color="auto" w:fill="FBE4D5" w:themeFill="accent2" w:themeFillTint="33"/>
          </w:tcPr>
          <w:p w14:paraId="3D7ACF1E" w14:textId="77777777" w:rsidR="002557B7" w:rsidRPr="00DB0C40" w:rsidRDefault="002557B7" w:rsidP="002557B7">
            <w:pPr>
              <w:jc w:val="both"/>
              <w:rPr>
                <w:rFonts w:cstheme="minorHAnsi"/>
                <w:lang w:val="en-GB"/>
              </w:rPr>
            </w:pPr>
            <w:r w:rsidRPr="00DB0C40">
              <w:rPr>
                <w:rFonts w:cstheme="minorHAnsi"/>
                <w:lang w:val="en-GB"/>
              </w:rPr>
              <w:t>100</w:t>
            </w:r>
          </w:p>
        </w:tc>
        <w:tc>
          <w:tcPr>
            <w:tcW w:w="0" w:type="auto"/>
            <w:shd w:val="clear" w:color="auto" w:fill="FBE4D5" w:themeFill="accent2" w:themeFillTint="33"/>
          </w:tcPr>
          <w:p w14:paraId="2B688033" w14:textId="77777777" w:rsidR="002557B7" w:rsidRPr="00DB0C40" w:rsidRDefault="002557B7" w:rsidP="002557B7">
            <w:pPr>
              <w:jc w:val="both"/>
              <w:rPr>
                <w:rFonts w:cstheme="minorHAnsi"/>
                <w:lang w:val="en-GB"/>
              </w:rPr>
            </w:pPr>
            <w:r w:rsidRPr="00DB0C40">
              <w:rPr>
                <w:rFonts w:cstheme="minorHAnsi"/>
                <w:lang w:val="en-GB"/>
              </w:rPr>
              <w:t>100</w:t>
            </w:r>
          </w:p>
        </w:tc>
        <w:tc>
          <w:tcPr>
            <w:tcW w:w="0" w:type="auto"/>
            <w:shd w:val="clear" w:color="auto" w:fill="FBE4D5" w:themeFill="accent2" w:themeFillTint="33"/>
          </w:tcPr>
          <w:p w14:paraId="630AF73F" w14:textId="77777777" w:rsidR="002557B7" w:rsidRPr="00DB0C40" w:rsidRDefault="002557B7" w:rsidP="002557B7">
            <w:pPr>
              <w:jc w:val="both"/>
              <w:rPr>
                <w:rFonts w:cstheme="minorHAnsi"/>
                <w:lang w:val="en-GB"/>
              </w:rPr>
            </w:pPr>
            <w:r w:rsidRPr="00DB0C40">
              <w:rPr>
                <w:rFonts w:cstheme="minorHAnsi"/>
                <w:lang w:val="en-GB"/>
              </w:rPr>
              <w:t>100</w:t>
            </w:r>
          </w:p>
        </w:tc>
      </w:tr>
      <w:tr w:rsidR="002557B7" w:rsidRPr="00DB0C40" w14:paraId="4084E16C" w14:textId="77777777" w:rsidTr="007A7E2D">
        <w:trPr>
          <w:jc w:val="center"/>
        </w:trPr>
        <w:tc>
          <w:tcPr>
            <w:tcW w:w="0" w:type="auto"/>
            <w:shd w:val="clear" w:color="auto" w:fill="B4C6E7" w:themeFill="accent1" w:themeFillTint="66"/>
          </w:tcPr>
          <w:p w14:paraId="69425F10" w14:textId="77777777" w:rsidR="002557B7" w:rsidRPr="00DB0C40" w:rsidRDefault="002557B7" w:rsidP="002557B7">
            <w:pPr>
              <w:jc w:val="both"/>
              <w:rPr>
                <w:rFonts w:cstheme="minorHAnsi"/>
                <w:lang w:val="en-GB"/>
              </w:rPr>
            </w:pPr>
            <w:r w:rsidRPr="00DB0C40">
              <w:rPr>
                <w:rFonts w:cstheme="minorHAnsi"/>
                <w:lang w:val="en-GB"/>
              </w:rPr>
              <w:t>&gt;20</w:t>
            </w:r>
          </w:p>
        </w:tc>
        <w:tc>
          <w:tcPr>
            <w:tcW w:w="0" w:type="auto"/>
            <w:shd w:val="clear" w:color="auto" w:fill="FBE4D5" w:themeFill="accent2" w:themeFillTint="33"/>
          </w:tcPr>
          <w:p w14:paraId="3245E02D" w14:textId="77777777" w:rsidR="002557B7" w:rsidRPr="00DB0C40" w:rsidRDefault="002557B7" w:rsidP="002557B7">
            <w:pPr>
              <w:jc w:val="both"/>
              <w:rPr>
                <w:rFonts w:cstheme="minorHAnsi"/>
                <w:lang w:val="en-GB"/>
              </w:rPr>
            </w:pPr>
            <w:r w:rsidRPr="00DB0C40">
              <w:rPr>
                <w:rFonts w:cstheme="minorHAnsi"/>
                <w:lang w:val="en-GB"/>
              </w:rPr>
              <w:t>4.7</w:t>
            </w:r>
          </w:p>
        </w:tc>
        <w:tc>
          <w:tcPr>
            <w:tcW w:w="0" w:type="auto"/>
            <w:shd w:val="clear" w:color="auto" w:fill="FBE4D5" w:themeFill="accent2" w:themeFillTint="33"/>
          </w:tcPr>
          <w:p w14:paraId="3DB5DF63" w14:textId="77777777" w:rsidR="002557B7" w:rsidRPr="00DB0C40" w:rsidRDefault="002557B7" w:rsidP="002557B7">
            <w:pPr>
              <w:jc w:val="both"/>
              <w:rPr>
                <w:rFonts w:cstheme="minorHAnsi"/>
                <w:lang w:val="en-GB"/>
              </w:rPr>
            </w:pPr>
            <w:r w:rsidRPr="00DB0C40">
              <w:rPr>
                <w:rFonts w:cstheme="minorHAnsi"/>
                <w:lang w:val="en-GB"/>
              </w:rPr>
              <w:t>5.3</w:t>
            </w:r>
          </w:p>
        </w:tc>
        <w:tc>
          <w:tcPr>
            <w:tcW w:w="0" w:type="auto"/>
            <w:shd w:val="clear" w:color="auto" w:fill="FBE4D5" w:themeFill="accent2" w:themeFillTint="33"/>
          </w:tcPr>
          <w:p w14:paraId="0547A5EC" w14:textId="77777777" w:rsidR="002557B7" w:rsidRPr="00DB0C40" w:rsidRDefault="002557B7" w:rsidP="002557B7">
            <w:pPr>
              <w:jc w:val="both"/>
              <w:rPr>
                <w:rFonts w:cstheme="minorHAnsi"/>
                <w:lang w:val="en-GB"/>
              </w:rPr>
            </w:pPr>
            <w:r w:rsidRPr="00DB0C40">
              <w:rPr>
                <w:rFonts w:cstheme="minorHAnsi"/>
                <w:lang w:val="en-GB"/>
              </w:rPr>
              <w:t>3.5</w:t>
            </w:r>
          </w:p>
        </w:tc>
        <w:tc>
          <w:tcPr>
            <w:tcW w:w="0" w:type="auto"/>
            <w:shd w:val="clear" w:color="auto" w:fill="FBE4D5" w:themeFill="accent2" w:themeFillTint="33"/>
          </w:tcPr>
          <w:p w14:paraId="28B4F0C1" w14:textId="77777777" w:rsidR="002557B7" w:rsidRPr="00DB0C40" w:rsidRDefault="002557B7" w:rsidP="002557B7">
            <w:pPr>
              <w:jc w:val="both"/>
              <w:rPr>
                <w:rFonts w:cstheme="minorHAnsi"/>
                <w:lang w:val="en-GB"/>
              </w:rPr>
            </w:pPr>
            <w:r w:rsidRPr="00DB0C40">
              <w:rPr>
                <w:rFonts w:cstheme="minorHAnsi"/>
                <w:lang w:val="en-GB"/>
              </w:rPr>
              <w:t>4.1</w:t>
            </w:r>
          </w:p>
        </w:tc>
      </w:tr>
      <w:tr w:rsidR="002557B7" w:rsidRPr="00DB0C40" w14:paraId="7C33A2C0" w14:textId="77777777" w:rsidTr="007A7E2D">
        <w:trPr>
          <w:jc w:val="center"/>
        </w:trPr>
        <w:tc>
          <w:tcPr>
            <w:tcW w:w="0" w:type="auto"/>
            <w:shd w:val="clear" w:color="auto" w:fill="B4C6E7" w:themeFill="accent1" w:themeFillTint="66"/>
          </w:tcPr>
          <w:p w14:paraId="44C8C6BF" w14:textId="77777777" w:rsidR="002557B7" w:rsidRPr="00DB0C40" w:rsidRDefault="002557B7" w:rsidP="002557B7">
            <w:pPr>
              <w:jc w:val="both"/>
              <w:rPr>
                <w:rFonts w:cstheme="minorHAnsi"/>
                <w:lang w:val="en-GB"/>
              </w:rPr>
            </w:pPr>
            <w:r w:rsidRPr="00DB0C40">
              <w:rPr>
                <w:rFonts w:cstheme="minorHAnsi"/>
                <w:lang w:val="en-GB"/>
              </w:rPr>
              <w:t>20-29</w:t>
            </w:r>
          </w:p>
        </w:tc>
        <w:tc>
          <w:tcPr>
            <w:tcW w:w="0" w:type="auto"/>
            <w:shd w:val="clear" w:color="auto" w:fill="FBE4D5" w:themeFill="accent2" w:themeFillTint="33"/>
          </w:tcPr>
          <w:p w14:paraId="657D7769" w14:textId="77777777" w:rsidR="002557B7" w:rsidRPr="00DB0C40" w:rsidRDefault="002557B7" w:rsidP="002557B7">
            <w:pPr>
              <w:jc w:val="both"/>
              <w:rPr>
                <w:rFonts w:cstheme="minorHAnsi"/>
                <w:lang w:val="en-GB"/>
              </w:rPr>
            </w:pPr>
            <w:r w:rsidRPr="00DB0C40">
              <w:rPr>
                <w:rFonts w:cstheme="minorHAnsi"/>
                <w:lang w:val="en-GB"/>
              </w:rPr>
              <w:t>32.1</w:t>
            </w:r>
          </w:p>
        </w:tc>
        <w:tc>
          <w:tcPr>
            <w:tcW w:w="0" w:type="auto"/>
            <w:shd w:val="clear" w:color="auto" w:fill="FBE4D5" w:themeFill="accent2" w:themeFillTint="33"/>
          </w:tcPr>
          <w:p w14:paraId="195AD1CF" w14:textId="77777777" w:rsidR="002557B7" w:rsidRPr="00DB0C40" w:rsidRDefault="002557B7" w:rsidP="002557B7">
            <w:pPr>
              <w:jc w:val="both"/>
              <w:rPr>
                <w:rFonts w:cstheme="minorHAnsi"/>
                <w:lang w:val="en-GB"/>
              </w:rPr>
            </w:pPr>
            <w:r w:rsidRPr="00DB0C40">
              <w:rPr>
                <w:rFonts w:cstheme="minorHAnsi"/>
                <w:lang w:val="en-GB"/>
              </w:rPr>
              <w:t>26.4</w:t>
            </w:r>
          </w:p>
        </w:tc>
        <w:tc>
          <w:tcPr>
            <w:tcW w:w="0" w:type="auto"/>
            <w:shd w:val="clear" w:color="auto" w:fill="FBE4D5" w:themeFill="accent2" w:themeFillTint="33"/>
          </w:tcPr>
          <w:p w14:paraId="4C2FC3CC" w14:textId="77777777" w:rsidR="002557B7" w:rsidRPr="00DB0C40" w:rsidRDefault="002557B7" w:rsidP="002557B7">
            <w:pPr>
              <w:jc w:val="both"/>
              <w:rPr>
                <w:rFonts w:cstheme="minorHAnsi"/>
                <w:lang w:val="en-GB"/>
              </w:rPr>
            </w:pPr>
            <w:r w:rsidRPr="00DB0C40">
              <w:rPr>
                <w:rFonts w:cstheme="minorHAnsi"/>
                <w:lang w:val="en-GB"/>
              </w:rPr>
              <w:t>29.7</w:t>
            </w:r>
          </w:p>
        </w:tc>
        <w:tc>
          <w:tcPr>
            <w:tcW w:w="0" w:type="auto"/>
            <w:shd w:val="clear" w:color="auto" w:fill="FBE4D5" w:themeFill="accent2" w:themeFillTint="33"/>
          </w:tcPr>
          <w:p w14:paraId="5F773B87" w14:textId="77777777" w:rsidR="002557B7" w:rsidRPr="00DB0C40" w:rsidRDefault="002557B7" w:rsidP="002557B7">
            <w:pPr>
              <w:jc w:val="both"/>
              <w:rPr>
                <w:rFonts w:cstheme="minorHAnsi"/>
                <w:lang w:val="en-GB"/>
              </w:rPr>
            </w:pPr>
            <w:r w:rsidRPr="00DB0C40">
              <w:rPr>
                <w:rFonts w:cstheme="minorHAnsi"/>
                <w:lang w:val="en-GB"/>
              </w:rPr>
              <w:t>25.2</w:t>
            </w:r>
          </w:p>
        </w:tc>
      </w:tr>
      <w:tr w:rsidR="002557B7" w:rsidRPr="00DB0C40" w14:paraId="671377B0" w14:textId="77777777" w:rsidTr="007A7E2D">
        <w:trPr>
          <w:jc w:val="center"/>
        </w:trPr>
        <w:tc>
          <w:tcPr>
            <w:tcW w:w="0" w:type="auto"/>
            <w:shd w:val="clear" w:color="auto" w:fill="B4C6E7" w:themeFill="accent1" w:themeFillTint="66"/>
          </w:tcPr>
          <w:p w14:paraId="63F7917D" w14:textId="77777777" w:rsidR="002557B7" w:rsidRPr="00DB0C40" w:rsidRDefault="002557B7" w:rsidP="002557B7">
            <w:pPr>
              <w:jc w:val="both"/>
              <w:rPr>
                <w:rFonts w:cstheme="minorHAnsi"/>
                <w:lang w:val="en-GB"/>
              </w:rPr>
            </w:pPr>
            <w:r w:rsidRPr="00DB0C40">
              <w:rPr>
                <w:rFonts w:cstheme="minorHAnsi"/>
                <w:lang w:val="en-GB"/>
              </w:rPr>
              <w:t>30-39</w:t>
            </w:r>
          </w:p>
        </w:tc>
        <w:tc>
          <w:tcPr>
            <w:tcW w:w="0" w:type="auto"/>
            <w:shd w:val="clear" w:color="auto" w:fill="FBE4D5" w:themeFill="accent2" w:themeFillTint="33"/>
          </w:tcPr>
          <w:p w14:paraId="2B955E6C" w14:textId="77777777" w:rsidR="002557B7" w:rsidRPr="00DB0C40" w:rsidRDefault="002557B7" w:rsidP="002557B7">
            <w:pPr>
              <w:jc w:val="both"/>
              <w:rPr>
                <w:rFonts w:cstheme="minorHAnsi"/>
                <w:lang w:val="en-GB"/>
              </w:rPr>
            </w:pPr>
            <w:r w:rsidRPr="00DB0C40">
              <w:rPr>
                <w:rFonts w:cstheme="minorHAnsi"/>
                <w:lang w:val="en-GB"/>
              </w:rPr>
              <w:t>34.6</w:t>
            </w:r>
          </w:p>
        </w:tc>
        <w:tc>
          <w:tcPr>
            <w:tcW w:w="0" w:type="auto"/>
            <w:shd w:val="clear" w:color="auto" w:fill="FBE4D5" w:themeFill="accent2" w:themeFillTint="33"/>
          </w:tcPr>
          <w:p w14:paraId="1C54324C" w14:textId="77777777" w:rsidR="002557B7" w:rsidRPr="00DB0C40" w:rsidRDefault="002557B7" w:rsidP="002557B7">
            <w:pPr>
              <w:jc w:val="both"/>
              <w:rPr>
                <w:rFonts w:cstheme="minorHAnsi"/>
                <w:lang w:val="en-GB"/>
              </w:rPr>
            </w:pPr>
            <w:r w:rsidRPr="00DB0C40">
              <w:rPr>
                <w:rFonts w:cstheme="minorHAnsi"/>
                <w:lang w:val="en-GB"/>
              </w:rPr>
              <w:t>33.2</w:t>
            </w:r>
          </w:p>
        </w:tc>
        <w:tc>
          <w:tcPr>
            <w:tcW w:w="0" w:type="auto"/>
            <w:shd w:val="clear" w:color="auto" w:fill="FBE4D5" w:themeFill="accent2" w:themeFillTint="33"/>
          </w:tcPr>
          <w:p w14:paraId="651A5803" w14:textId="77777777" w:rsidR="002557B7" w:rsidRPr="00DB0C40" w:rsidRDefault="002557B7" w:rsidP="002557B7">
            <w:pPr>
              <w:jc w:val="both"/>
              <w:rPr>
                <w:rFonts w:cstheme="minorHAnsi"/>
                <w:lang w:val="en-GB"/>
              </w:rPr>
            </w:pPr>
            <w:r w:rsidRPr="00DB0C40">
              <w:rPr>
                <w:rFonts w:cstheme="minorHAnsi"/>
                <w:lang w:val="en-GB"/>
              </w:rPr>
              <w:t>32.1</w:t>
            </w:r>
          </w:p>
        </w:tc>
        <w:tc>
          <w:tcPr>
            <w:tcW w:w="0" w:type="auto"/>
            <w:shd w:val="clear" w:color="auto" w:fill="FBE4D5" w:themeFill="accent2" w:themeFillTint="33"/>
          </w:tcPr>
          <w:p w14:paraId="3EAF5317" w14:textId="77777777" w:rsidR="002557B7" w:rsidRPr="00DB0C40" w:rsidRDefault="002557B7" w:rsidP="002557B7">
            <w:pPr>
              <w:jc w:val="both"/>
              <w:rPr>
                <w:rFonts w:cstheme="minorHAnsi"/>
                <w:lang w:val="en-GB"/>
              </w:rPr>
            </w:pPr>
            <w:r w:rsidRPr="00DB0C40">
              <w:rPr>
                <w:rFonts w:cstheme="minorHAnsi"/>
                <w:lang w:val="en-GB"/>
              </w:rPr>
              <w:t>32.1</w:t>
            </w:r>
          </w:p>
        </w:tc>
      </w:tr>
      <w:tr w:rsidR="002557B7" w:rsidRPr="00DB0C40" w14:paraId="1775419A" w14:textId="77777777" w:rsidTr="007A7E2D">
        <w:trPr>
          <w:jc w:val="center"/>
        </w:trPr>
        <w:tc>
          <w:tcPr>
            <w:tcW w:w="0" w:type="auto"/>
            <w:shd w:val="clear" w:color="auto" w:fill="B4C6E7" w:themeFill="accent1" w:themeFillTint="66"/>
          </w:tcPr>
          <w:p w14:paraId="70E38F13" w14:textId="77777777" w:rsidR="002557B7" w:rsidRPr="00DB0C40" w:rsidRDefault="002557B7" w:rsidP="002557B7">
            <w:pPr>
              <w:jc w:val="both"/>
              <w:rPr>
                <w:rFonts w:cstheme="minorHAnsi"/>
                <w:lang w:val="en-GB"/>
              </w:rPr>
            </w:pPr>
            <w:r w:rsidRPr="00DB0C40">
              <w:rPr>
                <w:rFonts w:cstheme="minorHAnsi"/>
                <w:lang w:val="en-GB"/>
              </w:rPr>
              <w:t>40-49</w:t>
            </w:r>
          </w:p>
        </w:tc>
        <w:tc>
          <w:tcPr>
            <w:tcW w:w="0" w:type="auto"/>
            <w:shd w:val="clear" w:color="auto" w:fill="FBE4D5" w:themeFill="accent2" w:themeFillTint="33"/>
          </w:tcPr>
          <w:p w14:paraId="64F4BA92" w14:textId="77777777" w:rsidR="002557B7" w:rsidRPr="00DB0C40" w:rsidRDefault="002557B7" w:rsidP="002557B7">
            <w:pPr>
              <w:jc w:val="both"/>
              <w:rPr>
                <w:rFonts w:cstheme="minorHAnsi"/>
                <w:lang w:val="en-GB"/>
              </w:rPr>
            </w:pPr>
            <w:r w:rsidRPr="00DB0C40">
              <w:rPr>
                <w:rFonts w:cstheme="minorHAnsi"/>
                <w:lang w:val="en-GB"/>
              </w:rPr>
              <w:t>20.4</w:t>
            </w:r>
          </w:p>
        </w:tc>
        <w:tc>
          <w:tcPr>
            <w:tcW w:w="0" w:type="auto"/>
            <w:shd w:val="clear" w:color="auto" w:fill="FBE4D5" w:themeFill="accent2" w:themeFillTint="33"/>
          </w:tcPr>
          <w:p w14:paraId="1BA657D2" w14:textId="77777777" w:rsidR="002557B7" w:rsidRPr="00DB0C40" w:rsidRDefault="002557B7" w:rsidP="002557B7">
            <w:pPr>
              <w:jc w:val="both"/>
              <w:rPr>
                <w:rFonts w:cstheme="minorHAnsi"/>
                <w:lang w:val="en-GB"/>
              </w:rPr>
            </w:pPr>
            <w:r w:rsidRPr="00DB0C40">
              <w:rPr>
                <w:rFonts w:cstheme="minorHAnsi"/>
                <w:lang w:val="en-GB"/>
              </w:rPr>
              <w:t>9.8</w:t>
            </w:r>
          </w:p>
        </w:tc>
        <w:tc>
          <w:tcPr>
            <w:tcW w:w="0" w:type="auto"/>
            <w:shd w:val="clear" w:color="auto" w:fill="FBE4D5" w:themeFill="accent2" w:themeFillTint="33"/>
          </w:tcPr>
          <w:p w14:paraId="5783D287" w14:textId="77777777" w:rsidR="002557B7" w:rsidRPr="00DB0C40" w:rsidRDefault="002557B7" w:rsidP="002557B7">
            <w:pPr>
              <w:jc w:val="both"/>
              <w:rPr>
                <w:rFonts w:cstheme="minorHAnsi"/>
                <w:lang w:val="en-GB"/>
              </w:rPr>
            </w:pPr>
            <w:r w:rsidRPr="00DB0C40">
              <w:rPr>
                <w:rFonts w:cstheme="minorHAnsi"/>
                <w:lang w:val="en-GB"/>
              </w:rPr>
              <w:t>24.6</w:t>
            </w:r>
          </w:p>
        </w:tc>
        <w:tc>
          <w:tcPr>
            <w:tcW w:w="0" w:type="auto"/>
            <w:shd w:val="clear" w:color="auto" w:fill="FBE4D5" w:themeFill="accent2" w:themeFillTint="33"/>
          </w:tcPr>
          <w:p w14:paraId="77306A91" w14:textId="77777777" w:rsidR="002557B7" w:rsidRPr="00DB0C40" w:rsidRDefault="002557B7" w:rsidP="002557B7">
            <w:pPr>
              <w:jc w:val="both"/>
              <w:rPr>
                <w:rFonts w:cstheme="minorHAnsi"/>
                <w:lang w:val="en-GB"/>
              </w:rPr>
            </w:pPr>
            <w:r w:rsidRPr="00DB0C40">
              <w:rPr>
                <w:rFonts w:cstheme="minorHAnsi"/>
                <w:lang w:val="en-GB"/>
              </w:rPr>
              <w:t>24.9</w:t>
            </w:r>
          </w:p>
        </w:tc>
      </w:tr>
      <w:tr w:rsidR="002557B7" w:rsidRPr="00DB0C40" w14:paraId="7F8999C2" w14:textId="77777777" w:rsidTr="007A7E2D">
        <w:trPr>
          <w:jc w:val="center"/>
        </w:trPr>
        <w:tc>
          <w:tcPr>
            <w:tcW w:w="0" w:type="auto"/>
            <w:shd w:val="clear" w:color="auto" w:fill="B4C6E7" w:themeFill="accent1" w:themeFillTint="66"/>
          </w:tcPr>
          <w:p w14:paraId="08626D6B" w14:textId="77777777" w:rsidR="002557B7" w:rsidRPr="00DB0C40" w:rsidRDefault="002557B7" w:rsidP="002557B7">
            <w:pPr>
              <w:jc w:val="both"/>
              <w:rPr>
                <w:rFonts w:cstheme="minorHAnsi"/>
                <w:lang w:val="en-GB"/>
              </w:rPr>
            </w:pPr>
            <w:r w:rsidRPr="00DB0C40">
              <w:rPr>
                <w:rFonts w:cstheme="minorHAnsi"/>
                <w:lang w:val="en-GB"/>
              </w:rPr>
              <w:t>50-59</w:t>
            </w:r>
          </w:p>
        </w:tc>
        <w:tc>
          <w:tcPr>
            <w:tcW w:w="0" w:type="auto"/>
            <w:shd w:val="clear" w:color="auto" w:fill="FBE4D5" w:themeFill="accent2" w:themeFillTint="33"/>
          </w:tcPr>
          <w:p w14:paraId="430C4563" w14:textId="77777777" w:rsidR="002557B7" w:rsidRPr="00DB0C40" w:rsidRDefault="002557B7" w:rsidP="002557B7">
            <w:pPr>
              <w:jc w:val="both"/>
              <w:rPr>
                <w:rFonts w:cstheme="minorHAnsi"/>
                <w:lang w:val="en-GB"/>
              </w:rPr>
            </w:pPr>
            <w:r w:rsidRPr="00DB0C40">
              <w:rPr>
                <w:rFonts w:cstheme="minorHAnsi"/>
                <w:lang w:val="en-GB"/>
              </w:rPr>
              <w:t>6.6</w:t>
            </w:r>
          </w:p>
        </w:tc>
        <w:tc>
          <w:tcPr>
            <w:tcW w:w="0" w:type="auto"/>
            <w:shd w:val="clear" w:color="auto" w:fill="FBE4D5" w:themeFill="accent2" w:themeFillTint="33"/>
          </w:tcPr>
          <w:p w14:paraId="48CEC48D" w14:textId="77777777" w:rsidR="002557B7" w:rsidRPr="00DB0C40" w:rsidRDefault="002557B7" w:rsidP="002557B7">
            <w:pPr>
              <w:jc w:val="both"/>
              <w:rPr>
                <w:rFonts w:cstheme="minorHAnsi"/>
                <w:lang w:val="en-GB"/>
              </w:rPr>
            </w:pPr>
            <w:r w:rsidRPr="00DB0C40">
              <w:rPr>
                <w:rFonts w:cstheme="minorHAnsi"/>
                <w:lang w:val="en-GB"/>
              </w:rPr>
              <w:t>1.8</w:t>
            </w:r>
          </w:p>
        </w:tc>
        <w:tc>
          <w:tcPr>
            <w:tcW w:w="0" w:type="auto"/>
            <w:shd w:val="clear" w:color="auto" w:fill="FBE4D5" w:themeFill="accent2" w:themeFillTint="33"/>
          </w:tcPr>
          <w:p w14:paraId="3F572A0B" w14:textId="77777777" w:rsidR="002557B7" w:rsidRPr="00DB0C40" w:rsidRDefault="002557B7" w:rsidP="002557B7">
            <w:pPr>
              <w:jc w:val="both"/>
              <w:rPr>
                <w:rFonts w:cstheme="minorHAnsi"/>
                <w:lang w:val="en-GB"/>
              </w:rPr>
            </w:pPr>
            <w:r w:rsidRPr="00DB0C40">
              <w:rPr>
                <w:rFonts w:cstheme="minorHAnsi"/>
                <w:lang w:val="en-GB"/>
              </w:rPr>
              <w:t>7.9</w:t>
            </w:r>
          </w:p>
        </w:tc>
        <w:tc>
          <w:tcPr>
            <w:tcW w:w="0" w:type="auto"/>
            <w:shd w:val="clear" w:color="auto" w:fill="FBE4D5" w:themeFill="accent2" w:themeFillTint="33"/>
          </w:tcPr>
          <w:p w14:paraId="0DF4B327" w14:textId="77777777" w:rsidR="002557B7" w:rsidRPr="00DB0C40" w:rsidRDefault="002557B7" w:rsidP="002557B7">
            <w:pPr>
              <w:jc w:val="both"/>
              <w:rPr>
                <w:rFonts w:cstheme="minorHAnsi"/>
                <w:lang w:val="en-GB"/>
              </w:rPr>
            </w:pPr>
            <w:r w:rsidRPr="00DB0C40">
              <w:rPr>
                <w:rFonts w:cstheme="minorHAnsi"/>
                <w:lang w:val="en-GB"/>
              </w:rPr>
              <w:t>11.4</w:t>
            </w:r>
          </w:p>
        </w:tc>
      </w:tr>
      <w:tr w:rsidR="002557B7" w:rsidRPr="00DB0C40" w14:paraId="46759067" w14:textId="77777777" w:rsidTr="007A7E2D">
        <w:trPr>
          <w:jc w:val="center"/>
        </w:trPr>
        <w:tc>
          <w:tcPr>
            <w:tcW w:w="0" w:type="auto"/>
            <w:shd w:val="clear" w:color="auto" w:fill="B4C6E7" w:themeFill="accent1" w:themeFillTint="66"/>
          </w:tcPr>
          <w:p w14:paraId="5CDCA953" w14:textId="77777777" w:rsidR="002557B7" w:rsidRPr="00DB0C40" w:rsidRDefault="002557B7" w:rsidP="002557B7">
            <w:pPr>
              <w:jc w:val="both"/>
              <w:rPr>
                <w:rFonts w:cstheme="minorHAnsi"/>
                <w:lang w:val="en-GB"/>
              </w:rPr>
            </w:pPr>
            <w:r w:rsidRPr="00DB0C40">
              <w:rPr>
                <w:rFonts w:cstheme="minorHAnsi"/>
                <w:lang w:val="en-GB"/>
              </w:rPr>
              <w:t>&gt;60</w:t>
            </w:r>
          </w:p>
        </w:tc>
        <w:tc>
          <w:tcPr>
            <w:tcW w:w="0" w:type="auto"/>
            <w:shd w:val="clear" w:color="auto" w:fill="FBE4D5" w:themeFill="accent2" w:themeFillTint="33"/>
          </w:tcPr>
          <w:p w14:paraId="1858CD1E" w14:textId="77777777" w:rsidR="002557B7" w:rsidRPr="00DB0C40" w:rsidRDefault="002557B7" w:rsidP="002557B7">
            <w:pPr>
              <w:jc w:val="both"/>
              <w:rPr>
                <w:rFonts w:cstheme="minorHAnsi"/>
                <w:lang w:val="en-GB"/>
              </w:rPr>
            </w:pPr>
            <w:r w:rsidRPr="00DB0C40">
              <w:rPr>
                <w:rFonts w:cstheme="minorHAnsi"/>
                <w:lang w:val="en-GB"/>
              </w:rPr>
              <w:t>1.7</w:t>
            </w:r>
          </w:p>
        </w:tc>
        <w:tc>
          <w:tcPr>
            <w:tcW w:w="0" w:type="auto"/>
            <w:shd w:val="clear" w:color="auto" w:fill="FBE4D5" w:themeFill="accent2" w:themeFillTint="33"/>
          </w:tcPr>
          <w:p w14:paraId="21C1A3F5" w14:textId="77777777" w:rsidR="002557B7" w:rsidRPr="00DB0C40" w:rsidRDefault="002557B7" w:rsidP="002557B7">
            <w:pPr>
              <w:jc w:val="both"/>
              <w:rPr>
                <w:rFonts w:cstheme="minorHAnsi"/>
                <w:lang w:val="en-GB"/>
              </w:rPr>
            </w:pPr>
            <w:r w:rsidRPr="00DB0C40">
              <w:rPr>
                <w:rFonts w:cstheme="minorHAnsi"/>
                <w:lang w:val="en-GB"/>
              </w:rPr>
              <w:t>1.8</w:t>
            </w:r>
          </w:p>
        </w:tc>
        <w:tc>
          <w:tcPr>
            <w:tcW w:w="0" w:type="auto"/>
            <w:shd w:val="clear" w:color="auto" w:fill="FBE4D5" w:themeFill="accent2" w:themeFillTint="33"/>
          </w:tcPr>
          <w:p w14:paraId="1CBBC05A" w14:textId="77777777" w:rsidR="002557B7" w:rsidRPr="00DB0C40" w:rsidRDefault="002557B7" w:rsidP="002557B7">
            <w:pPr>
              <w:jc w:val="both"/>
              <w:rPr>
                <w:rFonts w:cstheme="minorHAnsi"/>
                <w:lang w:val="en-GB"/>
              </w:rPr>
            </w:pPr>
            <w:r w:rsidRPr="00DB0C40">
              <w:rPr>
                <w:rFonts w:cstheme="minorHAnsi"/>
                <w:lang w:val="en-GB"/>
              </w:rPr>
              <w:t>2.1</w:t>
            </w:r>
          </w:p>
        </w:tc>
        <w:tc>
          <w:tcPr>
            <w:tcW w:w="0" w:type="auto"/>
            <w:shd w:val="clear" w:color="auto" w:fill="FBE4D5" w:themeFill="accent2" w:themeFillTint="33"/>
          </w:tcPr>
          <w:p w14:paraId="69CF0812" w14:textId="77777777" w:rsidR="002557B7" w:rsidRPr="00DB0C40" w:rsidRDefault="002557B7" w:rsidP="002557B7">
            <w:pPr>
              <w:jc w:val="both"/>
              <w:rPr>
                <w:rFonts w:cstheme="minorHAnsi"/>
                <w:lang w:val="en-GB"/>
              </w:rPr>
            </w:pPr>
            <w:r w:rsidRPr="00DB0C40">
              <w:rPr>
                <w:rFonts w:cstheme="minorHAnsi"/>
                <w:lang w:val="en-GB"/>
              </w:rPr>
              <w:t>2.4</w:t>
            </w:r>
          </w:p>
        </w:tc>
      </w:tr>
    </w:tbl>
    <w:p w14:paraId="27318E8B" w14:textId="77777777" w:rsidR="002557B7" w:rsidRPr="00DB0C40" w:rsidRDefault="002557B7" w:rsidP="002557B7">
      <w:pPr>
        <w:spacing w:after="160" w:line="259" w:lineRule="auto"/>
        <w:jc w:val="both"/>
        <w:rPr>
          <w:rFonts w:asciiTheme="minorHAnsi" w:eastAsiaTheme="minorHAnsi" w:hAnsiTheme="minorHAnsi" w:cstheme="minorHAnsi"/>
          <w:sz w:val="22"/>
          <w:szCs w:val="22"/>
        </w:rPr>
      </w:pPr>
    </w:p>
    <w:p w14:paraId="33363D25" w14:textId="2D9A9E09" w:rsidR="002557B7" w:rsidRPr="00DB0C40" w:rsidRDefault="002557B7" w:rsidP="002557B7">
      <w:pPr>
        <w:spacing w:after="160" w:line="259" w:lineRule="auto"/>
        <w:jc w:val="center"/>
        <w:rPr>
          <w:rFonts w:asciiTheme="minorHAnsi" w:eastAsiaTheme="minorHAnsi" w:hAnsiTheme="minorHAnsi" w:cstheme="minorHAnsi"/>
          <w:sz w:val="18"/>
          <w:szCs w:val="18"/>
        </w:rPr>
      </w:pPr>
      <w:r w:rsidRPr="00DB0C40">
        <w:rPr>
          <w:rFonts w:asciiTheme="minorHAnsi" w:eastAsiaTheme="minorHAnsi" w:hAnsiTheme="minorHAnsi" w:cstheme="minorHAnsi"/>
          <w:sz w:val="18"/>
          <w:szCs w:val="18"/>
        </w:rPr>
        <w:t xml:space="preserve">Source: ILO, 2020 - </w:t>
      </w:r>
      <w:r w:rsidR="00A45334">
        <w:rPr>
          <w:rFonts w:asciiTheme="minorHAnsi" w:eastAsiaTheme="minorHAnsi" w:hAnsiTheme="minorHAnsi" w:cstheme="minorHAnsi"/>
          <w:sz w:val="18"/>
          <w:szCs w:val="18"/>
        </w:rPr>
        <w:t>T</w:t>
      </w:r>
      <w:r w:rsidR="00C2410D">
        <w:rPr>
          <w:rFonts w:asciiTheme="minorHAnsi" w:eastAsiaTheme="minorHAnsi" w:hAnsiTheme="minorHAnsi" w:cstheme="minorHAnsi"/>
          <w:sz w:val="18"/>
          <w:szCs w:val="18"/>
        </w:rPr>
        <w:t>urkStat</w:t>
      </w:r>
      <w:r w:rsidRPr="00DB0C40">
        <w:rPr>
          <w:rFonts w:asciiTheme="minorHAnsi" w:eastAsiaTheme="minorHAnsi" w:hAnsiTheme="minorHAnsi" w:cstheme="minorHAnsi"/>
          <w:sz w:val="18"/>
          <w:szCs w:val="18"/>
        </w:rPr>
        <w:t>, Income and Living Conditions Survey (2015-2018).</w:t>
      </w:r>
    </w:p>
    <w:p w14:paraId="42D47554" w14:textId="77777777" w:rsidR="002557B7" w:rsidRPr="00DB0C40" w:rsidRDefault="002557B7" w:rsidP="002557B7">
      <w:pPr>
        <w:spacing w:after="160" w:line="259" w:lineRule="auto"/>
        <w:jc w:val="both"/>
        <w:rPr>
          <w:rFonts w:asciiTheme="minorHAnsi" w:eastAsiaTheme="minorHAnsi" w:hAnsiTheme="minorHAnsi" w:cstheme="minorHAnsi"/>
          <w:sz w:val="22"/>
          <w:szCs w:val="22"/>
        </w:rPr>
      </w:pPr>
      <w:r w:rsidRPr="00DB0C40">
        <w:rPr>
          <w:rFonts w:asciiTheme="minorHAnsi" w:eastAsiaTheme="minorHAnsi" w:hAnsiTheme="minorHAnsi" w:cstheme="minorHAnsi"/>
          <w:sz w:val="22"/>
          <w:szCs w:val="22"/>
        </w:rPr>
        <w:lastRenderedPageBreak/>
        <w:t>In 2018 the gender pay gap in Türkiye was 12.9% (the world average was 21.4%), but motherhood increased the gender pay gap</w:t>
      </w:r>
      <w:r w:rsidRPr="00DB0C40">
        <w:rPr>
          <w:rFonts w:asciiTheme="minorHAnsi" w:eastAsiaTheme="minorHAnsi" w:hAnsiTheme="minorHAnsi" w:cstheme="minorHAnsi"/>
          <w:sz w:val="22"/>
          <w:szCs w:val="22"/>
          <w:vertAlign w:val="superscript"/>
        </w:rPr>
        <w:footnoteReference w:id="40"/>
      </w:r>
      <w:r w:rsidRPr="00DB0C40">
        <w:rPr>
          <w:rFonts w:asciiTheme="minorHAnsi" w:eastAsiaTheme="minorHAnsi" w:hAnsiTheme="minorHAnsi" w:cstheme="minorHAnsi"/>
          <w:sz w:val="22"/>
          <w:szCs w:val="22"/>
        </w:rPr>
        <w:t xml:space="preserve"> to 29.6%. </w:t>
      </w:r>
      <w:r w:rsidRPr="00DB0C40">
        <w:rPr>
          <w:rFonts w:asciiTheme="minorHAnsi" w:eastAsiaTheme="minorHAnsi" w:hAnsiTheme="minorHAnsi" w:cstheme="minorHAnsi"/>
          <w:sz w:val="22"/>
          <w:szCs w:val="22"/>
          <w:vertAlign w:val="superscript"/>
        </w:rPr>
        <w:footnoteReference w:id="41"/>
      </w:r>
    </w:p>
    <w:p w14:paraId="6BA5FCE4" w14:textId="77777777" w:rsidR="002557B7" w:rsidRPr="00DB0C40" w:rsidRDefault="002557B7" w:rsidP="002557B7">
      <w:pPr>
        <w:spacing w:after="160" w:line="259" w:lineRule="auto"/>
        <w:jc w:val="both"/>
        <w:rPr>
          <w:rFonts w:asciiTheme="minorHAnsi" w:eastAsiaTheme="minorHAnsi" w:hAnsiTheme="minorHAnsi" w:cstheme="minorHAnsi"/>
          <w:sz w:val="22"/>
          <w:szCs w:val="22"/>
        </w:rPr>
      </w:pPr>
      <w:r w:rsidRPr="00DB0C40">
        <w:rPr>
          <w:rFonts w:asciiTheme="minorHAnsi" w:eastAsiaTheme="minorHAnsi" w:hAnsiTheme="minorHAnsi" w:cstheme="minorHAnsi"/>
          <w:sz w:val="22"/>
          <w:szCs w:val="22"/>
        </w:rPr>
        <w:t xml:space="preserve">According to ILO, the main findings on the Gender Pay Gap in Türkiye, based on factor-weighted methods, are: </w:t>
      </w:r>
    </w:p>
    <w:p w14:paraId="59E3ADD0" w14:textId="77777777" w:rsidR="002557B7" w:rsidRPr="00DB0C40" w:rsidRDefault="002557B7">
      <w:pPr>
        <w:numPr>
          <w:ilvl w:val="0"/>
          <w:numId w:val="29"/>
        </w:numPr>
        <w:spacing w:after="160" w:line="259" w:lineRule="auto"/>
        <w:contextualSpacing/>
        <w:jc w:val="both"/>
        <w:rPr>
          <w:rFonts w:asciiTheme="minorHAnsi" w:eastAsiaTheme="minorHAnsi" w:hAnsiTheme="minorHAnsi" w:cstheme="minorHAnsi"/>
          <w:sz w:val="22"/>
          <w:szCs w:val="22"/>
        </w:rPr>
      </w:pPr>
      <w:r w:rsidRPr="00DB0C40">
        <w:rPr>
          <w:rFonts w:asciiTheme="minorHAnsi" w:eastAsiaTheme="minorHAnsi" w:hAnsiTheme="minorHAnsi" w:cstheme="minorHAnsi"/>
          <w:sz w:val="22"/>
          <w:szCs w:val="22"/>
        </w:rPr>
        <w:t xml:space="preserve">Women in paid employment are better educated than men; </w:t>
      </w:r>
    </w:p>
    <w:p w14:paraId="0E8FEF7D" w14:textId="77777777" w:rsidR="002557B7" w:rsidRPr="00DB0C40" w:rsidRDefault="002557B7">
      <w:pPr>
        <w:numPr>
          <w:ilvl w:val="0"/>
          <w:numId w:val="29"/>
        </w:numPr>
        <w:spacing w:after="160" w:line="259" w:lineRule="auto"/>
        <w:contextualSpacing/>
        <w:jc w:val="both"/>
        <w:rPr>
          <w:rFonts w:asciiTheme="minorHAnsi" w:eastAsiaTheme="minorHAnsi" w:hAnsiTheme="minorHAnsi" w:cstheme="minorHAnsi"/>
          <w:sz w:val="22"/>
          <w:szCs w:val="22"/>
        </w:rPr>
      </w:pPr>
      <w:r w:rsidRPr="00DB0C40">
        <w:rPr>
          <w:rFonts w:asciiTheme="minorHAnsi" w:eastAsiaTheme="minorHAnsi" w:hAnsiTheme="minorHAnsi" w:cstheme="minorHAnsi"/>
          <w:sz w:val="22"/>
          <w:szCs w:val="22"/>
        </w:rPr>
        <w:t xml:space="preserve">Public sector employment rate of women is higher than for men; </w:t>
      </w:r>
    </w:p>
    <w:p w14:paraId="42E3499B" w14:textId="77777777" w:rsidR="002557B7" w:rsidRPr="00DB0C40" w:rsidRDefault="002557B7">
      <w:pPr>
        <w:numPr>
          <w:ilvl w:val="0"/>
          <w:numId w:val="29"/>
        </w:numPr>
        <w:spacing w:after="160" w:line="259" w:lineRule="auto"/>
        <w:contextualSpacing/>
        <w:jc w:val="both"/>
        <w:rPr>
          <w:rFonts w:asciiTheme="minorHAnsi" w:eastAsiaTheme="minorHAnsi" w:hAnsiTheme="minorHAnsi" w:cstheme="minorHAnsi"/>
          <w:sz w:val="22"/>
          <w:szCs w:val="22"/>
        </w:rPr>
      </w:pPr>
      <w:r w:rsidRPr="00DB0C40">
        <w:rPr>
          <w:rFonts w:asciiTheme="minorHAnsi" w:eastAsiaTheme="minorHAnsi" w:hAnsiTheme="minorHAnsi" w:cstheme="minorHAnsi"/>
          <w:sz w:val="22"/>
          <w:szCs w:val="22"/>
        </w:rPr>
        <w:t>When the density of these two groups is decreased, the pay gap is higher.</w:t>
      </w:r>
    </w:p>
    <w:p w14:paraId="248B85D1" w14:textId="77777777" w:rsidR="002557B7" w:rsidRPr="00DB0C40" w:rsidRDefault="002557B7" w:rsidP="002557B7">
      <w:pPr>
        <w:spacing w:after="160" w:line="259" w:lineRule="auto"/>
        <w:jc w:val="both"/>
        <w:rPr>
          <w:rFonts w:asciiTheme="minorHAnsi" w:eastAsiaTheme="minorHAnsi" w:hAnsiTheme="minorHAnsi" w:cstheme="minorHAnsi"/>
          <w:sz w:val="22"/>
          <w:szCs w:val="22"/>
        </w:rPr>
      </w:pPr>
    </w:p>
    <w:p w14:paraId="6B6FA640" w14:textId="2132BA94" w:rsidR="00AE67F2" w:rsidRPr="00853140" w:rsidRDefault="002557B7" w:rsidP="002557B7">
      <w:pPr>
        <w:numPr>
          <w:ilvl w:val="2"/>
          <w:numId w:val="46"/>
        </w:numPr>
        <w:spacing w:after="160" w:line="259" w:lineRule="auto"/>
        <w:contextualSpacing/>
        <w:jc w:val="both"/>
        <w:rPr>
          <w:rFonts w:asciiTheme="majorHAnsi" w:eastAsiaTheme="majorEastAsia" w:hAnsiTheme="majorHAnsi" w:cstheme="majorBidi"/>
          <w:color w:val="1F3763" w:themeColor="accent1" w:themeShade="7F"/>
        </w:rPr>
      </w:pPr>
      <w:bookmarkStart w:id="112" w:name="_Hlk107138781"/>
      <w:r w:rsidRPr="00CD2A61">
        <w:rPr>
          <w:rFonts w:asciiTheme="majorHAnsi" w:eastAsiaTheme="majorEastAsia" w:hAnsiTheme="majorHAnsi" w:cstheme="majorBidi"/>
          <w:color w:val="1F3763" w:themeColor="accent1" w:themeShade="7F"/>
        </w:rPr>
        <w:t xml:space="preserve">Educational Attainment and The Gender Wage Gap </w:t>
      </w:r>
      <w:bookmarkEnd w:id="112"/>
    </w:p>
    <w:p w14:paraId="6FE8F0B3" w14:textId="77777777" w:rsidR="00853140" w:rsidRDefault="00853140" w:rsidP="002557B7">
      <w:pPr>
        <w:spacing w:after="160" w:line="259" w:lineRule="auto"/>
        <w:jc w:val="both"/>
        <w:rPr>
          <w:rFonts w:asciiTheme="minorHAnsi" w:eastAsiaTheme="minorHAnsi" w:hAnsiTheme="minorHAnsi" w:cstheme="minorHAnsi"/>
          <w:sz w:val="22"/>
          <w:szCs w:val="22"/>
        </w:rPr>
      </w:pPr>
    </w:p>
    <w:p w14:paraId="75E421EA" w14:textId="322C7DF5" w:rsidR="002557B7" w:rsidRPr="00DB0C40" w:rsidRDefault="002557B7" w:rsidP="002557B7">
      <w:pPr>
        <w:spacing w:after="160" w:line="259" w:lineRule="auto"/>
        <w:jc w:val="both"/>
        <w:rPr>
          <w:rFonts w:asciiTheme="minorHAnsi" w:eastAsiaTheme="minorHAnsi" w:hAnsiTheme="minorHAnsi" w:cstheme="minorHAnsi"/>
          <w:sz w:val="22"/>
          <w:szCs w:val="22"/>
        </w:rPr>
      </w:pPr>
      <w:r w:rsidRPr="00DB0C40">
        <w:rPr>
          <w:rFonts w:asciiTheme="minorHAnsi" w:eastAsiaTheme="minorHAnsi" w:hAnsiTheme="minorHAnsi" w:cstheme="minorHAnsi"/>
          <w:sz w:val="22"/>
          <w:szCs w:val="22"/>
        </w:rPr>
        <w:t>Looking at the gender wage gap by education, the highest gender wage gap is recorded for the employees with elementary level or less years of education whereas the lowest is observed among their counterparts with a tertiary degree and higher. From 2015 to 2018, the gender wage gap among high school and primary/ middle school graduates decreases whereas it expands by nearly 2.5 percentage points at both ends i.e., the lowest and highest educational attainment.</w:t>
      </w:r>
    </w:p>
    <w:p w14:paraId="4BF61507" w14:textId="77777777" w:rsidR="002557B7" w:rsidRPr="00DB0C40" w:rsidRDefault="002557B7" w:rsidP="002557B7">
      <w:pPr>
        <w:spacing w:after="160" w:line="259" w:lineRule="auto"/>
        <w:jc w:val="both"/>
        <w:rPr>
          <w:rFonts w:asciiTheme="minorHAnsi" w:eastAsiaTheme="minorHAnsi" w:hAnsiTheme="minorHAnsi" w:cstheme="minorHAnsi"/>
          <w:sz w:val="22"/>
          <w:szCs w:val="22"/>
        </w:rPr>
      </w:pPr>
      <w:r w:rsidRPr="00DB0C40">
        <w:rPr>
          <w:rFonts w:asciiTheme="minorHAnsi" w:eastAsiaTheme="minorHAnsi" w:hAnsiTheme="minorHAnsi" w:cstheme="minorHAnsi"/>
          <w:sz w:val="22"/>
          <w:szCs w:val="22"/>
        </w:rPr>
        <w:t>Sectors and The Gender wage gap on the one hand, calculations by economic activity showcase gender wage gaps far lower than the overall one (14.6%) in male dominated sectors such as the construction sector. On the other hand, in female dominated sectors, such as education (with women’s employment share at 57%), or healthcare and social services (women’s share is 70%), the gender wage gap is higher than the average.</w:t>
      </w:r>
    </w:p>
    <w:p w14:paraId="3A9193AC" w14:textId="77777777" w:rsidR="002557B7" w:rsidRPr="00DB0C40" w:rsidRDefault="002557B7" w:rsidP="002557B7">
      <w:pPr>
        <w:spacing w:after="160" w:line="259" w:lineRule="auto"/>
        <w:jc w:val="both"/>
        <w:rPr>
          <w:rFonts w:asciiTheme="minorHAnsi" w:eastAsiaTheme="minorHAnsi" w:hAnsiTheme="minorHAnsi" w:cstheme="minorHAnsi"/>
          <w:sz w:val="22"/>
          <w:szCs w:val="22"/>
        </w:rPr>
      </w:pPr>
      <w:r w:rsidRPr="00DB0C40">
        <w:rPr>
          <w:rFonts w:asciiTheme="minorHAnsi" w:eastAsiaTheme="minorHAnsi" w:hAnsiTheme="minorHAnsi" w:cstheme="minorHAnsi"/>
          <w:sz w:val="22"/>
          <w:szCs w:val="22"/>
        </w:rPr>
        <w:t>Even when the legislation complies with ILO and EU standards, and in particular some Conventions as 100 and 111, but the gap between the de jure and the de facto situation of women is persistent. The promotion of other international labour standards, such as those concerning maternity protection, workers with family responsibilities, safety and health, part-time workers and homeworkers, and the organisation of rural workers has been used by women, both inside and outside the labour market, are still needed to gain visibility and produce changes.</w:t>
      </w:r>
    </w:p>
    <w:p w14:paraId="7DDAF70F" w14:textId="77777777" w:rsidR="002557B7" w:rsidRPr="00CD2A61" w:rsidRDefault="002557B7">
      <w:pPr>
        <w:numPr>
          <w:ilvl w:val="2"/>
          <w:numId w:val="46"/>
        </w:numPr>
        <w:spacing w:after="160" w:line="259" w:lineRule="auto"/>
        <w:contextualSpacing/>
        <w:jc w:val="both"/>
        <w:rPr>
          <w:rFonts w:asciiTheme="majorHAnsi" w:eastAsiaTheme="majorEastAsia" w:hAnsiTheme="majorHAnsi" w:cstheme="majorBidi"/>
          <w:color w:val="1F3763" w:themeColor="accent1" w:themeShade="7F"/>
        </w:rPr>
      </w:pPr>
      <w:bookmarkStart w:id="113" w:name="_Toc92359096"/>
      <w:bookmarkStart w:id="114" w:name="_Hlk107138796"/>
      <w:r w:rsidRPr="00CD2A61">
        <w:rPr>
          <w:rFonts w:asciiTheme="majorHAnsi" w:eastAsiaTheme="majorEastAsia" w:hAnsiTheme="majorHAnsi" w:cstheme="majorBidi"/>
          <w:color w:val="1F3763" w:themeColor="accent1" w:themeShade="7F"/>
        </w:rPr>
        <w:t xml:space="preserve">Perspectives </w:t>
      </w:r>
      <w:bookmarkStart w:id="115" w:name="_Hlk106961506"/>
      <w:r w:rsidRPr="00CD2A61">
        <w:rPr>
          <w:rFonts w:asciiTheme="majorHAnsi" w:eastAsiaTheme="majorEastAsia" w:hAnsiTheme="majorHAnsi" w:cstheme="majorBidi"/>
          <w:color w:val="1F3763" w:themeColor="accent1" w:themeShade="7F"/>
        </w:rPr>
        <w:t>on working life</w:t>
      </w:r>
      <w:bookmarkEnd w:id="113"/>
      <w:bookmarkEnd w:id="115"/>
    </w:p>
    <w:bookmarkEnd w:id="114"/>
    <w:p w14:paraId="544508E3" w14:textId="77777777" w:rsidR="002557B7" w:rsidRPr="00DB0C40" w:rsidRDefault="002557B7" w:rsidP="002557B7">
      <w:pPr>
        <w:shd w:val="clear" w:color="auto" w:fill="FFFFFF"/>
        <w:jc w:val="both"/>
        <w:rPr>
          <w:rFonts w:asciiTheme="minorHAnsi" w:eastAsia="Times New Roman" w:hAnsiTheme="minorHAnsi" w:cstheme="minorHAnsi"/>
          <w:sz w:val="22"/>
          <w:szCs w:val="22"/>
        </w:rPr>
      </w:pPr>
    </w:p>
    <w:p w14:paraId="7772D1D7" w14:textId="77777777" w:rsidR="002557B7" w:rsidRPr="00DB0C40" w:rsidRDefault="002557B7" w:rsidP="002557B7">
      <w:pPr>
        <w:shd w:val="clear" w:color="auto" w:fill="FFFFFF"/>
        <w:spacing w:line="276" w:lineRule="auto"/>
        <w:jc w:val="both"/>
        <w:rPr>
          <w:rFonts w:asciiTheme="minorHAnsi" w:eastAsia="Times New Roman" w:hAnsiTheme="minorHAnsi" w:cstheme="minorHAnsi"/>
          <w:sz w:val="22"/>
          <w:szCs w:val="22"/>
        </w:rPr>
      </w:pPr>
      <w:r w:rsidRPr="00DB0C40">
        <w:rPr>
          <w:rFonts w:asciiTheme="minorHAnsi" w:eastAsia="Times New Roman" w:hAnsiTheme="minorHAnsi" w:cstheme="minorHAnsi"/>
          <w:sz w:val="22"/>
          <w:szCs w:val="22"/>
        </w:rPr>
        <w:t>The duration of working life is defined as the number of years that a person is expected to be active in the labour market throughout his/her life. According to the results of the household labour force survey; while the duration of working life of the ones aged 15 and over was 16.7 years for females and 37.7 years for males in 2013, it was 19.1 years for females and 39.0 years for males in 2019.</w:t>
      </w:r>
      <w:r w:rsidRPr="00DB0C40">
        <w:rPr>
          <w:rFonts w:asciiTheme="minorHAnsi" w:eastAsia="Times New Roman" w:hAnsiTheme="minorHAnsi" w:cstheme="minorHAnsi"/>
          <w:sz w:val="22"/>
          <w:szCs w:val="22"/>
          <w:vertAlign w:val="superscript"/>
        </w:rPr>
        <w:footnoteReference w:id="42"/>
      </w:r>
    </w:p>
    <w:p w14:paraId="0AE91C18" w14:textId="47D878B0" w:rsidR="00517B7E" w:rsidRPr="00DB0C40" w:rsidRDefault="002557B7" w:rsidP="002557B7">
      <w:pPr>
        <w:rPr>
          <w:rFonts w:asciiTheme="minorHAnsi" w:eastAsia="Times New Roman" w:hAnsiTheme="minorHAnsi" w:cstheme="minorHAnsi"/>
          <w:sz w:val="22"/>
          <w:szCs w:val="22"/>
          <w:shd w:val="clear" w:color="auto" w:fill="FFFFFF"/>
        </w:rPr>
      </w:pPr>
      <w:r w:rsidRPr="00DB0C40">
        <w:rPr>
          <w:rFonts w:asciiTheme="minorHAnsi" w:eastAsia="Times New Roman" w:hAnsiTheme="minorHAnsi" w:cstheme="minorHAnsi"/>
          <w:sz w:val="22"/>
          <w:szCs w:val="22"/>
          <w:shd w:val="clear" w:color="auto" w:fill="FFFFFF"/>
        </w:rPr>
        <w:t> </w:t>
      </w:r>
    </w:p>
    <w:p w14:paraId="569AD346" w14:textId="77777777" w:rsidR="00517B7E" w:rsidRPr="00DB0C40" w:rsidRDefault="00517B7E">
      <w:pPr>
        <w:rPr>
          <w:rFonts w:asciiTheme="minorHAnsi" w:eastAsia="Times New Roman" w:hAnsiTheme="minorHAnsi" w:cstheme="minorHAnsi"/>
          <w:sz w:val="22"/>
          <w:szCs w:val="22"/>
          <w:shd w:val="clear" w:color="auto" w:fill="FFFFFF"/>
        </w:rPr>
      </w:pPr>
      <w:r w:rsidRPr="00DB0C40">
        <w:rPr>
          <w:rFonts w:asciiTheme="minorHAnsi" w:eastAsia="Times New Roman" w:hAnsiTheme="minorHAnsi" w:cstheme="minorHAnsi"/>
          <w:sz w:val="22"/>
          <w:szCs w:val="22"/>
          <w:shd w:val="clear" w:color="auto" w:fill="FFFFFF"/>
        </w:rPr>
        <w:br w:type="page"/>
      </w:r>
    </w:p>
    <w:p w14:paraId="56DBC319" w14:textId="77777777" w:rsidR="002557B7" w:rsidRPr="00DB0C40" w:rsidRDefault="002557B7" w:rsidP="002557B7">
      <w:pPr>
        <w:rPr>
          <w:rFonts w:asciiTheme="minorHAnsi" w:eastAsia="Times New Roman" w:hAnsiTheme="minorHAnsi" w:cstheme="minorHAnsi"/>
          <w:sz w:val="22"/>
          <w:szCs w:val="22"/>
        </w:rPr>
      </w:pPr>
    </w:p>
    <w:p w14:paraId="2BE78948" w14:textId="5CF57A91" w:rsidR="002557B7" w:rsidRPr="00DB0C40" w:rsidRDefault="002557B7" w:rsidP="002557B7">
      <w:pPr>
        <w:shd w:val="clear" w:color="auto" w:fill="FFFFFF"/>
        <w:ind w:left="720"/>
        <w:contextualSpacing/>
        <w:jc w:val="center"/>
        <w:rPr>
          <w:rFonts w:asciiTheme="minorHAnsi" w:eastAsia="Times New Roman" w:hAnsiTheme="minorHAnsi" w:cstheme="minorHAnsi"/>
          <w:b/>
          <w:bCs/>
          <w:sz w:val="22"/>
          <w:szCs w:val="22"/>
        </w:rPr>
      </w:pPr>
      <w:bookmarkStart w:id="116" w:name="_Hlk107138850"/>
      <w:r w:rsidRPr="00DB0C40">
        <w:rPr>
          <w:rFonts w:asciiTheme="minorHAnsi" w:eastAsia="Times New Roman" w:hAnsiTheme="minorHAnsi" w:cstheme="minorHAnsi"/>
          <w:b/>
          <w:bCs/>
          <w:sz w:val="22"/>
          <w:szCs w:val="22"/>
        </w:rPr>
        <w:t>Figure</w:t>
      </w:r>
      <w:r w:rsidR="00517B7E" w:rsidRPr="00DB0C40">
        <w:rPr>
          <w:rFonts w:asciiTheme="minorHAnsi" w:eastAsia="Times New Roman" w:hAnsiTheme="minorHAnsi" w:cstheme="minorHAnsi"/>
          <w:b/>
          <w:bCs/>
          <w:sz w:val="22"/>
          <w:szCs w:val="22"/>
        </w:rPr>
        <w:t xml:space="preserve"> 17. </w:t>
      </w:r>
      <w:r w:rsidRPr="00DB0C40">
        <w:rPr>
          <w:rFonts w:asciiTheme="minorHAnsi" w:eastAsia="Times New Roman" w:hAnsiTheme="minorHAnsi" w:cstheme="minorHAnsi"/>
          <w:b/>
          <w:bCs/>
          <w:sz w:val="22"/>
          <w:szCs w:val="22"/>
        </w:rPr>
        <w:t>Duration of working life</w:t>
      </w:r>
      <w:r w:rsidR="00517B7E" w:rsidRPr="00DB0C40">
        <w:rPr>
          <w:rFonts w:asciiTheme="minorHAnsi" w:eastAsiaTheme="minorHAnsi" w:hAnsiTheme="minorHAnsi" w:cstheme="minorBidi"/>
          <w:b/>
          <w:bCs/>
          <w:sz w:val="22"/>
          <w:szCs w:val="22"/>
        </w:rPr>
        <w:t xml:space="preserve"> </w:t>
      </w:r>
      <w:r w:rsidR="00517B7E" w:rsidRPr="00DB0C40">
        <w:rPr>
          <w:rFonts w:asciiTheme="minorHAnsi" w:eastAsia="Times New Roman" w:hAnsiTheme="minorHAnsi" w:cstheme="minorHAnsi"/>
          <w:b/>
          <w:bCs/>
          <w:sz w:val="22"/>
          <w:szCs w:val="22"/>
        </w:rPr>
        <w:t>in Türkiye</w:t>
      </w:r>
      <w:r w:rsidRPr="00DB0C40">
        <w:rPr>
          <w:rFonts w:asciiTheme="minorHAnsi" w:eastAsia="Times New Roman" w:hAnsiTheme="minorHAnsi" w:cstheme="minorHAnsi"/>
          <w:b/>
          <w:bCs/>
          <w:sz w:val="22"/>
          <w:szCs w:val="22"/>
        </w:rPr>
        <w:t>, 2013-2019</w:t>
      </w:r>
    </w:p>
    <w:bookmarkEnd w:id="116"/>
    <w:p w14:paraId="6C8A4A59" w14:textId="77777777" w:rsidR="002557B7" w:rsidRPr="00DB0C40" w:rsidRDefault="002557B7" w:rsidP="002557B7">
      <w:pPr>
        <w:shd w:val="clear" w:color="auto" w:fill="FFFFFF"/>
        <w:ind w:left="720"/>
        <w:contextualSpacing/>
        <w:jc w:val="center"/>
        <w:rPr>
          <w:rFonts w:asciiTheme="minorHAnsi" w:eastAsia="Times New Roman" w:hAnsiTheme="minorHAnsi" w:cstheme="minorHAnsi"/>
          <w:sz w:val="22"/>
          <w:szCs w:val="22"/>
        </w:rPr>
      </w:pPr>
      <w:r w:rsidRPr="00DB0C40">
        <w:rPr>
          <w:rFonts w:asciiTheme="minorHAnsi" w:eastAsia="Times New Roman" w:hAnsiTheme="minorHAnsi" w:cstheme="minorHAnsi"/>
          <w:sz w:val="22"/>
          <w:szCs w:val="22"/>
        </w:rPr>
        <w:br/>
      </w:r>
      <w:r w:rsidRPr="00DB0C40">
        <w:rPr>
          <w:rFonts w:asciiTheme="minorHAnsi" w:eastAsiaTheme="minorHAnsi" w:hAnsiTheme="minorHAnsi" w:cstheme="minorBidi"/>
          <w:noProof/>
          <w:sz w:val="22"/>
          <w:szCs w:val="22"/>
          <w:lang w:eastAsia="en-GB"/>
        </w:rPr>
        <w:drawing>
          <wp:inline distT="0" distB="0" distL="0" distR="0" wp14:anchorId="308404B0" wp14:editId="53B49FB0">
            <wp:extent cx="4775200" cy="2591689"/>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791928" cy="2600768"/>
                    </a:xfrm>
                    <a:prstGeom prst="rect">
                      <a:avLst/>
                    </a:prstGeom>
                    <a:noFill/>
                    <a:ln>
                      <a:noFill/>
                    </a:ln>
                  </pic:spPr>
                </pic:pic>
              </a:graphicData>
            </a:graphic>
          </wp:inline>
        </w:drawing>
      </w:r>
      <w:r w:rsidRPr="00DB0C40">
        <w:rPr>
          <w:rFonts w:asciiTheme="minorHAnsi" w:eastAsia="Times New Roman" w:hAnsiTheme="minorHAnsi" w:cstheme="minorHAnsi"/>
          <w:sz w:val="22"/>
          <w:szCs w:val="22"/>
        </w:rPr>
        <w:br/>
      </w:r>
    </w:p>
    <w:p w14:paraId="10532535" w14:textId="77777777" w:rsidR="002557B7" w:rsidRPr="00DB0C40" w:rsidRDefault="002557B7" w:rsidP="002557B7">
      <w:pPr>
        <w:spacing w:after="160" w:line="259" w:lineRule="auto"/>
        <w:jc w:val="both"/>
        <w:rPr>
          <w:rFonts w:asciiTheme="minorHAnsi" w:eastAsiaTheme="minorHAnsi" w:hAnsiTheme="minorHAnsi" w:cstheme="minorHAnsi"/>
          <w:sz w:val="22"/>
          <w:szCs w:val="22"/>
        </w:rPr>
      </w:pPr>
      <w:r w:rsidRPr="00DB0C40">
        <w:rPr>
          <w:rFonts w:asciiTheme="minorHAnsi" w:eastAsiaTheme="minorHAnsi" w:hAnsiTheme="minorHAnsi" w:cstheme="minorHAnsi"/>
          <w:sz w:val="22"/>
          <w:szCs w:val="22"/>
        </w:rPr>
        <w:t>A particular attention is needed on working life, because job quality may have important implications for other outcomes, including health risks incurred in the workplace, mental well-being and work–life balance. To assess the relationship between working conditions and these other outcomes, a regression analysis was performed on the EWCS data in 2019</w:t>
      </w:r>
      <w:r w:rsidRPr="00DB0C40">
        <w:rPr>
          <w:rFonts w:asciiTheme="minorHAnsi" w:eastAsiaTheme="minorHAnsi" w:hAnsiTheme="minorHAnsi" w:cstheme="minorHAnsi"/>
          <w:position w:val="6"/>
          <w:sz w:val="22"/>
          <w:szCs w:val="22"/>
        </w:rPr>
        <w:footnoteReference w:id="43"/>
      </w:r>
      <w:r w:rsidRPr="00DB0C40">
        <w:rPr>
          <w:rFonts w:asciiTheme="minorHAnsi" w:eastAsiaTheme="minorHAnsi" w:hAnsiTheme="minorHAnsi" w:cstheme="minorHAnsi"/>
          <w:sz w:val="22"/>
          <w:szCs w:val="22"/>
        </w:rPr>
        <w:t>, using outcomes as dependent variables, and working conditions as predictors. Even when this subject not considered the changes during the selected period, it shows important conclusions for the impact assessment of the laws in Türkiye.</w:t>
      </w:r>
    </w:p>
    <w:p w14:paraId="60C712E1" w14:textId="77777777" w:rsidR="002557B7" w:rsidRPr="00DB0C40" w:rsidRDefault="002557B7" w:rsidP="002557B7">
      <w:pPr>
        <w:spacing w:after="160" w:line="259" w:lineRule="auto"/>
        <w:jc w:val="both"/>
        <w:rPr>
          <w:rFonts w:asciiTheme="minorHAnsi" w:eastAsiaTheme="minorHAnsi" w:hAnsiTheme="minorHAnsi" w:cstheme="minorHAnsi"/>
          <w:sz w:val="22"/>
          <w:szCs w:val="22"/>
        </w:rPr>
      </w:pPr>
      <w:r w:rsidRPr="00DB0C40">
        <w:rPr>
          <w:rFonts w:asciiTheme="minorHAnsi" w:eastAsiaTheme="minorHAnsi" w:hAnsiTheme="minorHAnsi" w:cstheme="minorHAnsi"/>
          <w:b/>
          <w:bCs/>
          <w:sz w:val="22"/>
          <w:szCs w:val="22"/>
        </w:rPr>
        <w:t>Health at work</w:t>
      </w:r>
      <w:r w:rsidRPr="00DB0C40">
        <w:rPr>
          <w:rFonts w:asciiTheme="minorHAnsi" w:eastAsiaTheme="minorHAnsi" w:hAnsiTheme="minorHAnsi" w:cstheme="minorHAnsi"/>
          <w:sz w:val="22"/>
          <w:szCs w:val="22"/>
        </w:rPr>
        <w:t xml:space="preserve">: The analysis of perceived health and safety risk due to work suggests that, if standard individual characteristics are controlled for (age, marital status, education, sector and occupation), women believe they have fewer health and safety risks at work compared to men. However, when job quality predictors are included in the model, there are no differences in perceived health and safety risk at work among men and women. Instead, and as expected, job quality is closely related to perceptions of health and safety risks in the workplace. With respect to sector, workers in transport are the most likely to perceive high levels of risk, followed by those in public administration and construction. Poor physical environment, night work and exposure to adverse social behaviour are the working conditions that are most likely to increase a worker’s propensity to feel that their health is at risk. </w:t>
      </w:r>
    </w:p>
    <w:p w14:paraId="502C3D85" w14:textId="77777777" w:rsidR="002557B7" w:rsidRPr="00DB0C40" w:rsidRDefault="002557B7" w:rsidP="002557B7">
      <w:pPr>
        <w:spacing w:after="160" w:line="259" w:lineRule="auto"/>
        <w:jc w:val="both"/>
        <w:rPr>
          <w:rFonts w:asciiTheme="minorHAnsi" w:eastAsiaTheme="minorHAnsi" w:hAnsiTheme="minorHAnsi" w:cstheme="minorHAnsi"/>
          <w:sz w:val="22"/>
          <w:szCs w:val="22"/>
        </w:rPr>
      </w:pPr>
      <w:r w:rsidRPr="00DB0C40">
        <w:rPr>
          <w:rFonts w:asciiTheme="minorHAnsi" w:eastAsiaTheme="minorHAnsi" w:hAnsiTheme="minorHAnsi" w:cstheme="minorHAnsi"/>
          <w:b/>
          <w:bCs/>
          <w:sz w:val="22"/>
          <w:szCs w:val="22"/>
        </w:rPr>
        <w:t>Mental health status</w:t>
      </w:r>
      <w:r w:rsidRPr="00DB0C40">
        <w:rPr>
          <w:rFonts w:asciiTheme="minorHAnsi" w:eastAsiaTheme="minorHAnsi" w:hAnsiTheme="minorHAnsi" w:cstheme="minorHAnsi"/>
          <w:sz w:val="22"/>
          <w:szCs w:val="22"/>
        </w:rPr>
        <w:t xml:space="preserve">: In terms of sector, workers in industry report the poorest level of well-being. No gender differences are found with respect to reported well-being. Good management quality and job security are the aspects of working conditions that are most closely associated with positive well-being. </w:t>
      </w:r>
    </w:p>
    <w:p w14:paraId="4C40F3DA" w14:textId="77777777" w:rsidR="002557B7" w:rsidRPr="00DB0C40" w:rsidRDefault="002557B7" w:rsidP="002557B7">
      <w:pPr>
        <w:spacing w:after="160" w:line="259" w:lineRule="auto"/>
        <w:jc w:val="both"/>
        <w:rPr>
          <w:rFonts w:asciiTheme="minorHAnsi" w:eastAsiaTheme="minorHAnsi" w:hAnsiTheme="minorHAnsi" w:cstheme="minorHAnsi"/>
          <w:sz w:val="22"/>
          <w:szCs w:val="22"/>
        </w:rPr>
      </w:pPr>
      <w:r w:rsidRPr="00DB0C40">
        <w:rPr>
          <w:rFonts w:asciiTheme="minorHAnsi" w:eastAsiaTheme="minorHAnsi" w:hAnsiTheme="minorHAnsi" w:cstheme="minorHAnsi"/>
          <w:b/>
          <w:bCs/>
          <w:sz w:val="22"/>
          <w:szCs w:val="22"/>
        </w:rPr>
        <w:t>Work–life balance</w:t>
      </w:r>
      <w:r w:rsidRPr="00DB0C40">
        <w:rPr>
          <w:rFonts w:asciiTheme="minorHAnsi" w:eastAsiaTheme="minorHAnsi" w:hAnsiTheme="minorHAnsi" w:cstheme="minorHAnsi"/>
          <w:sz w:val="22"/>
          <w:szCs w:val="22"/>
        </w:rPr>
        <w:t xml:space="preserve"> Lastly, analysing the relationship between various working conditions and self-reported work–life balance confirms that those who work normal hours (between 35 and 40 hours per week) and those who are easily able to take an hour off from work are more likely to report a good fit between their </w:t>
      </w:r>
      <w:r w:rsidRPr="00DB0C40">
        <w:rPr>
          <w:rFonts w:asciiTheme="minorHAnsi" w:eastAsiaTheme="minorHAnsi" w:hAnsiTheme="minorHAnsi" w:cstheme="minorHAnsi"/>
          <w:sz w:val="22"/>
          <w:szCs w:val="22"/>
        </w:rPr>
        <w:lastRenderedPageBreak/>
        <w:t>work and non-work commitments. Further complementary survey questions enable a closer understanding of what may be behind the disparities in work–life balance.</w:t>
      </w:r>
    </w:p>
    <w:p w14:paraId="72D7D88B" w14:textId="77777777" w:rsidR="002557B7" w:rsidRPr="00DB0C40" w:rsidRDefault="002557B7" w:rsidP="002557B7">
      <w:pPr>
        <w:spacing w:after="160" w:line="259" w:lineRule="auto"/>
        <w:jc w:val="both"/>
        <w:rPr>
          <w:rFonts w:asciiTheme="minorHAnsi" w:eastAsiaTheme="minorHAnsi" w:hAnsiTheme="minorHAnsi" w:cstheme="minorHAnsi"/>
          <w:sz w:val="22"/>
          <w:szCs w:val="22"/>
        </w:rPr>
      </w:pPr>
      <w:r w:rsidRPr="00DB0C40">
        <w:rPr>
          <w:rFonts w:asciiTheme="minorHAnsi" w:eastAsiaTheme="minorHAnsi" w:hAnsiTheme="minorHAnsi" w:cstheme="minorHAnsi"/>
          <w:sz w:val="22"/>
          <w:szCs w:val="22"/>
        </w:rPr>
        <w:t xml:space="preserve">While the reasons workers attribute to their work–family conflicts vary, one of the most commonly stated factors is that they are too tired to complete housework after they return from work. Almost 40% of women but only 33% of men report this reason, a finding that reflects the gendered distribution of housework. </w:t>
      </w:r>
    </w:p>
    <w:p w14:paraId="5D9B5158" w14:textId="77777777" w:rsidR="002557B7" w:rsidRPr="00DB0C40" w:rsidRDefault="002557B7" w:rsidP="002557B7">
      <w:pPr>
        <w:spacing w:after="160" w:line="259" w:lineRule="auto"/>
        <w:jc w:val="both"/>
        <w:rPr>
          <w:rFonts w:asciiTheme="minorHAnsi" w:eastAsiaTheme="minorHAnsi" w:hAnsiTheme="minorHAnsi" w:cstheme="minorHAnsi"/>
          <w:sz w:val="22"/>
          <w:szCs w:val="22"/>
        </w:rPr>
      </w:pPr>
      <w:r w:rsidRPr="00DB0C40">
        <w:rPr>
          <w:rFonts w:asciiTheme="minorHAnsi" w:eastAsiaTheme="minorHAnsi" w:hAnsiTheme="minorHAnsi" w:cstheme="minorHAnsi"/>
          <w:sz w:val="22"/>
          <w:szCs w:val="22"/>
        </w:rPr>
        <w:t>The breakdown of paid and unpaid working hours sheds additional light on the length of the Turkish working week. Notably, it further confirms an unequal distribution of household tasks, putting married women with children at a particular disadvantage. However, there does not seem to be any difference between workers with different family responsibilities in terms of the time they spend commuting. Working time preferences also indicate that 50% of workers would like to work fewer hours than they currently do, 45% would like to keep their current working hours and only 5% would like to increase their hours.</w:t>
      </w:r>
    </w:p>
    <w:p w14:paraId="2A8C78C2" w14:textId="77777777" w:rsidR="002557B7" w:rsidRPr="00DB0C40" w:rsidRDefault="002557B7" w:rsidP="002557B7">
      <w:pPr>
        <w:spacing w:after="160" w:line="259" w:lineRule="auto"/>
        <w:jc w:val="both"/>
        <w:rPr>
          <w:rFonts w:asciiTheme="minorHAnsi" w:eastAsiaTheme="minorHAnsi" w:hAnsiTheme="minorHAnsi" w:cstheme="minorHAnsi"/>
          <w:sz w:val="22"/>
          <w:szCs w:val="22"/>
        </w:rPr>
      </w:pPr>
      <w:r w:rsidRPr="00DB0C40">
        <w:rPr>
          <w:rFonts w:asciiTheme="minorHAnsi" w:eastAsiaTheme="minorHAnsi" w:hAnsiTheme="minorHAnsi" w:cstheme="minorHAnsi"/>
          <w:sz w:val="22"/>
          <w:szCs w:val="22"/>
        </w:rPr>
        <w:t>The Turkish data indicate a strong link between workers’ health, well-being, and work–life balance. Safer physical workplaces, positive work environments, standard and predictable working hours and job security all make Turkish workers more likely to report positive overall health and well-being. These findings suggest that improving compliance with existing laws governing occupational safety and health at work, working time and other related issues may prove an effective strategy.</w:t>
      </w:r>
    </w:p>
    <w:p w14:paraId="6A017182" w14:textId="77777777" w:rsidR="002557B7" w:rsidRPr="00CD2A61" w:rsidRDefault="002557B7">
      <w:pPr>
        <w:numPr>
          <w:ilvl w:val="2"/>
          <w:numId w:val="46"/>
        </w:numPr>
        <w:spacing w:after="160" w:line="259" w:lineRule="auto"/>
        <w:contextualSpacing/>
        <w:jc w:val="both"/>
        <w:rPr>
          <w:rFonts w:asciiTheme="majorHAnsi" w:eastAsiaTheme="majorEastAsia" w:hAnsiTheme="majorHAnsi" w:cstheme="majorBidi"/>
          <w:color w:val="1F3763" w:themeColor="accent1" w:themeShade="7F"/>
        </w:rPr>
      </w:pPr>
      <w:bookmarkStart w:id="117" w:name="_Toc92359097"/>
      <w:bookmarkStart w:id="118" w:name="_Hlk107138871"/>
      <w:r w:rsidRPr="00CD2A61">
        <w:rPr>
          <w:rFonts w:asciiTheme="majorHAnsi" w:eastAsiaTheme="majorEastAsia" w:hAnsiTheme="majorHAnsi" w:cstheme="majorBidi"/>
          <w:color w:val="1F3763" w:themeColor="accent1" w:themeShade="7F"/>
        </w:rPr>
        <w:t xml:space="preserve"> </w:t>
      </w:r>
      <w:bookmarkStart w:id="119" w:name="_Hlk106961714"/>
      <w:r w:rsidRPr="00CD2A61">
        <w:rPr>
          <w:rFonts w:asciiTheme="majorHAnsi" w:eastAsiaTheme="majorEastAsia" w:hAnsiTheme="majorHAnsi" w:cstheme="majorBidi"/>
          <w:color w:val="1F3763" w:themeColor="accent1" w:themeShade="7F"/>
        </w:rPr>
        <w:t>Self-Employed Women Workers</w:t>
      </w:r>
      <w:bookmarkEnd w:id="117"/>
      <w:r w:rsidRPr="00CD2A61">
        <w:rPr>
          <w:rFonts w:asciiTheme="majorHAnsi" w:eastAsiaTheme="majorEastAsia" w:hAnsiTheme="majorHAnsi" w:cstheme="majorBidi"/>
          <w:color w:val="1F3763" w:themeColor="accent1" w:themeShade="7F"/>
        </w:rPr>
        <w:t xml:space="preserve"> </w:t>
      </w:r>
      <w:bookmarkEnd w:id="119"/>
    </w:p>
    <w:bookmarkEnd w:id="118"/>
    <w:p w14:paraId="57828781" w14:textId="77777777" w:rsidR="00AE67F2" w:rsidRDefault="00AE67F2" w:rsidP="002557B7">
      <w:pPr>
        <w:spacing w:after="160" w:line="259" w:lineRule="auto"/>
        <w:jc w:val="both"/>
        <w:rPr>
          <w:rFonts w:asciiTheme="minorHAnsi" w:eastAsiaTheme="minorHAnsi" w:hAnsiTheme="minorHAnsi" w:cstheme="minorHAnsi"/>
          <w:sz w:val="22"/>
          <w:szCs w:val="22"/>
        </w:rPr>
      </w:pPr>
    </w:p>
    <w:p w14:paraId="546C698F" w14:textId="7CDC239A" w:rsidR="002557B7" w:rsidRPr="00DB0C40" w:rsidRDefault="002557B7" w:rsidP="002557B7">
      <w:pPr>
        <w:spacing w:after="160" w:line="259" w:lineRule="auto"/>
        <w:jc w:val="both"/>
        <w:rPr>
          <w:rFonts w:asciiTheme="minorHAnsi" w:eastAsiaTheme="minorHAnsi" w:hAnsiTheme="minorHAnsi" w:cstheme="minorHAnsi"/>
          <w:sz w:val="22"/>
          <w:szCs w:val="22"/>
        </w:rPr>
      </w:pPr>
      <w:r w:rsidRPr="00DB0C40">
        <w:rPr>
          <w:rFonts w:asciiTheme="minorHAnsi" w:eastAsiaTheme="minorHAnsi" w:hAnsiTheme="minorHAnsi" w:cstheme="minorHAnsi"/>
          <w:sz w:val="22"/>
          <w:szCs w:val="22"/>
        </w:rPr>
        <w:t xml:space="preserve">According to the </w:t>
      </w:r>
      <w:r w:rsidR="00A45334">
        <w:rPr>
          <w:rFonts w:asciiTheme="minorHAnsi" w:eastAsiaTheme="minorHAnsi" w:hAnsiTheme="minorHAnsi" w:cstheme="minorHAnsi"/>
          <w:sz w:val="22"/>
          <w:szCs w:val="22"/>
        </w:rPr>
        <w:t>TurkStat</w:t>
      </w:r>
      <w:r w:rsidRPr="00DB0C40">
        <w:rPr>
          <w:rFonts w:asciiTheme="minorHAnsi" w:eastAsiaTheme="minorHAnsi" w:hAnsiTheme="minorHAnsi" w:cstheme="minorHAnsi"/>
          <w:sz w:val="22"/>
          <w:szCs w:val="22"/>
        </w:rPr>
        <w:t xml:space="preserve"> statistics from 2019, only 8.7 % of employers in Türkiye are female. </w:t>
      </w:r>
      <w:r w:rsidRPr="00AE67F2">
        <w:rPr>
          <w:rFonts w:asciiTheme="minorHAnsi" w:eastAsiaTheme="minorHAnsi" w:hAnsiTheme="minorHAnsi" w:cstheme="minorHAnsi"/>
          <w:position w:val="6"/>
          <w:sz w:val="16"/>
          <w:szCs w:val="16"/>
        </w:rPr>
        <w:footnoteReference w:id="44"/>
      </w:r>
      <w:r w:rsidRPr="00AE67F2">
        <w:rPr>
          <w:rFonts w:asciiTheme="minorHAnsi" w:eastAsiaTheme="minorHAnsi" w:hAnsiTheme="minorHAnsi" w:cstheme="minorHAnsi"/>
          <w:sz w:val="16"/>
          <w:szCs w:val="16"/>
        </w:rPr>
        <w:t xml:space="preserve"> </w:t>
      </w:r>
    </w:p>
    <w:p w14:paraId="5E1A6AEA" w14:textId="77777777" w:rsidR="002557B7" w:rsidRPr="00DB0C40" w:rsidRDefault="002557B7" w:rsidP="002557B7">
      <w:pPr>
        <w:spacing w:after="160" w:line="259" w:lineRule="auto"/>
        <w:jc w:val="both"/>
        <w:rPr>
          <w:rFonts w:asciiTheme="minorHAnsi" w:eastAsiaTheme="minorHAnsi" w:hAnsiTheme="minorHAnsi" w:cstheme="minorHAnsi"/>
          <w:sz w:val="22"/>
          <w:szCs w:val="22"/>
        </w:rPr>
      </w:pPr>
      <w:r w:rsidRPr="00DB0C40">
        <w:rPr>
          <w:rFonts w:asciiTheme="minorHAnsi" w:eastAsiaTheme="minorHAnsi" w:hAnsiTheme="minorHAnsi" w:cstheme="minorHAnsi"/>
          <w:sz w:val="22"/>
          <w:szCs w:val="22"/>
        </w:rPr>
        <w:t xml:space="preserve">Even when a perspective of the changes on women in the last years wasn´t find, a OECD Study of 2016 shows that gender discrimination still experienced by women in the private as well as the public sphere significantly limits their visible participation in economic life outside their homes. A sample survey of nearly 5 000 micro and small enterprises (MSEs) found that 6 % of them led by women, which shows that women's businesses tend to be very small. Nearly half are in trade and one-third are in industry. Many of the one-person women's enterprises are in home-based manufacturing. Women entrepreneurs tend to be younger and have more education than men entrepreneurs, and about half of the women entrepreneurs were employed as wage earners before starting their own businesses. Virtually none of them made use of credit for starting their businesses and very few had access to business support services of any kind. </w:t>
      </w:r>
      <w:r w:rsidRPr="00DB0C40">
        <w:rPr>
          <w:rFonts w:asciiTheme="minorHAnsi" w:eastAsiaTheme="minorHAnsi" w:hAnsiTheme="minorHAnsi" w:cstheme="minorHAnsi"/>
          <w:position w:val="6"/>
          <w:sz w:val="12"/>
          <w:szCs w:val="12"/>
        </w:rPr>
        <w:footnoteReference w:id="45"/>
      </w:r>
    </w:p>
    <w:p w14:paraId="3684764A" w14:textId="3AF6FAFC" w:rsidR="002557B7" w:rsidRPr="00CD2A61" w:rsidRDefault="002557B7">
      <w:pPr>
        <w:numPr>
          <w:ilvl w:val="2"/>
          <w:numId w:val="46"/>
        </w:numPr>
        <w:spacing w:after="160" w:line="259" w:lineRule="auto"/>
        <w:contextualSpacing/>
        <w:jc w:val="both"/>
        <w:rPr>
          <w:rFonts w:asciiTheme="majorHAnsi" w:eastAsiaTheme="majorEastAsia" w:hAnsiTheme="majorHAnsi" w:cstheme="majorBidi"/>
          <w:color w:val="1F3763" w:themeColor="accent1" w:themeShade="7F"/>
        </w:rPr>
      </w:pPr>
      <w:bookmarkStart w:id="120" w:name="_Hlk107138889"/>
      <w:r w:rsidRPr="00CD2A61">
        <w:rPr>
          <w:rFonts w:asciiTheme="majorHAnsi" w:eastAsiaTheme="majorEastAsia" w:hAnsiTheme="majorHAnsi" w:cstheme="majorBidi"/>
          <w:color w:val="1F3763" w:themeColor="accent1" w:themeShade="7F"/>
        </w:rPr>
        <w:t>Some Social indicators</w:t>
      </w:r>
    </w:p>
    <w:bookmarkEnd w:id="120"/>
    <w:p w14:paraId="0963399A" w14:textId="77777777" w:rsidR="00AE67F2" w:rsidRDefault="00AE67F2" w:rsidP="002557B7">
      <w:pPr>
        <w:shd w:val="clear" w:color="auto" w:fill="FFFFFF"/>
        <w:jc w:val="both"/>
        <w:rPr>
          <w:rFonts w:asciiTheme="minorHAnsi" w:eastAsia="Times New Roman" w:hAnsiTheme="minorHAnsi" w:cstheme="minorHAnsi"/>
          <w:sz w:val="22"/>
          <w:szCs w:val="22"/>
        </w:rPr>
      </w:pPr>
    </w:p>
    <w:p w14:paraId="21B9567A" w14:textId="45953D73" w:rsidR="002557B7" w:rsidRPr="00DB0C40" w:rsidRDefault="002557B7" w:rsidP="002557B7">
      <w:pPr>
        <w:shd w:val="clear" w:color="auto" w:fill="FFFFFF"/>
        <w:jc w:val="both"/>
        <w:rPr>
          <w:rFonts w:asciiTheme="minorHAnsi" w:eastAsia="Times New Roman" w:hAnsiTheme="minorHAnsi" w:cstheme="minorHAnsi"/>
          <w:sz w:val="22"/>
          <w:szCs w:val="22"/>
        </w:rPr>
      </w:pPr>
      <w:r w:rsidRPr="00DB0C40">
        <w:rPr>
          <w:rFonts w:asciiTheme="minorHAnsi" w:eastAsia="Times New Roman" w:hAnsiTheme="minorHAnsi" w:cstheme="minorHAnsi"/>
          <w:sz w:val="22"/>
          <w:szCs w:val="22"/>
        </w:rPr>
        <w:t xml:space="preserve">Only two social indicators are included, closely related to the Labour Market, that shows the important change that Türkiye has made in the education (particularly higher education) for women, going from 7.6% in 2008 to 19.9% in 2020. </w:t>
      </w:r>
    </w:p>
    <w:p w14:paraId="00B58EDA" w14:textId="77777777" w:rsidR="00517B7E" w:rsidRPr="00DB0C40" w:rsidRDefault="00517B7E" w:rsidP="002557B7">
      <w:pPr>
        <w:shd w:val="clear" w:color="auto" w:fill="FFFFFF"/>
        <w:jc w:val="both"/>
        <w:rPr>
          <w:rFonts w:asciiTheme="minorHAnsi" w:eastAsia="Times New Roman" w:hAnsiTheme="minorHAnsi" w:cstheme="minorHAnsi"/>
          <w:sz w:val="22"/>
          <w:szCs w:val="22"/>
        </w:rPr>
      </w:pPr>
    </w:p>
    <w:p w14:paraId="5E375D63" w14:textId="77777777" w:rsidR="002557B7" w:rsidRPr="00DB0C40" w:rsidRDefault="002557B7" w:rsidP="002557B7">
      <w:pPr>
        <w:shd w:val="clear" w:color="auto" w:fill="FFFFFF"/>
        <w:ind w:left="360"/>
        <w:jc w:val="both"/>
        <w:rPr>
          <w:rFonts w:asciiTheme="minorHAnsi" w:eastAsia="Times New Roman" w:hAnsiTheme="minorHAnsi" w:cstheme="minorHAnsi"/>
          <w:b/>
          <w:bCs/>
          <w:sz w:val="22"/>
          <w:szCs w:val="22"/>
        </w:rPr>
      </w:pPr>
    </w:p>
    <w:p w14:paraId="0D067B5B" w14:textId="7ED7B92D" w:rsidR="002557B7" w:rsidRPr="00DB0C40" w:rsidRDefault="002557B7" w:rsidP="00AF68FB">
      <w:pPr>
        <w:shd w:val="clear" w:color="auto" w:fill="FFFFFF"/>
        <w:ind w:left="360"/>
        <w:jc w:val="center"/>
        <w:rPr>
          <w:rFonts w:asciiTheme="minorHAnsi" w:eastAsia="Times New Roman" w:hAnsiTheme="minorHAnsi" w:cstheme="minorHAnsi"/>
          <w:b/>
          <w:bCs/>
          <w:sz w:val="22"/>
          <w:szCs w:val="22"/>
        </w:rPr>
      </w:pPr>
      <w:bookmarkStart w:id="121" w:name="_Hlk107139023"/>
      <w:r w:rsidRPr="00DB0C40">
        <w:rPr>
          <w:rFonts w:asciiTheme="minorHAnsi" w:eastAsia="Times New Roman" w:hAnsiTheme="minorHAnsi" w:cstheme="minorHAnsi"/>
          <w:b/>
          <w:bCs/>
          <w:sz w:val="22"/>
          <w:szCs w:val="22"/>
        </w:rPr>
        <w:t xml:space="preserve">Table </w:t>
      </w:r>
      <w:r w:rsidR="00517B7E" w:rsidRPr="00DB0C40">
        <w:rPr>
          <w:rFonts w:asciiTheme="minorHAnsi" w:eastAsia="Times New Roman" w:hAnsiTheme="minorHAnsi" w:cstheme="minorHAnsi"/>
          <w:b/>
          <w:bCs/>
          <w:sz w:val="22"/>
          <w:szCs w:val="22"/>
        </w:rPr>
        <w:t>7-</w:t>
      </w:r>
      <w:r w:rsidRPr="00DB0C40">
        <w:rPr>
          <w:rFonts w:asciiTheme="minorHAnsi" w:eastAsia="Times New Roman" w:hAnsiTheme="minorHAnsi" w:cstheme="minorHAnsi"/>
          <w:b/>
          <w:bCs/>
          <w:sz w:val="22"/>
          <w:szCs w:val="22"/>
        </w:rPr>
        <w:t xml:space="preserve"> Social Indicators</w:t>
      </w:r>
      <w:r w:rsidR="00AF68FB" w:rsidRPr="00DB0C40">
        <w:rPr>
          <w:rFonts w:asciiTheme="minorHAnsi" w:eastAsiaTheme="minorHAnsi" w:hAnsiTheme="minorHAnsi" w:cstheme="minorBidi"/>
          <w:b/>
          <w:bCs/>
          <w:sz w:val="22"/>
          <w:szCs w:val="22"/>
        </w:rPr>
        <w:t xml:space="preserve"> </w:t>
      </w:r>
      <w:r w:rsidR="00AF68FB" w:rsidRPr="00DB0C40">
        <w:rPr>
          <w:rFonts w:asciiTheme="minorHAnsi" w:eastAsia="Times New Roman" w:hAnsiTheme="minorHAnsi" w:cstheme="minorHAnsi"/>
          <w:b/>
          <w:bCs/>
          <w:sz w:val="22"/>
          <w:szCs w:val="22"/>
        </w:rPr>
        <w:t>in Türkiye (2008 – 2020)</w:t>
      </w:r>
    </w:p>
    <w:bookmarkEnd w:id="121"/>
    <w:p w14:paraId="4CB7041C" w14:textId="77777777" w:rsidR="002557B7" w:rsidRPr="00DB0C40" w:rsidRDefault="002557B7" w:rsidP="002557B7">
      <w:pPr>
        <w:shd w:val="clear" w:color="auto" w:fill="FFFFFF"/>
        <w:jc w:val="both"/>
        <w:rPr>
          <w:rFonts w:asciiTheme="minorHAnsi" w:eastAsia="Times New Roman" w:hAnsiTheme="minorHAnsi" w:cstheme="minorHAnsi"/>
          <w:b/>
          <w:bCs/>
          <w:sz w:val="22"/>
          <w:szCs w:val="22"/>
        </w:rPr>
      </w:pPr>
    </w:p>
    <w:tbl>
      <w:tblPr>
        <w:tblStyle w:val="TableGrid3"/>
        <w:tblW w:w="0" w:type="auto"/>
        <w:tblLook w:val="04A0" w:firstRow="1" w:lastRow="0" w:firstColumn="1" w:lastColumn="0" w:noHBand="0" w:noVBand="1"/>
      </w:tblPr>
      <w:tblGrid>
        <w:gridCol w:w="7195"/>
        <w:gridCol w:w="764"/>
        <w:gridCol w:w="764"/>
        <w:gridCol w:w="764"/>
      </w:tblGrid>
      <w:tr w:rsidR="002557B7" w:rsidRPr="00DB0C40" w14:paraId="7763B99C" w14:textId="77777777" w:rsidTr="00EA37BB">
        <w:tc>
          <w:tcPr>
            <w:tcW w:w="0" w:type="auto"/>
            <w:shd w:val="clear" w:color="auto" w:fill="D9E2F3" w:themeFill="accent1" w:themeFillTint="33"/>
          </w:tcPr>
          <w:p w14:paraId="24258CE7" w14:textId="77777777" w:rsidR="002557B7" w:rsidRPr="00DB0C40" w:rsidRDefault="002557B7" w:rsidP="002557B7">
            <w:pPr>
              <w:jc w:val="both"/>
              <w:rPr>
                <w:rFonts w:eastAsia="Times New Roman" w:cstheme="minorHAnsi"/>
                <w:b/>
                <w:bCs/>
                <w:lang w:val="en-GB"/>
              </w:rPr>
            </w:pPr>
          </w:p>
        </w:tc>
        <w:tc>
          <w:tcPr>
            <w:tcW w:w="0" w:type="auto"/>
            <w:shd w:val="clear" w:color="auto" w:fill="D9E2F3" w:themeFill="accent1" w:themeFillTint="33"/>
          </w:tcPr>
          <w:p w14:paraId="4F9B2E84" w14:textId="77777777" w:rsidR="002557B7" w:rsidRPr="00DB0C40" w:rsidRDefault="002557B7" w:rsidP="002557B7">
            <w:pPr>
              <w:jc w:val="both"/>
              <w:rPr>
                <w:rFonts w:eastAsia="Times New Roman" w:cstheme="minorHAnsi"/>
                <w:b/>
                <w:bCs/>
                <w:lang w:val="en-GB"/>
              </w:rPr>
            </w:pPr>
            <w:r w:rsidRPr="00DB0C40">
              <w:rPr>
                <w:rFonts w:eastAsia="Times New Roman" w:cstheme="minorHAnsi"/>
                <w:b/>
                <w:bCs/>
                <w:lang w:val="en-GB"/>
              </w:rPr>
              <w:t>2008</w:t>
            </w:r>
          </w:p>
        </w:tc>
        <w:tc>
          <w:tcPr>
            <w:tcW w:w="0" w:type="auto"/>
            <w:shd w:val="clear" w:color="auto" w:fill="D9E2F3" w:themeFill="accent1" w:themeFillTint="33"/>
          </w:tcPr>
          <w:p w14:paraId="0F546B6D" w14:textId="77777777" w:rsidR="002557B7" w:rsidRPr="00DB0C40" w:rsidRDefault="002557B7" w:rsidP="002557B7">
            <w:pPr>
              <w:jc w:val="both"/>
              <w:rPr>
                <w:rFonts w:eastAsia="Times New Roman" w:cstheme="minorHAnsi"/>
                <w:b/>
                <w:bCs/>
                <w:lang w:val="en-GB"/>
              </w:rPr>
            </w:pPr>
            <w:r w:rsidRPr="00DB0C40">
              <w:rPr>
                <w:rFonts w:eastAsia="Times New Roman" w:cstheme="minorHAnsi"/>
                <w:b/>
                <w:bCs/>
                <w:lang w:val="en-GB"/>
              </w:rPr>
              <w:t>2019</w:t>
            </w:r>
          </w:p>
        </w:tc>
        <w:tc>
          <w:tcPr>
            <w:tcW w:w="0" w:type="auto"/>
            <w:shd w:val="clear" w:color="auto" w:fill="D9E2F3" w:themeFill="accent1" w:themeFillTint="33"/>
          </w:tcPr>
          <w:p w14:paraId="34A9F689" w14:textId="77777777" w:rsidR="002557B7" w:rsidRPr="00DB0C40" w:rsidRDefault="002557B7" w:rsidP="002557B7">
            <w:pPr>
              <w:jc w:val="both"/>
              <w:rPr>
                <w:rFonts w:eastAsia="Times New Roman" w:cstheme="minorHAnsi"/>
                <w:b/>
                <w:bCs/>
                <w:lang w:val="en-GB"/>
              </w:rPr>
            </w:pPr>
            <w:r w:rsidRPr="00DB0C40">
              <w:rPr>
                <w:rFonts w:eastAsia="Times New Roman" w:cstheme="minorHAnsi"/>
                <w:b/>
                <w:bCs/>
                <w:lang w:val="en-GB"/>
              </w:rPr>
              <w:t>2020</w:t>
            </w:r>
          </w:p>
        </w:tc>
      </w:tr>
      <w:tr w:rsidR="002557B7" w:rsidRPr="00DB0C40" w14:paraId="6416A051" w14:textId="77777777" w:rsidTr="00EA37BB">
        <w:tc>
          <w:tcPr>
            <w:tcW w:w="0" w:type="auto"/>
            <w:shd w:val="clear" w:color="auto" w:fill="FBE4D5" w:themeFill="accent2" w:themeFillTint="33"/>
          </w:tcPr>
          <w:p w14:paraId="47D49FB1" w14:textId="77777777" w:rsidR="002557B7" w:rsidRPr="00DB0C40" w:rsidRDefault="002557B7" w:rsidP="002557B7">
            <w:pPr>
              <w:jc w:val="both"/>
              <w:rPr>
                <w:rFonts w:eastAsia="Times New Roman" w:cstheme="minorHAnsi"/>
                <w:lang w:val="en-GB"/>
              </w:rPr>
            </w:pPr>
            <w:r w:rsidRPr="00DB0C40">
              <w:rPr>
                <w:rFonts w:eastAsia="Times New Roman" w:cstheme="minorHAnsi"/>
                <w:lang w:val="en-GB"/>
              </w:rPr>
              <w:t>Proportion of females completing at least one educational level</w:t>
            </w:r>
          </w:p>
        </w:tc>
        <w:tc>
          <w:tcPr>
            <w:tcW w:w="0" w:type="auto"/>
            <w:shd w:val="clear" w:color="auto" w:fill="FBE4D5" w:themeFill="accent2" w:themeFillTint="33"/>
          </w:tcPr>
          <w:p w14:paraId="42FF1341" w14:textId="77777777" w:rsidR="002557B7" w:rsidRPr="00DB0C40" w:rsidRDefault="002557B7" w:rsidP="002557B7">
            <w:pPr>
              <w:jc w:val="both"/>
              <w:rPr>
                <w:rFonts w:eastAsia="Times New Roman" w:cstheme="minorHAnsi"/>
                <w:lang w:val="en-GB"/>
              </w:rPr>
            </w:pPr>
            <w:r w:rsidRPr="00DB0C40">
              <w:rPr>
                <w:rFonts w:eastAsia="Times New Roman" w:cstheme="minorHAnsi"/>
                <w:lang w:val="en-GB"/>
              </w:rPr>
              <w:t>72.6%</w:t>
            </w:r>
          </w:p>
        </w:tc>
        <w:tc>
          <w:tcPr>
            <w:tcW w:w="0" w:type="auto"/>
            <w:shd w:val="clear" w:color="auto" w:fill="FBE4D5" w:themeFill="accent2" w:themeFillTint="33"/>
          </w:tcPr>
          <w:p w14:paraId="4E92892B" w14:textId="77777777" w:rsidR="002557B7" w:rsidRPr="00DB0C40" w:rsidRDefault="002557B7" w:rsidP="002557B7">
            <w:pPr>
              <w:jc w:val="both"/>
              <w:rPr>
                <w:rFonts w:eastAsia="Times New Roman" w:cstheme="minorHAnsi"/>
                <w:lang w:val="en-GB"/>
              </w:rPr>
            </w:pPr>
            <w:r w:rsidRPr="00DB0C40">
              <w:rPr>
                <w:rFonts w:eastAsia="Times New Roman" w:cstheme="minorHAnsi"/>
                <w:lang w:val="en-GB"/>
              </w:rPr>
              <w:t>85.7%</w:t>
            </w:r>
          </w:p>
        </w:tc>
        <w:tc>
          <w:tcPr>
            <w:tcW w:w="0" w:type="auto"/>
            <w:shd w:val="clear" w:color="auto" w:fill="FBE4D5" w:themeFill="accent2" w:themeFillTint="33"/>
          </w:tcPr>
          <w:p w14:paraId="66A50751" w14:textId="77777777" w:rsidR="002557B7" w:rsidRPr="00DB0C40" w:rsidRDefault="002557B7" w:rsidP="002557B7">
            <w:pPr>
              <w:jc w:val="both"/>
              <w:rPr>
                <w:rFonts w:eastAsia="Times New Roman" w:cstheme="minorHAnsi"/>
                <w:lang w:val="en-GB"/>
              </w:rPr>
            </w:pPr>
            <w:r w:rsidRPr="00DB0C40">
              <w:rPr>
                <w:rFonts w:eastAsia="Times New Roman" w:cstheme="minorHAnsi"/>
                <w:lang w:val="en-GB"/>
              </w:rPr>
              <w:t>87.7%</w:t>
            </w:r>
          </w:p>
        </w:tc>
      </w:tr>
      <w:tr w:rsidR="002557B7" w:rsidRPr="00DB0C40" w14:paraId="3CBBF0ED" w14:textId="77777777" w:rsidTr="00EA37BB">
        <w:tc>
          <w:tcPr>
            <w:tcW w:w="0" w:type="auto"/>
            <w:shd w:val="clear" w:color="auto" w:fill="FBE4D5" w:themeFill="accent2" w:themeFillTint="33"/>
          </w:tcPr>
          <w:p w14:paraId="531120DC" w14:textId="77777777" w:rsidR="002557B7" w:rsidRPr="00DB0C40" w:rsidRDefault="002557B7" w:rsidP="002557B7">
            <w:pPr>
              <w:jc w:val="both"/>
              <w:rPr>
                <w:rFonts w:eastAsia="Times New Roman" w:cstheme="minorHAnsi"/>
                <w:lang w:val="en-GB"/>
              </w:rPr>
            </w:pPr>
            <w:r w:rsidRPr="00DB0C40">
              <w:rPr>
                <w:rFonts w:eastAsia="Times New Roman" w:cstheme="minorHAnsi"/>
                <w:lang w:val="en-GB"/>
              </w:rPr>
              <w:t>Proportion of females aged 25 and over and who were at least university graduates</w:t>
            </w:r>
          </w:p>
        </w:tc>
        <w:tc>
          <w:tcPr>
            <w:tcW w:w="0" w:type="auto"/>
            <w:shd w:val="clear" w:color="auto" w:fill="FBE4D5" w:themeFill="accent2" w:themeFillTint="33"/>
          </w:tcPr>
          <w:p w14:paraId="5326852B" w14:textId="77777777" w:rsidR="002557B7" w:rsidRPr="00DB0C40" w:rsidRDefault="002557B7" w:rsidP="002557B7">
            <w:pPr>
              <w:jc w:val="both"/>
              <w:rPr>
                <w:rFonts w:eastAsia="Times New Roman" w:cstheme="minorHAnsi"/>
                <w:lang w:val="en-GB"/>
              </w:rPr>
            </w:pPr>
            <w:r w:rsidRPr="00DB0C40">
              <w:rPr>
                <w:rFonts w:eastAsia="Times New Roman" w:cstheme="minorHAnsi"/>
                <w:lang w:val="en-GB"/>
              </w:rPr>
              <w:t>7.6%</w:t>
            </w:r>
          </w:p>
        </w:tc>
        <w:tc>
          <w:tcPr>
            <w:tcW w:w="0" w:type="auto"/>
            <w:shd w:val="clear" w:color="auto" w:fill="FBE4D5" w:themeFill="accent2" w:themeFillTint="33"/>
          </w:tcPr>
          <w:p w14:paraId="07CF9605" w14:textId="77777777" w:rsidR="002557B7" w:rsidRPr="00DB0C40" w:rsidRDefault="002557B7" w:rsidP="002557B7">
            <w:pPr>
              <w:jc w:val="both"/>
              <w:rPr>
                <w:rFonts w:eastAsia="Times New Roman" w:cstheme="minorHAnsi"/>
                <w:lang w:val="en-GB"/>
              </w:rPr>
            </w:pPr>
            <w:r w:rsidRPr="00DB0C40">
              <w:rPr>
                <w:rFonts w:eastAsia="Times New Roman" w:cstheme="minorHAnsi"/>
                <w:lang w:val="en-GB"/>
              </w:rPr>
              <w:t>18.5%</w:t>
            </w:r>
          </w:p>
        </w:tc>
        <w:tc>
          <w:tcPr>
            <w:tcW w:w="0" w:type="auto"/>
            <w:shd w:val="clear" w:color="auto" w:fill="FBE4D5" w:themeFill="accent2" w:themeFillTint="33"/>
          </w:tcPr>
          <w:p w14:paraId="41BAF7A9" w14:textId="77777777" w:rsidR="002557B7" w:rsidRPr="00DB0C40" w:rsidRDefault="002557B7" w:rsidP="002557B7">
            <w:pPr>
              <w:jc w:val="both"/>
              <w:rPr>
                <w:rFonts w:eastAsia="Times New Roman" w:cstheme="minorHAnsi"/>
                <w:lang w:val="en-GB"/>
              </w:rPr>
            </w:pPr>
            <w:r w:rsidRPr="00DB0C40">
              <w:rPr>
                <w:rFonts w:eastAsia="Times New Roman" w:cstheme="minorHAnsi"/>
                <w:lang w:val="en-GB"/>
              </w:rPr>
              <w:t>19.9%</w:t>
            </w:r>
          </w:p>
        </w:tc>
      </w:tr>
    </w:tbl>
    <w:p w14:paraId="11168878" w14:textId="77777777" w:rsidR="002557B7" w:rsidRPr="00DB0C40" w:rsidRDefault="002557B7" w:rsidP="002557B7">
      <w:pPr>
        <w:shd w:val="clear" w:color="auto" w:fill="FFFFFF"/>
        <w:jc w:val="both"/>
        <w:rPr>
          <w:rFonts w:asciiTheme="minorHAnsi" w:eastAsia="Times New Roman" w:hAnsiTheme="minorHAnsi" w:cstheme="minorHAnsi"/>
          <w:b/>
          <w:bCs/>
          <w:sz w:val="22"/>
          <w:szCs w:val="22"/>
        </w:rPr>
      </w:pPr>
    </w:p>
    <w:p w14:paraId="287E2B4D" w14:textId="48425455" w:rsidR="002557B7" w:rsidRPr="00DB0C40" w:rsidRDefault="002557B7" w:rsidP="002557B7">
      <w:pPr>
        <w:shd w:val="clear" w:color="auto" w:fill="FFFFFF"/>
        <w:jc w:val="center"/>
        <w:rPr>
          <w:rFonts w:asciiTheme="minorHAnsi" w:eastAsia="Times New Roman" w:hAnsiTheme="minorHAnsi" w:cstheme="minorHAnsi"/>
          <w:sz w:val="18"/>
          <w:szCs w:val="18"/>
        </w:rPr>
      </w:pPr>
      <w:r w:rsidRPr="00DB0C40">
        <w:rPr>
          <w:rFonts w:asciiTheme="minorHAnsi" w:eastAsia="Times New Roman" w:hAnsiTheme="minorHAnsi" w:cstheme="minorHAnsi"/>
          <w:sz w:val="18"/>
          <w:szCs w:val="18"/>
        </w:rPr>
        <w:t>Source: T</w:t>
      </w:r>
      <w:r w:rsidR="00C2410D">
        <w:rPr>
          <w:rFonts w:asciiTheme="minorHAnsi" w:eastAsia="Times New Roman" w:hAnsiTheme="minorHAnsi" w:cstheme="minorHAnsi"/>
          <w:sz w:val="18"/>
          <w:szCs w:val="18"/>
        </w:rPr>
        <w:t>urkStat</w:t>
      </w:r>
      <w:r w:rsidRPr="00DB0C40">
        <w:rPr>
          <w:rFonts w:asciiTheme="minorHAnsi" w:eastAsia="Times New Roman" w:hAnsiTheme="minorHAnsi" w:cstheme="minorHAnsi"/>
          <w:sz w:val="18"/>
          <w:szCs w:val="18"/>
        </w:rPr>
        <w:t>, Women in Statistics</w:t>
      </w:r>
      <w:r w:rsidR="00C2410D">
        <w:rPr>
          <w:rFonts w:asciiTheme="minorHAnsi" w:eastAsia="Times New Roman" w:hAnsiTheme="minorHAnsi" w:cstheme="minorHAnsi"/>
          <w:sz w:val="18"/>
          <w:szCs w:val="18"/>
        </w:rPr>
        <w:t xml:space="preserve"> (2019) (2021)</w:t>
      </w:r>
    </w:p>
    <w:p w14:paraId="0B4FFC4C" w14:textId="77777777" w:rsidR="002557B7" w:rsidRPr="00DB0C40" w:rsidRDefault="002557B7" w:rsidP="002557B7">
      <w:pPr>
        <w:shd w:val="clear" w:color="auto" w:fill="FFFFFF"/>
        <w:jc w:val="both"/>
        <w:rPr>
          <w:rFonts w:asciiTheme="minorHAnsi" w:eastAsia="Times New Roman" w:hAnsiTheme="minorHAnsi" w:cstheme="minorHAnsi"/>
          <w:sz w:val="22"/>
          <w:szCs w:val="22"/>
        </w:rPr>
      </w:pPr>
      <w:r w:rsidRPr="00DB0C40">
        <w:rPr>
          <w:rFonts w:asciiTheme="minorHAnsi" w:eastAsia="Times New Roman" w:hAnsiTheme="minorHAnsi" w:cstheme="minorHAnsi"/>
          <w:sz w:val="22"/>
          <w:szCs w:val="22"/>
        </w:rPr>
        <w:t> </w:t>
      </w:r>
    </w:p>
    <w:p w14:paraId="168EA27D" w14:textId="77777777" w:rsidR="002557B7" w:rsidRPr="00DB0C40" w:rsidRDefault="002557B7" w:rsidP="002557B7">
      <w:pPr>
        <w:spacing w:after="160" w:line="259" w:lineRule="auto"/>
        <w:rPr>
          <w:rFonts w:asciiTheme="minorHAnsi" w:eastAsiaTheme="minorHAnsi" w:hAnsiTheme="minorHAnsi" w:cstheme="minorHAnsi"/>
          <w:sz w:val="22"/>
          <w:szCs w:val="22"/>
        </w:rPr>
      </w:pPr>
    </w:p>
    <w:p w14:paraId="65994228" w14:textId="792C5E69" w:rsidR="004D78BE" w:rsidRPr="00CD2A61" w:rsidRDefault="002557B7">
      <w:pPr>
        <w:numPr>
          <w:ilvl w:val="2"/>
          <w:numId w:val="46"/>
        </w:numPr>
        <w:spacing w:after="160" w:line="259" w:lineRule="auto"/>
        <w:contextualSpacing/>
        <w:jc w:val="both"/>
        <w:rPr>
          <w:rFonts w:asciiTheme="majorHAnsi" w:eastAsiaTheme="majorEastAsia" w:hAnsiTheme="majorHAnsi" w:cstheme="majorBidi"/>
          <w:color w:val="1F3763" w:themeColor="accent1" w:themeShade="7F"/>
        </w:rPr>
      </w:pPr>
      <w:bookmarkStart w:id="122" w:name="_Hlk107139051"/>
      <w:bookmarkStart w:id="123" w:name="_Hlk106961874"/>
      <w:r w:rsidRPr="00CD2A61">
        <w:rPr>
          <w:rFonts w:asciiTheme="majorHAnsi" w:eastAsiaTheme="majorEastAsia" w:hAnsiTheme="majorHAnsi" w:cstheme="majorBidi"/>
          <w:color w:val="1F3763" w:themeColor="accent1" w:themeShade="7F"/>
        </w:rPr>
        <w:t>Information from ISKUR and Social Security Institutions</w:t>
      </w:r>
    </w:p>
    <w:p w14:paraId="46CEB8CE" w14:textId="77777777" w:rsidR="00853140" w:rsidRDefault="00853140" w:rsidP="007A7E2D">
      <w:pPr>
        <w:spacing w:after="160" w:line="259" w:lineRule="auto"/>
        <w:jc w:val="both"/>
        <w:rPr>
          <w:rFonts w:asciiTheme="minorHAnsi" w:eastAsiaTheme="minorHAnsi" w:hAnsiTheme="minorHAnsi" w:cstheme="minorHAnsi"/>
          <w:sz w:val="22"/>
          <w:szCs w:val="22"/>
        </w:rPr>
      </w:pPr>
    </w:p>
    <w:p w14:paraId="362EC86C" w14:textId="5666F4EB" w:rsidR="004D78BE" w:rsidRPr="00DB0C40" w:rsidRDefault="004D78BE" w:rsidP="007A7E2D">
      <w:pPr>
        <w:spacing w:after="160" w:line="259" w:lineRule="auto"/>
        <w:jc w:val="both"/>
        <w:rPr>
          <w:rFonts w:asciiTheme="minorHAnsi" w:eastAsiaTheme="minorHAnsi" w:hAnsiTheme="minorHAnsi" w:cstheme="minorHAnsi"/>
          <w:sz w:val="22"/>
          <w:szCs w:val="22"/>
        </w:rPr>
      </w:pPr>
      <w:r w:rsidRPr="00DB0C40">
        <w:rPr>
          <w:rFonts w:asciiTheme="minorHAnsi" w:eastAsiaTheme="minorHAnsi" w:hAnsiTheme="minorHAnsi" w:cstheme="minorHAnsi"/>
          <w:sz w:val="22"/>
          <w:szCs w:val="22"/>
        </w:rPr>
        <w:t>ISKUR have</w:t>
      </w:r>
      <w:r w:rsidR="007A7E2D">
        <w:rPr>
          <w:rFonts w:asciiTheme="minorHAnsi" w:eastAsiaTheme="minorHAnsi" w:hAnsiTheme="minorHAnsi" w:cstheme="minorHAnsi"/>
          <w:sz w:val="22"/>
          <w:szCs w:val="22"/>
        </w:rPr>
        <w:t xml:space="preserve"> made an important contribution with their </w:t>
      </w:r>
      <w:r w:rsidRPr="00DB0C40">
        <w:rPr>
          <w:rFonts w:asciiTheme="minorHAnsi" w:eastAsiaTheme="minorHAnsi" w:hAnsiTheme="minorHAnsi" w:cstheme="minorHAnsi"/>
          <w:sz w:val="22"/>
          <w:szCs w:val="22"/>
        </w:rPr>
        <w:t>Study on the current situation of the use of Maternal Leave Rights, under the Articles 13 and 74 of the Labo</w:t>
      </w:r>
      <w:r w:rsidR="00AE67F2">
        <w:rPr>
          <w:rFonts w:asciiTheme="minorHAnsi" w:eastAsiaTheme="minorHAnsi" w:hAnsiTheme="minorHAnsi" w:cstheme="minorHAnsi"/>
          <w:sz w:val="22"/>
          <w:szCs w:val="22"/>
        </w:rPr>
        <w:t>u</w:t>
      </w:r>
      <w:r w:rsidRPr="00DB0C40">
        <w:rPr>
          <w:rFonts w:asciiTheme="minorHAnsi" w:eastAsiaTheme="minorHAnsi" w:hAnsiTheme="minorHAnsi" w:cstheme="minorHAnsi"/>
          <w:sz w:val="22"/>
          <w:szCs w:val="22"/>
        </w:rPr>
        <w:t>r Law No. 4857</w:t>
      </w:r>
    </w:p>
    <w:tbl>
      <w:tblPr>
        <w:tblStyle w:val="TableGrid"/>
        <w:tblW w:w="0" w:type="auto"/>
        <w:tblLook w:val="04A0" w:firstRow="1" w:lastRow="0" w:firstColumn="1" w:lastColumn="0" w:noHBand="0" w:noVBand="1"/>
      </w:tblPr>
      <w:tblGrid>
        <w:gridCol w:w="4600"/>
        <w:gridCol w:w="4887"/>
      </w:tblGrid>
      <w:tr w:rsidR="004D78BE" w:rsidRPr="00DB0C40" w14:paraId="04A1F343" w14:textId="77777777" w:rsidTr="008024A4">
        <w:tc>
          <w:tcPr>
            <w:tcW w:w="0" w:type="auto"/>
            <w:shd w:val="clear" w:color="auto" w:fill="D9E2F3" w:themeFill="accent1" w:themeFillTint="33"/>
          </w:tcPr>
          <w:p w14:paraId="3232D1A9" w14:textId="5DD0A5B4" w:rsidR="004D78BE" w:rsidRPr="00853140" w:rsidRDefault="00AE67F2" w:rsidP="0072176B">
            <w:pPr>
              <w:spacing w:after="160" w:line="259" w:lineRule="auto"/>
              <w:jc w:val="center"/>
              <w:rPr>
                <w:rFonts w:asciiTheme="minorHAnsi" w:eastAsiaTheme="minorHAnsi" w:hAnsiTheme="minorHAnsi" w:cstheme="minorHAnsi"/>
                <w:b/>
                <w:bCs/>
                <w:sz w:val="18"/>
                <w:szCs w:val="18"/>
              </w:rPr>
            </w:pPr>
            <w:r w:rsidRPr="00853140">
              <w:rPr>
                <w:rFonts w:asciiTheme="minorHAnsi" w:eastAsiaTheme="minorHAnsi" w:hAnsiTheme="minorHAnsi" w:cstheme="minorHAnsi"/>
                <w:b/>
                <w:bCs/>
                <w:sz w:val="18"/>
                <w:szCs w:val="18"/>
              </w:rPr>
              <w:t>LABOUR</w:t>
            </w:r>
            <w:r w:rsidR="004D78BE" w:rsidRPr="00853140">
              <w:rPr>
                <w:rFonts w:asciiTheme="minorHAnsi" w:eastAsiaTheme="minorHAnsi" w:hAnsiTheme="minorHAnsi" w:cstheme="minorHAnsi"/>
                <w:b/>
                <w:bCs/>
                <w:sz w:val="18"/>
                <w:szCs w:val="18"/>
              </w:rPr>
              <w:t xml:space="preserve"> LAW NO 4877</w:t>
            </w:r>
          </w:p>
          <w:p w14:paraId="7EEB91F1" w14:textId="77777777" w:rsidR="004D78BE" w:rsidRPr="00853140" w:rsidRDefault="004D78BE" w:rsidP="004D78BE">
            <w:pPr>
              <w:spacing w:after="160" w:line="259" w:lineRule="auto"/>
              <w:rPr>
                <w:rFonts w:asciiTheme="minorHAnsi" w:eastAsiaTheme="minorHAnsi" w:hAnsiTheme="minorHAnsi" w:cstheme="minorHAnsi"/>
                <w:sz w:val="18"/>
                <w:szCs w:val="18"/>
              </w:rPr>
            </w:pPr>
          </w:p>
        </w:tc>
        <w:tc>
          <w:tcPr>
            <w:tcW w:w="0" w:type="auto"/>
            <w:shd w:val="clear" w:color="auto" w:fill="D9E2F3" w:themeFill="accent1" w:themeFillTint="33"/>
          </w:tcPr>
          <w:p w14:paraId="4EE11BF5" w14:textId="77777777" w:rsidR="004D78BE" w:rsidRPr="00853140" w:rsidRDefault="004D78BE" w:rsidP="0072176B">
            <w:pPr>
              <w:spacing w:after="160" w:line="259" w:lineRule="auto"/>
              <w:jc w:val="center"/>
              <w:rPr>
                <w:rFonts w:asciiTheme="minorHAnsi" w:eastAsiaTheme="minorHAnsi" w:hAnsiTheme="minorHAnsi" w:cstheme="minorHAnsi"/>
                <w:b/>
                <w:bCs/>
                <w:sz w:val="18"/>
                <w:szCs w:val="18"/>
              </w:rPr>
            </w:pPr>
            <w:r w:rsidRPr="00853140">
              <w:rPr>
                <w:rFonts w:asciiTheme="minorHAnsi" w:eastAsiaTheme="minorHAnsi" w:hAnsiTheme="minorHAnsi" w:cstheme="minorHAnsi"/>
                <w:b/>
                <w:bCs/>
                <w:sz w:val="18"/>
                <w:szCs w:val="18"/>
              </w:rPr>
              <w:t>İŞKUR</w:t>
            </w:r>
          </w:p>
          <w:p w14:paraId="2CFA63BE" w14:textId="77777777" w:rsidR="004D78BE" w:rsidRPr="00853140" w:rsidRDefault="004D78BE" w:rsidP="0072176B">
            <w:pPr>
              <w:spacing w:after="160" w:line="259" w:lineRule="auto"/>
              <w:jc w:val="center"/>
              <w:rPr>
                <w:rFonts w:asciiTheme="minorHAnsi" w:eastAsiaTheme="minorHAnsi" w:hAnsiTheme="minorHAnsi" w:cstheme="minorHAnsi"/>
                <w:b/>
                <w:bCs/>
                <w:sz w:val="18"/>
                <w:szCs w:val="18"/>
              </w:rPr>
            </w:pPr>
            <w:r w:rsidRPr="00853140">
              <w:rPr>
                <w:rFonts w:asciiTheme="minorHAnsi" w:eastAsiaTheme="minorHAnsi" w:hAnsiTheme="minorHAnsi" w:cstheme="minorHAnsi"/>
                <w:b/>
                <w:bCs/>
                <w:sz w:val="18"/>
                <w:szCs w:val="18"/>
              </w:rPr>
              <w:t>CURRENT STATUS DESCRIPTION</w:t>
            </w:r>
          </w:p>
          <w:p w14:paraId="2E4ABF84" w14:textId="7FFBBA10" w:rsidR="004D78BE" w:rsidRPr="00853140" w:rsidRDefault="004D78BE" w:rsidP="0072176B">
            <w:pPr>
              <w:spacing w:after="160" w:line="259" w:lineRule="auto"/>
              <w:jc w:val="center"/>
              <w:rPr>
                <w:rFonts w:asciiTheme="minorHAnsi" w:eastAsiaTheme="minorHAnsi" w:hAnsiTheme="minorHAnsi" w:cstheme="minorHAnsi"/>
                <w:sz w:val="18"/>
                <w:szCs w:val="18"/>
              </w:rPr>
            </w:pPr>
            <w:r w:rsidRPr="00853140">
              <w:rPr>
                <w:rFonts w:asciiTheme="minorHAnsi" w:eastAsiaTheme="minorHAnsi" w:hAnsiTheme="minorHAnsi" w:cstheme="minorHAnsi"/>
                <w:b/>
                <w:bCs/>
                <w:sz w:val="18"/>
                <w:szCs w:val="18"/>
              </w:rPr>
              <w:t>(2015-2022 Period)</w:t>
            </w:r>
          </w:p>
        </w:tc>
      </w:tr>
      <w:tr w:rsidR="004D78BE" w:rsidRPr="00DB0C40" w14:paraId="74A59C1D" w14:textId="77777777" w:rsidTr="008024A4">
        <w:tc>
          <w:tcPr>
            <w:tcW w:w="0" w:type="auto"/>
            <w:shd w:val="clear" w:color="auto" w:fill="FBE4D5" w:themeFill="accent2" w:themeFillTint="33"/>
          </w:tcPr>
          <w:p w14:paraId="66DF4CAE" w14:textId="77777777" w:rsidR="004D78BE" w:rsidRPr="00853140" w:rsidRDefault="004D78BE" w:rsidP="008024A4">
            <w:pPr>
              <w:spacing w:after="160" w:line="259" w:lineRule="auto"/>
              <w:jc w:val="both"/>
              <w:rPr>
                <w:rFonts w:asciiTheme="minorHAnsi" w:eastAsiaTheme="minorHAnsi" w:hAnsiTheme="minorHAnsi" w:cstheme="minorHAnsi"/>
                <w:sz w:val="18"/>
                <w:szCs w:val="18"/>
              </w:rPr>
            </w:pPr>
            <w:r w:rsidRPr="00853140">
              <w:rPr>
                <w:rFonts w:asciiTheme="minorHAnsi" w:eastAsiaTheme="minorHAnsi" w:hAnsiTheme="minorHAnsi" w:cstheme="minorHAnsi"/>
                <w:sz w:val="18"/>
                <w:szCs w:val="18"/>
              </w:rPr>
              <w:t>Article 13 of the Law, one of the parents benefiting from the right to work part-time until the beginning of the month following the start of the compulsory primary education age following the expiry of the permits stipulated in the Article 74 of the Law (number of women and men benefiting)</w:t>
            </w:r>
          </w:p>
          <w:p w14:paraId="53FE0FAE" w14:textId="47A6D8FD" w:rsidR="00D93C96" w:rsidRPr="00853140" w:rsidRDefault="00D93C96" w:rsidP="00D93C96">
            <w:pPr>
              <w:spacing w:after="160" w:line="259" w:lineRule="auto"/>
              <w:jc w:val="both"/>
              <w:rPr>
                <w:rFonts w:asciiTheme="minorHAnsi" w:eastAsiaTheme="minorHAnsi" w:hAnsiTheme="minorHAnsi" w:cstheme="minorHAnsi"/>
                <w:sz w:val="18"/>
                <w:szCs w:val="18"/>
              </w:rPr>
            </w:pPr>
          </w:p>
        </w:tc>
        <w:tc>
          <w:tcPr>
            <w:tcW w:w="0" w:type="auto"/>
            <w:shd w:val="clear" w:color="auto" w:fill="FBE4D5" w:themeFill="accent2" w:themeFillTint="33"/>
          </w:tcPr>
          <w:p w14:paraId="54AC64D8" w14:textId="77777777" w:rsidR="004D78BE" w:rsidRPr="00853140" w:rsidRDefault="004D78BE" w:rsidP="008024A4">
            <w:pPr>
              <w:spacing w:after="160" w:line="259" w:lineRule="auto"/>
              <w:jc w:val="both"/>
              <w:rPr>
                <w:rFonts w:asciiTheme="minorHAnsi" w:eastAsiaTheme="minorHAnsi" w:hAnsiTheme="minorHAnsi" w:cstheme="minorHAnsi"/>
                <w:sz w:val="18"/>
                <w:szCs w:val="18"/>
              </w:rPr>
            </w:pPr>
          </w:p>
        </w:tc>
      </w:tr>
      <w:tr w:rsidR="004D78BE" w:rsidRPr="00DB0C40" w14:paraId="040CABCD" w14:textId="77777777" w:rsidTr="008024A4">
        <w:tc>
          <w:tcPr>
            <w:tcW w:w="0" w:type="auto"/>
            <w:shd w:val="clear" w:color="auto" w:fill="FBE4D5" w:themeFill="accent2" w:themeFillTint="33"/>
          </w:tcPr>
          <w:p w14:paraId="10630916" w14:textId="0C0BCB2F" w:rsidR="004D78BE" w:rsidRPr="00853140" w:rsidRDefault="004D78BE" w:rsidP="008024A4">
            <w:pPr>
              <w:spacing w:after="160" w:line="259" w:lineRule="auto"/>
              <w:jc w:val="both"/>
              <w:rPr>
                <w:rFonts w:asciiTheme="minorHAnsi" w:eastAsiaTheme="minorHAnsi" w:hAnsiTheme="minorHAnsi" w:cstheme="minorHAnsi"/>
                <w:sz w:val="18"/>
                <w:szCs w:val="18"/>
              </w:rPr>
            </w:pPr>
            <w:r w:rsidRPr="00853140">
              <w:rPr>
                <w:rFonts w:asciiTheme="minorHAnsi" w:eastAsiaTheme="minorHAnsi" w:hAnsiTheme="minorHAnsi" w:cstheme="minorHAnsi"/>
                <w:sz w:val="18"/>
                <w:szCs w:val="18"/>
              </w:rPr>
              <w:t>Article 74 of the Law , in case the mother dies at birth or after birth, allowing the father to use the periods that the mother cannot use after the birth (number of beneficiaries)</w:t>
            </w:r>
          </w:p>
        </w:tc>
        <w:tc>
          <w:tcPr>
            <w:tcW w:w="0" w:type="auto"/>
            <w:shd w:val="clear" w:color="auto" w:fill="FBE4D5" w:themeFill="accent2" w:themeFillTint="33"/>
          </w:tcPr>
          <w:p w14:paraId="426050E8" w14:textId="77777777" w:rsidR="004D78BE" w:rsidRPr="00853140" w:rsidRDefault="004D78BE" w:rsidP="008024A4">
            <w:pPr>
              <w:spacing w:after="160" w:line="259" w:lineRule="auto"/>
              <w:jc w:val="both"/>
              <w:rPr>
                <w:rFonts w:asciiTheme="minorHAnsi" w:eastAsiaTheme="minorHAnsi" w:hAnsiTheme="minorHAnsi" w:cstheme="minorHAnsi"/>
                <w:sz w:val="18"/>
                <w:szCs w:val="18"/>
              </w:rPr>
            </w:pPr>
          </w:p>
        </w:tc>
      </w:tr>
      <w:tr w:rsidR="004D78BE" w:rsidRPr="00DB0C40" w14:paraId="63C42411" w14:textId="77777777" w:rsidTr="008024A4">
        <w:tc>
          <w:tcPr>
            <w:tcW w:w="0" w:type="auto"/>
            <w:shd w:val="clear" w:color="auto" w:fill="FBE4D5" w:themeFill="accent2" w:themeFillTint="33"/>
          </w:tcPr>
          <w:p w14:paraId="752790F1" w14:textId="43099C0B" w:rsidR="004D78BE" w:rsidRPr="00853140" w:rsidRDefault="004D78BE" w:rsidP="00D93C96">
            <w:pPr>
              <w:spacing w:after="160" w:line="259" w:lineRule="auto"/>
              <w:jc w:val="both"/>
              <w:rPr>
                <w:rFonts w:asciiTheme="minorHAnsi" w:eastAsiaTheme="minorHAnsi" w:hAnsiTheme="minorHAnsi" w:cstheme="minorHAnsi"/>
                <w:sz w:val="18"/>
                <w:szCs w:val="18"/>
              </w:rPr>
            </w:pPr>
            <w:r w:rsidRPr="00853140">
              <w:rPr>
                <w:rFonts w:asciiTheme="minorHAnsi" w:eastAsiaTheme="minorHAnsi" w:hAnsiTheme="minorHAnsi" w:cstheme="minorHAnsi"/>
                <w:sz w:val="18"/>
                <w:szCs w:val="18"/>
              </w:rPr>
              <w:t>Article 74 of the Law , one of the spouses or adopters of a child who has not completed the age of three is given maternity leave for eight weeks from the date the child is actually delivered to the family (number of beneficiary women and men)</w:t>
            </w:r>
            <w:r w:rsidR="00D93C96" w:rsidRPr="00853140">
              <w:rPr>
                <w:rFonts w:asciiTheme="minorHAnsi" w:eastAsiaTheme="minorHAnsi" w:hAnsiTheme="minorHAnsi" w:cstheme="minorHAnsi"/>
                <w:sz w:val="18"/>
                <w:szCs w:val="18"/>
              </w:rPr>
              <w:t xml:space="preserve"> </w:t>
            </w:r>
          </w:p>
        </w:tc>
        <w:tc>
          <w:tcPr>
            <w:tcW w:w="0" w:type="auto"/>
            <w:shd w:val="clear" w:color="auto" w:fill="FBE4D5" w:themeFill="accent2" w:themeFillTint="33"/>
          </w:tcPr>
          <w:p w14:paraId="09F0539B" w14:textId="77777777" w:rsidR="004D78BE" w:rsidRPr="00853140" w:rsidRDefault="004D78BE" w:rsidP="008024A4">
            <w:pPr>
              <w:spacing w:after="160" w:line="259" w:lineRule="auto"/>
              <w:jc w:val="both"/>
              <w:rPr>
                <w:rFonts w:asciiTheme="minorHAnsi" w:eastAsiaTheme="minorHAnsi" w:hAnsiTheme="minorHAnsi" w:cstheme="minorHAnsi"/>
                <w:sz w:val="18"/>
                <w:szCs w:val="18"/>
              </w:rPr>
            </w:pPr>
          </w:p>
        </w:tc>
      </w:tr>
      <w:tr w:rsidR="004D78BE" w:rsidRPr="00DB0C40" w14:paraId="27B994F8" w14:textId="77777777" w:rsidTr="008024A4">
        <w:tc>
          <w:tcPr>
            <w:tcW w:w="0" w:type="auto"/>
            <w:shd w:val="clear" w:color="auto" w:fill="FBE4D5" w:themeFill="accent2" w:themeFillTint="33"/>
          </w:tcPr>
          <w:p w14:paraId="4D023084" w14:textId="77777777" w:rsidR="004D78BE" w:rsidRPr="00853140" w:rsidRDefault="00F03CE5" w:rsidP="008024A4">
            <w:pPr>
              <w:spacing w:after="160" w:line="259" w:lineRule="auto"/>
              <w:jc w:val="both"/>
              <w:rPr>
                <w:rFonts w:asciiTheme="minorHAnsi" w:eastAsiaTheme="minorHAnsi" w:hAnsiTheme="minorHAnsi" w:cstheme="minorHAnsi"/>
                <w:sz w:val="18"/>
                <w:szCs w:val="18"/>
              </w:rPr>
            </w:pPr>
            <w:r w:rsidRPr="00853140">
              <w:rPr>
                <w:rFonts w:asciiTheme="minorHAnsi" w:eastAsiaTheme="minorHAnsi" w:hAnsiTheme="minorHAnsi" w:cstheme="minorHAnsi"/>
                <w:sz w:val="18"/>
                <w:szCs w:val="18"/>
              </w:rPr>
              <w:t>Article 74 of the Law , sixty days for the first birth, one hundred and twenty days for the second birth, for the purpose of caring for and raising her child after the end of the postpartum maternity leave and on condition that the child is alive, upon their request .</w:t>
            </w:r>
          </w:p>
          <w:p w14:paraId="76A89A4E" w14:textId="680C2545" w:rsidR="00B9007C" w:rsidRPr="00853140" w:rsidRDefault="00B9007C" w:rsidP="008024A4">
            <w:pPr>
              <w:spacing w:after="160" w:line="259" w:lineRule="auto"/>
              <w:jc w:val="both"/>
              <w:rPr>
                <w:rFonts w:asciiTheme="minorHAnsi" w:eastAsiaTheme="minorHAnsi" w:hAnsiTheme="minorHAnsi" w:cstheme="minorHAnsi"/>
                <w:sz w:val="18"/>
                <w:szCs w:val="18"/>
              </w:rPr>
            </w:pPr>
            <w:r w:rsidRPr="00853140">
              <w:rPr>
                <w:rFonts w:asciiTheme="minorHAnsi" w:eastAsiaTheme="minorHAnsi" w:hAnsiTheme="minorHAnsi" w:cstheme="minorHAnsi"/>
                <w:sz w:val="18"/>
                <w:szCs w:val="18"/>
              </w:rPr>
              <w:t>One hundred and eighty days , half of the weekly working time (number of women benefiting depending on the number of children)</w:t>
            </w:r>
          </w:p>
        </w:tc>
        <w:tc>
          <w:tcPr>
            <w:tcW w:w="0" w:type="auto"/>
            <w:shd w:val="clear" w:color="auto" w:fill="FBE4D5" w:themeFill="accent2" w:themeFillTint="33"/>
          </w:tcPr>
          <w:p w14:paraId="1BEABCE6" w14:textId="7019C3F0" w:rsidR="00F03CE5" w:rsidRPr="00853140" w:rsidRDefault="00B9007C" w:rsidP="008024A4">
            <w:pPr>
              <w:spacing w:after="160" w:line="259" w:lineRule="auto"/>
              <w:jc w:val="both"/>
              <w:rPr>
                <w:rFonts w:asciiTheme="minorHAnsi" w:eastAsiaTheme="minorHAnsi" w:hAnsiTheme="minorHAnsi" w:cstheme="minorHAnsi"/>
                <w:sz w:val="18"/>
                <w:szCs w:val="18"/>
              </w:rPr>
            </w:pPr>
            <w:r w:rsidRPr="00853140">
              <w:rPr>
                <w:rFonts w:asciiTheme="minorHAnsi" w:eastAsiaTheme="minorHAnsi" w:hAnsiTheme="minorHAnsi" w:cstheme="minorHAnsi"/>
                <w:sz w:val="18"/>
                <w:szCs w:val="18"/>
              </w:rPr>
              <w:t>T</w:t>
            </w:r>
            <w:r w:rsidR="00F03CE5" w:rsidRPr="00853140">
              <w:rPr>
                <w:rFonts w:asciiTheme="minorHAnsi" w:eastAsiaTheme="minorHAnsi" w:hAnsiTheme="minorHAnsi" w:cstheme="minorHAnsi"/>
                <w:sz w:val="18"/>
                <w:szCs w:val="18"/>
              </w:rPr>
              <w:t>he number of women who benefit from the unpaid leave periods given to the female worker , upon their request , for the care and upbringing of their child after the end of the postpartum maternity leave, and on the condition that the child is alive, is requested.</w:t>
            </w:r>
          </w:p>
          <w:p w14:paraId="175D8C3D" w14:textId="77777777" w:rsidR="00F03CE5" w:rsidRPr="00853140" w:rsidRDefault="00F03CE5" w:rsidP="008024A4">
            <w:pPr>
              <w:spacing w:after="160" w:line="259" w:lineRule="auto"/>
              <w:jc w:val="both"/>
              <w:rPr>
                <w:rFonts w:asciiTheme="minorHAnsi" w:eastAsiaTheme="minorHAnsi" w:hAnsiTheme="minorHAnsi" w:cstheme="minorHAnsi"/>
                <w:sz w:val="18"/>
                <w:szCs w:val="18"/>
              </w:rPr>
            </w:pPr>
          </w:p>
          <w:p w14:paraId="7AD9BAFA" w14:textId="0394A416" w:rsidR="00F03CE5" w:rsidRPr="00853140" w:rsidRDefault="00B9007C" w:rsidP="008024A4">
            <w:pPr>
              <w:spacing w:after="160" w:line="259" w:lineRule="auto"/>
              <w:jc w:val="both"/>
              <w:rPr>
                <w:rFonts w:asciiTheme="minorHAnsi" w:eastAsiaTheme="minorHAnsi" w:hAnsiTheme="minorHAnsi" w:cstheme="minorHAnsi"/>
                <w:sz w:val="18"/>
                <w:szCs w:val="18"/>
              </w:rPr>
            </w:pPr>
            <w:r w:rsidRPr="00853140">
              <w:rPr>
                <w:rFonts w:asciiTheme="minorHAnsi" w:eastAsiaTheme="minorHAnsi" w:hAnsiTheme="minorHAnsi" w:cstheme="minorHAnsi"/>
                <w:sz w:val="18"/>
                <w:szCs w:val="18"/>
              </w:rPr>
              <w:t>S</w:t>
            </w:r>
            <w:r w:rsidR="00F03CE5" w:rsidRPr="00853140">
              <w:rPr>
                <w:rFonts w:asciiTheme="minorHAnsi" w:eastAsiaTheme="minorHAnsi" w:hAnsiTheme="minorHAnsi" w:cstheme="minorHAnsi"/>
                <w:sz w:val="18"/>
                <w:szCs w:val="18"/>
              </w:rPr>
              <w:t xml:space="preserve">cope of Additional Article 5 of the Unemployment Insurance Law No. 4447, </w:t>
            </w:r>
            <w:r w:rsidRPr="00853140">
              <w:rPr>
                <w:rFonts w:asciiTheme="minorHAnsi" w:eastAsiaTheme="minorHAnsi" w:hAnsiTheme="minorHAnsi" w:cstheme="minorHAnsi"/>
                <w:sz w:val="18"/>
                <w:szCs w:val="18"/>
              </w:rPr>
              <w:t>ISKUR</w:t>
            </w:r>
            <w:r w:rsidR="00F03CE5" w:rsidRPr="00853140">
              <w:rPr>
                <w:rFonts w:asciiTheme="minorHAnsi" w:eastAsiaTheme="minorHAnsi" w:hAnsiTheme="minorHAnsi" w:cstheme="minorHAnsi"/>
                <w:sz w:val="18"/>
                <w:szCs w:val="18"/>
              </w:rPr>
              <w:t xml:space="preserve"> pays half-time work allowance after birth and adoption to the insurance holders who apply to our Institution and meet the premium payment conditions, during </w:t>
            </w:r>
            <w:r w:rsidR="00F03CE5" w:rsidRPr="00853140">
              <w:rPr>
                <w:rFonts w:asciiTheme="minorHAnsi" w:eastAsiaTheme="minorHAnsi" w:hAnsiTheme="minorHAnsi" w:cstheme="minorHAnsi"/>
                <w:sz w:val="18"/>
                <w:szCs w:val="18"/>
              </w:rPr>
              <w:lastRenderedPageBreak/>
              <w:t>the said leave periods. Therefore, our Institution does not have the information of all persons who are granted unpaid leave within the scope of the second paragraph of Article 74 of the Law No. 4857.</w:t>
            </w:r>
          </w:p>
          <w:p w14:paraId="0DE6F937" w14:textId="77777777" w:rsidR="00F03CE5" w:rsidRPr="00853140" w:rsidRDefault="00F03CE5" w:rsidP="008024A4">
            <w:pPr>
              <w:spacing w:after="160" w:line="259" w:lineRule="auto"/>
              <w:jc w:val="both"/>
              <w:rPr>
                <w:rFonts w:asciiTheme="minorHAnsi" w:eastAsiaTheme="minorHAnsi" w:hAnsiTheme="minorHAnsi" w:cstheme="minorHAnsi"/>
                <w:sz w:val="18"/>
                <w:szCs w:val="18"/>
              </w:rPr>
            </w:pPr>
          </w:p>
          <w:p w14:paraId="70F37823" w14:textId="77777777" w:rsidR="00F03CE5" w:rsidRPr="00853140" w:rsidRDefault="00F03CE5" w:rsidP="008024A4">
            <w:pPr>
              <w:spacing w:after="160" w:line="259" w:lineRule="auto"/>
              <w:jc w:val="both"/>
              <w:rPr>
                <w:rFonts w:asciiTheme="minorHAnsi" w:eastAsiaTheme="minorHAnsi" w:hAnsiTheme="minorHAnsi" w:cstheme="minorHAnsi"/>
                <w:sz w:val="18"/>
                <w:szCs w:val="18"/>
              </w:rPr>
            </w:pPr>
            <w:r w:rsidRPr="00853140">
              <w:rPr>
                <w:rFonts w:asciiTheme="minorHAnsi" w:eastAsiaTheme="minorHAnsi" w:hAnsiTheme="minorHAnsi" w:cstheme="minorHAnsi"/>
                <w:sz w:val="18"/>
                <w:szCs w:val="18"/>
              </w:rPr>
              <w:t>However, from February 2016, when the implementation started, until the end of May 2022, from a total of 36,713 people who were entitled to half-time work allowance from our Institution and were given unpaid leave, equal to half of the weekly working time, within the scope of 74/2;</w:t>
            </w:r>
          </w:p>
          <w:p w14:paraId="4754C9A8" w14:textId="587D3FA9" w:rsidR="00F03CE5" w:rsidRPr="00853140" w:rsidRDefault="00F03CE5">
            <w:pPr>
              <w:numPr>
                <w:ilvl w:val="0"/>
                <w:numId w:val="47"/>
              </w:numPr>
              <w:spacing w:after="160" w:line="259" w:lineRule="auto"/>
              <w:jc w:val="both"/>
              <w:rPr>
                <w:rFonts w:asciiTheme="minorHAnsi" w:eastAsiaTheme="minorHAnsi" w:hAnsiTheme="minorHAnsi" w:cstheme="minorHAnsi"/>
                <w:sz w:val="18"/>
                <w:szCs w:val="18"/>
              </w:rPr>
            </w:pPr>
            <w:r w:rsidRPr="00853140">
              <w:rPr>
                <w:rFonts w:asciiTheme="minorHAnsi" w:eastAsiaTheme="minorHAnsi" w:hAnsiTheme="minorHAnsi" w:cstheme="minorHAnsi"/>
                <w:sz w:val="18"/>
                <w:szCs w:val="18"/>
              </w:rPr>
              <w:t>16</w:t>
            </w:r>
            <w:r w:rsidR="00B9007C" w:rsidRPr="00853140">
              <w:rPr>
                <w:rFonts w:asciiTheme="minorHAnsi" w:eastAsiaTheme="minorHAnsi" w:hAnsiTheme="minorHAnsi" w:cstheme="minorHAnsi"/>
                <w:sz w:val="18"/>
                <w:szCs w:val="18"/>
              </w:rPr>
              <w:t>,</w:t>
            </w:r>
            <w:r w:rsidRPr="00853140">
              <w:rPr>
                <w:rFonts w:asciiTheme="minorHAnsi" w:eastAsiaTheme="minorHAnsi" w:hAnsiTheme="minorHAnsi" w:cstheme="minorHAnsi"/>
                <w:sz w:val="18"/>
                <w:szCs w:val="18"/>
              </w:rPr>
              <w:t>375 people first born,</w:t>
            </w:r>
          </w:p>
          <w:p w14:paraId="1AC8FE16" w14:textId="430BCB5A" w:rsidR="00F03CE5" w:rsidRPr="00853140" w:rsidRDefault="00F03CE5">
            <w:pPr>
              <w:numPr>
                <w:ilvl w:val="0"/>
                <w:numId w:val="47"/>
              </w:numPr>
              <w:spacing w:after="160" w:line="259" w:lineRule="auto"/>
              <w:jc w:val="both"/>
              <w:rPr>
                <w:rFonts w:asciiTheme="minorHAnsi" w:eastAsiaTheme="minorHAnsi" w:hAnsiTheme="minorHAnsi" w:cstheme="minorHAnsi"/>
                <w:sz w:val="18"/>
                <w:szCs w:val="18"/>
              </w:rPr>
            </w:pPr>
            <w:r w:rsidRPr="00853140">
              <w:rPr>
                <w:rFonts w:asciiTheme="minorHAnsi" w:eastAsiaTheme="minorHAnsi" w:hAnsiTheme="minorHAnsi" w:cstheme="minorHAnsi"/>
                <w:sz w:val="18"/>
                <w:szCs w:val="18"/>
              </w:rPr>
              <w:t>15</w:t>
            </w:r>
            <w:r w:rsidR="00B9007C" w:rsidRPr="00853140">
              <w:rPr>
                <w:rFonts w:asciiTheme="minorHAnsi" w:eastAsiaTheme="minorHAnsi" w:hAnsiTheme="minorHAnsi" w:cstheme="minorHAnsi"/>
                <w:sz w:val="18"/>
                <w:szCs w:val="18"/>
              </w:rPr>
              <w:t>,</w:t>
            </w:r>
            <w:r w:rsidRPr="00853140">
              <w:rPr>
                <w:rFonts w:asciiTheme="minorHAnsi" w:eastAsiaTheme="minorHAnsi" w:hAnsiTheme="minorHAnsi" w:cstheme="minorHAnsi"/>
                <w:sz w:val="18"/>
                <w:szCs w:val="18"/>
              </w:rPr>
              <w:t>464 people second birth,</w:t>
            </w:r>
          </w:p>
          <w:p w14:paraId="2BC8537B" w14:textId="47C9CB79" w:rsidR="00F03CE5" w:rsidRPr="00853140" w:rsidRDefault="00F03CE5">
            <w:pPr>
              <w:numPr>
                <w:ilvl w:val="0"/>
                <w:numId w:val="47"/>
              </w:numPr>
              <w:spacing w:after="160" w:line="259" w:lineRule="auto"/>
              <w:jc w:val="both"/>
              <w:rPr>
                <w:rFonts w:asciiTheme="minorHAnsi" w:eastAsiaTheme="minorHAnsi" w:hAnsiTheme="minorHAnsi" w:cstheme="minorHAnsi"/>
                <w:sz w:val="18"/>
                <w:szCs w:val="18"/>
              </w:rPr>
            </w:pPr>
            <w:r w:rsidRPr="00853140">
              <w:rPr>
                <w:rFonts w:asciiTheme="minorHAnsi" w:eastAsiaTheme="minorHAnsi" w:hAnsiTheme="minorHAnsi" w:cstheme="minorHAnsi"/>
                <w:sz w:val="18"/>
                <w:szCs w:val="18"/>
              </w:rPr>
              <w:t>4</w:t>
            </w:r>
            <w:r w:rsidR="00B9007C" w:rsidRPr="00853140">
              <w:rPr>
                <w:rFonts w:asciiTheme="minorHAnsi" w:eastAsiaTheme="minorHAnsi" w:hAnsiTheme="minorHAnsi" w:cstheme="minorHAnsi"/>
                <w:sz w:val="18"/>
                <w:szCs w:val="18"/>
              </w:rPr>
              <w:t>,</w:t>
            </w:r>
            <w:r w:rsidRPr="00853140">
              <w:rPr>
                <w:rFonts w:asciiTheme="minorHAnsi" w:eastAsiaTheme="minorHAnsi" w:hAnsiTheme="minorHAnsi" w:cstheme="minorHAnsi"/>
                <w:sz w:val="18"/>
                <w:szCs w:val="18"/>
              </w:rPr>
              <w:t>874 people have three or more births,</w:t>
            </w:r>
          </w:p>
          <w:p w14:paraId="3F376615" w14:textId="77777777" w:rsidR="00F03CE5" w:rsidRPr="00853140" w:rsidRDefault="00F03CE5" w:rsidP="008024A4">
            <w:pPr>
              <w:spacing w:after="160" w:line="259" w:lineRule="auto"/>
              <w:jc w:val="both"/>
              <w:rPr>
                <w:rFonts w:asciiTheme="minorHAnsi" w:eastAsiaTheme="minorHAnsi" w:hAnsiTheme="minorHAnsi" w:cstheme="minorHAnsi"/>
                <w:sz w:val="18"/>
                <w:szCs w:val="18"/>
              </w:rPr>
            </w:pPr>
            <w:r w:rsidRPr="00853140">
              <w:rPr>
                <w:rFonts w:asciiTheme="minorHAnsi" w:eastAsiaTheme="minorHAnsi" w:hAnsiTheme="minorHAnsi" w:cstheme="minorHAnsi"/>
                <w:sz w:val="18"/>
                <w:szCs w:val="18"/>
              </w:rPr>
              <w:t xml:space="preserve">benefited from the grant. All of the eligible persons are female employees.  </w:t>
            </w:r>
          </w:p>
          <w:p w14:paraId="3D34A563" w14:textId="77777777" w:rsidR="004D78BE" w:rsidRPr="00853140" w:rsidRDefault="004D78BE" w:rsidP="008024A4">
            <w:pPr>
              <w:spacing w:after="160" w:line="259" w:lineRule="auto"/>
              <w:jc w:val="both"/>
              <w:rPr>
                <w:rFonts w:asciiTheme="minorHAnsi" w:eastAsiaTheme="minorHAnsi" w:hAnsiTheme="minorHAnsi" w:cstheme="minorHAnsi"/>
                <w:sz w:val="18"/>
                <w:szCs w:val="18"/>
              </w:rPr>
            </w:pPr>
          </w:p>
        </w:tc>
      </w:tr>
      <w:tr w:rsidR="004D78BE" w:rsidRPr="00DB0C40" w14:paraId="1F44FC55" w14:textId="77777777" w:rsidTr="008024A4">
        <w:tc>
          <w:tcPr>
            <w:tcW w:w="0" w:type="auto"/>
            <w:shd w:val="clear" w:color="auto" w:fill="FBE4D5" w:themeFill="accent2" w:themeFillTint="33"/>
          </w:tcPr>
          <w:p w14:paraId="30E89D84" w14:textId="77777777" w:rsidR="004D78BE" w:rsidRPr="00853140" w:rsidRDefault="00F03CE5" w:rsidP="008024A4">
            <w:pPr>
              <w:spacing w:after="160" w:line="259" w:lineRule="auto"/>
              <w:jc w:val="both"/>
              <w:rPr>
                <w:rFonts w:asciiTheme="minorHAnsi" w:eastAsiaTheme="minorHAnsi" w:hAnsiTheme="minorHAnsi" w:cstheme="minorHAnsi"/>
                <w:sz w:val="18"/>
                <w:szCs w:val="18"/>
              </w:rPr>
            </w:pPr>
            <w:r w:rsidRPr="00853140">
              <w:rPr>
                <w:rFonts w:asciiTheme="minorHAnsi" w:eastAsiaTheme="minorHAnsi" w:hAnsiTheme="minorHAnsi" w:cstheme="minorHAnsi"/>
                <w:sz w:val="18"/>
                <w:szCs w:val="18"/>
              </w:rPr>
              <w:lastRenderedPageBreak/>
              <w:t>Article 74 of the Law , after the end of the postpartum maternity leave, women or men who adopt a child for the purpose of caring for and raising their child and on condition that the child is alive, are given weekly for sixty days for the first birth, one hundred and twenty days for the second birth, and one hundred and eighty days for the following births, upon their request. unpaid leave for half of the working time (number of men and women benefiting)</w:t>
            </w:r>
          </w:p>
          <w:p w14:paraId="780E8C93" w14:textId="5FA8F84E" w:rsidR="00D93C96" w:rsidRPr="00853140" w:rsidRDefault="00D93C96" w:rsidP="008024A4">
            <w:pPr>
              <w:spacing w:after="160" w:line="259" w:lineRule="auto"/>
              <w:jc w:val="both"/>
              <w:rPr>
                <w:rFonts w:asciiTheme="minorHAnsi" w:eastAsiaTheme="minorHAnsi" w:hAnsiTheme="minorHAnsi" w:cstheme="minorHAnsi"/>
                <w:sz w:val="18"/>
                <w:szCs w:val="18"/>
              </w:rPr>
            </w:pPr>
          </w:p>
        </w:tc>
        <w:tc>
          <w:tcPr>
            <w:tcW w:w="0" w:type="auto"/>
            <w:shd w:val="clear" w:color="auto" w:fill="FBE4D5" w:themeFill="accent2" w:themeFillTint="33"/>
          </w:tcPr>
          <w:p w14:paraId="69D5512D" w14:textId="5E789536" w:rsidR="00B9007C" w:rsidRPr="00853140" w:rsidRDefault="00B9007C" w:rsidP="008024A4">
            <w:pPr>
              <w:spacing w:after="160" w:line="259" w:lineRule="auto"/>
              <w:jc w:val="both"/>
              <w:rPr>
                <w:rFonts w:asciiTheme="minorHAnsi" w:eastAsiaTheme="minorHAnsi" w:hAnsiTheme="minorHAnsi" w:cstheme="minorHAnsi"/>
                <w:sz w:val="18"/>
                <w:szCs w:val="18"/>
              </w:rPr>
            </w:pPr>
            <w:r w:rsidRPr="00853140">
              <w:rPr>
                <w:rFonts w:asciiTheme="minorHAnsi" w:eastAsiaTheme="minorHAnsi" w:hAnsiTheme="minorHAnsi" w:cstheme="minorHAnsi"/>
                <w:sz w:val="18"/>
                <w:szCs w:val="18"/>
              </w:rPr>
              <w:t>The number of women who benefit from the unpaid leave periods given to the female worker, upon their request, for the care and upbringing of their child after the end of the postpartum maternity leave, and on the condition that the child is alive, is requested.</w:t>
            </w:r>
          </w:p>
          <w:p w14:paraId="37982B40" w14:textId="77777777" w:rsidR="00B9007C" w:rsidRPr="00853140" w:rsidRDefault="00B9007C" w:rsidP="008024A4">
            <w:pPr>
              <w:spacing w:after="160" w:line="259" w:lineRule="auto"/>
              <w:jc w:val="both"/>
              <w:rPr>
                <w:rFonts w:asciiTheme="minorHAnsi" w:eastAsiaTheme="minorHAnsi" w:hAnsiTheme="minorHAnsi" w:cstheme="minorHAnsi"/>
                <w:sz w:val="18"/>
                <w:szCs w:val="18"/>
              </w:rPr>
            </w:pPr>
          </w:p>
          <w:p w14:paraId="63C01269" w14:textId="572AD5EE" w:rsidR="00B9007C" w:rsidRPr="00853140" w:rsidRDefault="00B9007C" w:rsidP="008024A4">
            <w:pPr>
              <w:spacing w:after="160" w:line="259" w:lineRule="auto"/>
              <w:jc w:val="both"/>
              <w:rPr>
                <w:rFonts w:asciiTheme="minorHAnsi" w:eastAsiaTheme="minorHAnsi" w:hAnsiTheme="minorHAnsi" w:cstheme="minorHAnsi"/>
                <w:sz w:val="18"/>
                <w:szCs w:val="18"/>
              </w:rPr>
            </w:pPr>
            <w:r w:rsidRPr="00853140">
              <w:rPr>
                <w:rFonts w:asciiTheme="minorHAnsi" w:eastAsiaTheme="minorHAnsi" w:hAnsiTheme="minorHAnsi" w:cstheme="minorHAnsi"/>
                <w:sz w:val="18"/>
                <w:szCs w:val="18"/>
              </w:rPr>
              <w:t xml:space="preserve">Within the scope of Additional Article 5 of the Unemployment Insurance Law No. 4447, </w:t>
            </w:r>
            <w:r w:rsidR="008024A4" w:rsidRPr="00853140">
              <w:rPr>
                <w:rFonts w:asciiTheme="minorHAnsi" w:eastAsiaTheme="minorHAnsi" w:hAnsiTheme="minorHAnsi" w:cstheme="minorHAnsi"/>
                <w:sz w:val="18"/>
                <w:szCs w:val="18"/>
              </w:rPr>
              <w:t>ISKUR</w:t>
            </w:r>
            <w:r w:rsidRPr="00853140">
              <w:rPr>
                <w:rFonts w:asciiTheme="minorHAnsi" w:eastAsiaTheme="minorHAnsi" w:hAnsiTheme="minorHAnsi" w:cstheme="minorHAnsi"/>
                <w:sz w:val="18"/>
                <w:szCs w:val="18"/>
              </w:rPr>
              <w:t xml:space="preserve"> pays half-time work allowance after birth and adoption to the insurance holders who apply to </w:t>
            </w:r>
            <w:r w:rsidR="008024A4" w:rsidRPr="00853140">
              <w:rPr>
                <w:rFonts w:asciiTheme="minorHAnsi" w:eastAsiaTheme="minorHAnsi" w:hAnsiTheme="minorHAnsi" w:cstheme="minorHAnsi"/>
                <w:sz w:val="18"/>
                <w:szCs w:val="18"/>
              </w:rPr>
              <w:t xml:space="preserve">ISKUR </w:t>
            </w:r>
            <w:r w:rsidRPr="00853140">
              <w:rPr>
                <w:rFonts w:asciiTheme="minorHAnsi" w:eastAsiaTheme="minorHAnsi" w:hAnsiTheme="minorHAnsi" w:cstheme="minorHAnsi"/>
                <w:sz w:val="18"/>
                <w:szCs w:val="18"/>
              </w:rPr>
              <w:t>and meet the premium payment conditions, during the said leave periods. Therefore, since the information of all persons granted unpaid leave within the scope of the second paragraph of Article 74 of the Law No. 4857 is not available in</w:t>
            </w:r>
            <w:r w:rsidR="008024A4" w:rsidRPr="00853140">
              <w:rPr>
                <w:rFonts w:asciiTheme="minorHAnsi" w:eastAsiaTheme="minorHAnsi" w:hAnsiTheme="minorHAnsi" w:cstheme="minorHAnsi"/>
                <w:sz w:val="18"/>
                <w:szCs w:val="18"/>
              </w:rPr>
              <w:t xml:space="preserve"> ISKUR</w:t>
            </w:r>
            <w:r w:rsidRPr="00853140">
              <w:rPr>
                <w:rFonts w:asciiTheme="minorHAnsi" w:eastAsiaTheme="minorHAnsi" w:hAnsiTheme="minorHAnsi" w:cstheme="minorHAnsi"/>
                <w:sz w:val="18"/>
                <w:szCs w:val="18"/>
              </w:rPr>
              <w:t>, the information of the persons entitled to half-time work allowance within the scope of additional article 5 of the Law No. 4447</w:t>
            </w:r>
            <w:r w:rsidR="008024A4" w:rsidRPr="00853140">
              <w:rPr>
                <w:rFonts w:asciiTheme="minorHAnsi" w:eastAsiaTheme="minorHAnsi" w:hAnsiTheme="minorHAnsi" w:cstheme="minorHAnsi"/>
                <w:sz w:val="18"/>
                <w:szCs w:val="18"/>
              </w:rPr>
              <w:t xml:space="preserve"> is the following:</w:t>
            </w:r>
            <w:r w:rsidRPr="00853140">
              <w:rPr>
                <w:rFonts w:asciiTheme="minorHAnsi" w:eastAsiaTheme="minorHAnsi" w:hAnsiTheme="minorHAnsi" w:cstheme="minorHAnsi"/>
                <w:sz w:val="18"/>
                <w:szCs w:val="18"/>
              </w:rPr>
              <w:t xml:space="preserve"> </w:t>
            </w:r>
          </w:p>
          <w:p w14:paraId="5A8F3004" w14:textId="77777777" w:rsidR="00B9007C" w:rsidRPr="00853140" w:rsidRDefault="00B9007C" w:rsidP="008024A4">
            <w:pPr>
              <w:spacing w:after="160" w:line="259" w:lineRule="auto"/>
              <w:jc w:val="both"/>
              <w:rPr>
                <w:rFonts w:asciiTheme="minorHAnsi" w:eastAsiaTheme="minorHAnsi" w:hAnsiTheme="minorHAnsi" w:cstheme="minorHAnsi"/>
                <w:sz w:val="18"/>
                <w:szCs w:val="18"/>
              </w:rPr>
            </w:pPr>
          </w:p>
          <w:p w14:paraId="6133E780" w14:textId="538F8076" w:rsidR="004D78BE" w:rsidRPr="00853140" w:rsidRDefault="00B9007C" w:rsidP="008024A4">
            <w:pPr>
              <w:spacing w:after="160" w:line="259" w:lineRule="auto"/>
              <w:jc w:val="both"/>
              <w:rPr>
                <w:rFonts w:asciiTheme="minorHAnsi" w:eastAsiaTheme="minorHAnsi" w:hAnsiTheme="minorHAnsi" w:cstheme="minorHAnsi"/>
                <w:sz w:val="18"/>
                <w:szCs w:val="18"/>
              </w:rPr>
            </w:pPr>
            <w:r w:rsidRPr="00853140">
              <w:rPr>
                <w:rFonts w:asciiTheme="minorHAnsi" w:eastAsiaTheme="minorHAnsi" w:hAnsiTheme="minorHAnsi" w:cstheme="minorHAnsi"/>
                <w:sz w:val="18"/>
                <w:szCs w:val="18"/>
              </w:rPr>
              <w:t>From February 2016, when the implementation started, until the end of May 2022, all of the people who were granted unpaid leave equal to half of the weekly working time within the scope of 74/2 and who were entitled to receive half-time work allowance from our Institution were female employees.</w:t>
            </w:r>
          </w:p>
        </w:tc>
      </w:tr>
      <w:tr w:rsidR="004D78BE" w:rsidRPr="00DB0C40" w14:paraId="011C8CA3" w14:textId="77777777" w:rsidTr="008024A4">
        <w:tc>
          <w:tcPr>
            <w:tcW w:w="0" w:type="auto"/>
            <w:shd w:val="clear" w:color="auto" w:fill="FBE4D5" w:themeFill="accent2" w:themeFillTint="33"/>
          </w:tcPr>
          <w:p w14:paraId="349112C2" w14:textId="137A03F4" w:rsidR="004D78BE" w:rsidRPr="00853140" w:rsidRDefault="00F03CE5" w:rsidP="008024A4">
            <w:pPr>
              <w:spacing w:after="160" w:line="259" w:lineRule="auto"/>
              <w:jc w:val="both"/>
              <w:rPr>
                <w:rFonts w:asciiTheme="minorHAnsi" w:eastAsiaTheme="minorHAnsi" w:hAnsiTheme="minorHAnsi" w:cstheme="minorHAnsi"/>
                <w:sz w:val="18"/>
                <w:szCs w:val="18"/>
              </w:rPr>
            </w:pPr>
            <w:r w:rsidRPr="00853140">
              <w:rPr>
                <w:rFonts w:asciiTheme="minorHAnsi" w:eastAsiaTheme="minorHAnsi" w:hAnsiTheme="minorHAnsi" w:cstheme="minorHAnsi"/>
                <w:sz w:val="18"/>
                <w:szCs w:val="18"/>
              </w:rPr>
              <w:t>Adding thirty days to the periods specified in case of multiple births within the scope of paragraph 2 of Article 74 of the Law (number of beneficiary women)</w:t>
            </w:r>
          </w:p>
        </w:tc>
        <w:tc>
          <w:tcPr>
            <w:tcW w:w="0" w:type="auto"/>
            <w:shd w:val="clear" w:color="auto" w:fill="FBE4D5" w:themeFill="accent2" w:themeFillTint="33"/>
          </w:tcPr>
          <w:p w14:paraId="18116424" w14:textId="6567F4A5" w:rsidR="00B9007C" w:rsidRPr="00853140" w:rsidRDefault="00B9007C" w:rsidP="008024A4">
            <w:pPr>
              <w:spacing w:after="160" w:line="259" w:lineRule="auto"/>
              <w:jc w:val="both"/>
              <w:rPr>
                <w:rFonts w:asciiTheme="minorHAnsi" w:eastAsiaTheme="minorHAnsi" w:hAnsiTheme="minorHAnsi" w:cstheme="minorHAnsi"/>
                <w:sz w:val="18"/>
                <w:szCs w:val="18"/>
              </w:rPr>
            </w:pPr>
            <w:r w:rsidRPr="00853140">
              <w:rPr>
                <w:rFonts w:asciiTheme="minorHAnsi" w:eastAsiaTheme="minorHAnsi" w:hAnsiTheme="minorHAnsi" w:cstheme="minorHAnsi"/>
                <w:sz w:val="18"/>
                <w:szCs w:val="18"/>
              </w:rPr>
              <w:t>The number of women who benefit from the unpaid leave periods given to the female worker, upon their request, for the care and upbringing of their child after the end of the postpartum maternity leave, and on the condition that the child is alive, is requested.</w:t>
            </w:r>
          </w:p>
          <w:p w14:paraId="6E3B7DEF" w14:textId="77777777" w:rsidR="00B9007C" w:rsidRPr="00853140" w:rsidRDefault="00B9007C" w:rsidP="008024A4">
            <w:pPr>
              <w:spacing w:after="160" w:line="259" w:lineRule="auto"/>
              <w:jc w:val="both"/>
              <w:rPr>
                <w:rFonts w:asciiTheme="minorHAnsi" w:eastAsiaTheme="minorHAnsi" w:hAnsiTheme="minorHAnsi" w:cstheme="minorHAnsi"/>
                <w:sz w:val="18"/>
                <w:szCs w:val="18"/>
              </w:rPr>
            </w:pPr>
          </w:p>
          <w:p w14:paraId="7B5B3740" w14:textId="46D7F1E7" w:rsidR="00B9007C" w:rsidRPr="00853140" w:rsidRDefault="00B9007C" w:rsidP="008024A4">
            <w:pPr>
              <w:spacing w:after="160" w:line="259" w:lineRule="auto"/>
              <w:jc w:val="both"/>
              <w:rPr>
                <w:rFonts w:asciiTheme="minorHAnsi" w:eastAsiaTheme="minorHAnsi" w:hAnsiTheme="minorHAnsi" w:cstheme="minorHAnsi"/>
                <w:sz w:val="18"/>
                <w:szCs w:val="18"/>
              </w:rPr>
            </w:pPr>
            <w:r w:rsidRPr="00853140">
              <w:rPr>
                <w:rFonts w:asciiTheme="minorHAnsi" w:eastAsiaTheme="minorHAnsi" w:hAnsiTheme="minorHAnsi" w:cstheme="minorHAnsi"/>
                <w:sz w:val="18"/>
                <w:szCs w:val="18"/>
              </w:rPr>
              <w:lastRenderedPageBreak/>
              <w:t xml:space="preserve">Within the scope of Additional Article 5 of the Unemployment Insurance Law No. 4447, </w:t>
            </w:r>
            <w:r w:rsidR="0072176B" w:rsidRPr="00853140">
              <w:rPr>
                <w:rFonts w:asciiTheme="minorHAnsi" w:eastAsiaTheme="minorHAnsi" w:hAnsiTheme="minorHAnsi" w:cstheme="minorHAnsi"/>
                <w:sz w:val="18"/>
                <w:szCs w:val="18"/>
              </w:rPr>
              <w:t xml:space="preserve">ISKUR </w:t>
            </w:r>
            <w:r w:rsidRPr="00853140">
              <w:rPr>
                <w:rFonts w:asciiTheme="minorHAnsi" w:eastAsiaTheme="minorHAnsi" w:hAnsiTheme="minorHAnsi" w:cstheme="minorHAnsi"/>
                <w:sz w:val="18"/>
                <w:szCs w:val="18"/>
              </w:rPr>
              <w:t xml:space="preserve">pays half-time work allowance after birth and adoption to the insurance holders who apply to our Institution and meet the premium payment conditions, during the said leave periods. Therefore, since the information of all persons granted unpaid leave within the scope of the second paragraph of Article 74 of the Law No. 4857 is not available in our Institution, the information of the persons entitled to half-time work allowance within the scope of additional article 5 of the Law No. 4447 </w:t>
            </w:r>
            <w:r w:rsidR="0072176B" w:rsidRPr="00853140">
              <w:rPr>
                <w:rFonts w:asciiTheme="minorHAnsi" w:eastAsiaTheme="minorHAnsi" w:hAnsiTheme="minorHAnsi" w:cstheme="minorHAnsi"/>
                <w:sz w:val="18"/>
                <w:szCs w:val="18"/>
              </w:rPr>
              <w:t>is the following:</w:t>
            </w:r>
          </w:p>
          <w:p w14:paraId="75639526" w14:textId="77777777" w:rsidR="00B9007C" w:rsidRPr="00853140" w:rsidRDefault="00B9007C" w:rsidP="008024A4">
            <w:pPr>
              <w:spacing w:after="160" w:line="259" w:lineRule="auto"/>
              <w:jc w:val="both"/>
              <w:rPr>
                <w:rFonts w:asciiTheme="minorHAnsi" w:eastAsiaTheme="minorHAnsi" w:hAnsiTheme="minorHAnsi" w:cstheme="minorHAnsi"/>
                <w:sz w:val="18"/>
                <w:szCs w:val="18"/>
              </w:rPr>
            </w:pPr>
          </w:p>
          <w:p w14:paraId="085DB93C" w14:textId="77777777" w:rsidR="00B9007C" w:rsidRPr="00853140" w:rsidRDefault="00B9007C" w:rsidP="008024A4">
            <w:pPr>
              <w:spacing w:after="160" w:line="259" w:lineRule="auto"/>
              <w:jc w:val="both"/>
              <w:rPr>
                <w:rFonts w:asciiTheme="minorHAnsi" w:eastAsiaTheme="minorHAnsi" w:hAnsiTheme="minorHAnsi" w:cstheme="minorHAnsi"/>
                <w:sz w:val="18"/>
                <w:szCs w:val="18"/>
              </w:rPr>
            </w:pPr>
            <w:r w:rsidRPr="00853140">
              <w:rPr>
                <w:rFonts w:asciiTheme="minorHAnsi" w:eastAsiaTheme="minorHAnsi" w:hAnsiTheme="minorHAnsi" w:cstheme="minorHAnsi"/>
                <w:sz w:val="18"/>
                <w:szCs w:val="18"/>
              </w:rPr>
              <w:t>From February 2016, when the implementation started, until the end of May 2022, within the scope of 74/2, unpaid leave equal to half of the weekly working time;</w:t>
            </w:r>
          </w:p>
          <w:p w14:paraId="0E97F1F7" w14:textId="5869903C" w:rsidR="00B9007C" w:rsidRPr="00853140" w:rsidRDefault="00B9007C">
            <w:pPr>
              <w:numPr>
                <w:ilvl w:val="0"/>
                <w:numId w:val="47"/>
              </w:numPr>
              <w:spacing w:after="160" w:line="259" w:lineRule="auto"/>
              <w:jc w:val="both"/>
              <w:rPr>
                <w:rFonts w:asciiTheme="minorHAnsi" w:eastAsiaTheme="minorHAnsi" w:hAnsiTheme="minorHAnsi" w:cstheme="minorHAnsi"/>
                <w:sz w:val="18"/>
                <w:szCs w:val="18"/>
              </w:rPr>
            </w:pPr>
            <w:r w:rsidRPr="00853140">
              <w:rPr>
                <w:rFonts w:asciiTheme="minorHAnsi" w:eastAsiaTheme="minorHAnsi" w:hAnsiTheme="minorHAnsi" w:cstheme="minorHAnsi"/>
                <w:sz w:val="18"/>
                <w:szCs w:val="18"/>
              </w:rPr>
              <w:t>35</w:t>
            </w:r>
            <w:r w:rsidR="0072176B" w:rsidRPr="00853140">
              <w:rPr>
                <w:rFonts w:asciiTheme="minorHAnsi" w:eastAsiaTheme="minorHAnsi" w:hAnsiTheme="minorHAnsi" w:cstheme="minorHAnsi"/>
                <w:sz w:val="18"/>
                <w:szCs w:val="18"/>
              </w:rPr>
              <w:t>,</w:t>
            </w:r>
            <w:r w:rsidRPr="00853140">
              <w:rPr>
                <w:rFonts w:asciiTheme="minorHAnsi" w:eastAsiaTheme="minorHAnsi" w:hAnsiTheme="minorHAnsi" w:cstheme="minorHAnsi"/>
                <w:sz w:val="18"/>
                <w:szCs w:val="18"/>
              </w:rPr>
              <w:t>922 single births,</w:t>
            </w:r>
          </w:p>
          <w:p w14:paraId="762A48EC" w14:textId="77777777" w:rsidR="00B9007C" w:rsidRPr="00853140" w:rsidRDefault="00B9007C">
            <w:pPr>
              <w:numPr>
                <w:ilvl w:val="0"/>
                <w:numId w:val="47"/>
              </w:numPr>
              <w:spacing w:after="160" w:line="259" w:lineRule="auto"/>
              <w:jc w:val="both"/>
              <w:rPr>
                <w:rFonts w:asciiTheme="minorHAnsi" w:eastAsiaTheme="minorHAnsi" w:hAnsiTheme="minorHAnsi" w:cstheme="minorHAnsi"/>
                <w:sz w:val="18"/>
                <w:szCs w:val="18"/>
              </w:rPr>
            </w:pPr>
            <w:r w:rsidRPr="00853140">
              <w:rPr>
                <w:rFonts w:asciiTheme="minorHAnsi" w:eastAsiaTheme="minorHAnsi" w:hAnsiTheme="minorHAnsi" w:cstheme="minorHAnsi"/>
                <w:sz w:val="18"/>
                <w:szCs w:val="18"/>
              </w:rPr>
              <w:t>791 people have multiple births,</w:t>
            </w:r>
          </w:p>
          <w:p w14:paraId="4F3C8EC7" w14:textId="77777777" w:rsidR="00B9007C" w:rsidRPr="00853140" w:rsidRDefault="00B9007C">
            <w:pPr>
              <w:numPr>
                <w:ilvl w:val="0"/>
                <w:numId w:val="47"/>
              </w:numPr>
              <w:spacing w:after="160" w:line="259" w:lineRule="auto"/>
              <w:jc w:val="both"/>
              <w:rPr>
                <w:rFonts w:asciiTheme="minorHAnsi" w:eastAsiaTheme="minorHAnsi" w:hAnsiTheme="minorHAnsi" w:cstheme="minorHAnsi"/>
                <w:sz w:val="18"/>
                <w:szCs w:val="18"/>
              </w:rPr>
            </w:pPr>
            <w:r w:rsidRPr="00853140">
              <w:rPr>
                <w:rFonts w:asciiTheme="minorHAnsi" w:eastAsiaTheme="minorHAnsi" w:hAnsiTheme="minorHAnsi" w:cstheme="minorHAnsi"/>
                <w:sz w:val="18"/>
                <w:szCs w:val="18"/>
              </w:rPr>
              <w:t>235 adoptions,</w:t>
            </w:r>
          </w:p>
          <w:p w14:paraId="3C897A10" w14:textId="25614F61" w:rsidR="004D78BE" w:rsidRPr="00853140" w:rsidRDefault="00B9007C" w:rsidP="008024A4">
            <w:pPr>
              <w:spacing w:after="160" w:line="259" w:lineRule="auto"/>
              <w:jc w:val="both"/>
              <w:rPr>
                <w:rFonts w:asciiTheme="minorHAnsi" w:eastAsiaTheme="minorHAnsi" w:hAnsiTheme="minorHAnsi" w:cstheme="minorHAnsi"/>
                <w:sz w:val="18"/>
                <w:szCs w:val="18"/>
              </w:rPr>
            </w:pPr>
            <w:r w:rsidRPr="00853140">
              <w:rPr>
                <w:rFonts w:asciiTheme="minorHAnsi" w:eastAsiaTheme="minorHAnsi" w:hAnsiTheme="minorHAnsi" w:cstheme="minorHAnsi"/>
                <w:sz w:val="18"/>
                <w:szCs w:val="18"/>
              </w:rPr>
              <w:t>A total of 36</w:t>
            </w:r>
            <w:r w:rsidR="0072176B" w:rsidRPr="00853140">
              <w:rPr>
                <w:rFonts w:asciiTheme="minorHAnsi" w:eastAsiaTheme="minorHAnsi" w:hAnsiTheme="minorHAnsi" w:cstheme="minorHAnsi"/>
                <w:sz w:val="18"/>
                <w:szCs w:val="18"/>
              </w:rPr>
              <w:t>,</w:t>
            </w:r>
            <w:r w:rsidRPr="00853140">
              <w:rPr>
                <w:rFonts w:asciiTheme="minorHAnsi" w:eastAsiaTheme="minorHAnsi" w:hAnsiTheme="minorHAnsi" w:cstheme="minorHAnsi"/>
                <w:sz w:val="18"/>
                <w:szCs w:val="18"/>
              </w:rPr>
              <w:t>948 people w</w:t>
            </w:r>
            <w:r w:rsidR="00711F8A">
              <w:rPr>
                <w:rFonts w:asciiTheme="minorHAnsi" w:eastAsiaTheme="minorHAnsi" w:hAnsiTheme="minorHAnsi" w:cstheme="minorHAnsi"/>
                <w:sz w:val="18"/>
                <w:szCs w:val="18"/>
              </w:rPr>
              <w:t>as</w:t>
            </w:r>
            <w:r w:rsidRPr="00853140">
              <w:rPr>
                <w:rFonts w:asciiTheme="minorHAnsi" w:eastAsiaTheme="minorHAnsi" w:hAnsiTheme="minorHAnsi" w:cstheme="minorHAnsi"/>
                <w:sz w:val="18"/>
                <w:szCs w:val="18"/>
              </w:rPr>
              <w:t xml:space="preserve"> entitled to receive half-time work allowance. All of the eligible persons are female employees.</w:t>
            </w:r>
          </w:p>
        </w:tc>
      </w:tr>
      <w:tr w:rsidR="004D78BE" w:rsidRPr="00DB0C40" w14:paraId="313299BE" w14:textId="77777777" w:rsidTr="008024A4">
        <w:tc>
          <w:tcPr>
            <w:tcW w:w="0" w:type="auto"/>
            <w:shd w:val="clear" w:color="auto" w:fill="FBE4D5" w:themeFill="accent2" w:themeFillTint="33"/>
          </w:tcPr>
          <w:p w14:paraId="3F4BEE01" w14:textId="602153F4" w:rsidR="004D78BE" w:rsidRPr="00853140" w:rsidRDefault="00F03CE5" w:rsidP="008024A4">
            <w:pPr>
              <w:spacing w:after="160" w:line="259" w:lineRule="auto"/>
              <w:jc w:val="both"/>
              <w:rPr>
                <w:rFonts w:asciiTheme="minorHAnsi" w:eastAsiaTheme="minorHAnsi" w:hAnsiTheme="minorHAnsi" w:cstheme="minorHAnsi"/>
                <w:sz w:val="18"/>
                <w:szCs w:val="18"/>
              </w:rPr>
            </w:pPr>
            <w:r w:rsidRPr="00853140">
              <w:rPr>
                <w:rFonts w:asciiTheme="minorHAnsi" w:eastAsiaTheme="minorHAnsi" w:hAnsiTheme="minorHAnsi" w:cstheme="minorHAnsi"/>
                <w:sz w:val="18"/>
                <w:szCs w:val="18"/>
              </w:rPr>
              <w:lastRenderedPageBreak/>
              <w:t>Second paragraph of Article 74 of the Law, the implementation of the specified period as three hundred and sixty days in case the child is born with a disability (number of beneficiary women)</w:t>
            </w:r>
          </w:p>
        </w:tc>
        <w:tc>
          <w:tcPr>
            <w:tcW w:w="0" w:type="auto"/>
            <w:shd w:val="clear" w:color="auto" w:fill="FBE4D5" w:themeFill="accent2" w:themeFillTint="33"/>
          </w:tcPr>
          <w:p w14:paraId="77EF119D" w14:textId="212EF6C2" w:rsidR="0072176B" w:rsidRPr="00853140" w:rsidRDefault="008024A4" w:rsidP="008024A4">
            <w:pPr>
              <w:spacing w:after="160" w:line="259" w:lineRule="auto"/>
              <w:jc w:val="both"/>
              <w:rPr>
                <w:rFonts w:asciiTheme="minorHAnsi" w:eastAsiaTheme="minorHAnsi" w:hAnsiTheme="minorHAnsi" w:cstheme="minorHAnsi"/>
                <w:sz w:val="18"/>
                <w:szCs w:val="18"/>
              </w:rPr>
            </w:pPr>
            <w:r w:rsidRPr="00853140">
              <w:rPr>
                <w:rFonts w:asciiTheme="minorHAnsi" w:eastAsiaTheme="minorHAnsi" w:hAnsiTheme="minorHAnsi" w:cstheme="minorHAnsi"/>
                <w:sz w:val="18"/>
                <w:szCs w:val="18"/>
              </w:rPr>
              <w:t>T</w:t>
            </w:r>
            <w:r w:rsidR="0072176B" w:rsidRPr="00853140">
              <w:rPr>
                <w:rFonts w:asciiTheme="minorHAnsi" w:eastAsiaTheme="minorHAnsi" w:hAnsiTheme="minorHAnsi" w:cstheme="minorHAnsi"/>
                <w:sz w:val="18"/>
                <w:szCs w:val="18"/>
              </w:rPr>
              <w:t>he number of women who benefit from the unpaid leave periods given to the female worker, upon their request , for the care and upbringing of their child after the end of the postpartum maternity leave, and on the condition that the child is alive, is requested.</w:t>
            </w:r>
          </w:p>
          <w:p w14:paraId="2983BEA7" w14:textId="77777777" w:rsidR="0072176B" w:rsidRPr="00853140" w:rsidRDefault="0072176B" w:rsidP="008024A4">
            <w:pPr>
              <w:spacing w:after="160" w:line="259" w:lineRule="auto"/>
              <w:jc w:val="both"/>
              <w:rPr>
                <w:rFonts w:asciiTheme="minorHAnsi" w:eastAsiaTheme="minorHAnsi" w:hAnsiTheme="minorHAnsi" w:cstheme="minorHAnsi"/>
                <w:sz w:val="18"/>
                <w:szCs w:val="18"/>
              </w:rPr>
            </w:pPr>
          </w:p>
          <w:p w14:paraId="3E35E802" w14:textId="21BD44FF" w:rsidR="0072176B" w:rsidRPr="00853140" w:rsidRDefault="0072176B" w:rsidP="008024A4">
            <w:pPr>
              <w:spacing w:after="160" w:line="259" w:lineRule="auto"/>
              <w:jc w:val="both"/>
              <w:rPr>
                <w:rFonts w:asciiTheme="minorHAnsi" w:eastAsiaTheme="minorHAnsi" w:hAnsiTheme="minorHAnsi" w:cstheme="minorHAnsi"/>
                <w:sz w:val="18"/>
                <w:szCs w:val="18"/>
              </w:rPr>
            </w:pPr>
            <w:r w:rsidRPr="00853140">
              <w:rPr>
                <w:rFonts w:asciiTheme="minorHAnsi" w:eastAsiaTheme="minorHAnsi" w:hAnsiTheme="minorHAnsi" w:cstheme="minorHAnsi"/>
                <w:sz w:val="18"/>
                <w:szCs w:val="18"/>
              </w:rPr>
              <w:t xml:space="preserve">Within the scope of Additional Article 5 of the Unemployment Insurance Law No. 4447, </w:t>
            </w:r>
            <w:r w:rsidR="008024A4" w:rsidRPr="00853140">
              <w:rPr>
                <w:rFonts w:asciiTheme="minorHAnsi" w:eastAsiaTheme="minorHAnsi" w:hAnsiTheme="minorHAnsi" w:cstheme="minorHAnsi"/>
                <w:sz w:val="18"/>
                <w:szCs w:val="18"/>
              </w:rPr>
              <w:t xml:space="preserve">ISKUR </w:t>
            </w:r>
            <w:r w:rsidRPr="00853140">
              <w:rPr>
                <w:rFonts w:asciiTheme="minorHAnsi" w:eastAsiaTheme="minorHAnsi" w:hAnsiTheme="minorHAnsi" w:cstheme="minorHAnsi"/>
                <w:sz w:val="18"/>
                <w:szCs w:val="18"/>
              </w:rPr>
              <w:t xml:space="preserve">pays half-time work allowance after birth and adoption to the insurance holders who apply to </w:t>
            </w:r>
            <w:r w:rsidR="00B875D8" w:rsidRPr="00853140">
              <w:rPr>
                <w:rFonts w:asciiTheme="minorHAnsi" w:eastAsiaTheme="minorHAnsi" w:hAnsiTheme="minorHAnsi" w:cstheme="minorHAnsi"/>
                <w:sz w:val="18"/>
                <w:szCs w:val="18"/>
              </w:rPr>
              <w:t>ISKUR</w:t>
            </w:r>
            <w:r w:rsidRPr="00853140">
              <w:rPr>
                <w:rFonts w:asciiTheme="minorHAnsi" w:eastAsiaTheme="minorHAnsi" w:hAnsiTheme="minorHAnsi" w:cstheme="minorHAnsi"/>
                <w:sz w:val="18"/>
                <w:szCs w:val="18"/>
              </w:rPr>
              <w:t xml:space="preserve"> and meet the premium payment conditions, during the said leave periods. Therefore, since the information of all persons granted unpaid leave within the scope of the second paragraph of Article 74 of the Law No. 4857 is not available in our Institution, the information of the persons entitled to half-time work allowance within the scope of additional article 5 of the Law No. 4447</w:t>
            </w:r>
            <w:r w:rsidR="00B875D8" w:rsidRPr="00853140">
              <w:rPr>
                <w:rFonts w:asciiTheme="minorHAnsi" w:eastAsiaTheme="minorHAnsi" w:hAnsiTheme="minorHAnsi" w:cstheme="minorHAnsi"/>
                <w:sz w:val="18"/>
                <w:szCs w:val="18"/>
              </w:rPr>
              <w:t xml:space="preserve"> is the following:</w:t>
            </w:r>
          </w:p>
          <w:p w14:paraId="35125850" w14:textId="77777777" w:rsidR="0072176B" w:rsidRPr="00853140" w:rsidRDefault="0072176B" w:rsidP="008024A4">
            <w:pPr>
              <w:spacing w:after="160" w:line="259" w:lineRule="auto"/>
              <w:jc w:val="both"/>
              <w:rPr>
                <w:rFonts w:asciiTheme="minorHAnsi" w:eastAsiaTheme="minorHAnsi" w:hAnsiTheme="minorHAnsi" w:cstheme="minorHAnsi"/>
                <w:sz w:val="18"/>
                <w:szCs w:val="18"/>
              </w:rPr>
            </w:pPr>
          </w:p>
          <w:p w14:paraId="5EF67D52" w14:textId="01C83DE9" w:rsidR="004D78BE" w:rsidRPr="00853140" w:rsidRDefault="0072176B" w:rsidP="008024A4">
            <w:pPr>
              <w:spacing w:after="160" w:line="259" w:lineRule="auto"/>
              <w:jc w:val="both"/>
              <w:rPr>
                <w:rFonts w:asciiTheme="minorHAnsi" w:eastAsiaTheme="minorHAnsi" w:hAnsiTheme="minorHAnsi" w:cstheme="minorHAnsi"/>
                <w:sz w:val="18"/>
                <w:szCs w:val="18"/>
              </w:rPr>
            </w:pPr>
            <w:r w:rsidRPr="00853140">
              <w:rPr>
                <w:rFonts w:asciiTheme="minorHAnsi" w:eastAsiaTheme="minorHAnsi" w:hAnsiTheme="minorHAnsi" w:cstheme="minorHAnsi"/>
                <w:sz w:val="18"/>
                <w:szCs w:val="18"/>
              </w:rPr>
              <w:t>From February 2016, when the implementation started, until the end of May 2022, the number of people who were entitled to unpaid leave for half of the weekly working time within the scope of 74/2 and who were entitled to receive half-time work allowance from our Institution is 75 due to the fact that the child was born with a disability. All of the eligible persons are female employees.</w:t>
            </w:r>
            <w:r w:rsidRPr="00853140">
              <w:rPr>
                <w:rFonts w:asciiTheme="minorHAnsi" w:eastAsiaTheme="minorHAnsi" w:hAnsiTheme="minorHAnsi" w:cstheme="minorHAnsi"/>
                <w:b/>
                <w:bCs/>
                <w:sz w:val="18"/>
                <w:szCs w:val="18"/>
              </w:rPr>
              <w:t xml:space="preserve"> </w:t>
            </w:r>
          </w:p>
        </w:tc>
      </w:tr>
      <w:tr w:rsidR="00F03CE5" w:rsidRPr="00DB0C40" w14:paraId="7B40A095" w14:textId="77777777" w:rsidTr="008024A4">
        <w:tc>
          <w:tcPr>
            <w:tcW w:w="0" w:type="auto"/>
            <w:shd w:val="clear" w:color="auto" w:fill="FBE4D5" w:themeFill="accent2" w:themeFillTint="33"/>
          </w:tcPr>
          <w:p w14:paraId="212F354C" w14:textId="6D82B09D" w:rsidR="00F03CE5" w:rsidRPr="00853140" w:rsidRDefault="00F03CE5" w:rsidP="008024A4">
            <w:pPr>
              <w:spacing w:after="160" w:line="259" w:lineRule="auto"/>
              <w:jc w:val="both"/>
              <w:rPr>
                <w:rFonts w:asciiTheme="minorHAnsi" w:eastAsiaTheme="minorHAnsi" w:hAnsiTheme="minorHAnsi" w:cstheme="minorHAnsi"/>
                <w:sz w:val="18"/>
                <w:szCs w:val="18"/>
              </w:rPr>
            </w:pPr>
            <w:r w:rsidRPr="00853140">
              <w:rPr>
                <w:rFonts w:asciiTheme="minorHAnsi" w:eastAsiaTheme="minorHAnsi" w:hAnsiTheme="minorHAnsi" w:cstheme="minorHAnsi"/>
                <w:sz w:val="18"/>
                <w:szCs w:val="18"/>
              </w:rPr>
              <w:t xml:space="preserve">Case of adopting a child who has not completed the age of three, within the scope of paragraph 6 of Article 74 of the </w:t>
            </w:r>
            <w:r w:rsidRPr="00853140">
              <w:rPr>
                <w:rFonts w:asciiTheme="minorHAnsi" w:eastAsiaTheme="minorHAnsi" w:hAnsiTheme="minorHAnsi" w:cstheme="minorHAnsi"/>
                <w:sz w:val="18"/>
                <w:szCs w:val="18"/>
              </w:rPr>
              <w:lastRenderedPageBreak/>
              <w:t>Law , one of the spouses or the adopter is given unpaid leave (number of beneficiary women and men)</w:t>
            </w:r>
          </w:p>
        </w:tc>
        <w:tc>
          <w:tcPr>
            <w:tcW w:w="0" w:type="auto"/>
            <w:shd w:val="clear" w:color="auto" w:fill="FBE4D5" w:themeFill="accent2" w:themeFillTint="33"/>
          </w:tcPr>
          <w:p w14:paraId="324DAE84" w14:textId="0539553D" w:rsidR="0072176B" w:rsidRPr="00853140" w:rsidRDefault="00B875D8" w:rsidP="008024A4">
            <w:pPr>
              <w:spacing w:after="160" w:line="259" w:lineRule="auto"/>
              <w:jc w:val="both"/>
              <w:rPr>
                <w:rFonts w:asciiTheme="minorHAnsi" w:eastAsiaTheme="minorHAnsi" w:hAnsiTheme="minorHAnsi" w:cstheme="minorHAnsi"/>
                <w:sz w:val="18"/>
                <w:szCs w:val="18"/>
              </w:rPr>
            </w:pPr>
            <w:r w:rsidRPr="00853140">
              <w:rPr>
                <w:rFonts w:asciiTheme="minorHAnsi" w:eastAsiaTheme="minorHAnsi" w:hAnsiTheme="minorHAnsi" w:cstheme="minorHAnsi"/>
                <w:sz w:val="18"/>
                <w:szCs w:val="18"/>
              </w:rPr>
              <w:lastRenderedPageBreak/>
              <w:t>T</w:t>
            </w:r>
            <w:r w:rsidR="0072176B" w:rsidRPr="00853140">
              <w:rPr>
                <w:rFonts w:asciiTheme="minorHAnsi" w:eastAsiaTheme="minorHAnsi" w:hAnsiTheme="minorHAnsi" w:cstheme="minorHAnsi"/>
                <w:sz w:val="18"/>
                <w:szCs w:val="18"/>
              </w:rPr>
              <w:t xml:space="preserve">he number of women who benefit from the unpaid leave periods given to the female worker, upon their request, for the care and upbringing of their child after the end of the </w:t>
            </w:r>
            <w:r w:rsidR="0072176B" w:rsidRPr="00853140">
              <w:rPr>
                <w:rFonts w:asciiTheme="minorHAnsi" w:eastAsiaTheme="minorHAnsi" w:hAnsiTheme="minorHAnsi" w:cstheme="minorHAnsi"/>
                <w:sz w:val="18"/>
                <w:szCs w:val="18"/>
              </w:rPr>
              <w:lastRenderedPageBreak/>
              <w:t>postpartum maternity leave, and on the condition that the child is alive, is requested.</w:t>
            </w:r>
          </w:p>
          <w:p w14:paraId="74ECE01E" w14:textId="0387B8F1" w:rsidR="0072176B" w:rsidRPr="00853140" w:rsidRDefault="00B875D8" w:rsidP="008024A4">
            <w:pPr>
              <w:spacing w:after="160" w:line="259" w:lineRule="auto"/>
              <w:jc w:val="both"/>
              <w:rPr>
                <w:rFonts w:asciiTheme="minorHAnsi" w:eastAsiaTheme="minorHAnsi" w:hAnsiTheme="minorHAnsi" w:cstheme="minorHAnsi"/>
                <w:sz w:val="18"/>
                <w:szCs w:val="18"/>
              </w:rPr>
            </w:pPr>
            <w:r w:rsidRPr="00853140">
              <w:rPr>
                <w:rFonts w:asciiTheme="minorHAnsi" w:eastAsiaTheme="minorHAnsi" w:hAnsiTheme="minorHAnsi" w:cstheme="minorHAnsi"/>
                <w:sz w:val="18"/>
                <w:szCs w:val="18"/>
              </w:rPr>
              <w:t xml:space="preserve">On the </w:t>
            </w:r>
            <w:r w:rsidR="0072176B" w:rsidRPr="00853140">
              <w:rPr>
                <w:rFonts w:asciiTheme="minorHAnsi" w:eastAsiaTheme="minorHAnsi" w:hAnsiTheme="minorHAnsi" w:cstheme="minorHAnsi"/>
                <w:sz w:val="18"/>
                <w:szCs w:val="18"/>
              </w:rPr>
              <w:t xml:space="preserve">scope of Additional Article 5 of the Unemployment Insurance Law No. 4447, </w:t>
            </w:r>
            <w:r w:rsidRPr="00853140">
              <w:rPr>
                <w:rFonts w:asciiTheme="minorHAnsi" w:eastAsiaTheme="minorHAnsi" w:hAnsiTheme="minorHAnsi" w:cstheme="minorHAnsi"/>
                <w:sz w:val="18"/>
                <w:szCs w:val="18"/>
              </w:rPr>
              <w:t>ISKUR</w:t>
            </w:r>
            <w:r w:rsidR="0072176B" w:rsidRPr="00853140">
              <w:rPr>
                <w:rFonts w:asciiTheme="minorHAnsi" w:eastAsiaTheme="minorHAnsi" w:hAnsiTheme="minorHAnsi" w:cstheme="minorHAnsi"/>
                <w:sz w:val="18"/>
                <w:szCs w:val="18"/>
              </w:rPr>
              <w:t xml:space="preserve"> pays half-time work allowance after birth and adoption to the insurance holders who apply to </w:t>
            </w:r>
            <w:r w:rsidRPr="00853140">
              <w:rPr>
                <w:rFonts w:asciiTheme="minorHAnsi" w:eastAsiaTheme="minorHAnsi" w:hAnsiTheme="minorHAnsi" w:cstheme="minorHAnsi"/>
                <w:sz w:val="18"/>
                <w:szCs w:val="18"/>
              </w:rPr>
              <w:t>ISKUR</w:t>
            </w:r>
            <w:r w:rsidR="0072176B" w:rsidRPr="00853140">
              <w:rPr>
                <w:rFonts w:asciiTheme="minorHAnsi" w:eastAsiaTheme="minorHAnsi" w:hAnsiTheme="minorHAnsi" w:cstheme="minorHAnsi"/>
                <w:sz w:val="18"/>
                <w:szCs w:val="18"/>
              </w:rPr>
              <w:t xml:space="preserve"> and meet the premium payment conditions, during the said leave periods. Therefore, since the information of all persons who are granted unpaid leave within the scope of the second paragraph of Article 74 of the Law No. 4857 is not available in</w:t>
            </w:r>
            <w:r w:rsidRPr="00853140">
              <w:rPr>
                <w:rFonts w:asciiTheme="minorHAnsi" w:eastAsiaTheme="minorHAnsi" w:hAnsiTheme="minorHAnsi" w:cstheme="minorHAnsi"/>
                <w:sz w:val="18"/>
                <w:szCs w:val="18"/>
              </w:rPr>
              <w:t xml:space="preserve"> ISKUR</w:t>
            </w:r>
            <w:r w:rsidR="0072176B" w:rsidRPr="00853140">
              <w:rPr>
                <w:rFonts w:asciiTheme="minorHAnsi" w:eastAsiaTheme="minorHAnsi" w:hAnsiTheme="minorHAnsi" w:cstheme="minorHAnsi"/>
                <w:sz w:val="18"/>
                <w:szCs w:val="18"/>
              </w:rPr>
              <w:t xml:space="preserve">, the information of the persons entitled to half-time work allowance within the scope of the additional article 5 of the Law No. 4447 </w:t>
            </w:r>
            <w:r w:rsidRPr="00853140">
              <w:rPr>
                <w:rFonts w:asciiTheme="minorHAnsi" w:eastAsiaTheme="minorHAnsi" w:hAnsiTheme="minorHAnsi" w:cstheme="minorHAnsi"/>
                <w:sz w:val="18"/>
                <w:szCs w:val="18"/>
              </w:rPr>
              <w:t xml:space="preserve">is the following: </w:t>
            </w:r>
          </w:p>
          <w:p w14:paraId="3E5EDDD4" w14:textId="77777777" w:rsidR="0072176B" w:rsidRPr="00853140" w:rsidRDefault="0072176B" w:rsidP="008024A4">
            <w:pPr>
              <w:spacing w:after="160" w:line="259" w:lineRule="auto"/>
              <w:jc w:val="both"/>
              <w:rPr>
                <w:rFonts w:asciiTheme="minorHAnsi" w:eastAsiaTheme="minorHAnsi" w:hAnsiTheme="minorHAnsi" w:cstheme="minorHAnsi"/>
                <w:sz w:val="18"/>
                <w:szCs w:val="18"/>
              </w:rPr>
            </w:pPr>
          </w:p>
          <w:p w14:paraId="2CB91BC3" w14:textId="08CE9660" w:rsidR="00B875D8" w:rsidRPr="00853140" w:rsidRDefault="0072176B" w:rsidP="008024A4">
            <w:pPr>
              <w:spacing w:after="160" w:line="259" w:lineRule="auto"/>
              <w:jc w:val="both"/>
              <w:rPr>
                <w:rFonts w:asciiTheme="minorHAnsi" w:eastAsiaTheme="minorHAnsi" w:hAnsiTheme="minorHAnsi" w:cstheme="minorHAnsi"/>
                <w:sz w:val="18"/>
                <w:szCs w:val="18"/>
              </w:rPr>
            </w:pPr>
            <w:r w:rsidRPr="00853140">
              <w:rPr>
                <w:rFonts w:asciiTheme="minorHAnsi" w:eastAsiaTheme="minorHAnsi" w:hAnsiTheme="minorHAnsi" w:cstheme="minorHAnsi"/>
                <w:sz w:val="18"/>
                <w:szCs w:val="18"/>
              </w:rPr>
              <w:t xml:space="preserve">From February 2016, when the implementation started, until the end of May 2022, </w:t>
            </w:r>
            <w:r w:rsidR="00D1389E" w:rsidRPr="00853140">
              <w:rPr>
                <w:rFonts w:asciiTheme="minorHAnsi" w:eastAsiaTheme="minorHAnsi" w:hAnsiTheme="minorHAnsi" w:cstheme="minorHAnsi"/>
                <w:sz w:val="18"/>
                <w:szCs w:val="18"/>
              </w:rPr>
              <w:t xml:space="preserve">235 </w:t>
            </w:r>
            <w:r w:rsidR="00812863" w:rsidRPr="00853140">
              <w:rPr>
                <w:rFonts w:asciiTheme="minorHAnsi" w:eastAsiaTheme="minorHAnsi" w:hAnsiTheme="minorHAnsi" w:cstheme="minorHAnsi"/>
                <w:sz w:val="18"/>
                <w:szCs w:val="18"/>
              </w:rPr>
              <w:t xml:space="preserve">is </w:t>
            </w:r>
            <w:r w:rsidRPr="00853140">
              <w:rPr>
                <w:rFonts w:asciiTheme="minorHAnsi" w:eastAsiaTheme="minorHAnsi" w:hAnsiTheme="minorHAnsi" w:cstheme="minorHAnsi"/>
                <w:sz w:val="18"/>
                <w:szCs w:val="18"/>
              </w:rPr>
              <w:t>the number of people who are entitled to half-time work allowance from our Institution and who are entitled to half-time work leave within the scope of 74/2</w:t>
            </w:r>
          </w:p>
          <w:p w14:paraId="2B1C644D" w14:textId="55B8EABF" w:rsidR="00F03CE5" w:rsidRPr="00853140" w:rsidRDefault="0072176B" w:rsidP="008024A4">
            <w:pPr>
              <w:spacing w:after="160" w:line="259" w:lineRule="auto"/>
              <w:jc w:val="both"/>
              <w:rPr>
                <w:rFonts w:asciiTheme="minorHAnsi" w:eastAsiaTheme="minorHAnsi" w:hAnsiTheme="minorHAnsi" w:cstheme="minorHAnsi"/>
                <w:sz w:val="18"/>
                <w:szCs w:val="18"/>
              </w:rPr>
            </w:pPr>
            <w:r w:rsidRPr="00853140">
              <w:rPr>
                <w:rFonts w:asciiTheme="minorHAnsi" w:eastAsiaTheme="minorHAnsi" w:hAnsiTheme="minorHAnsi" w:cstheme="minorHAnsi"/>
                <w:sz w:val="18"/>
                <w:szCs w:val="18"/>
              </w:rPr>
              <w:t>All of the eligible persons are female employees.</w:t>
            </w:r>
            <w:r w:rsidRPr="00853140">
              <w:rPr>
                <w:rFonts w:asciiTheme="minorHAnsi" w:eastAsiaTheme="minorHAnsi" w:hAnsiTheme="minorHAnsi" w:cstheme="minorHAnsi"/>
                <w:b/>
                <w:bCs/>
                <w:sz w:val="18"/>
                <w:szCs w:val="18"/>
              </w:rPr>
              <w:t xml:space="preserve"> </w:t>
            </w:r>
          </w:p>
        </w:tc>
      </w:tr>
      <w:tr w:rsidR="00F03CE5" w:rsidRPr="00DB0C40" w14:paraId="101233E2" w14:textId="77777777" w:rsidTr="008024A4">
        <w:tc>
          <w:tcPr>
            <w:tcW w:w="0" w:type="auto"/>
            <w:shd w:val="clear" w:color="auto" w:fill="FBE4D5" w:themeFill="accent2" w:themeFillTint="33"/>
          </w:tcPr>
          <w:p w14:paraId="795D6052" w14:textId="6D8B4876" w:rsidR="00F03CE5" w:rsidRPr="00853140" w:rsidRDefault="00F03CE5" w:rsidP="008024A4">
            <w:pPr>
              <w:spacing w:after="160" w:line="259" w:lineRule="auto"/>
              <w:jc w:val="both"/>
              <w:rPr>
                <w:rFonts w:asciiTheme="minorHAnsi" w:eastAsiaTheme="minorHAnsi" w:hAnsiTheme="minorHAnsi" w:cstheme="minorHAnsi"/>
                <w:sz w:val="18"/>
                <w:szCs w:val="18"/>
              </w:rPr>
            </w:pPr>
            <w:r w:rsidRPr="00853140">
              <w:rPr>
                <w:rFonts w:asciiTheme="minorHAnsi" w:eastAsiaTheme="minorHAnsi" w:hAnsiTheme="minorHAnsi" w:cstheme="minorHAnsi"/>
                <w:sz w:val="18"/>
                <w:szCs w:val="18"/>
              </w:rPr>
              <w:lastRenderedPageBreak/>
              <w:t>The scope of Article 74 of the Law Up to six months unpaid leave, upon request, after the completion of the sixteen-week period or after the eighteen-week period in case of multiple pregnancy (number of women benefiting)</w:t>
            </w:r>
          </w:p>
        </w:tc>
        <w:tc>
          <w:tcPr>
            <w:tcW w:w="0" w:type="auto"/>
            <w:shd w:val="clear" w:color="auto" w:fill="FBE4D5" w:themeFill="accent2" w:themeFillTint="33"/>
          </w:tcPr>
          <w:p w14:paraId="0E453516" w14:textId="77777777" w:rsidR="00F03CE5" w:rsidRPr="00853140" w:rsidRDefault="00F03CE5" w:rsidP="008024A4">
            <w:pPr>
              <w:spacing w:after="160" w:line="259" w:lineRule="auto"/>
              <w:jc w:val="both"/>
              <w:rPr>
                <w:rFonts w:asciiTheme="minorHAnsi" w:eastAsiaTheme="minorHAnsi" w:hAnsiTheme="minorHAnsi" w:cstheme="minorHAnsi"/>
                <w:sz w:val="18"/>
                <w:szCs w:val="18"/>
              </w:rPr>
            </w:pPr>
          </w:p>
        </w:tc>
      </w:tr>
      <w:tr w:rsidR="00F03CE5" w:rsidRPr="00DB0C40" w14:paraId="01B99BE2" w14:textId="77777777" w:rsidTr="008024A4">
        <w:tc>
          <w:tcPr>
            <w:tcW w:w="0" w:type="auto"/>
            <w:shd w:val="clear" w:color="auto" w:fill="FBE4D5" w:themeFill="accent2" w:themeFillTint="33"/>
          </w:tcPr>
          <w:p w14:paraId="255D22FF" w14:textId="2DF9235C" w:rsidR="00F03CE5" w:rsidRPr="00853140" w:rsidRDefault="00F03CE5" w:rsidP="008024A4">
            <w:pPr>
              <w:spacing w:after="160" w:line="259" w:lineRule="auto"/>
              <w:jc w:val="both"/>
              <w:rPr>
                <w:rFonts w:asciiTheme="minorHAnsi" w:eastAsiaTheme="minorHAnsi" w:hAnsiTheme="minorHAnsi" w:cstheme="minorHAnsi"/>
                <w:sz w:val="18"/>
                <w:szCs w:val="18"/>
              </w:rPr>
            </w:pPr>
            <w:r w:rsidRPr="00853140">
              <w:rPr>
                <w:rFonts w:asciiTheme="minorHAnsi" w:eastAsiaTheme="minorHAnsi" w:hAnsiTheme="minorHAnsi" w:cstheme="minorHAnsi"/>
                <w:sz w:val="18"/>
                <w:szCs w:val="18"/>
              </w:rPr>
              <w:t>Number of men and women receiving child benefits</w:t>
            </w:r>
          </w:p>
        </w:tc>
        <w:tc>
          <w:tcPr>
            <w:tcW w:w="0" w:type="auto"/>
            <w:shd w:val="clear" w:color="auto" w:fill="FBE4D5" w:themeFill="accent2" w:themeFillTint="33"/>
          </w:tcPr>
          <w:p w14:paraId="01144577" w14:textId="77777777" w:rsidR="00F03CE5" w:rsidRPr="00853140" w:rsidRDefault="00F03CE5" w:rsidP="008024A4">
            <w:pPr>
              <w:spacing w:after="160" w:line="259" w:lineRule="auto"/>
              <w:jc w:val="both"/>
              <w:rPr>
                <w:rFonts w:asciiTheme="minorHAnsi" w:eastAsiaTheme="minorHAnsi" w:hAnsiTheme="minorHAnsi" w:cstheme="minorHAnsi"/>
                <w:sz w:val="22"/>
                <w:szCs w:val="22"/>
              </w:rPr>
            </w:pPr>
          </w:p>
        </w:tc>
      </w:tr>
    </w:tbl>
    <w:p w14:paraId="24F6309C" w14:textId="4C7E2454" w:rsidR="004D78BE" w:rsidRPr="00C2410D" w:rsidRDefault="007A7E2D" w:rsidP="007A7E2D">
      <w:pPr>
        <w:spacing w:after="160" w:line="259" w:lineRule="auto"/>
        <w:jc w:val="center"/>
        <w:rPr>
          <w:rFonts w:asciiTheme="minorHAnsi" w:eastAsiaTheme="minorHAnsi" w:hAnsiTheme="minorHAnsi" w:cstheme="minorHAnsi"/>
          <w:sz w:val="18"/>
          <w:szCs w:val="18"/>
        </w:rPr>
      </w:pPr>
      <w:r w:rsidRPr="00C2410D">
        <w:rPr>
          <w:rFonts w:asciiTheme="minorHAnsi" w:eastAsiaTheme="minorHAnsi" w:hAnsiTheme="minorHAnsi" w:cstheme="minorHAnsi"/>
          <w:sz w:val="18"/>
          <w:szCs w:val="18"/>
        </w:rPr>
        <w:t>Source: ISKUR Report, June 2022</w:t>
      </w:r>
    </w:p>
    <w:bookmarkEnd w:id="122"/>
    <w:p w14:paraId="2D5AEE30" w14:textId="77777777" w:rsidR="004D78BE" w:rsidRPr="004D78BE" w:rsidRDefault="004D78BE" w:rsidP="004D78BE">
      <w:pPr>
        <w:spacing w:after="160" w:line="259" w:lineRule="auto"/>
        <w:ind w:left="720"/>
        <w:contextualSpacing/>
        <w:rPr>
          <w:rFonts w:asciiTheme="minorHAnsi" w:eastAsiaTheme="minorHAnsi" w:hAnsiTheme="minorHAnsi" w:cstheme="minorHAnsi"/>
          <w:b/>
          <w:bCs/>
          <w:sz w:val="22"/>
          <w:szCs w:val="22"/>
          <w:highlight w:val="yellow"/>
        </w:rPr>
      </w:pPr>
    </w:p>
    <w:bookmarkEnd w:id="123"/>
    <w:p w14:paraId="76395CF8" w14:textId="77777777" w:rsidR="00BB44E1" w:rsidRPr="00DB0C40" w:rsidRDefault="00BB44E1">
      <w:pPr>
        <w:jc w:val="both"/>
        <w:rPr>
          <w:sz w:val="22"/>
          <w:szCs w:val="22"/>
        </w:rPr>
      </w:pPr>
    </w:p>
    <w:p w14:paraId="11B0916E" w14:textId="18D767A0" w:rsidR="00BB44E1" w:rsidRPr="00DB0C40" w:rsidRDefault="00230B49">
      <w:pPr>
        <w:jc w:val="both"/>
        <w:rPr>
          <w:b/>
          <w:sz w:val="22"/>
          <w:szCs w:val="22"/>
        </w:rPr>
      </w:pPr>
      <w:r w:rsidRPr="00CD2A61">
        <w:rPr>
          <w:rFonts w:asciiTheme="majorHAnsi" w:eastAsiaTheme="majorEastAsia" w:hAnsiTheme="majorHAnsi" w:cstheme="majorBidi"/>
          <w:color w:val="1F3763" w:themeColor="accent1" w:themeShade="7F"/>
        </w:rPr>
        <w:t>4</w:t>
      </w:r>
      <w:bookmarkStart w:id="124" w:name="_Hlk107139147"/>
      <w:r w:rsidRPr="00CD2A61">
        <w:rPr>
          <w:rFonts w:asciiTheme="majorHAnsi" w:eastAsiaTheme="majorEastAsia" w:hAnsiTheme="majorHAnsi" w:cstheme="majorBidi"/>
          <w:color w:val="1F3763" w:themeColor="accent1" w:themeShade="7F"/>
        </w:rPr>
        <w:t>.</w:t>
      </w:r>
      <w:r w:rsidRPr="00DB0C40">
        <w:rPr>
          <w:b/>
          <w:sz w:val="22"/>
          <w:szCs w:val="22"/>
        </w:rPr>
        <w:t xml:space="preserve"> </w:t>
      </w:r>
      <w:r w:rsidRPr="00CD2A61">
        <w:rPr>
          <w:rFonts w:asciiTheme="majorHAnsi" w:eastAsiaTheme="majorEastAsia" w:hAnsiTheme="majorHAnsi" w:cstheme="majorBidi"/>
          <w:color w:val="1F3763" w:themeColor="accent1" w:themeShade="7F"/>
        </w:rPr>
        <w:t>METHODOLOGY AND DATA</w:t>
      </w:r>
      <w:r w:rsidR="002557B7" w:rsidRPr="00CD2A61">
        <w:rPr>
          <w:rFonts w:asciiTheme="majorHAnsi" w:eastAsiaTheme="majorEastAsia" w:hAnsiTheme="majorHAnsi" w:cstheme="majorBidi"/>
          <w:color w:val="1F3763" w:themeColor="accent1" w:themeShade="7F"/>
        </w:rPr>
        <w:t xml:space="preserve"> OF THE FIELD STUDY</w:t>
      </w:r>
    </w:p>
    <w:p w14:paraId="3DC7E73A" w14:textId="77777777" w:rsidR="00BB44E1" w:rsidRPr="00DB0C40" w:rsidRDefault="00230B49">
      <w:pPr>
        <w:jc w:val="both"/>
        <w:rPr>
          <w:sz w:val="22"/>
          <w:szCs w:val="22"/>
        </w:rPr>
      </w:pPr>
      <w:r w:rsidRPr="00DB0C40">
        <w:rPr>
          <w:sz w:val="22"/>
          <w:szCs w:val="22"/>
        </w:rPr>
        <w:t xml:space="preserve"> </w:t>
      </w:r>
    </w:p>
    <w:p w14:paraId="38FE73BD" w14:textId="327C11F2" w:rsidR="00BB44E1" w:rsidRPr="00CD2A61" w:rsidRDefault="00230B49" w:rsidP="00CD2A61">
      <w:pPr>
        <w:spacing w:after="160" w:line="259" w:lineRule="auto"/>
        <w:contextualSpacing/>
        <w:jc w:val="both"/>
        <w:rPr>
          <w:rFonts w:asciiTheme="majorHAnsi" w:eastAsiaTheme="majorEastAsia" w:hAnsiTheme="majorHAnsi" w:cstheme="majorBidi"/>
          <w:color w:val="1F3763" w:themeColor="accent1" w:themeShade="7F"/>
        </w:rPr>
      </w:pPr>
      <w:r w:rsidRPr="00CD2A61">
        <w:rPr>
          <w:rFonts w:asciiTheme="majorHAnsi" w:eastAsiaTheme="majorEastAsia" w:hAnsiTheme="majorHAnsi" w:cstheme="majorBidi"/>
          <w:color w:val="1F3763" w:themeColor="accent1" w:themeShade="7F"/>
        </w:rPr>
        <w:t xml:space="preserve">4.1. </w:t>
      </w:r>
      <w:bookmarkStart w:id="125" w:name="_Hlk107139182"/>
      <w:r w:rsidR="00BA33A9" w:rsidRPr="00CD2A61">
        <w:rPr>
          <w:rFonts w:asciiTheme="majorHAnsi" w:eastAsiaTheme="majorEastAsia" w:hAnsiTheme="majorHAnsi" w:cstheme="majorBidi"/>
          <w:color w:val="1F3763" w:themeColor="accent1" w:themeShade="7F"/>
        </w:rPr>
        <w:t>Steps for the Preparation of the Recommendation Report on Impact Assessment</w:t>
      </w:r>
      <w:bookmarkEnd w:id="125"/>
    </w:p>
    <w:bookmarkEnd w:id="124"/>
    <w:p w14:paraId="14AAE112" w14:textId="77777777" w:rsidR="00BB44E1" w:rsidRPr="00DB0C40" w:rsidRDefault="00BB44E1">
      <w:pPr>
        <w:jc w:val="both"/>
        <w:rPr>
          <w:sz w:val="22"/>
          <w:szCs w:val="22"/>
        </w:rPr>
      </w:pPr>
    </w:p>
    <w:p w14:paraId="7A8926FC" w14:textId="77777777" w:rsidR="00BB44E1" w:rsidRPr="00DB0C40" w:rsidRDefault="00230B49">
      <w:pPr>
        <w:jc w:val="both"/>
        <w:rPr>
          <w:sz w:val="22"/>
          <w:szCs w:val="22"/>
        </w:rPr>
      </w:pPr>
      <w:r w:rsidRPr="00DB0C40">
        <w:rPr>
          <w:sz w:val="22"/>
          <w:szCs w:val="22"/>
        </w:rPr>
        <w:t>The impact assessment study followed a consultative and participatory approach involving stakeholders throughout the process. This study mainly assesses the appropriateness, and effectiveness of the implementation of the legislation and workers and employers’ level of satisfaction with the provisions mentioned in the law. The mixed research methodology applied includes the following steps:</w:t>
      </w:r>
    </w:p>
    <w:p w14:paraId="7AA97B44" w14:textId="77777777" w:rsidR="00BB44E1" w:rsidRPr="00DB0C40" w:rsidRDefault="00BB44E1">
      <w:pPr>
        <w:jc w:val="both"/>
        <w:rPr>
          <w:sz w:val="22"/>
          <w:szCs w:val="22"/>
        </w:rPr>
      </w:pPr>
    </w:p>
    <w:p w14:paraId="52EAEB4B" w14:textId="77777777" w:rsidR="00BB44E1" w:rsidRPr="00DB0C40" w:rsidRDefault="00230B49">
      <w:pPr>
        <w:jc w:val="both"/>
        <w:rPr>
          <w:sz w:val="22"/>
          <w:szCs w:val="22"/>
        </w:rPr>
      </w:pPr>
      <w:r w:rsidRPr="00DB0C40">
        <w:rPr>
          <w:sz w:val="22"/>
          <w:szCs w:val="22"/>
        </w:rPr>
        <w:t>1.</w:t>
      </w:r>
      <w:r w:rsidRPr="00DB0C40">
        <w:rPr>
          <w:sz w:val="22"/>
          <w:szCs w:val="22"/>
        </w:rPr>
        <w:tab/>
        <w:t>Desk review: Review of available legislations and regulations, research reports, international recommendations/commitments, available statistics and indicators;</w:t>
      </w:r>
    </w:p>
    <w:p w14:paraId="19518560" w14:textId="77777777" w:rsidR="00BB44E1" w:rsidRPr="00DB0C40" w:rsidRDefault="00230B49">
      <w:pPr>
        <w:jc w:val="both"/>
        <w:rPr>
          <w:sz w:val="22"/>
          <w:szCs w:val="22"/>
        </w:rPr>
      </w:pPr>
      <w:r w:rsidRPr="00DB0C40">
        <w:rPr>
          <w:sz w:val="22"/>
          <w:szCs w:val="22"/>
        </w:rPr>
        <w:t>2.</w:t>
      </w:r>
      <w:r w:rsidRPr="00DB0C40">
        <w:rPr>
          <w:sz w:val="22"/>
          <w:szCs w:val="22"/>
        </w:rPr>
        <w:tab/>
        <w:t>Interviews and focus group discussions: Interviews and focus discussions were conducted with the major stakeholders responsible from the implementation of the law;</w:t>
      </w:r>
    </w:p>
    <w:p w14:paraId="67766148" w14:textId="489B78CF" w:rsidR="00BB44E1" w:rsidRPr="00DB0C40" w:rsidRDefault="00230B49">
      <w:pPr>
        <w:jc w:val="both"/>
        <w:rPr>
          <w:sz w:val="22"/>
          <w:szCs w:val="22"/>
        </w:rPr>
      </w:pPr>
      <w:r w:rsidRPr="00DB0C40">
        <w:rPr>
          <w:sz w:val="22"/>
          <w:szCs w:val="22"/>
        </w:rPr>
        <w:t xml:space="preserve">3.  A Pre-Study Stakeholder Workshop at which 51 representatives of the public and third sectors formulated their views on how to improve women employment in </w:t>
      </w:r>
      <w:r w:rsidR="00AC20EA">
        <w:rPr>
          <w:sz w:val="22"/>
          <w:szCs w:val="22"/>
        </w:rPr>
        <w:t>Türkiye</w:t>
      </w:r>
      <w:r w:rsidRPr="00DB0C40">
        <w:rPr>
          <w:sz w:val="22"/>
          <w:szCs w:val="22"/>
        </w:rPr>
        <w:t>;</w:t>
      </w:r>
    </w:p>
    <w:p w14:paraId="437EE3D8" w14:textId="786B836A" w:rsidR="00BB44E1" w:rsidRPr="00DB0C40" w:rsidRDefault="00230B49">
      <w:pPr>
        <w:jc w:val="both"/>
        <w:rPr>
          <w:sz w:val="22"/>
          <w:szCs w:val="22"/>
        </w:rPr>
      </w:pPr>
      <w:r w:rsidRPr="00DB0C40">
        <w:rPr>
          <w:sz w:val="22"/>
          <w:szCs w:val="22"/>
        </w:rPr>
        <w:t>3.</w:t>
      </w:r>
      <w:r w:rsidRPr="00DB0C40">
        <w:rPr>
          <w:sz w:val="22"/>
          <w:szCs w:val="22"/>
        </w:rPr>
        <w:tab/>
        <w:t xml:space="preserve">Field study: Semi-structured Face-to-Face interviews targeting employees and employers conducted to collect data on the difficulties/problems and future expectations of them directly addressed by the Labour Law No 4587. The Face-to-Face Interviews were conducted in 5 provinces: Ankara, Adana, </w:t>
      </w:r>
      <w:r w:rsidRPr="00DB0C40">
        <w:rPr>
          <w:sz w:val="22"/>
          <w:szCs w:val="22"/>
        </w:rPr>
        <w:lastRenderedPageBreak/>
        <w:t>Bursa, İstanbul, and İzmir.  A total of 500 Face-to-Face interviews, 100 of which were conducted in each province;</w:t>
      </w:r>
    </w:p>
    <w:p w14:paraId="75F7A364" w14:textId="12927DFE" w:rsidR="00BB44E1" w:rsidRPr="00DB0C40" w:rsidRDefault="00230B49">
      <w:pPr>
        <w:jc w:val="both"/>
        <w:rPr>
          <w:sz w:val="22"/>
          <w:szCs w:val="22"/>
        </w:rPr>
      </w:pPr>
      <w:r w:rsidRPr="00DB0C40">
        <w:rPr>
          <w:sz w:val="22"/>
          <w:szCs w:val="22"/>
        </w:rPr>
        <w:t>4.</w:t>
      </w:r>
      <w:r w:rsidRPr="00DB0C40">
        <w:rPr>
          <w:sz w:val="22"/>
          <w:szCs w:val="22"/>
        </w:rPr>
        <w:tab/>
        <w:t>Analysis and interpretation of the results, with a comprehensive report to be submitted to the beneficiary institution</w:t>
      </w:r>
    </w:p>
    <w:p w14:paraId="38442FEF" w14:textId="77777777" w:rsidR="00BB44E1" w:rsidRPr="00DB0C40" w:rsidRDefault="00BB44E1">
      <w:pPr>
        <w:jc w:val="both"/>
        <w:rPr>
          <w:sz w:val="22"/>
          <w:szCs w:val="22"/>
        </w:rPr>
      </w:pPr>
    </w:p>
    <w:p w14:paraId="2AEFC05D" w14:textId="76616CA9" w:rsidR="00BB44E1" w:rsidRPr="00DB0C40" w:rsidRDefault="00230B49">
      <w:pPr>
        <w:jc w:val="both"/>
        <w:rPr>
          <w:sz w:val="22"/>
          <w:szCs w:val="22"/>
        </w:rPr>
      </w:pPr>
      <w:r w:rsidRPr="00DB0C40">
        <w:rPr>
          <w:sz w:val="22"/>
          <w:szCs w:val="22"/>
        </w:rPr>
        <w:t xml:space="preserve">The triangulation of the information for the use of multiple methods or data sources and the point of view of different researchers allows to develop a comprehensive understanding of phenomena under study and to test validity through the convergence of information from different sources. </w:t>
      </w:r>
    </w:p>
    <w:p w14:paraId="4AB36FC6" w14:textId="77777777" w:rsidR="00BB44E1" w:rsidRPr="00DB0C40" w:rsidRDefault="00BB44E1">
      <w:pPr>
        <w:jc w:val="both"/>
        <w:rPr>
          <w:sz w:val="22"/>
          <w:szCs w:val="22"/>
        </w:rPr>
      </w:pPr>
    </w:p>
    <w:p w14:paraId="60D3DD6A" w14:textId="77777777" w:rsidR="00BB44E1" w:rsidRPr="00DB0C40" w:rsidRDefault="00230B49">
      <w:pPr>
        <w:jc w:val="both"/>
        <w:rPr>
          <w:sz w:val="22"/>
          <w:szCs w:val="22"/>
        </w:rPr>
      </w:pPr>
      <w:r w:rsidRPr="00DB0C40">
        <w:rPr>
          <w:sz w:val="22"/>
          <w:szCs w:val="22"/>
        </w:rPr>
        <w:t>The impact assessment process is comprised of two phases: - the Inception and the Implementation phases. The main activities to be carried out and their timelines are presented in the below table.</w:t>
      </w:r>
    </w:p>
    <w:p w14:paraId="3AE20738" w14:textId="77777777" w:rsidR="00BB44E1" w:rsidRPr="00DB0C40" w:rsidRDefault="00BB44E1">
      <w:pPr>
        <w:jc w:val="both"/>
        <w:rPr>
          <w:sz w:val="22"/>
          <w:szCs w:val="22"/>
        </w:rPr>
      </w:pPr>
    </w:p>
    <w:p w14:paraId="0C3BD5C6" w14:textId="77777777" w:rsidR="00BB44E1" w:rsidRPr="00DB0C40" w:rsidRDefault="00230B49">
      <w:pPr>
        <w:jc w:val="both"/>
        <w:rPr>
          <w:sz w:val="22"/>
          <w:szCs w:val="22"/>
        </w:rPr>
      </w:pPr>
      <w:r w:rsidRPr="00DB0C40">
        <w:rPr>
          <w:noProof/>
          <w:lang w:eastAsia="en-GB"/>
        </w:rPr>
        <w:drawing>
          <wp:inline distT="0" distB="0" distL="0" distR="0" wp14:anchorId="44B4D5A3" wp14:editId="68749E76">
            <wp:extent cx="6030595" cy="1927860"/>
            <wp:effectExtent l="0" t="0" r="0" b="0"/>
            <wp:docPr id="5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53"/>
                    <a:srcRect/>
                    <a:stretch>
                      <a:fillRect/>
                    </a:stretch>
                  </pic:blipFill>
                  <pic:spPr>
                    <a:xfrm>
                      <a:off x="0" y="0"/>
                      <a:ext cx="6030595" cy="1927860"/>
                    </a:xfrm>
                    <a:prstGeom prst="rect">
                      <a:avLst/>
                    </a:prstGeom>
                    <a:ln/>
                  </pic:spPr>
                </pic:pic>
              </a:graphicData>
            </a:graphic>
          </wp:inline>
        </w:drawing>
      </w:r>
    </w:p>
    <w:p w14:paraId="6E84CC04" w14:textId="77777777" w:rsidR="00BB44E1" w:rsidRPr="00DB0C40" w:rsidRDefault="00BB44E1">
      <w:pPr>
        <w:jc w:val="both"/>
        <w:rPr>
          <w:sz w:val="22"/>
          <w:szCs w:val="22"/>
        </w:rPr>
      </w:pPr>
    </w:p>
    <w:p w14:paraId="7793B368" w14:textId="77777777" w:rsidR="00BB44E1" w:rsidRPr="00DB0C40" w:rsidRDefault="00230B49">
      <w:pPr>
        <w:jc w:val="both"/>
        <w:rPr>
          <w:sz w:val="22"/>
          <w:szCs w:val="22"/>
        </w:rPr>
      </w:pPr>
      <w:r w:rsidRPr="00DB0C40">
        <w:rPr>
          <w:sz w:val="22"/>
          <w:szCs w:val="22"/>
        </w:rPr>
        <w:t>The major output of this impact assessment study is a comprehensive report to be presented to the Ministry that analyses the positive and negative effects of current legal regulations on women's employment by responding below questions:</w:t>
      </w:r>
    </w:p>
    <w:p w14:paraId="785683A8" w14:textId="77777777" w:rsidR="00BB44E1" w:rsidRPr="00DB0C40" w:rsidRDefault="00BB44E1">
      <w:pPr>
        <w:jc w:val="both"/>
        <w:rPr>
          <w:sz w:val="22"/>
          <w:szCs w:val="22"/>
        </w:rPr>
      </w:pPr>
    </w:p>
    <w:p w14:paraId="2A05AD02" w14:textId="77777777" w:rsidR="00BB44E1" w:rsidRPr="00DB0C40" w:rsidRDefault="00230B49">
      <w:pPr>
        <w:jc w:val="both"/>
        <w:rPr>
          <w:sz w:val="22"/>
          <w:szCs w:val="22"/>
        </w:rPr>
      </w:pPr>
      <w:r w:rsidRPr="00DB0C40">
        <w:rPr>
          <w:sz w:val="22"/>
          <w:szCs w:val="22"/>
        </w:rPr>
        <w:t>•</w:t>
      </w:r>
      <w:r w:rsidRPr="00DB0C40">
        <w:rPr>
          <w:sz w:val="22"/>
          <w:szCs w:val="22"/>
        </w:rPr>
        <w:tab/>
        <w:t>To what extent provisions on promoting employment of women in the available legislations meet the requirements and their effectiveness in implementation</w:t>
      </w:r>
    </w:p>
    <w:p w14:paraId="36CAEBA3" w14:textId="77777777" w:rsidR="00BB44E1" w:rsidRPr="00DB0C40" w:rsidRDefault="00BB44E1">
      <w:pPr>
        <w:jc w:val="both"/>
        <w:rPr>
          <w:sz w:val="22"/>
          <w:szCs w:val="22"/>
        </w:rPr>
      </w:pPr>
    </w:p>
    <w:p w14:paraId="21BE91C0" w14:textId="77777777" w:rsidR="00BB44E1" w:rsidRPr="00DB0C40" w:rsidRDefault="00230B49">
      <w:pPr>
        <w:jc w:val="both"/>
        <w:rPr>
          <w:sz w:val="22"/>
          <w:szCs w:val="22"/>
        </w:rPr>
      </w:pPr>
      <w:r w:rsidRPr="00DB0C40">
        <w:rPr>
          <w:sz w:val="22"/>
          <w:szCs w:val="22"/>
        </w:rPr>
        <w:t>•</w:t>
      </w:r>
      <w:r w:rsidRPr="00DB0C40">
        <w:rPr>
          <w:sz w:val="22"/>
          <w:szCs w:val="22"/>
        </w:rPr>
        <w:tab/>
        <w:t>What are the future expectations of the employees and employers?</w:t>
      </w:r>
    </w:p>
    <w:p w14:paraId="26EA3BCF" w14:textId="77777777" w:rsidR="00BB44E1" w:rsidRPr="00DB0C40" w:rsidRDefault="00BB44E1">
      <w:pPr>
        <w:jc w:val="both"/>
        <w:rPr>
          <w:sz w:val="22"/>
          <w:szCs w:val="22"/>
        </w:rPr>
      </w:pPr>
    </w:p>
    <w:p w14:paraId="5F9379CC" w14:textId="18F830A6" w:rsidR="005B4C1D" w:rsidRPr="00DB0C40" w:rsidRDefault="00230B49">
      <w:pPr>
        <w:jc w:val="both"/>
        <w:rPr>
          <w:sz w:val="22"/>
          <w:szCs w:val="22"/>
        </w:rPr>
      </w:pPr>
      <w:r w:rsidRPr="00DB0C40">
        <w:rPr>
          <w:sz w:val="22"/>
          <w:szCs w:val="22"/>
        </w:rPr>
        <w:t>•</w:t>
      </w:r>
      <w:r w:rsidRPr="00DB0C40">
        <w:rPr>
          <w:sz w:val="22"/>
          <w:szCs w:val="22"/>
        </w:rPr>
        <w:tab/>
        <w:t>Recommendations on what kind of amendments can be done to respond to the national and international requirements of the labour market</w:t>
      </w:r>
    </w:p>
    <w:p w14:paraId="76458521" w14:textId="77777777" w:rsidR="00BB44E1" w:rsidRPr="00DB0C40" w:rsidRDefault="00BB44E1">
      <w:pPr>
        <w:jc w:val="both"/>
        <w:rPr>
          <w:sz w:val="22"/>
          <w:szCs w:val="22"/>
        </w:rPr>
      </w:pPr>
    </w:p>
    <w:p w14:paraId="64113B65" w14:textId="02437E8F" w:rsidR="00BB44E1" w:rsidRPr="00497865" w:rsidRDefault="00230B49">
      <w:pPr>
        <w:jc w:val="both"/>
        <w:rPr>
          <w:rFonts w:asciiTheme="majorHAnsi" w:eastAsiaTheme="majorEastAsia" w:hAnsiTheme="majorHAnsi" w:cstheme="majorBidi"/>
          <w:b/>
          <w:color w:val="FF0000"/>
          <w:u w:val="single"/>
        </w:rPr>
      </w:pPr>
      <w:r w:rsidRPr="00F23644">
        <w:rPr>
          <w:rFonts w:asciiTheme="majorHAnsi" w:eastAsiaTheme="majorEastAsia" w:hAnsiTheme="majorHAnsi" w:cstheme="majorBidi"/>
          <w:color w:val="1F3763" w:themeColor="accent1" w:themeShade="7F"/>
        </w:rPr>
        <w:t>4.2.</w:t>
      </w:r>
      <w:r w:rsidRPr="00497865">
        <w:rPr>
          <w:rFonts w:asciiTheme="majorHAnsi" w:eastAsiaTheme="majorEastAsia" w:hAnsiTheme="majorHAnsi" w:cstheme="majorBidi"/>
          <w:b/>
          <w:color w:val="FF0000"/>
          <w:u w:val="single"/>
        </w:rPr>
        <w:t xml:space="preserve"> </w:t>
      </w:r>
      <w:bookmarkStart w:id="126" w:name="_Hlk107139232"/>
      <w:r w:rsidR="00BA33A9" w:rsidRPr="00F23644">
        <w:rPr>
          <w:rFonts w:asciiTheme="majorHAnsi" w:eastAsiaTheme="majorEastAsia" w:hAnsiTheme="majorHAnsi" w:cstheme="majorBidi"/>
          <w:color w:val="1F3763" w:themeColor="accent1" w:themeShade="7F"/>
        </w:rPr>
        <w:t>Qualitative Assessment by Stakeholders</w:t>
      </w:r>
      <w:bookmarkEnd w:id="126"/>
      <w:r w:rsidR="00497865" w:rsidRPr="00F23644">
        <w:rPr>
          <w:rFonts w:asciiTheme="majorHAnsi" w:eastAsiaTheme="majorEastAsia" w:hAnsiTheme="majorHAnsi" w:cstheme="majorBidi"/>
          <w:color w:val="1F3763" w:themeColor="accent1" w:themeShade="7F"/>
        </w:rPr>
        <w:t xml:space="preserve"> </w:t>
      </w:r>
    </w:p>
    <w:p w14:paraId="04208E00" w14:textId="77777777" w:rsidR="00BB44E1" w:rsidRPr="00DB0C40" w:rsidRDefault="00BB44E1">
      <w:pPr>
        <w:jc w:val="both"/>
        <w:rPr>
          <w:sz w:val="22"/>
          <w:szCs w:val="22"/>
        </w:rPr>
      </w:pPr>
    </w:p>
    <w:p w14:paraId="6FF45696" w14:textId="36748D34" w:rsidR="00BB44E1" w:rsidRPr="00DB0C40" w:rsidRDefault="00230B49">
      <w:pPr>
        <w:jc w:val="both"/>
        <w:rPr>
          <w:sz w:val="22"/>
          <w:szCs w:val="22"/>
        </w:rPr>
      </w:pPr>
      <w:r w:rsidRPr="00DB0C40">
        <w:rPr>
          <w:sz w:val="22"/>
          <w:szCs w:val="22"/>
        </w:rPr>
        <w:t>After completion of the Desk Review Report, the first round of stakeholder interviews was held between 15-23 December 2021 online with the representatives of the institutions, social partners, and professional organi</w:t>
      </w:r>
      <w:r w:rsidR="00EF6EB8">
        <w:rPr>
          <w:sz w:val="22"/>
          <w:szCs w:val="22"/>
        </w:rPr>
        <w:t>s</w:t>
      </w:r>
      <w:r w:rsidRPr="00DB0C40">
        <w:rPr>
          <w:sz w:val="22"/>
          <w:szCs w:val="22"/>
        </w:rPr>
        <w:t xml:space="preserve">ations agreed with OB, by using a semi-structured questionnaire. </w:t>
      </w:r>
    </w:p>
    <w:p w14:paraId="0BAAA85D" w14:textId="77777777" w:rsidR="00BB44E1" w:rsidRPr="00DB0C40" w:rsidRDefault="00BB44E1">
      <w:pPr>
        <w:jc w:val="both"/>
        <w:rPr>
          <w:sz w:val="22"/>
          <w:szCs w:val="22"/>
        </w:rPr>
      </w:pPr>
    </w:p>
    <w:p w14:paraId="2D09B29B" w14:textId="77777777" w:rsidR="00BB44E1" w:rsidRPr="00DB0C40" w:rsidRDefault="00230B49">
      <w:pPr>
        <w:jc w:val="both"/>
        <w:rPr>
          <w:sz w:val="22"/>
          <w:szCs w:val="22"/>
        </w:rPr>
      </w:pPr>
      <w:r w:rsidRPr="00DB0C40">
        <w:rPr>
          <w:sz w:val="22"/>
          <w:szCs w:val="22"/>
        </w:rPr>
        <w:t>By doing these interviews, it was aimed to introduce the impact analysis study of the project to the main stakeholders and to get their feedback and agreements to identify the bottlenecks in implementation of the legislation (the Labour Law and its related regulations). Accordingly, getting their opinions and views helped the project team in designing the field study including the survey questionnaire, sectors to be included etc.</w:t>
      </w:r>
    </w:p>
    <w:p w14:paraId="6815AE56" w14:textId="77777777" w:rsidR="00BB44E1" w:rsidRPr="00DB0C40" w:rsidRDefault="00BB44E1">
      <w:pPr>
        <w:jc w:val="both"/>
        <w:rPr>
          <w:sz w:val="22"/>
          <w:szCs w:val="22"/>
        </w:rPr>
      </w:pPr>
    </w:p>
    <w:p w14:paraId="7C03B8F6" w14:textId="77777777" w:rsidR="00C2410D" w:rsidRDefault="00230B49">
      <w:pPr>
        <w:jc w:val="both"/>
        <w:rPr>
          <w:sz w:val="22"/>
          <w:szCs w:val="22"/>
        </w:rPr>
      </w:pPr>
      <w:r w:rsidRPr="00DB0C40">
        <w:rPr>
          <w:sz w:val="22"/>
          <w:szCs w:val="22"/>
        </w:rPr>
        <w:lastRenderedPageBreak/>
        <w:t xml:space="preserve">The list of </w:t>
      </w:r>
      <w:r w:rsidR="00E279B2">
        <w:rPr>
          <w:sz w:val="22"/>
          <w:szCs w:val="22"/>
        </w:rPr>
        <w:t xml:space="preserve">institutions </w:t>
      </w:r>
      <w:r w:rsidRPr="00DB0C40">
        <w:rPr>
          <w:sz w:val="22"/>
          <w:szCs w:val="22"/>
        </w:rPr>
        <w:t xml:space="preserve">interviewed is the following: </w:t>
      </w:r>
    </w:p>
    <w:p w14:paraId="7DE80EE8" w14:textId="643328EB" w:rsidR="0074795B" w:rsidRPr="0074795B" w:rsidRDefault="00C2410D">
      <w:pPr>
        <w:pStyle w:val="ListParagraph"/>
        <w:numPr>
          <w:ilvl w:val="0"/>
          <w:numId w:val="53"/>
        </w:numPr>
        <w:jc w:val="both"/>
        <w:rPr>
          <w:sz w:val="22"/>
          <w:szCs w:val="22"/>
        </w:rPr>
      </w:pPr>
      <w:r w:rsidRPr="0074795B">
        <w:rPr>
          <w:sz w:val="22"/>
          <w:szCs w:val="22"/>
        </w:rPr>
        <w:t>SGK</w:t>
      </w:r>
      <w:r w:rsidR="0074795B" w:rsidRPr="0074795B">
        <w:rPr>
          <w:sz w:val="22"/>
          <w:szCs w:val="22"/>
        </w:rPr>
        <w:t xml:space="preserve"> - </w:t>
      </w:r>
      <w:r w:rsidRPr="0074795B">
        <w:rPr>
          <w:sz w:val="22"/>
          <w:szCs w:val="22"/>
        </w:rPr>
        <w:t>Social Security Institutions-SSI;</w:t>
      </w:r>
    </w:p>
    <w:p w14:paraId="5D200176" w14:textId="4C875A4A" w:rsidR="00C2410D" w:rsidRPr="0074795B" w:rsidRDefault="00C2410D">
      <w:pPr>
        <w:pStyle w:val="ListParagraph"/>
        <w:numPr>
          <w:ilvl w:val="0"/>
          <w:numId w:val="53"/>
        </w:numPr>
        <w:jc w:val="both"/>
        <w:rPr>
          <w:sz w:val="22"/>
          <w:szCs w:val="22"/>
        </w:rPr>
      </w:pPr>
      <w:r w:rsidRPr="0074795B">
        <w:rPr>
          <w:sz w:val="22"/>
          <w:szCs w:val="22"/>
        </w:rPr>
        <w:t>İŞKUR</w:t>
      </w:r>
      <w:r w:rsidR="0074795B" w:rsidRPr="0074795B">
        <w:rPr>
          <w:sz w:val="22"/>
          <w:szCs w:val="22"/>
        </w:rPr>
        <w:t xml:space="preserve"> - </w:t>
      </w:r>
      <w:r w:rsidRPr="0074795B">
        <w:rPr>
          <w:sz w:val="22"/>
          <w:szCs w:val="22"/>
        </w:rPr>
        <w:t>Turkish Employment Agency;</w:t>
      </w:r>
    </w:p>
    <w:p w14:paraId="6EEA46B6" w14:textId="77777777" w:rsidR="0074795B" w:rsidRPr="0074795B" w:rsidRDefault="00C2410D">
      <w:pPr>
        <w:pStyle w:val="ListParagraph"/>
        <w:numPr>
          <w:ilvl w:val="0"/>
          <w:numId w:val="53"/>
        </w:numPr>
        <w:jc w:val="both"/>
        <w:rPr>
          <w:sz w:val="22"/>
          <w:szCs w:val="22"/>
        </w:rPr>
      </w:pPr>
      <w:r w:rsidRPr="0074795B">
        <w:rPr>
          <w:sz w:val="22"/>
          <w:szCs w:val="22"/>
        </w:rPr>
        <w:t>TÜRK-İŞ - Confederation of Turkish Trade Unions</w:t>
      </w:r>
    </w:p>
    <w:p w14:paraId="36259C97" w14:textId="3B65901B" w:rsidR="00C2410D" w:rsidRPr="0074795B" w:rsidRDefault="00C2410D">
      <w:pPr>
        <w:pStyle w:val="ListParagraph"/>
        <w:numPr>
          <w:ilvl w:val="0"/>
          <w:numId w:val="53"/>
        </w:numPr>
        <w:jc w:val="both"/>
        <w:rPr>
          <w:sz w:val="22"/>
          <w:szCs w:val="22"/>
        </w:rPr>
      </w:pPr>
      <w:r w:rsidRPr="0074795B">
        <w:rPr>
          <w:sz w:val="22"/>
          <w:szCs w:val="22"/>
        </w:rPr>
        <w:t>TİSK</w:t>
      </w:r>
      <w:r w:rsidR="0074795B" w:rsidRPr="0074795B">
        <w:rPr>
          <w:sz w:val="22"/>
          <w:szCs w:val="22"/>
        </w:rPr>
        <w:t xml:space="preserve"> - </w:t>
      </w:r>
      <w:r w:rsidRPr="0074795B">
        <w:rPr>
          <w:sz w:val="22"/>
          <w:szCs w:val="22"/>
        </w:rPr>
        <w:t xml:space="preserve">Turkish Confederation of Employer Associations and </w:t>
      </w:r>
    </w:p>
    <w:p w14:paraId="22CE04C4" w14:textId="516BE19D" w:rsidR="00BB44E1" w:rsidRPr="0074795B" w:rsidRDefault="00C2410D">
      <w:pPr>
        <w:pStyle w:val="ListParagraph"/>
        <w:numPr>
          <w:ilvl w:val="0"/>
          <w:numId w:val="53"/>
        </w:numPr>
        <w:jc w:val="both"/>
        <w:rPr>
          <w:sz w:val="22"/>
          <w:szCs w:val="22"/>
        </w:rPr>
      </w:pPr>
      <w:r w:rsidRPr="0074795B">
        <w:rPr>
          <w:sz w:val="22"/>
          <w:szCs w:val="22"/>
          <w:lang w:val="en-US"/>
        </w:rPr>
        <w:t xml:space="preserve">TÜRKİYE ODALAR VE BORSALAR BİRLİĞİ - </w:t>
      </w:r>
      <w:r w:rsidRPr="0074795B">
        <w:rPr>
          <w:sz w:val="22"/>
          <w:szCs w:val="22"/>
        </w:rPr>
        <w:t xml:space="preserve">The Union of Chambers and Commodity Exchanges of </w:t>
      </w:r>
      <w:r w:rsidR="00AC20EA">
        <w:rPr>
          <w:sz w:val="22"/>
          <w:szCs w:val="22"/>
        </w:rPr>
        <w:t>Türkiye</w:t>
      </w:r>
      <w:r w:rsidRPr="0074795B">
        <w:rPr>
          <w:sz w:val="22"/>
          <w:szCs w:val="22"/>
        </w:rPr>
        <w:t xml:space="preserve">. </w:t>
      </w:r>
    </w:p>
    <w:p w14:paraId="10DE697E" w14:textId="77777777" w:rsidR="00C2410D" w:rsidRPr="00DB0C40" w:rsidRDefault="00C2410D">
      <w:pPr>
        <w:jc w:val="both"/>
        <w:rPr>
          <w:sz w:val="22"/>
          <w:szCs w:val="22"/>
        </w:rPr>
      </w:pPr>
    </w:p>
    <w:p w14:paraId="3DF50266" w14:textId="77777777" w:rsidR="00BB44E1" w:rsidRPr="00DB0C40" w:rsidRDefault="00BB44E1">
      <w:pPr>
        <w:jc w:val="both"/>
        <w:rPr>
          <w:sz w:val="22"/>
          <w:szCs w:val="22"/>
        </w:rPr>
      </w:pPr>
    </w:p>
    <w:p w14:paraId="7B69D519" w14:textId="77777777" w:rsidR="00BB44E1" w:rsidRPr="00DB0C40" w:rsidRDefault="00230B49">
      <w:pPr>
        <w:jc w:val="both"/>
        <w:rPr>
          <w:sz w:val="22"/>
          <w:szCs w:val="22"/>
        </w:rPr>
      </w:pPr>
      <w:r w:rsidRPr="00DB0C40">
        <w:rPr>
          <w:sz w:val="22"/>
          <w:szCs w:val="22"/>
        </w:rPr>
        <w:t>In designing the interview questionnaire in-depth review approach was used and questionnaires were structured to assess the appropriateness and effectiveness of the regulation from the perspectives of the organizations involved in the implementation (See Annex 1). The key interview questions were presented below.</w:t>
      </w:r>
    </w:p>
    <w:p w14:paraId="26211C51" w14:textId="77777777" w:rsidR="00BB44E1" w:rsidRPr="00DB0C40" w:rsidRDefault="00BB44E1">
      <w:pPr>
        <w:jc w:val="both"/>
        <w:rPr>
          <w:sz w:val="22"/>
          <w:szCs w:val="22"/>
        </w:rPr>
      </w:pPr>
    </w:p>
    <w:p w14:paraId="5F480932" w14:textId="77777777" w:rsidR="00BB44E1" w:rsidRPr="00DB0C40" w:rsidRDefault="00230B49">
      <w:pPr>
        <w:jc w:val="both"/>
        <w:rPr>
          <w:sz w:val="22"/>
          <w:szCs w:val="22"/>
        </w:rPr>
      </w:pPr>
      <w:r w:rsidRPr="00DB0C40">
        <w:rPr>
          <w:noProof/>
          <w:sz w:val="22"/>
          <w:szCs w:val="22"/>
          <w:lang w:eastAsia="en-GB"/>
        </w:rPr>
        <w:drawing>
          <wp:inline distT="0" distB="0" distL="0" distR="0" wp14:anchorId="5CF0034F" wp14:editId="7EBBE3DC">
            <wp:extent cx="6054090" cy="2231390"/>
            <wp:effectExtent l="0" t="0" r="0" b="0"/>
            <wp:docPr id="5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54"/>
                    <a:srcRect/>
                    <a:stretch>
                      <a:fillRect/>
                    </a:stretch>
                  </pic:blipFill>
                  <pic:spPr>
                    <a:xfrm>
                      <a:off x="0" y="0"/>
                      <a:ext cx="6054090" cy="2231390"/>
                    </a:xfrm>
                    <a:prstGeom prst="rect">
                      <a:avLst/>
                    </a:prstGeom>
                    <a:ln/>
                  </pic:spPr>
                </pic:pic>
              </a:graphicData>
            </a:graphic>
          </wp:inline>
        </w:drawing>
      </w:r>
    </w:p>
    <w:p w14:paraId="69959EB9" w14:textId="77777777" w:rsidR="00BB44E1" w:rsidRPr="00DB0C40" w:rsidRDefault="00BB44E1">
      <w:pPr>
        <w:jc w:val="both"/>
        <w:rPr>
          <w:sz w:val="22"/>
          <w:szCs w:val="22"/>
        </w:rPr>
      </w:pPr>
    </w:p>
    <w:p w14:paraId="2BF71E10" w14:textId="003FDFC8" w:rsidR="00BB44E1" w:rsidRPr="00DB0C40" w:rsidRDefault="00230B49">
      <w:pPr>
        <w:jc w:val="both"/>
        <w:rPr>
          <w:sz w:val="22"/>
          <w:szCs w:val="22"/>
        </w:rPr>
      </w:pPr>
      <w:r w:rsidRPr="00DB0C40">
        <w:rPr>
          <w:sz w:val="22"/>
          <w:szCs w:val="22"/>
        </w:rPr>
        <w:t>The main findings of the interviews can be summari</w:t>
      </w:r>
      <w:r w:rsidR="00EF6EB8">
        <w:rPr>
          <w:sz w:val="22"/>
          <w:szCs w:val="22"/>
        </w:rPr>
        <w:t>s</w:t>
      </w:r>
      <w:r w:rsidRPr="00DB0C40">
        <w:rPr>
          <w:sz w:val="22"/>
          <w:szCs w:val="22"/>
        </w:rPr>
        <w:t>ed as follows:</w:t>
      </w:r>
    </w:p>
    <w:p w14:paraId="42491325" w14:textId="77777777" w:rsidR="00BB44E1" w:rsidRPr="00DB0C40" w:rsidRDefault="00BB44E1">
      <w:pPr>
        <w:jc w:val="both"/>
        <w:rPr>
          <w:sz w:val="22"/>
          <w:szCs w:val="22"/>
        </w:rPr>
      </w:pPr>
    </w:p>
    <w:p w14:paraId="08704949" w14:textId="77777777" w:rsidR="00BB44E1" w:rsidRPr="00DB0C40" w:rsidRDefault="00230B49" w:rsidP="00FB59BE">
      <w:pPr>
        <w:numPr>
          <w:ilvl w:val="0"/>
          <w:numId w:val="15"/>
        </w:numPr>
        <w:pBdr>
          <w:top w:val="nil"/>
          <w:left w:val="nil"/>
          <w:bottom w:val="nil"/>
          <w:right w:val="nil"/>
          <w:between w:val="nil"/>
        </w:pBdr>
        <w:jc w:val="both"/>
        <w:rPr>
          <w:color w:val="000000"/>
          <w:sz w:val="22"/>
          <w:szCs w:val="22"/>
        </w:rPr>
      </w:pPr>
      <w:bookmarkStart w:id="127" w:name="_heading=h.3j2qqm3" w:colFirst="0" w:colLast="0"/>
      <w:bookmarkEnd w:id="127"/>
      <w:r w:rsidRPr="00DB0C40">
        <w:rPr>
          <w:color w:val="000000"/>
          <w:sz w:val="22"/>
          <w:szCs w:val="22"/>
        </w:rPr>
        <w:t>The most influential provisions of the Labour Law are Articles 5, 72, 73, 74, and 104 which specifically refers to anti-discrimination, working leaves, maternity leaves, maternal insurance for 4/A workers.</w:t>
      </w:r>
    </w:p>
    <w:p w14:paraId="56B83D00" w14:textId="77777777" w:rsidR="00BB44E1" w:rsidRPr="00DB0C40" w:rsidRDefault="00BB44E1">
      <w:pPr>
        <w:pBdr>
          <w:top w:val="nil"/>
          <w:left w:val="nil"/>
          <w:bottom w:val="nil"/>
          <w:right w:val="nil"/>
          <w:between w:val="nil"/>
        </w:pBdr>
        <w:ind w:left="720"/>
        <w:jc w:val="both"/>
        <w:rPr>
          <w:color w:val="000000"/>
          <w:sz w:val="22"/>
          <w:szCs w:val="22"/>
        </w:rPr>
      </w:pPr>
    </w:p>
    <w:p w14:paraId="75090DC7" w14:textId="77777777" w:rsidR="00BB44E1" w:rsidRPr="00DB0C40" w:rsidRDefault="00230B49" w:rsidP="00FB59BE">
      <w:pPr>
        <w:numPr>
          <w:ilvl w:val="0"/>
          <w:numId w:val="15"/>
        </w:numPr>
        <w:pBdr>
          <w:top w:val="nil"/>
          <w:left w:val="nil"/>
          <w:bottom w:val="nil"/>
          <w:right w:val="nil"/>
          <w:between w:val="nil"/>
        </w:pBdr>
        <w:jc w:val="both"/>
        <w:rPr>
          <w:color w:val="000000"/>
          <w:sz w:val="22"/>
          <w:szCs w:val="22"/>
        </w:rPr>
      </w:pPr>
      <w:r w:rsidRPr="00DB0C40">
        <w:rPr>
          <w:color w:val="000000"/>
          <w:sz w:val="22"/>
          <w:szCs w:val="22"/>
        </w:rPr>
        <w:t>MoLSS is the sole institution responsible for the implementation of the law</w:t>
      </w:r>
    </w:p>
    <w:p w14:paraId="776270E5" w14:textId="77777777" w:rsidR="00BB44E1" w:rsidRPr="00DB0C40" w:rsidRDefault="00BB44E1">
      <w:pPr>
        <w:pBdr>
          <w:top w:val="nil"/>
          <w:left w:val="nil"/>
          <w:bottom w:val="nil"/>
          <w:right w:val="nil"/>
          <w:between w:val="nil"/>
        </w:pBdr>
        <w:ind w:left="720"/>
        <w:rPr>
          <w:color w:val="000000"/>
          <w:sz w:val="22"/>
          <w:szCs w:val="22"/>
        </w:rPr>
      </w:pPr>
    </w:p>
    <w:p w14:paraId="1691E6B9" w14:textId="77777777" w:rsidR="00BB44E1" w:rsidRPr="00DB0C40" w:rsidRDefault="00230B49" w:rsidP="00FB59BE">
      <w:pPr>
        <w:numPr>
          <w:ilvl w:val="0"/>
          <w:numId w:val="15"/>
        </w:numPr>
        <w:pBdr>
          <w:top w:val="nil"/>
          <w:left w:val="nil"/>
          <w:bottom w:val="nil"/>
          <w:right w:val="nil"/>
          <w:between w:val="nil"/>
        </w:pBdr>
        <w:jc w:val="both"/>
        <w:rPr>
          <w:color w:val="000000"/>
          <w:sz w:val="22"/>
          <w:szCs w:val="22"/>
        </w:rPr>
      </w:pPr>
      <w:r w:rsidRPr="00DB0C40">
        <w:rPr>
          <w:color w:val="000000"/>
          <w:sz w:val="22"/>
          <w:szCs w:val="22"/>
        </w:rPr>
        <w:t>More support from the government side is expected from the employers to fulfil the responsibilities given to them like the day care centre and breastfeeding room obligation</w:t>
      </w:r>
    </w:p>
    <w:p w14:paraId="764CFF7A" w14:textId="77777777" w:rsidR="00BB44E1" w:rsidRPr="00DB0C40" w:rsidRDefault="00BB44E1">
      <w:pPr>
        <w:pBdr>
          <w:top w:val="nil"/>
          <w:left w:val="nil"/>
          <w:bottom w:val="nil"/>
          <w:right w:val="nil"/>
          <w:between w:val="nil"/>
        </w:pBdr>
        <w:ind w:left="720"/>
        <w:rPr>
          <w:color w:val="000000"/>
          <w:sz w:val="22"/>
          <w:szCs w:val="22"/>
        </w:rPr>
      </w:pPr>
    </w:p>
    <w:p w14:paraId="02F1D4F9" w14:textId="77777777" w:rsidR="00BB44E1" w:rsidRPr="00DB0C40" w:rsidRDefault="00230B49" w:rsidP="00FB59BE">
      <w:pPr>
        <w:numPr>
          <w:ilvl w:val="0"/>
          <w:numId w:val="15"/>
        </w:numPr>
        <w:pBdr>
          <w:top w:val="nil"/>
          <w:left w:val="nil"/>
          <w:bottom w:val="nil"/>
          <w:right w:val="nil"/>
          <w:between w:val="nil"/>
        </w:pBdr>
        <w:jc w:val="both"/>
        <w:rPr>
          <w:color w:val="000000"/>
          <w:sz w:val="22"/>
          <w:szCs w:val="22"/>
        </w:rPr>
      </w:pPr>
      <w:r w:rsidRPr="00DB0C40">
        <w:rPr>
          <w:color w:val="000000"/>
          <w:sz w:val="22"/>
          <w:szCs w:val="22"/>
        </w:rPr>
        <w:t>Interpretation of the term ‘flexicurity’ from the government and employers’ side are different</w:t>
      </w:r>
    </w:p>
    <w:p w14:paraId="12840C6E" w14:textId="77777777" w:rsidR="00BB44E1" w:rsidRPr="00DB0C40" w:rsidRDefault="00BB44E1">
      <w:pPr>
        <w:pBdr>
          <w:top w:val="nil"/>
          <w:left w:val="nil"/>
          <w:bottom w:val="nil"/>
          <w:right w:val="nil"/>
          <w:between w:val="nil"/>
        </w:pBdr>
        <w:ind w:left="720"/>
        <w:rPr>
          <w:color w:val="000000"/>
          <w:sz w:val="22"/>
          <w:szCs w:val="22"/>
        </w:rPr>
      </w:pPr>
    </w:p>
    <w:p w14:paraId="6EDDA5BC" w14:textId="65CEFE3F" w:rsidR="00BB44E1" w:rsidRPr="00DB0C40" w:rsidRDefault="00230B49" w:rsidP="00FB59BE">
      <w:pPr>
        <w:numPr>
          <w:ilvl w:val="0"/>
          <w:numId w:val="15"/>
        </w:numPr>
        <w:pBdr>
          <w:top w:val="nil"/>
          <w:left w:val="nil"/>
          <w:bottom w:val="nil"/>
          <w:right w:val="nil"/>
          <w:between w:val="nil"/>
        </w:pBdr>
        <w:jc w:val="both"/>
        <w:rPr>
          <w:color w:val="000000"/>
          <w:sz w:val="22"/>
          <w:szCs w:val="22"/>
        </w:rPr>
      </w:pPr>
      <w:r w:rsidRPr="00DB0C40">
        <w:rPr>
          <w:color w:val="000000"/>
          <w:sz w:val="22"/>
          <w:szCs w:val="22"/>
        </w:rPr>
        <w:t>Non-standard work and care facilities are new issues inside the labour market, which are not covered by the existing legislation.</w:t>
      </w:r>
    </w:p>
    <w:p w14:paraId="482C22F8" w14:textId="77777777" w:rsidR="00BB44E1" w:rsidRPr="00DB0C40" w:rsidRDefault="00BB44E1">
      <w:pPr>
        <w:jc w:val="both"/>
        <w:rPr>
          <w:sz w:val="22"/>
          <w:szCs w:val="22"/>
        </w:rPr>
      </w:pPr>
    </w:p>
    <w:p w14:paraId="60465FBB" w14:textId="77777777" w:rsidR="00BB44E1" w:rsidRPr="00DB0C40" w:rsidRDefault="00BB44E1">
      <w:pPr>
        <w:jc w:val="both"/>
        <w:rPr>
          <w:sz w:val="22"/>
          <w:szCs w:val="22"/>
        </w:rPr>
      </w:pPr>
    </w:p>
    <w:p w14:paraId="06D36865" w14:textId="5BA3A897" w:rsidR="00BB44E1" w:rsidRPr="00CD2A61" w:rsidRDefault="00230B49">
      <w:pPr>
        <w:jc w:val="both"/>
        <w:rPr>
          <w:rFonts w:asciiTheme="majorHAnsi" w:eastAsiaTheme="majorEastAsia" w:hAnsiTheme="majorHAnsi" w:cstheme="majorBidi"/>
          <w:color w:val="1F3763" w:themeColor="accent1" w:themeShade="7F"/>
        </w:rPr>
      </w:pPr>
      <w:r w:rsidRPr="00CD2A61">
        <w:rPr>
          <w:rFonts w:asciiTheme="majorHAnsi" w:eastAsiaTheme="majorEastAsia" w:hAnsiTheme="majorHAnsi" w:cstheme="majorBidi"/>
          <w:color w:val="1F3763" w:themeColor="accent1" w:themeShade="7F"/>
        </w:rPr>
        <w:t>4.3.</w:t>
      </w:r>
      <w:r w:rsidRPr="00CD2A61">
        <w:rPr>
          <w:rFonts w:asciiTheme="majorHAnsi" w:eastAsiaTheme="majorEastAsia" w:hAnsiTheme="majorHAnsi" w:cstheme="majorBidi"/>
          <w:color w:val="1F3763" w:themeColor="accent1" w:themeShade="7F"/>
        </w:rPr>
        <w:tab/>
      </w:r>
      <w:bookmarkStart w:id="128" w:name="_Hlk107139270"/>
      <w:r w:rsidR="00B84159" w:rsidRPr="00CD2A61">
        <w:rPr>
          <w:rFonts w:asciiTheme="majorHAnsi" w:eastAsiaTheme="majorEastAsia" w:hAnsiTheme="majorHAnsi" w:cstheme="majorBidi"/>
          <w:color w:val="1F3763" w:themeColor="accent1" w:themeShade="7F"/>
        </w:rPr>
        <w:t>Results of the Pre-Study Workshop</w:t>
      </w:r>
      <w:bookmarkEnd w:id="128"/>
    </w:p>
    <w:p w14:paraId="7758ADE6" w14:textId="77777777" w:rsidR="00BB44E1" w:rsidRPr="00DB0C40" w:rsidRDefault="00BB44E1">
      <w:pPr>
        <w:jc w:val="both"/>
        <w:rPr>
          <w:sz w:val="22"/>
          <w:szCs w:val="22"/>
        </w:rPr>
      </w:pPr>
    </w:p>
    <w:p w14:paraId="20144E23" w14:textId="77777777" w:rsidR="00BB44E1" w:rsidRPr="00DB0C40" w:rsidRDefault="00230B49">
      <w:pPr>
        <w:jc w:val="both"/>
        <w:rPr>
          <w:rFonts w:ascii="Quattrocento Sans" w:eastAsia="Quattrocento Sans" w:hAnsi="Quattrocento Sans" w:cs="Quattrocento Sans"/>
          <w:color w:val="000000"/>
          <w:sz w:val="20"/>
          <w:szCs w:val="20"/>
        </w:rPr>
      </w:pPr>
      <w:r w:rsidRPr="00DB0C40">
        <w:rPr>
          <w:sz w:val="22"/>
          <w:szCs w:val="22"/>
        </w:rPr>
        <w:lastRenderedPageBreak/>
        <w:t xml:space="preserve">Following the stakeholder interviews the 1-day online Workshop was organized to be a platform for receiving guidance and suggestions from stakeholders. The aim of the workshop was to present the main findings of the Desk Research, the stakeholder meetings, and to inform them about the field study to be conducted </w:t>
      </w:r>
    </w:p>
    <w:p w14:paraId="460658AD" w14:textId="77777777" w:rsidR="00BB44E1" w:rsidRPr="00DB0C40" w:rsidRDefault="00BB44E1">
      <w:pPr>
        <w:jc w:val="both"/>
        <w:rPr>
          <w:rFonts w:ascii="Quattrocento Sans" w:eastAsia="Quattrocento Sans" w:hAnsi="Quattrocento Sans" w:cs="Quattrocento Sans"/>
          <w:color w:val="000000"/>
          <w:sz w:val="20"/>
          <w:szCs w:val="20"/>
        </w:rPr>
      </w:pPr>
    </w:p>
    <w:p w14:paraId="7C84B504" w14:textId="77777777" w:rsidR="00BB44E1" w:rsidRPr="00DB0C40" w:rsidRDefault="00230B49">
      <w:pPr>
        <w:jc w:val="both"/>
        <w:rPr>
          <w:sz w:val="22"/>
          <w:szCs w:val="22"/>
        </w:rPr>
      </w:pPr>
      <w:r w:rsidRPr="00DB0C40">
        <w:rPr>
          <w:sz w:val="22"/>
          <w:szCs w:val="22"/>
        </w:rPr>
        <w:t>The 1-day Workshop was, broadly, divided into 2 halves: the morning session comprised a series presentations from MoLSS, TAT and TAT’s experts aimed at establishing a Turkish and international context for subsequent stakeholder discussions on the issue of impact assessment; the afternoon session was focused on stakeholder discussions, held in 4 ‘break-out rooms’, with each room discussing a specific topic in line with the Agenda – feedback from each room was delivered immediately prior to the final wrap-up session.</w:t>
      </w:r>
    </w:p>
    <w:p w14:paraId="0A21684C" w14:textId="77777777" w:rsidR="00BB44E1" w:rsidRPr="00DB0C40" w:rsidRDefault="00BB44E1">
      <w:pPr>
        <w:jc w:val="both"/>
        <w:rPr>
          <w:sz w:val="22"/>
          <w:szCs w:val="22"/>
        </w:rPr>
      </w:pPr>
    </w:p>
    <w:p w14:paraId="3EAAD93E" w14:textId="77777777" w:rsidR="00BB44E1" w:rsidRPr="00DB0C40" w:rsidRDefault="00230B49">
      <w:pPr>
        <w:jc w:val="both"/>
        <w:rPr>
          <w:sz w:val="22"/>
          <w:szCs w:val="22"/>
        </w:rPr>
      </w:pPr>
      <w:r w:rsidRPr="00DB0C40">
        <w:rPr>
          <w:sz w:val="22"/>
          <w:szCs w:val="22"/>
        </w:rPr>
        <w:t>The Operational Beneficiary issued official invitations to a wide range of relevant stakeholders to participate in the Workshop. This resulted in the following attendance:</w:t>
      </w:r>
    </w:p>
    <w:p w14:paraId="3B5CEAC1" w14:textId="77777777" w:rsidR="00BB44E1" w:rsidRPr="00DB0C40" w:rsidRDefault="00BB44E1">
      <w:pPr>
        <w:jc w:val="both"/>
        <w:rPr>
          <w:sz w:val="22"/>
          <w:szCs w:val="22"/>
        </w:rPr>
      </w:pPr>
    </w:p>
    <w:p w14:paraId="76A6AFAC" w14:textId="77777777" w:rsidR="00BB44E1" w:rsidRPr="00DB0C40" w:rsidRDefault="00BB44E1">
      <w:pPr>
        <w:rPr>
          <w:sz w:val="22"/>
          <w:szCs w:val="22"/>
        </w:rPr>
      </w:pPr>
    </w:p>
    <w:tbl>
      <w:tblPr>
        <w:tblStyle w:val="a3"/>
        <w:tblW w:w="8770" w:type="dxa"/>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30"/>
        <w:gridCol w:w="1670"/>
        <w:gridCol w:w="1690"/>
        <w:gridCol w:w="1460"/>
        <w:gridCol w:w="1110"/>
        <w:gridCol w:w="1110"/>
      </w:tblGrid>
      <w:tr w:rsidR="00BB44E1" w:rsidRPr="00DB0C40" w14:paraId="63907DC3" w14:textId="77777777">
        <w:trPr>
          <w:trHeight w:val="420"/>
        </w:trPr>
        <w:tc>
          <w:tcPr>
            <w:tcW w:w="1730" w:type="dxa"/>
            <w:tcBorders>
              <w:top w:val="single" w:sz="4" w:space="0" w:color="000000"/>
              <w:left w:val="single" w:sz="4" w:space="0" w:color="000000"/>
              <w:bottom w:val="single" w:sz="4" w:space="0" w:color="000000"/>
              <w:right w:val="single" w:sz="4" w:space="0" w:color="000000"/>
            </w:tcBorders>
            <w:shd w:val="clear" w:color="auto" w:fill="D9E2F3"/>
          </w:tcPr>
          <w:p w14:paraId="73AE5736" w14:textId="77777777" w:rsidR="00BB44E1" w:rsidRPr="00DB0C40" w:rsidRDefault="00230B49">
            <w:pPr>
              <w:spacing w:after="160" w:line="256" w:lineRule="auto"/>
              <w:rPr>
                <w:b/>
                <w:sz w:val="20"/>
                <w:szCs w:val="20"/>
              </w:rPr>
            </w:pPr>
            <w:r w:rsidRPr="00DB0C40">
              <w:rPr>
                <w:b/>
                <w:sz w:val="20"/>
                <w:szCs w:val="20"/>
              </w:rPr>
              <w:t>Total Attendance</w:t>
            </w:r>
          </w:p>
        </w:tc>
        <w:tc>
          <w:tcPr>
            <w:tcW w:w="1670" w:type="dxa"/>
            <w:tcBorders>
              <w:top w:val="single" w:sz="4" w:space="0" w:color="000000"/>
              <w:left w:val="single" w:sz="4" w:space="0" w:color="000000"/>
              <w:bottom w:val="single" w:sz="4" w:space="0" w:color="000000"/>
              <w:right w:val="single" w:sz="4" w:space="0" w:color="000000"/>
            </w:tcBorders>
            <w:shd w:val="clear" w:color="auto" w:fill="D9E2F3"/>
          </w:tcPr>
          <w:p w14:paraId="0254AB08" w14:textId="77777777" w:rsidR="00BB44E1" w:rsidRPr="00DB0C40" w:rsidRDefault="00230B49">
            <w:pPr>
              <w:spacing w:after="160" w:line="256" w:lineRule="auto"/>
              <w:rPr>
                <w:b/>
                <w:sz w:val="20"/>
                <w:szCs w:val="20"/>
              </w:rPr>
            </w:pPr>
            <w:r w:rsidRPr="00DB0C40">
              <w:rPr>
                <w:b/>
                <w:sz w:val="20"/>
                <w:szCs w:val="20"/>
              </w:rPr>
              <w:t>Public Sector</w:t>
            </w:r>
          </w:p>
        </w:tc>
        <w:tc>
          <w:tcPr>
            <w:tcW w:w="1690" w:type="dxa"/>
            <w:tcBorders>
              <w:top w:val="single" w:sz="4" w:space="0" w:color="000000"/>
              <w:left w:val="single" w:sz="4" w:space="0" w:color="000000"/>
              <w:bottom w:val="single" w:sz="4" w:space="0" w:color="000000"/>
              <w:right w:val="single" w:sz="4" w:space="0" w:color="000000"/>
            </w:tcBorders>
            <w:shd w:val="clear" w:color="auto" w:fill="D9E2F3"/>
          </w:tcPr>
          <w:p w14:paraId="0532017D" w14:textId="77777777" w:rsidR="00BB44E1" w:rsidRPr="00DB0C40" w:rsidRDefault="00230B49">
            <w:pPr>
              <w:spacing w:after="160" w:line="256" w:lineRule="auto"/>
              <w:rPr>
                <w:b/>
                <w:sz w:val="20"/>
                <w:szCs w:val="20"/>
              </w:rPr>
            </w:pPr>
            <w:r w:rsidRPr="00DB0C40">
              <w:rPr>
                <w:b/>
                <w:sz w:val="20"/>
                <w:szCs w:val="20"/>
              </w:rPr>
              <w:t>Private Sector</w:t>
            </w:r>
          </w:p>
        </w:tc>
        <w:tc>
          <w:tcPr>
            <w:tcW w:w="1460" w:type="dxa"/>
            <w:tcBorders>
              <w:top w:val="single" w:sz="4" w:space="0" w:color="000000"/>
              <w:left w:val="single" w:sz="4" w:space="0" w:color="000000"/>
              <w:bottom w:val="single" w:sz="4" w:space="0" w:color="000000"/>
              <w:right w:val="single" w:sz="4" w:space="0" w:color="000000"/>
            </w:tcBorders>
            <w:shd w:val="clear" w:color="auto" w:fill="D9E2F3"/>
          </w:tcPr>
          <w:p w14:paraId="6A6FD900" w14:textId="77777777" w:rsidR="00BB44E1" w:rsidRPr="00DB0C40" w:rsidRDefault="00230B49">
            <w:pPr>
              <w:spacing w:after="160" w:line="256" w:lineRule="auto"/>
              <w:rPr>
                <w:b/>
                <w:sz w:val="20"/>
                <w:szCs w:val="20"/>
              </w:rPr>
            </w:pPr>
            <w:r w:rsidRPr="00DB0C40">
              <w:rPr>
                <w:b/>
                <w:sz w:val="20"/>
                <w:szCs w:val="20"/>
              </w:rPr>
              <w:t>NGOs, etc.</w:t>
            </w:r>
          </w:p>
        </w:tc>
        <w:tc>
          <w:tcPr>
            <w:tcW w:w="1110" w:type="dxa"/>
            <w:tcBorders>
              <w:top w:val="single" w:sz="4" w:space="0" w:color="000000"/>
              <w:left w:val="single" w:sz="4" w:space="0" w:color="000000"/>
              <w:bottom w:val="single" w:sz="4" w:space="0" w:color="000000"/>
              <w:right w:val="single" w:sz="4" w:space="0" w:color="000000"/>
            </w:tcBorders>
            <w:shd w:val="clear" w:color="auto" w:fill="D9E2F3"/>
          </w:tcPr>
          <w:p w14:paraId="5FE4B57F" w14:textId="77777777" w:rsidR="00BB44E1" w:rsidRPr="00DB0C40" w:rsidRDefault="00230B49">
            <w:pPr>
              <w:spacing w:after="160" w:line="256" w:lineRule="auto"/>
              <w:rPr>
                <w:b/>
                <w:sz w:val="20"/>
                <w:szCs w:val="20"/>
              </w:rPr>
            </w:pPr>
            <w:r w:rsidRPr="00DB0C40">
              <w:rPr>
                <w:b/>
                <w:sz w:val="20"/>
                <w:szCs w:val="20"/>
              </w:rPr>
              <w:t>From Outside Ankara</w:t>
            </w:r>
          </w:p>
        </w:tc>
        <w:tc>
          <w:tcPr>
            <w:tcW w:w="1110" w:type="dxa"/>
            <w:tcBorders>
              <w:top w:val="single" w:sz="4" w:space="0" w:color="000000"/>
              <w:left w:val="single" w:sz="4" w:space="0" w:color="000000"/>
              <w:bottom w:val="single" w:sz="4" w:space="0" w:color="000000"/>
              <w:right w:val="single" w:sz="4" w:space="0" w:color="000000"/>
            </w:tcBorders>
            <w:shd w:val="clear" w:color="auto" w:fill="D9E2F3"/>
          </w:tcPr>
          <w:p w14:paraId="6413B841" w14:textId="77777777" w:rsidR="00BB44E1" w:rsidRPr="00DB0C40" w:rsidRDefault="00230B49">
            <w:pPr>
              <w:spacing w:after="160" w:line="256" w:lineRule="auto"/>
              <w:rPr>
                <w:b/>
                <w:i/>
                <w:sz w:val="20"/>
                <w:szCs w:val="20"/>
              </w:rPr>
            </w:pPr>
            <w:r w:rsidRPr="00DB0C40">
              <w:rPr>
                <w:b/>
                <w:i/>
                <w:sz w:val="20"/>
                <w:szCs w:val="20"/>
              </w:rPr>
              <w:t>TAT</w:t>
            </w:r>
          </w:p>
        </w:tc>
      </w:tr>
      <w:tr w:rsidR="00BB44E1" w:rsidRPr="00DB0C40" w14:paraId="65E02DB2" w14:textId="77777777">
        <w:trPr>
          <w:trHeight w:val="420"/>
        </w:trPr>
        <w:tc>
          <w:tcPr>
            <w:tcW w:w="1730" w:type="dxa"/>
            <w:tcBorders>
              <w:top w:val="single" w:sz="4" w:space="0" w:color="000000"/>
              <w:left w:val="single" w:sz="4" w:space="0" w:color="000000"/>
              <w:bottom w:val="single" w:sz="4" w:space="0" w:color="000000"/>
              <w:right w:val="single" w:sz="4" w:space="0" w:color="000000"/>
            </w:tcBorders>
            <w:shd w:val="clear" w:color="auto" w:fill="FBE5D5"/>
          </w:tcPr>
          <w:p w14:paraId="39358E1D" w14:textId="77777777" w:rsidR="00BB44E1" w:rsidRPr="00DB0C40" w:rsidRDefault="00230B49">
            <w:pPr>
              <w:spacing w:after="160" w:line="256" w:lineRule="auto"/>
              <w:rPr>
                <w:sz w:val="20"/>
                <w:szCs w:val="20"/>
              </w:rPr>
            </w:pPr>
            <w:r w:rsidRPr="00DB0C40">
              <w:rPr>
                <w:sz w:val="20"/>
                <w:szCs w:val="20"/>
              </w:rPr>
              <w:t>51*</w:t>
            </w:r>
          </w:p>
        </w:tc>
        <w:tc>
          <w:tcPr>
            <w:tcW w:w="1670" w:type="dxa"/>
            <w:tcBorders>
              <w:top w:val="single" w:sz="4" w:space="0" w:color="000000"/>
              <w:left w:val="single" w:sz="4" w:space="0" w:color="000000"/>
              <w:bottom w:val="single" w:sz="4" w:space="0" w:color="000000"/>
              <w:right w:val="single" w:sz="4" w:space="0" w:color="000000"/>
            </w:tcBorders>
            <w:shd w:val="clear" w:color="auto" w:fill="FBE5D5"/>
          </w:tcPr>
          <w:p w14:paraId="5699B411" w14:textId="77777777" w:rsidR="00BB44E1" w:rsidRPr="00DB0C40" w:rsidRDefault="00230B49">
            <w:pPr>
              <w:spacing w:after="160" w:line="256" w:lineRule="auto"/>
              <w:rPr>
                <w:sz w:val="20"/>
                <w:szCs w:val="20"/>
              </w:rPr>
            </w:pPr>
            <w:r w:rsidRPr="00DB0C40">
              <w:rPr>
                <w:sz w:val="20"/>
                <w:szCs w:val="20"/>
              </w:rPr>
              <w:t>33</w:t>
            </w:r>
          </w:p>
        </w:tc>
        <w:tc>
          <w:tcPr>
            <w:tcW w:w="1690" w:type="dxa"/>
            <w:tcBorders>
              <w:top w:val="single" w:sz="4" w:space="0" w:color="000000"/>
              <w:left w:val="single" w:sz="4" w:space="0" w:color="000000"/>
              <w:bottom w:val="single" w:sz="4" w:space="0" w:color="000000"/>
              <w:right w:val="single" w:sz="4" w:space="0" w:color="000000"/>
            </w:tcBorders>
            <w:shd w:val="clear" w:color="auto" w:fill="FBE5D5"/>
          </w:tcPr>
          <w:p w14:paraId="619DDF98" w14:textId="77777777" w:rsidR="00BB44E1" w:rsidRPr="00DB0C40" w:rsidRDefault="00230B49">
            <w:pPr>
              <w:spacing w:after="160" w:line="256" w:lineRule="auto"/>
              <w:rPr>
                <w:sz w:val="20"/>
                <w:szCs w:val="20"/>
              </w:rPr>
            </w:pPr>
            <w:r w:rsidRPr="00DB0C40">
              <w:rPr>
                <w:sz w:val="20"/>
                <w:szCs w:val="20"/>
              </w:rPr>
              <w:t>0</w:t>
            </w:r>
          </w:p>
        </w:tc>
        <w:tc>
          <w:tcPr>
            <w:tcW w:w="1460" w:type="dxa"/>
            <w:tcBorders>
              <w:top w:val="single" w:sz="4" w:space="0" w:color="000000"/>
              <w:left w:val="single" w:sz="4" w:space="0" w:color="000000"/>
              <w:bottom w:val="single" w:sz="4" w:space="0" w:color="000000"/>
              <w:right w:val="single" w:sz="4" w:space="0" w:color="000000"/>
            </w:tcBorders>
            <w:shd w:val="clear" w:color="auto" w:fill="FBE5D5"/>
          </w:tcPr>
          <w:p w14:paraId="0097A7E2" w14:textId="77777777" w:rsidR="00BB44E1" w:rsidRPr="00DB0C40" w:rsidRDefault="00230B49">
            <w:pPr>
              <w:spacing w:after="160" w:line="256" w:lineRule="auto"/>
              <w:rPr>
                <w:sz w:val="20"/>
                <w:szCs w:val="20"/>
              </w:rPr>
            </w:pPr>
            <w:r w:rsidRPr="00DB0C40">
              <w:rPr>
                <w:sz w:val="20"/>
                <w:szCs w:val="20"/>
              </w:rPr>
              <w:t>8</w:t>
            </w:r>
          </w:p>
        </w:tc>
        <w:tc>
          <w:tcPr>
            <w:tcW w:w="1110" w:type="dxa"/>
            <w:tcBorders>
              <w:top w:val="single" w:sz="4" w:space="0" w:color="000000"/>
              <w:left w:val="single" w:sz="4" w:space="0" w:color="000000"/>
              <w:bottom w:val="single" w:sz="4" w:space="0" w:color="000000"/>
              <w:right w:val="single" w:sz="4" w:space="0" w:color="000000"/>
            </w:tcBorders>
            <w:shd w:val="clear" w:color="auto" w:fill="FBE5D5"/>
          </w:tcPr>
          <w:p w14:paraId="55103E86" w14:textId="77777777" w:rsidR="00BB44E1" w:rsidRPr="00DB0C40" w:rsidRDefault="00230B49">
            <w:pPr>
              <w:spacing w:after="160" w:line="256" w:lineRule="auto"/>
              <w:rPr>
                <w:sz w:val="20"/>
                <w:szCs w:val="20"/>
              </w:rPr>
            </w:pPr>
            <w:r w:rsidRPr="00DB0C40">
              <w:rPr>
                <w:sz w:val="20"/>
                <w:szCs w:val="20"/>
              </w:rPr>
              <w:t>13</w:t>
            </w:r>
          </w:p>
        </w:tc>
        <w:tc>
          <w:tcPr>
            <w:tcW w:w="1110" w:type="dxa"/>
            <w:tcBorders>
              <w:top w:val="single" w:sz="4" w:space="0" w:color="000000"/>
              <w:left w:val="single" w:sz="4" w:space="0" w:color="000000"/>
              <w:bottom w:val="single" w:sz="4" w:space="0" w:color="000000"/>
              <w:right w:val="single" w:sz="4" w:space="0" w:color="000000"/>
            </w:tcBorders>
            <w:shd w:val="clear" w:color="auto" w:fill="FBE5D5"/>
          </w:tcPr>
          <w:p w14:paraId="6B3B8813" w14:textId="77777777" w:rsidR="00BB44E1" w:rsidRPr="00DB0C40" w:rsidRDefault="00230B49">
            <w:pPr>
              <w:spacing w:after="160" w:line="256" w:lineRule="auto"/>
              <w:rPr>
                <w:sz w:val="20"/>
                <w:szCs w:val="20"/>
              </w:rPr>
            </w:pPr>
            <w:r w:rsidRPr="00DB0C40">
              <w:rPr>
                <w:sz w:val="20"/>
                <w:szCs w:val="20"/>
              </w:rPr>
              <w:t>8</w:t>
            </w:r>
          </w:p>
        </w:tc>
      </w:tr>
    </w:tbl>
    <w:p w14:paraId="6445FBF9" w14:textId="77777777" w:rsidR="00BB44E1" w:rsidRPr="00DB0C40" w:rsidRDefault="00230B49">
      <w:pPr>
        <w:rPr>
          <w:sz w:val="16"/>
          <w:szCs w:val="16"/>
        </w:rPr>
      </w:pPr>
      <w:r w:rsidRPr="00DB0C40">
        <w:rPr>
          <w:sz w:val="16"/>
          <w:szCs w:val="16"/>
        </w:rPr>
        <w:t>*Includes 2 participants who did not identify their names or organisations. They are not, therefore, included in the sector, etc. columns.</w:t>
      </w:r>
    </w:p>
    <w:p w14:paraId="6BE07864" w14:textId="77777777" w:rsidR="00BB44E1" w:rsidRPr="00DB0C40" w:rsidRDefault="00BB44E1">
      <w:pPr>
        <w:rPr>
          <w:sz w:val="22"/>
          <w:szCs w:val="22"/>
        </w:rPr>
      </w:pPr>
    </w:p>
    <w:p w14:paraId="1D77749D" w14:textId="77777777" w:rsidR="00BB44E1" w:rsidRPr="00DB0C40" w:rsidRDefault="00230B49">
      <w:pPr>
        <w:jc w:val="both"/>
        <w:rPr>
          <w:sz w:val="22"/>
          <w:szCs w:val="22"/>
        </w:rPr>
      </w:pPr>
      <w:r w:rsidRPr="00DB0C40">
        <w:rPr>
          <w:sz w:val="22"/>
          <w:szCs w:val="22"/>
        </w:rPr>
        <w:t xml:space="preserve">One important  topic was the roadmap for Impact Assessment study, the participants were briefly informed about the methodology to be employed in the impact assessment study which aims to analyse the effect of existing legislation on women’s employment conditions including women’s participation in the labour force, access to job market, and have decent working conditions. </w:t>
      </w:r>
    </w:p>
    <w:p w14:paraId="0AC16E40" w14:textId="77777777" w:rsidR="00BB44E1" w:rsidRPr="00DB0C40" w:rsidRDefault="00BB44E1">
      <w:pPr>
        <w:jc w:val="both"/>
        <w:rPr>
          <w:sz w:val="22"/>
          <w:szCs w:val="22"/>
        </w:rPr>
      </w:pPr>
    </w:p>
    <w:p w14:paraId="39AF3E1B" w14:textId="77777777" w:rsidR="00BB44E1" w:rsidRPr="00DB0C40" w:rsidRDefault="00230B49">
      <w:pPr>
        <w:jc w:val="both"/>
        <w:rPr>
          <w:sz w:val="22"/>
          <w:szCs w:val="22"/>
        </w:rPr>
      </w:pPr>
      <w:r w:rsidRPr="00DB0C40">
        <w:rPr>
          <w:b/>
          <w:sz w:val="22"/>
          <w:szCs w:val="22"/>
        </w:rPr>
        <w:t xml:space="preserve">On the key issues raised during discussions: </w:t>
      </w:r>
      <w:r w:rsidRPr="00DB0C40">
        <w:rPr>
          <w:sz w:val="22"/>
          <w:szCs w:val="22"/>
        </w:rPr>
        <w:t>In the afternoon session, the participants were divided into three groups to discuss three focus questions;</w:t>
      </w:r>
    </w:p>
    <w:p w14:paraId="12EE55C6" w14:textId="77777777" w:rsidR="00BB44E1" w:rsidRPr="00DB0C40" w:rsidRDefault="00BB44E1">
      <w:pPr>
        <w:jc w:val="both"/>
        <w:rPr>
          <w:sz w:val="22"/>
          <w:szCs w:val="22"/>
        </w:rPr>
      </w:pPr>
    </w:p>
    <w:p w14:paraId="5C5D36BD" w14:textId="77777777" w:rsidR="00BB44E1" w:rsidRPr="0074795B" w:rsidRDefault="00230B49">
      <w:pPr>
        <w:pStyle w:val="ListParagraph"/>
        <w:numPr>
          <w:ilvl w:val="0"/>
          <w:numId w:val="54"/>
        </w:numPr>
        <w:jc w:val="both"/>
        <w:rPr>
          <w:sz w:val="22"/>
          <w:szCs w:val="22"/>
        </w:rPr>
      </w:pPr>
      <w:r w:rsidRPr="0074795B">
        <w:rPr>
          <w:sz w:val="22"/>
          <w:szCs w:val="22"/>
        </w:rPr>
        <w:t>Group 1: Discussion on new legislation for a better future for women and work</w:t>
      </w:r>
    </w:p>
    <w:p w14:paraId="7F09D822" w14:textId="77777777" w:rsidR="00BB44E1" w:rsidRPr="0074795B" w:rsidRDefault="00230B49">
      <w:pPr>
        <w:pStyle w:val="ListParagraph"/>
        <w:numPr>
          <w:ilvl w:val="0"/>
          <w:numId w:val="54"/>
        </w:numPr>
        <w:jc w:val="both"/>
        <w:rPr>
          <w:sz w:val="22"/>
          <w:szCs w:val="22"/>
        </w:rPr>
      </w:pPr>
      <w:r w:rsidRPr="0074795B">
        <w:rPr>
          <w:sz w:val="22"/>
          <w:szCs w:val="22"/>
        </w:rPr>
        <w:t>Group 2: Discussion on atypical work</w:t>
      </w:r>
    </w:p>
    <w:p w14:paraId="37B58AA3" w14:textId="77777777" w:rsidR="00BB44E1" w:rsidRPr="0074795B" w:rsidRDefault="00230B49">
      <w:pPr>
        <w:pStyle w:val="ListParagraph"/>
        <w:numPr>
          <w:ilvl w:val="0"/>
          <w:numId w:val="54"/>
        </w:numPr>
        <w:jc w:val="both"/>
        <w:rPr>
          <w:sz w:val="22"/>
          <w:szCs w:val="22"/>
        </w:rPr>
      </w:pPr>
      <w:r w:rsidRPr="0074795B">
        <w:rPr>
          <w:sz w:val="22"/>
          <w:szCs w:val="22"/>
        </w:rPr>
        <w:t>Group 3: Discussion on care policies</w:t>
      </w:r>
    </w:p>
    <w:p w14:paraId="4A945379" w14:textId="77777777" w:rsidR="00BB44E1" w:rsidRPr="00DB0C40" w:rsidRDefault="00BB44E1">
      <w:pPr>
        <w:jc w:val="both"/>
        <w:rPr>
          <w:sz w:val="22"/>
          <w:szCs w:val="22"/>
        </w:rPr>
      </w:pPr>
    </w:p>
    <w:p w14:paraId="37533501" w14:textId="77777777" w:rsidR="00BB44E1" w:rsidRPr="00DB0C40" w:rsidRDefault="00230B49">
      <w:pPr>
        <w:jc w:val="both"/>
        <w:rPr>
          <w:sz w:val="22"/>
          <w:szCs w:val="22"/>
        </w:rPr>
      </w:pPr>
      <w:r w:rsidRPr="00DB0C40">
        <w:rPr>
          <w:sz w:val="22"/>
          <w:szCs w:val="22"/>
        </w:rPr>
        <w:t xml:space="preserve">During the group discussions, participants were presented some questions to start the discussion. Each participant from different organisations and institutions were provided the opportunity to comment on the discussion topics from their institutional and individual point of view. Below are the key issues raised during group discussions: </w:t>
      </w:r>
    </w:p>
    <w:p w14:paraId="0E253E5C" w14:textId="77777777" w:rsidR="00BB44E1" w:rsidRPr="00DB0C40" w:rsidRDefault="00BB44E1">
      <w:pPr>
        <w:rPr>
          <w:sz w:val="22"/>
          <w:szCs w:val="22"/>
        </w:rPr>
      </w:pPr>
    </w:p>
    <w:p w14:paraId="45D5FE7A" w14:textId="09A41795" w:rsidR="00BB44E1" w:rsidRPr="00DB0C40" w:rsidRDefault="00230B49">
      <w:pPr>
        <w:ind w:left="709"/>
        <w:rPr>
          <w:b/>
          <w:sz w:val="22"/>
          <w:szCs w:val="22"/>
        </w:rPr>
      </w:pPr>
      <w:r w:rsidRPr="00DB0C40">
        <w:rPr>
          <w:b/>
          <w:sz w:val="22"/>
          <w:szCs w:val="22"/>
        </w:rPr>
        <w:t xml:space="preserve">Group 1: New </w:t>
      </w:r>
      <w:r w:rsidR="00B84159" w:rsidRPr="00DB0C40">
        <w:rPr>
          <w:b/>
          <w:sz w:val="22"/>
          <w:szCs w:val="22"/>
        </w:rPr>
        <w:t>L</w:t>
      </w:r>
      <w:r w:rsidRPr="00DB0C40">
        <w:rPr>
          <w:b/>
          <w:sz w:val="22"/>
          <w:szCs w:val="22"/>
        </w:rPr>
        <w:t xml:space="preserve">egislation for a </w:t>
      </w:r>
      <w:r w:rsidR="00B84159" w:rsidRPr="00DB0C40">
        <w:rPr>
          <w:b/>
          <w:sz w:val="22"/>
          <w:szCs w:val="22"/>
        </w:rPr>
        <w:t>B</w:t>
      </w:r>
      <w:r w:rsidRPr="00DB0C40">
        <w:rPr>
          <w:b/>
          <w:sz w:val="22"/>
          <w:szCs w:val="22"/>
        </w:rPr>
        <w:t xml:space="preserve">etter </w:t>
      </w:r>
      <w:r w:rsidR="00B84159" w:rsidRPr="00DB0C40">
        <w:rPr>
          <w:b/>
          <w:sz w:val="22"/>
          <w:szCs w:val="22"/>
        </w:rPr>
        <w:t>F</w:t>
      </w:r>
      <w:r w:rsidRPr="00DB0C40">
        <w:rPr>
          <w:b/>
          <w:sz w:val="22"/>
          <w:szCs w:val="22"/>
        </w:rPr>
        <w:t xml:space="preserve">uture for </w:t>
      </w:r>
      <w:r w:rsidR="00B84159" w:rsidRPr="00DB0C40">
        <w:rPr>
          <w:b/>
          <w:sz w:val="22"/>
          <w:szCs w:val="22"/>
        </w:rPr>
        <w:t>W</w:t>
      </w:r>
      <w:r w:rsidRPr="00DB0C40">
        <w:rPr>
          <w:b/>
          <w:sz w:val="22"/>
          <w:szCs w:val="22"/>
        </w:rPr>
        <w:t xml:space="preserve">omen and </w:t>
      </w:r>
      <w:r w:rsidR="00B84159" w:rsidRPr="00DB0C40">
        <w:rPr>
          <w:b/>
          <w:sz w:val="22"/>
          <w:szCs w:val="22"/>
        </w:rPr>
        <w:t>W</w:t>
      </w:r>
      <w:r w:rsidRPr="00DB0C40">
        <w:rPr>
          <w:b/>
          <w:sz w:val="22"/>
          <w:szCs w:val="22"/>
        </w:rPr>
        <w:t xml:space="preserve">ork (Moderator: Ms. Mehlika Yaycı) </w:t>
      </w:r>
    </w:p>
    <w:p w14:paraId="3D906ADB" w14:textId="77777777" w:rsidR="00BB44E1" w:rsidRPr="00DB0C40" w:rsidRDefault="00BB44E1">
      <w:pPr>
        <w:ind w:left="709"/>
        <w:rPr>
          <w:b/>
          <w:sz w:val="22"/>
          <w:szCs w:val="22"/>
        </w:rPr>
      </w:pPr>
    </w:p>
    <w:p w14:paraId="686039E9" w14:textId="77777777" w:rsidR="00BB44E1" w:rsidRPr="00DB0C40" w:rsidRDefault="00230B49">
      <w:pPr>
        <w:jc w:val="both"/>
        <w:rPr>
          <w:sz w:val="22"/>
          <w:szCs w:val="22"/>
        </w:rPr>
      </w:pPr>
      <w:r w:rsidRPr="00DB0C40">
        <w:rPr>
          <w:sz w:val="22"/>
          <w:szCs w:val="22"/>
        </w:rPr>
        <w:t xml:space="preserve">The following key questions were asked to the audiences to stimulate the group discussion: </w:t>
      </w:r>
    </w:p>
    <w:p w14:paraId="4E9A7E21" w14:textId="77777777" w:rsidR="00BB44E1" w:rsidRPr="00DB0C40" w:rsidRDefault="00BB44E1">
      <w:pPr>
        <w:jc w:val="both"/>
        <w:rPr>
          <w:sz w:val="22"/>
          <w:szCs w:val="22"/>
        </w:rPr>
      </w:pPr>
    </w:p>
    <w:p w14:paraId="17E593B4" w14:textId="77777777" w:rsidR="00BB44E1" w:rsidRPr="00DB0C40" w:rsidRDefault="00230B49" w:rsidP="00FB59BE">
      <w:pPr>
        <w:numPr>
          <w:ilvl w:val="0"/>
          <w:numId w:val="3"/>
        </w:numPr>
        <w:ind w:left="709" w:hanging="349"/>
        <w:jc w:val="both"/>
        <w:rPr>
          <w:i/>
          <w:sz w:val="22"/>
          <w:szCs w:val="22"/>
        </w:rPr>
      </w:pPr>
      <w:r w:rsidRPr="00DB0C40">
        <w:rPr>
          <w:i/>
          <w:sz w:val="22"/>
          <w:szCs w:val="22"/>
        </w:rPr>
        <w:t xml:space="preserve">Are legal regulations implemented in existing workplaces, in terms of facilitating and sustaining women's employment? Can women workers benefit from those regulations? </w:t>
      </w:r>
    </w:p>
    <w:p w14:paraId="5D602074" w14:textId="77777777" w:rsidR="00BB44E1" w:rsidRPr="00DB0C40" w:rsidRDefault="00230B49" w:rsidP="00FB59BE">
      <w:pPr>
        <w:numPr>
          <w:ilvl w:val="0"/>
          <w:numId w:val="3"/>
        </w:numPr>
        <w:ind w:left="709" w:hanging="349"/>
        <w:jc w:val="both"/>
        <w:rPr>
          <w:i/>
          <w:sz w:val="22"/>
          <w:szCs w:val="22"/>
        </w:rPr>
      </w:pPr>
      <w:r w:rsidRPr="00DB0C40">
        <w:rPr>
          <w:i/>
          <w:sz w:val="22"/>
          <w:szCs w:val="22"/>
        </w:rPr>
        <w:lastRenderedPageBreak/>
        <w:t xml:space="preserve">Can we get your thoughts on the positive and negative impacts of said legal regulations on women's employment? </w:t>
      </w:r>
    </w:p>
    <w:p w14:paraId="4BC9E798" w14:textId="77777777" w:rsidR="00BB44E1" w:rsidRPr="00DB0C40" w:rsidRDefault="00230B49" w:rsidP="00FB59BE">
      <w:pPr>
        <w:numPr>
          <w:ilvl w:val="0"/>
          <w:numId w:val="3"/>
        </w:numPr>
        <w:ind w:left="709" w:hanging="349"/>
        <w:jc w:val="both"/>
        <w:rPr>
          <w:i/>
          <w:sz w:val="22"/>
          <w:szCs w:val="22"/>
        </w:rPr>
      </w:pPr>
      <w:r w:rsidRPr="00DB0C40">
        <w:rPr>
          <w:i/>
          <w:sz w:val="22"/>
          <w:szCs w:val="22"/>
        </w:rPr>
        <w:t xml:space="preserve">Regarding the provisions of the national legal regulation we mentioned, what kind of additions/changes do you think should be made therein to facilitate women's employment and ensure its sustainability? </w:t>
      </w:r>
    </w:p>
    <w:p w14:paraId="1BC689D0" w14:textId="77777777" w:rsidR="00BB44E1" w:rsidRPr="00DB0C40" w:rsidRDefault="00BB44E1">
      <w:pPr>
        <w:jc w:val="both"/>
        <w:rPr>
          <w:sz w:val="22"/>
          <w:szCs w:val="22"/>
        </w:rPr>
      </w:pPr>
    </w:p>
    <w:p w14:paraId="2AA1B101" w14:textId="725AD969" w:rsidR="00BB44E1" w:rsidRPr="00DB0C40" w:rsidRDefault="00230B49">
      <w:pPr>
        <w:jc w:val="both"/>
        <w:rPr>
          <w:sz w:val="22"/>
          <w:szCs w:val="22"/>
        </w:rPr>
      </w:pPr>
      <w:r w:rsidRPr="00853140">
        <w:rPr>
          <w:sz w:val="22"/>
          <w:szCs w:val="22"/>
        </w:rPr>
        <w:t>The main issues discussed in this group are summari</w:t>
      </w:r>
      <w:r w:rsidR="00110030" w:rsidRPr="00853140">
        <w:rPr>
          <w:sz w:val="22"/>
          <w:szCs w:val="22"/>
        </w:rPr>
        <w:t>s</w:t>
      </w:r>
      <w:r w:rsidRPr="00853140">
        <w:rPr>
          <w:sz w:val="22"/>
          <w:szCs w:val="22"/>
        </w:rPr>
        <w:t>ed below:</w:t>
      </w:r>
      <w:r w:rsidRPr="00DB0C40">
        <w:rPr>
          <w:sz w:val="22"/>
          <w:szCs w:val="22"/>
        </w:rPr>
        <w:t xml:space="preserve"> </w:t>
      </w:r>
    </w:p>
    <w:p w14:paraId="18102EEF" w14:textId="77777777" w:rsidR="00BB44E1" w:rsidRPr="00DB0C40" w:rsidRDefault="00BB44E1">
      <w:pPr>
        <w:jc w:val="both"/>
        <w:rPr>
          <w:sz w:val="22"/>
          <w:szCs w:val="22"/>
        </w:rPr>
      </w:pPr>
    </w:p>
    <w:p w14:paraId="3FE549CF" w14:textId="77777777" w:rsidR="00BB44E1" w:rsidRPr="00DB0C40" w:rsidRDefault="00230B49" w:rsidP="00FB59BE">
      <w:pPr>
        <w:numPr>
          <w:ilvl w:val="0"/>
          <w:numId w:val="4"/>
        </w:numPr>
        <w:jc w:val="both"/>
        <w:rPr>
          <w:sz w:val="22"/>
          <w:szCs w:val="22"/>
        </w:rPr>
      </w:pPr>
      <w:r w:rsidRPr="00DB0C40">
        <w:rPr>
          <w:sz w:val="22"/>
          <w:szCs w:val="22"/>
        </w:rPr>
        <w:t>There is an unfair practice in terms of providing an allowance for unpaid leave equal to half of the weekly working time applied after maternity leave, which is regulated in Article 74 of the Labour Law. Employees whose salary is above the minimum wage are also paid by the SSI/SSK over the minimum wage. Allowances are paid late and incomplete. While the premium is deducted, more deductions are made on the premium base wage, not the minimum wage. For this reason, women who earn a salary above the minimum wage do not want to use this right.</w:t>
      </w:r>
    </w:p>
    <w:p w14:paraId="5A4D72DF" w14:textId="77777777" w:rsidR="00BB44E1" w:rsidRPr="00DB0C40" w:rsidRDefault="00230B49" w:rsidP="00FB59BE">
      <w:pPr>
        <w:numPr>
          <w:ilvl w:val="0"/>
          <w:numId w:val="4"/>
        </w:numPr>
        <w:jc w:val="both"/>
        <w:rPr>
          <w:sz w:val="22"/>
          <w:szCs w:val="22"/>
        </w:rPr>
      </w:pPr>
      <w:r w:rsidRPr="00DB0C40">
        <w:rPr>
          <w:sz w:val="22"/>
          <w:szCs w:val="22"/>
        </w:rPr>
        <w:t>It is an unequal practice for children to foresee different periods for the 1st, 2nd and 3rd child, about half of the weekly working time after maternity leave, and it should be corrected. Partial work for each child should be increased to 6 months.</w:t>
      </w:r>
    </w:p>
    <w:p w14:paraId="683CCBB2" w14:textId="77777777" w:rsidR="00BB44E1" w:rsidRPr="00DB0C40" w:rsidRDefault="00230B49" w:rsidP="00FB59BE">
      <w:pPr>
        <w:numPr>
          <w:ilvl w:val="0"/>
          <w:numId w:val="4"/>
        </w:numPr>
        <w:jc w:val="both"/>
        <w:rPr>
          <w:sz w:val="22"/>
          <w:szCs w:val="22"/>
        </w:rPr>
      </w:pPr>
      <w:r w:rsidRPr="00DB0C40">
        <w:rPr>
          <w:sz w:val="22"/>
          <w:szCs w:val="22"/>
        </w:rPr>
        <w:t>In practice, pregnant women are forced to work 6 days in places where they normally work for 5 days, as pregnant employees cannot work more than 7.5 hours a day legally.</w:t>
      </w:r>
    </w:p>
    <w:p w14:paraId="7F5F6113" w14:textId="77777777" w:rsidR="00BB44E1" w:rsidRPr="00DB0C40" w:rsidRDefault="00230B49" w:rsidP="00FB59BE">
      <w:pPr>
        <w:numPr>
          <w:ilvl w:val="0"/>
          <w:numId w:val="4"/>
        </w:numPr>
        <w:jc w:val="both"/>
        <w:rPr>
          <w:sz w:val="22"/>
          <w:szCs w:val="22"/>
        </w:rPr>
      </w:pPr>
      <w:r w:rsidRPr="00DB0C40">
        <w:rPr>
          <w:sz w:val="22"/>
          <w:szCs w:val="22"/>
        </w:rPr>
        <w:t>In workplaces located far from the city, pregnant workers who receive hourly wages wait for an additional 1.5 hours for service because they are not provided with shift service after 7.5 hours. Despite this, she receives her salary over 7.5 hours, not fully.</w:t>
      </w:r>
    </w:p>
    <w:p w14:paraId="091C07F2" w14:textId="77777777" w:rsidR="00BB44E1" w:rsidRPr="00DB0C40" w:rsidRDefault="00230B49" w:rsidP="00FB59BE">
      <w:pPr>
        <w:numPr>
          <w:ilvl w:val="0"/>
          <w:numId w:val="4"/>
        </w:numPr>
        <w:jc w:val="both"/>
        <w:rPr>
          <w:sz w:val="22"/>
          <w:szCs w:val="22"/>
        </w:rPr>
      </w:pPr>
      <w:r w:rsidRPr="00DB0C40">
        <w:rPr>
          <w:sz w:val="22"/>
          <w:szCs w:val="22"/>
        </w:rPr>
        <w:t>Breastfeeding and maternity leave, which are among the rights related to a woman's nature, are rights that depend on the child, not the woman. The language of the legislation needs to be changed.</w:t>
      </w:r>
    </w:p>
    <w:p w14:paraId="13699413" w14:textId="77777777" w:rsidR="00BB44E1" w:rsidRPr="00DB0C40" w:rsidRDefault="00230B49" w:rsidP="00FB59BE">
      <w:pPr>
        <w:numPr>
          <w:ilvl w:val="0"/>
          <w:numId w:val="4"/>
        </w:numPr>
        <w:jc w:val="both"/>
        <w:rPr>
          <w:sz w:val="22"/>
          <w:szCs w:val="22"/>
        </w:rPr>
      </w:pPr>
      <w:r w:rsidRPr="00DB0C40">
        <w:rPr>
          <w:sz w:val="22"/>
          <w:szCs w:val="22"/>
        </w:rPr>
        <w:t>16 weeks’ maternity leave is not enough. Maternity leave should be increased and both women and men should be given the right to postpartum leave.</w:t>
      </w:r>
    </w:p>
    <w:p w14:paraId="5462697A" w14:textId="77777777" w:rsidR="00BB44E1" w:rsidRPr="00DB0C40" w:rsidRDefault="00230B49" w:rsidP="00FB59BE">
      <w:pPr>
        <w:numPr>
          <w:ilvl w:val="0"/>
          <w:numId w:val="4"/>
        </w:numPr>
        <w:jc w:val="both"/>
        <w:rPr>
          <w:sz w:val="22"/>
          <w:szCs w:val="22"/>
        </w:rPr>
      </w:pPr>
      <w:r w:rsidRPr="00DB0C40">
        <w:rPr>
          <w:sz w:val="22"/>
          <w:szCs w:val="22"/>
        </w:rPr>
        <w:t>Both women and men should be given the right to work remotely for at least 2 years for the first 2 years after giving birth.</w:t>
      </w:r>
    </w:p>
    <w:p w14:paraId="5E755F96" w14:textId="77777777" w:rsidR="00BB44E1" w:rsidRPr="00DB0C40" w:rsidRDefault="00230B49" w:rsidP="00FB59BE">
      <w:pPr>
        <w:numPr>
          <w:ilvl w:val="0"/>
          <w:numId w:val="4"/>
        </w:numPr>
        <w:jc w:val="both"/>
        <w:rPr>
          <w:sz w:val="22"/>
          <w:szCs w:val="22"/>
        </w:rPr>
      </w:pPr>
      <w:r w:rsidRPr="00DB0C40">
        <w:rPr>
          <w:sz w:val="22"/>
          <w:szCs w:val="22"/>
        </w:rPr>
        <w:t>Although daily one and half hour breastfeeding leave is granted for the first year after birth, it cannot be used in practice because it is used with other permission. For this reason, it would be appropriate to increase the breastfeeding leave to at least 2 years and to extend the time to 3 hours.</w:t>
      </w:r>
    </w:p>
    <w:p w14:paraId="57E0D768" w14:textId="77777777" w:rsidR="00BB44E1" w:rsidRPr="00DB0C40" w:rsidRDefault="00230B49" w:rsidP="00FB59BE">
      <w:pPr>
        <w:numPr>
          <w:ilvl w:val="0"/>
          <w:numId w:val="4"/>
        </w:numPr>
        <w:jc w:val="both"/>
        <w:rPr>
          <w:sz w:val="22"/>
          <w:szCs w:val="22"/>
        </w:rPr>
      </w:pPr>
      <w:r w:rsidRPr="00DB0C40">
        <w:rPr>
          <w:sz w:val="22"/>
          <w:szCs w:val="22"/>
        </w:rPr>
        <w:t>Those working in care services are generally female. There is a need for a special regulation in this area.</w:t>
      </w:r>
    </w:p>
    <w:p w14:paraId="67B4896B" w14:textId="77777777" w:rsidR="00BB44E1" w:rsidRPr="00DB0C40" w:rsidRDefault="00230B49" w:rsidP="00FB59BE">
      <w:pPr>
        <w:numPr>
          <w:ilvl w:val="0"/>
          <w:numId w:val="4"/>
        </w:numPr>
        <w:jc w:val="both"/>
        <w:rPr>
          <w:sz w:val="22"/>
          <w:szCs w:val="22"/>
        </w:rPr>
      </w:pPr>
      <w:r w:rsidRPr="00DB0C40">
        <w:rPr>
          <w:sz w:val="22"/>
          <w:szCs w:val="22"/>
        </w:rPr>
        <w:t>Kindergartens work according to normal civil servant working hours. Special working hours should be arranged in kindergartens for shift workers.</w:t>
      </w:r>
    </w:p>
    <w:p w14:paraId="1408C981" w14:textId="77777777" w:rsidR="00BB44E1" w:rsidRPr="00DB0C40" w:rsidRDefault="00230B49" w:rsidP="00FB59BE">
      <w:pPr>
        <w:numPr>
          <w:ilvl w:val="0"/>
          <w:numId w:val="4"/>
        </w:numPr>
        <w:jc w:val="both"/>
        <w:rPr>
          <w:sz w:val="22"/>
          <w:szCs w:val="22"/>
        </w:rPr>
      </w:pPr>
      <w:r w:rsidRPr="00DB0C40">
        <w:rPr>
          <w:sz w:val="22"/>
          <w:szCs w:val="22"/>
        </w:rPr>
        <w:t>The sanction of a nursery requirement for workplaces employing 150 or more women is very low. In addition, the establishment and operation of nurseries by workplaces is a material and moral burden for these workplaces. Instead, nursery support should be provided to employees by the state and employers. There should be no limit to the number of female employees for kindergarten support. Nursery support should be provided for all female and male employees.</w:t>
      </w:r>
    </w:p>
    <w:p w14:paraId="30272877" w14:textId="77777777" w:rsidR="00BB44E1" w:rsidRPr="00DB0C40" w:rsidRDefault="00230B49" w:rsidP="00FB59BE">
      <w:pPr>
        <w:numPr>
          <w:ilvl w:val="0"/>
          <w:numId w:val="4"/>
        </w:numPr>
        <w:jc w:val="both"/>
        <w:rPr>
          <w:sz w:val="22"/>
          <w:szCs w:val="22"/>
        </w:rPr>
      </w:pPr>
      <w:r w:rsidRPr="00DB0C40">
        <w:rPr>
          <w:sz w:val="22"/>
          <w:szCs w:val="22"/>
        </w:rPr>
        <w:t>In order to prevent violence in the workplace, adaptation studies should be carried out in accordance with the ILO C190 convention. A violence prevention and monitoring committee should be established in workplaces. The aim should be to prevent violence before it starts, not only while working, but also at the job application stage.</w:t>
      </w:r>
    </w:p>
    <w:p w14:paraId="69482576" w14:textId="77777777" w:rsidR="00BB44E1" w:rsidRPr="00DB0C40" w:rsidRDefault="00230B49" w:rsidP="00FB59BE">
      <w:pPr>
        <w:numPr>
          <w:ilvl w:val="0"/>
          <w:numId w:val="4"/>
        </w:numPr>
        <w:jc w:val="both"/>
        <w:rPr>
          <w:sz w:val="22"/>
          <w:szCs w:val="22"/>
        </w:rPr>
      </w:pPr>
      <w:r w:rsidRPr="00DB0C40">
        <w:rPr>
          <w:sz w:val="22"/>
          <w:szCs w:val="22"/>
        </w:rPr>
        <w:t>All forms of violence in the workplace (physical, sexual, economic, psychological, etc.) need to be addressed in new legislation.</w:t>
      </w:r>
    </w:p>
    <w:p w14:paraId="0FD1FD9B" w14:textId="77777777" w:rsidR="00BB44E1" w:rsidRPr="00DB0C40" w:rsidRDefault="00230B49" w:rsidP="00FB59BE">
      <w:pPr>
        <w:numPr>
          <w:ilvl w:val="0"/>
          <w:numId w:val="4"/>
        </w:numPr>
        <w:jc w:val="both"/>
        <w:rPr>
          <w:sz w:val="22"/>
          <w:szCs w:val="22"/>
        </w:rPr>
      </w:pPr>
      <w:r w:rsidRPr="00DB0C40">
        <w:rPr>
          <w:sz w:val="22"/>
          <w:szCs w:val="22"/>
        </w:rPr>
        <w:lastRenderedPageBreak/>
        <w:t>For women who are under threat of violence, they should be given the right to leave the workplace and receive severance pay, if they can prove it, the right to appointment, paid/unpaid leave, remote work, allowance and income support by İŞKUR, etc. Efforts should be made to ensure that rights are granted.</w:t>
      </w:r>
    </w:p>
    <w:p w14:paraId="05FADFB4" w14:textId="77777777" w:rsidR="00BB44E1" w:rsidRPr="00DB0C40" w:rsidRDefault="00230B49" w:rsidP="00FB59BE">
      <w:pPr>
        <w:numPr>
          <w:ilvl w:val="0"/>
          <w:numId w:val="4"/>
        </w:numPr>
        <w:jc w:val="both"/>
        <w:rPr>
          <w:sz w:val="22"/>
          <w:szCs w:val="22"/>
        </w:rPr>
      </w:pPr>
      <w:r w:rsidRPr="00DB0C40">
        <w:rPr>
          <w:sz w:val="22"/>
          <w:szCs w:val="22"/>
        </w:rPr>
        <w:t>For those who work in domestic services at home, SGK provides premium support to employers, but the employers are not sufficiently informed about these supports. To increase registered and secure employment, employers who receive home services at home should be informed about the existing incentives.</w:t>
      </w:r>
    </w:p>
    <w:p w14:paraId="0464BF4E" w14:textId="77777777" w:rsidR="00BB44E1" w:rsidRPr="00DB0C40" w:rsidRDefault="00230B49" w:rsidP="00FB59BE">
      <w:pPr>
        <w:numPr>
          <w:ilvl w:val="0"/>
          <w:numId w:val="4"/>
        </w:numPr>
        <w:jc w:val="both"/>
        <w:rPr>
          <w:sz w:val="22"/>
          <w:szCs w:val="22"/>
        </w:rPr>
      </w:pPr>
      <w:r w:rsidRPr="00DB0C40">
        <w:rPr>
          <w:sz w:val="22"/>
          <w:szCs w:val="22"/>
        </w:rPr>
        <w:t>Supportive studies should be carried out to organize daily working hours and support social life.</w:t>
      </w:r>
    </w:p>
    <w:p w14:paraId="280BCEAE" w14:textId="77777777" w:rsidR="00BB44E1" w:rsidRPr="00DB0C40" w:rsidRDefault="00230B49" w:rsidP="00FB59BE">
      <w:pPr>
        <w:numPr>
          <w:ilvl w:val="0"/>
          <w:numId w:val="4"/>
        </w:numPr>
        <w:jc w:val="both"/>
        <w:rPr>
          <w:sz w:val="22"/>
          <w:szCs w:val="22"/>
        </w:rPr>
      </w:pPr>
      <w:r w:rsidRPr="00DB0C40">
        <w:rPr>
          <w:sz w:val="22"/>
          <w:szCs w:val="22"/>
        </w:rPr>
        <w:t>Special arrangements should be made on remote working conditions and occupational health and safety. A sample employment contract for remote working should be issued by the state and put into practice, and then it should be put into practice in the private sector as well.</w:t>
      </w:r>
    </w:p>
    <w:p w14:paraId="6804BDA7" w14:textId="77777777" w:rsidR="00BB44E1" w:rsidRPr="00DB0C40" w:rsidRDefault="00230B49" w:rsidP="00FB59BE">
      <w:pPr>
        <w:numPr>
          <w:ilvl w:val="0"/>
          <w:numId w:val="4"/>
        </w:numPr>
        <w:jc w:val="both"/>
        <w:rPr>
          <w:sz w:val="22"/>
          <w:szCs w:val="22"/>
        </w:rPr>
      </w:pPr>
      <w:r w:rsidRPr="00DB0C40">
        <w:rPr>
          <w:sz w:val="22"/>
          <w:szCs w:val="22"/>
        </w:rPr>
        <w:t>Maternity leave can be an obstacle to women's employment. During maternity leave, temporary employment relations should be encouraged instead of women on leave and the state should provide premium support for temporary workers.</w:t>
      </w:r>
    </w:p>
    <w:p w14:paraId="18ECA4B5" w14:textId="77777777" w:rsidR="00BB44E1" w:rsidRPr="00DB0C40" w:rsidRDefault="00230B49" w:rsidP="00FB59BE">
      <w:pPr>
        <w:numPr>
          <w:ilvl w:val="0"/>
          <w:numId w:val="4"/>
        </w:numPr>
        <w:jc w:val="both"/>
        <w:rPr>
          <w:sz w:val="22"/>
          <w:szCs w:val="22"/>
        </w:rPr>
      </w:pPr>
      <w:r w:rsidRPr="00DB0C40">
        <w:rPr>
          <w:sz w:val="22"/>
          <w:szCs w:val="22"/>
        </w:rPr>
        <w:t>Arrangements should be made for employees who are subject to the Provisional Article 20 of the Law No. 506 and who are affiliated with the funds to benefit from the rights in the Social Security Law and the Labour Law.</w:t>
      </w:r>
    </w:p>
    <w:p w14:paraId="497782F4" w14:textId="77777777" w:rsidR="00BB44E1" w:rsidRPr="00DB0C40" w:rsidRDefault="00230B49" w:rsidP="00FB59BE">
      <w:pPr>
        <w:numPr>
          <w:ilvl w:val="0"/>
          <w:numId w:val="4"/>
        </w:numPr>
        <w:jc w:val="both"/>
        <w:rPr>
          <w:sz w:val="22"/>
          <w:szCs w:val="22"/>
        </w:rPr>
      </w:pPr>
      <w:r w:rsidRPr="00DB0C40">
        <w:rPr>
          <w:sz w:val="22"/>
          <w:szCs w:val="22"/>
        </w:rPr>
        <w:t>Public workers working in affection houses (“sevgi evleri”) established under the General Directorate of Child Services (Ministry of Family and Social Services) are subject to the Code of Obligations, not the Labour Law. A special legal arrangement should be made for those working in such care services, working hours should be regulated.</w:t>
      </w:r>
    </w:p>
    <w:p w14:paraId="08E7A442" w14:textId="77777777" w:rsidR="00BB44E1" w:rsidRPr="00DB0C40" w:rsidRDefault="00230B49" w:rsidP="00FB59BE">
      <w:pPr>
        <w:numPr>
          <w:ilvl w:val="0"/>
          <w:numId w:val="4"/>
        </w:numPr>
        <w:jc w:val="both"/>
        <w:rPr>
          <w:sz w:val="22"/>
          <w:szCs w:val="22"/>
        </w:rPr>
      </w:pPr>
      <w:r w:rsidRPr="00DB0C40">
        <w:rPr>
          <w:sz w:val="22"/>
          <w:szCs w:val="22"/>
        </w:rPr>
        <w:t>Applications should be made to support the family life of spouses working in shifts, and the demands of the spouses should be taken into account regarding the weekday working order and the use of weekends.</w:t>
      </w:r>
    </w:p>
    <w:p w14:paraId="399534BE" w14:textId="77777777" w:rsidR="00BB44E1" w:rsidRPr="00DB0C40" w:rsidRDefault="00BB44E1">
      <w:pPr>
        <w:jc w:val="both"/>
        <w:rPr>
          <w:sz w:val="22"/>
          <w:szCs w:val="22"/>
        </w:rPr>
      </w:pPr>
    </w:p>
    <w:p w14:paraId="2C1542C7" w14:textId="5C604A8D" w:rsidR="00BB44E1" w:rsidRPr="00DB0C40" w:rsidRDefault="00230B49">
      <w:pPr>
        <w:ind w:left="709"/>
        <w:rPr>
          <w:b/>
          <w:sz w:val="22"/>
          <w:szCs w:val="22"/>
        </w:rPr>
      </w:pPr>
      <w:r w:rsidRPr="00DB0C40">
        <w:rPr>
          <w:b/>
          <w:sz w:val="22"/>
          <w:szCs w:val="22"/>
        </w:rPr>
        <w:t xml:space="preserve">Groups 2: Atypical </w:t>
      </w:r>
      <w:r w:rsidR="00B84159" w:rsidRPr="00DB0C40">
        <w:rPr>
          <w:b/>
          <w:sz w:val="22"/>
          <w:szCs w:val="22"/>
        </w:rPr>
        <w:t>w</w:t>
      </w:r>
      <w:r w:rsidRPr="00DB0C40">
        <w:rPr>
          <w:b/>
          <w:sz w:val="22"/>
          <w:szCs w:val="22"/>
        </w:rPr>
        <w:t>ork (Moderator: Ms. M. Nilgün Egemen)</w:t>
      </w:r>
    </w:p>
    <w:p w14:paraId="46AF9965" w14:textId="77777777" w:rsidR="00BB44E1" w:rsidRPr="00DB0C40" w:rsidRDefault="00BB44E1">
      <w:pPr>
        <w:jc w:val="both"/>
        <w:rPr>
          <w:sz w:val="22"/>
          <w:szCs w:val="22"/>
        </w:rPr>
      </w:pPr>
    </w:p>
    <w:p w14:paraId="599C8E02" w14:textId="77777777" w:rsidR="00BB44E1" w:rsidRPr="00DB0C40" w:rsidRDefault="00230B49">
      <w:pPr>
        <w:jc w:val="both"/>
        <w:rPr>
          <w:sz w:val="22"/>
          <w:szCs w:val="22"/>
        </w:rPr>
      </w:pPr>
      <w:r w:rsidRPr="00DB0C40">
        <w:rPr>
          <w:sz w:val="22"/>
          <w:szCs w:val="22"/>
        </w:rPr>
        <w:t xml:space="preserve">In the group discussion, it was aimed to find answers to the following questions.  </w:t>
      </w:r>
    </w:p>
    <w:p w14:paraId="6600C628" w14:textId="77777777" w:rsidR="00BB44E1" w:rsidRPr="00DB0C40" w:rsidRDefault="00BB44E1">
      <w:pPr>
        <w:ind w:left="709"/>
        <w:jc w:val="both"/>
        <w:rPr>
          <w:i/>
          <w:sz w:val="22"/>
          <w:szCs w:val="22"/>
        </w:rPr>
      </w:pPr>
    </w:p>
    <w:p w14:paraId="46BEC7CB" w14:textId="52670A2A" w:rsidR="00BB44E1" w:rsidRPr="00DB0C40" w:rsidRDefault="00230B49" w:rsidP="00FB59BE">
      <w:pPr>
        <w:numPr>
          <w:ilvl w:val="0"/>
          <w:numId w:val="6"/>
        </w:numPr>
        <w:ind w:left="709" w:hanging="349"/>
        <w:jc w:val="both"/>
        <w:rPr>
          <w:i/>
          <w:sz w:val="22"/>
          <w:szCs w:val="22"/>
        </w:rPr>
      </w:pPr>
      <w:r w:rsidRPr="00DB0C40">
        <w:rPr>
          <w:i/>
          <w:sz w:val="22"/>
          <w:szCs w:val="22"/>
        </w:rPr>
        <w:t xml:space="preserve">What are the common atypical employment patterns in </w:t>
      </w:r>
      <w:r w:rsidR="00AC20EA">
        <w:rPr>
          <w:i/>
          <w:sz w:val="22"/>
          <w:szCs w:val="22"/>
        </w:rPr>
        <w:t>Türkiye</w:t>
      </w:r>
      <w:r w:rsidRPr="00DB0C40">
        <w:rPr>
          <w:i/>
          <w:sz w:val="22"/>
          <w:szCs w:val="22"/>
        </w:rPr>
        <w:t>?</w:t>
      </w:r>
    </w:p>
    <w:p w14:paraId="200399BB" w14:textId="77777777" w:rsidR="00BB44E1" w:rsidRPr="00DB0C40" w:rsidRDefault="00230B49" w:rsidP="00FB59BE">
      <w:pPr>
        <w:numPr>
          <w:ilvl w:val="0"/>
          <w:numId w:val="6"/>
        </w:numPr>
        <w:ind w:left="709" w:hanging="349"/>
        <w:jc w:val="both"/>
        <w:rPr>
          <w:i/>
          <w:sz w:val="22"/>
          <w:szCs w:val="22"/>
        </w:rPr>
      </w:pPr>
      <w:r w:rsidRPr="00DB0C40">
        <w:rPr>
          <w:i/>
          <w:sz w:val="22"/>
          <w:szCs w:val="22"/>
        </w:rPr>
        <w:t>What are the areas where current policies are insufficient to protect the rights of those who have been working in the atypical employment category?</w:t>
      </w:r>
    </w:p>
    <w:p w14:paraId="452D4C63" w14:textId="77777777" w:rsidR="00BB44E1" w:rsidRPr="00DB0C40" w:rsidRDefault="00230B49" w:rsidP="00FB59BE">
      <w:pPr>
        <w:numPr>
          <w:ilvl w:val="0"/>
          <w:numId w:val="6"/>
        </w:numPr>
        <w:ind w:left="709" w:hanging="349"/>
        <w:jc w:val="both"/>
        <w:rPr>
          <w:i/>
          <w:sz w:val="22"/>
          <w:szCs w:val="22"/>
        </w:rPr>
      </w:pPr>
      <w:r w:rsidRPr="00DB0C40">
        <w:rPr>
          <w:i/>
          <w:sz w:val="22"/>
          <w:szCs w:val="22"/>
        </w:rPr>
        <w:t>How atypical employment can be integrated into existing labour legislation?</w:t>
      </w:r>
    </w:p>
    <w:p w14:paraId="75D8474E" w14:textId="77777777" w:rsidR="00BB44E1" w:rsidRPr="00DB0C40" w:rsidRDefault="00230B49" w:rsidP="00FB59BE">
      <w:pPr>
        <w:numPr>
          <w:ilvl w:val="0"/>
          <w:numId w:val="6"/>
        </w:numPr>
        <w:ind w:left="709" w:hanging="349"/>
        <w:jc w:val="both"/>
        <w:rPr>
          <w:i/>
          <w:sz w:val="22"/>
          <w:szCs w:val="22"/>
        </w:rPr>
      </w:pPr>
      <w:r w:rsidRPr="00DB0C40">
        <w:rPr>
          <w:i/>
          <w:sz w:val="22"/>
          <w:szCs w:val="22"/>
        </w:rPr>
        <w:t>What kind of policies can be developed to protect the rights of employees of this category?</w:t>
      </w:r>
    </w:p>
    <w:p w14:paraId="05347745" w14:textId="77777777" w:rsidR="00BB44E1" w:rsidRPr="00DB0C40" w:rsidRDefault="00BB44E1">
      <w:pPr>
        <w:ind w:left="709"/>
        <w:jc w:val="both"/>
        <w:rPr>
          <w:i/>
          <w:sz w:val="22"/>
          <w:szCs w:val="22"/>
        </w:rPr>
      </w:pPr>
    </w:p>
    <w:p w14:paraId="48D05653" w14:textId="22538A75" w:rsidR="00BB44E1" w:rsidRPr="00DB0C40" w:rsidRDefault="00230B49">
      <w:pPr>
        <w:jc w:val="both"/>
        <w:rPr>
          <w:sz w:val="22"/>
          <w:szCs w:val="22"/>
        </w:rPr>
      </w:pPr>
      <w:bookmarkStart w:id="129" w:name="_heading=h.1y810tw" w:colFirst="0" w:colLast="0"/>
      <w:bookmarkEnd w:id="129"/>
      <w:r w:rsidRPr="00F23644">
        <w:rPr>
          <w:sz w:val="22"/>
          <w:szCs w:val="22"/>
        </w:rPr>
        <w:t>The main issues highlighted by the participants during the discussions are below</w:t>
      </w:r>
      <w:r w:rsidR="00110030" w:rsidRPr="00F23644">
        <w:rPr>
          <w:sz w:val="22"/>
          <w:szCs w:val="22"/>
        </w:rPr>
        <w:t>:</w:t>
      </w:r>
    </w:p>
    <w:p w14:paraId="7B8C9A32" w14:textId="77777777" w:rsidR="00BB44E1" w:rsidRPr="00DB0C40" w:rsidRDefault="00BB44E1">
      <w:pPr>
        <w:jc w:val="both"/>
        <w:rPr>
          <w:sz w:val="22"/>
          <w:szCs w:val="22"/>
        </w:rPr>
      </w:pPr>
    </w:p>
    <w:p w14:paraId="5C046D85" w14:textId="77777777" w:rsidR="00BB44E1" w:rsidRPr="00DB0C40" w:rsidRDefault="00230B49" w:rsidP="00FB59BE">
      <w:pPr>
        <w:numPr>
          <w:ilvl w:val="0"/>
          <w:numId w:val="8"/>
        </w:numPr>
        <w:jc w:val="both"/>
        <w:rPr>
          <w:sz w:val="22"/>
          <w:szCs w:val="22"/>
        </w:rPr>
      </w:pPr>
      <w:r w:rsidRPr="00DB0C40">
        <w:rPr>
          <w:sz w:val="22"/>
          <w:szCs w:val="22"/>
        </w:rPr>
        <w:t>Atypical employment is not the main concern of the unions of employers and other social parties unless there is a demand from their members or target groups. It would not be wrong to say, there is no awareness about this issue and some of the participants of the working group mentioned that they just heard about the atypical employment.</w:t>
      </w:r>
    </w:p>
    <w:p w14:paraId="30EA5CD0" w14:textId="77777777" w:rsidR="00BB44E1" w:rsidRPr="00DB0C40" w:rsidRDefault="00230B49" w:rsidP="00FB59BE">
      <w:pPr>
        <w:numPr>
          <w:ilvl w:val="0"/>
          <w:numId w:val="8"/>
        </w:numPr>
        <w:jc w:val="both"/>
        <w:rPr>
          <w:sz w:val="22"/>
          <w:szCs w:val="22"/>
        </w:rPr>
      </w:pPr>
      <w:r w:rsidRPr="00DB0C40">
        <w:rPr>
          <w:sz w:val="22"/>
          <w:szCs w:val="22"/>
        </w:rPr>
        <w:t xml:space="preserve">Education, Banking, and finance (because of remote working conditions during this pandemic era), Agriculture, and Service sectors are the main sectors where atypical employment is demanding. </w:t>
      </w:r>
    </w:p>
    <w:p w14:paraId="29F754B5" w14:textId="77777777" w:rsidR="00BB44E1" w:rsidRPr="00DB0C40" w:rsidRDefault="00230B49" w:rsidP="00FB59BE">
      <w:pPr>
        <w:numPr>
          <w:ilvl w:val="0"/>
          <w:numId w:val="8"/>
        </w:numPr>
        <w:jc w:val="both"/>
        <w:rPr>
          <w:sz w:val="22"/>
          <w:szCs w:val="22"/>
        </w:rPr>
      </w:pPr>
      <w:r w:rsidRPr="00DB0C40">
        <w:rPr>
          <w:sz w:val="22"/>
          <w:szCs w:val="22"/>
        </w:rPr>
        <w:t xml:space="preserve">Provision number 7 about Temporary Employment Relationship in the Labour law encourages women to prefer atypical employment because of their responsibilities at home. The law should promote secure and full-time employment for the labours </w:t>
      </w:r>
    </w:p>
    <w:p w14:paraId="10795FA0" w14:textId="77777777" w:rsidR="00BB44E1" w:rsidRPr="00DB0C40" w:rsidRDefault="00230B49" w:rsidP="00FB59BE">
      <w:pPr>
        <w:numPr>
          <w:ilvl w:val="0"/>
          <w:numId w:val="8"/>
        </w:numPr>
        <w:jc w:val="both"/>
        <w:rPr>
          <w:sz w:val="22"/>
          <w:szCs w:val="22"/>
        </w:rPr>
      </w:pPr>
      <w:r w:rsidRPr="00DB0C40">
        <w:rPr>
          <w:sz w:val="22"/>
          <w:szCs w:val="22"/>
        </w:rPr>
        <w:lastRenderedPageBreak/>
        <w:t xml:space="preserve">While preparing a new law, cross-cutting areas with the other laws should be considered.  As an example, there is a dilemma between Law No: 6331 Workers Health and Safety and Law No: 4857 Labour Law about night shifts of women workers who have a baby below age one. </w:t>
      </w:r>
    </w:p>
    <w:p w14:paraId="1B5635A0" w14:textId="77777777" w:rsidR="00BB44E1" w:rsidRPr="00DB0C40" w:rsidRDefault="00230B49" w:rsidP="00FB59BE">
      <w:pPr>
        <w:numPr>
          <w:ilvl w:val="0"/>
          <w:numId w:val="8"/>
        </w:numPr>
        <w:jc w:val="both"/>
        <w:rPr>
          <w:sz w:val="22"/>
          <w:szCs w:val="22"/>
        </w:rPr>
      </w:pPr>
      <w:r w:rsidRPr="00DB0C40">
        <w:rPr>
          <w:sz w:val="22"/>
          <w:szCs w:val="22"/>
        </w:rPr>
        <w:t xml:space="preserve">There are some training programmes organised by the Ministry of Education and ISKUR about care facilities for the baby, elderly, and patients, home cleaning, and handcraft specific to women but there is no follow on how they are employed with these certificates. </w:t>
      </w:r>
    </w:p>
    <w:p w14:paraId="5553ECF4" w14:textId="77777777" w:rsidR="00BB44E1" w:rsidRPr="00DB0C40" w:rsidRDefault="00230B49" w:rsidP="00FB59BE">
      <w:pPr>
        <w:numPr>
          <w:ilvl w:val="0"/>
          <w:numId w:val="8"/>
        </w:numPr>
        <w:jc w:val="both"/>
        <w:rPr>
          <w:sz w:val="22"/>
          <w:szCs w:val="22"/>
        </w:rPr>
      </w:pPr>
      <w:r w:rsidRPr="00DB0C40">
        <w:rPr>
          <w:sz w:val="22"/>
          <w:szCs w:val="22"/>
        </w:rPr>
        <w:t>The number of migrant workers is very high and in some places is more than native ones in house cleaning, and elderly and childcare without any registration</w:t>
      </w:r>
    </w:p>
    <w:p w14:paraId="0FB61E77" w14:textId="77777777" w:rsidR="00BB44E1" w:rsidRPr="00DB0C40" w:rsidRDefault="00230B49" w:rsidP="00FB59BE">
      <w:pPr>
        <w:numPr>
          <w:ilvl w:val="0"/>
          <w:numId w:val="8"/>
        </w:numPr>
        <w:jc w:val="both"/>
        <w:rPr>
          <w:sz w:val="22"/>
          <w:szCs w:val="22"/>
        </w:rPr>
      </w:pPr>
      <w:r w:rsidRPr="00DB0C40">
        <w:rPr>
          <w:sz w:val="22"/>
          <w:szCs w:val="22"/>
        </w:rPr>
        <w:t>Domestic violence is the main driver together with their house care responsibilities of women to prefer atypical work. In preparation of legislative framework to promote women's employment comprehensive perspective is necessary. Therefore, just making some amendments in labour law will not be sufficient to increase women's employment unless there are no measures to take the housework burden of women as well as protect them from domestic violence.</w:t>
      </w:r>
    </w:p>
    <w:p w14:paraId="58BB7C31" w14:textId="77777777" w:rsidR="00BB44E1" w:rsidRPr="00DB0C40" w:rsidRDefault="00230B49" w:rsidP="00FB59BE">
      <w:pPr>
        <w:numPr>
          <w:ilvl w:val="0"/>
          <w:numId w:val="8"/>
        </w:numPr>
        <w:jc w:val="both"/>
        <w:rPr>
          <w:sz w:val="22"/>
          <w:szCs w:val="22"/>
        </w:rPr>
      </w:pPr>
      <w:r w:rsidRPr="00DB0C40">
        <w:rPr>
          <w:sz w:val="22"/>
          <w:szCs w:val="22"/>
        </w:rPr>
        <w:t>Making care facilities including babies and the elderly as part of public policy is necessary to take this burden from women’s shoulders. In addition, care facilities should be taken as a responsibility of all family members not only for women and all incentives at the business establishment-level should be given by considering the total number of employees not only women workers.</w:t>
      </w:r>
    </w:p>
    <w:p w14:paraId="2B985026" w14:textId="77777777" w:rsidR="00BB44E1" w:rsidRPr="00DB0C40" w:rsidRDefault="00230B49" w:rsidP="00FB59BE">
      <w:pPr>
        <w:numPr>
          <w:ilvl w:val="0"/>
          <w:numId w:val="8"/>
        </w:numPr>
        <w:jc w:val="both"/>
        <w:rPr>
          <w:sz w:val="22"/>
          <w:szCs w:val="22"/>
        </w:rPr>
      </w:pPr>
      <w:r w:rsidRPr="00DB0C40">
        <w:rPr>
          <w:sz w:val="22"/>
          <w:szCs w:val="22"/>
        </w:rPr>
        <w:t>Atypical employment is more common in small settlements and there is no office of the relevant government organisations (particularly SGK and ISKUR) at the district level to be applied if any problem happens, or information is needed.</w:t>
      </w:r>
    </w:p>
    <w:p w14:paraId="0D478E4F" w14:textId="77777777" w:rsidR="00BB44E1" w:rsidRPr="00DB0C40" w:rsidRDefault="00230B49" w:rsidP="00FB59BE">
      <w:pPr>
        <w:numPr>
          <w:ilvl w:val="0"/>
          <w:numId w:val="8"/>
        </w:numPr>
        <w:jc w:val="both"/>
        <w:rPr>
          <w:sz w:val="22"/>
          <w:szCs w:val="22"/>
        </w:rPr>
      </w:pPr>
      <w:r w:rsidRPr="00DB0C40">
        <w:rPr>
          <w:sz w:val="22"/>
          <w:szCs w:val="22"/>
        </w:rPr>
        <w:t>There are some incentives of the SGK for atypical employment, but most of them are not known by both workers and employees. SGK should develop new communication strategies or establish new communication channels to reach all these groups.</w:t>
      </w:r>
    </w:p>
    <w:p w14:paraId="0D2B31A3" w14:textId="77777777" w:rsidR="00BB44E1" w:rsidRPr="00DB0C40" w:rsidRDefault="00BB44E1">
      <w:pPr>
        <w:jc w:val="both"/>
        <w:rPr>
          <w:sz w:val="22"/>
          <w:szCs w:val="22"/>
        </w:rPr>
      </w:pPr>
    </w:p>
    <w:p w14:paraId="4D1BF1E3" w14:textId="5C6B18C7" w:rsidR="00BB44E1" w:rsidRPr="00DB0C40" w:rsidRDefault="00230B49">
      <w:pPr>
        <w:ind w:left="709"/>
        <w:rPr>
          <w:b/>
          <w:sz w:val="22"/>
          <w:szCs w:val="22"/>
        </w:rPr>
      </w:pPr>
      <w:r w:rsidRPr="00DB0C40">
        <w:rPr>
          <w:b/>
          <w:sz w:val="22"/>
          <w:szCs w:val="22"/>
        </w:rPr>
        <w:t xml:space="preserve">Group 3: Care </w:t>
      </w:r>
      <w:r w:rsidR="00B84159" w:rsidRPr="00DB0C40">
        <w:rPr>
          <w:b/>
          <w:sz w:val="22"/>
          <w:szCs w:val="22"/>
        </w:rPr>
        <w:t>P</w:t>
      </w:r>
      <w:r w:rsidRPr="00DB0C40">
        <w:rPr>
          <w:b/>
          <w:sz w:val="22"/>
          <w:szCs w:val="22"/>
        </w:rPr>
        <w:t xml:space="preserve">olicies (Moderator: Dr. Özlem Boztaş) </w:t>
      </w:r>
    </w:p>
    <w:p w14:paraId="441B69BB" w14:textId="77777777" w:rsidR="00BB44E1" w:rsidRPr="00DB0C40" w:rsidRDefault="00BB44E1">
      <w:pPr>
        <w:jc w:val="both"/>
        <w:rPr>
          <w:sz w:val="22"/>
          <w:szCs w:val="22"/>
        </w:rPr>
      </w:pPr>
    </w:p>
    <w:p w14:paraId="6AB403B9" w14:textId="77777777" w:rsidR="00BB44E1" w:rsidRPr="00DB0C40" w:rsidRDefault="00230B49">
      <w:pPr>
        <w:jc w:val="both"/>
        <w:rPr>
          <w:sz w:val="22"/>
          <w:szCs w:val="22"/>
        </w:rPr>
      </w:pPr>
      <w:r w:rsidRPr="00DB0C40">
        <w:rPr>
          <w:sz w:val="22"/>
          <w:szCs w:val="22"/>
        </w:rPr>
        <w:t xml:space="preserve">In this group, participants were provided three focus questions:  </w:t>
      </w:r>
    </w:p>
    <w:p w14:paraId="16FFB36A" w14:textId="77777777" w:rsidR="00BB44E1" w:rsidRPr="00DB0C40" w:rsidRDefault="00BB44E1">
      <w:pPr>
        <w:jc w:val="both"/>
        <w:rPr>
          <w:sz w:val="22"/>
          <w:szCs w:val="22"/>
        </w:rPr>
      </w:pPr>
    </w:p>
    <w:p w14:paraId="6A92AFDD" w14:textId="77777777" w:rsidR="00BB44E1" w:rsidRPr="00DB0C40" w:rsidRDefault="00230B49" w:rsidP="00FB59BE">
      <w:pPr>
        <w:numPr>
          <w:ilvl w:val="0"/>
          <w:numId w:val="5"/>
        </w:numPr>
        <w:ind w:left="851"/>
        <w:jc w:val="both"/>
        <w:rPr>
          <w:i/>
          <w:sz w:val="22"/>
          <w:szCs w:val="22"/>
        </w:rPr>
      </w:pPr>
      <w:r w:rsidRPr="00DB0C40">
        <w:rPr>
          <w:i/>
          <w:sz w:val="22"/>
          <w:szCs w:val="22"/>
        </w:rPr>
        <w:t>How do you see the existing Labour Law in terms of its provisions related to care responsibilities and obligations? (maternal leave, breastfeeding leave, part-time work after birth, crèche and day-care facilities provided by employers, etc.)</w:t>
      </w:r>
    </w:p>
    <w:p w14:paraId="1871A0A2" w14:textId="77777777" w:rsidR="00BB44E1" w:rsidRPr="00DB0C40" w:rsidRDefault="00230B49" w:rsidP="00FB59BE">
      <w:pPr>
        <w:numPr>
          <w:ilvl w:val="0"/>
          <w:numId w:val="5"/>
        </w:numPr>
        <w:ind w:left="851"/>
        <w:jc w:val="both"/>
        <w:rPr>
          <w:i/>
          <w:sz w:val="22"/>
          <w:szCs w:val="22"/>
        </w:rPr>
      </w:pPr>
      <w:r w:rsidRPr="00DB0C40">
        <w:rPr>
          <w:i/>
          <w:sz w:val="22"/>
          <w:szCs w:val="22"/>
        </w:rPr>
        <w:t>What is efficient and what needs improvement in practice?</w:t>
      </w:r>
    </w:p>
    <w:p w14:paraId="5A2C172E" w14:textId="77777777" w:rsidR="00BB44E1" w:rsidRPr="00DB0C40" w:rsidRDefault="00230B49" w:rsidP="00FB59BE">
      <w:pPr>
        <w:numPr>
          <w:ilvl w:val="0"/>
          <w:numId w:val="5"/>
        </w:numPr>
        <w:ind w:left="851"/>
        <w:jc w:val="both"/>
        <w:rPr>
          <w:i/>
          <w:sz w:val="22"/>
          <w:szCs w:val="22"/>
        </w:rPr>
      </w:pPr>
      <w:r w:rsidRPr="00DB0C40">
        <w:rPr>
          <w:i/>
          <w:sz w:val="22"/>
          <w:szCs w:val="22"/>
        </w:rPr>
        <w:t>What additional legislative changes are needed to prevent the care responsibilities from being the main obstacle in front of women's employment. </w:t>
      </w:r>
    </w:p>
    <w:p w14:paraId="68821F9E" w14:textId="77777777" w:rsidR="00BB44E1" w:rsidRPr="00DB0C40" w:rsidRDefault="00BB44E1">
      <w:pPr>
        <w:jc w:val="both"/>
        <w:rPr>
          <w:sz w:val="22"/>
          <w:szCs w:val="22"/>
        </w:rPr>
      </w:pPr>
    </w:p>
    <w:p w14:paraId="6303DD6B" w14:textId="77777777" w:rsidR="00BB44E1" w:rsidRPr="00DB0C40" w:rsidRDefault="00230B49">
      <w:pPr>
        <w:jc w:val="both"/>
        <w:rPr>
          <w:sz w:val="22"/>
          <w:szCs w:val="22"/>
        </w:rPr>
      </w:pPr>
      <w:r w:rsidRPr="00F23644">
        <w:rPr>
          <w:sz w:val="22"/>
          <w:szCs w:val="22"/>
        </w:rPr>
        <w:t>The main suggestions given by the participants as a result of the discussions are below:</w:t>
      </w:r>
      <w:r w:rsidRPr="00DB0C40">
        <w:rPr>
          <w:sz w:val="22"/>
          <w:szCs w:val="22"/>
        </w:rPr>
        <w:t xml:space="preserve"> </w:t>
      </w:r>
    </w:p>
    <w:p w14:paraId="265236BA" w14:textId="77777777" w:rsidR="00BB44E1" w:rsidRPr="00DB0C40" w:rsidRDefault="00BB44E1">
      <w:pPr>
        <w:jc w:val="both"/>
        <w:rPr>
          <w:sz w:val="22"/>
          <w:szCs w:val="22"/>
        </w:rPr>
      </w:pPr>
    </w:p>
    <w:p w14:paraId="3B0A43C7" w14:textId="77777777" w:rsidR="00BB44E1" w:rsidRPr="00DB0C40" w:rsidRDefault="00230B49" w:rsidP="00FB59BE">
      <w:pPr>
        <w:numPr>
          <w:ilvl w:val="0"/>
          <w:numId w:val="7"/>
        </w:numPr>
        <w:jc w:val="both"/>
        <w:rPr>
          <w:sz w:val="22"/>
          <w:szCs w:val="22"/>
        </w:rPr>
      </w:pPr>
      <w:r w:rsidRPr="00DB0C40">
        <w:rPr>
          <w:sz w:val="22"/>
          <w:szCs w:val="22"/>
        </w:rPr>
        <w:t xml:space="preserve">The legislation might promote gender equality instead of over-emphasizing the care roles of women in employment. Maternal and breastfeeding leaves may be considered as the rights of the child so parenting leaves could be the solution instead of maternal leaves. Both mother and father might be able to use these rights. The conditions might be determined to ensure that father cannot transfer these leaves to the mother. The parent may use their maternal/paternal leaves in rotation. </w:t>
      </w:r>
    </w:p>
    <w:p w14:paraId="13D70AB4" w14:textId="77777777" w:rsidR="00BB44E1" w:rsidRPr="00DB0C40" w:rsidRDefault="00230B49" w:rsidP="00FB59BE">
      <w:pPr>
        <w:numPr>
          <w:ilvl w:val="0"/>
          <w:numId w:val="7"/>
        </w:numPr>
        <w:jc w:val="both"/>
        <w:rPr>
          <w:sz w:val="22"/>
          <w:szCs w:val="22"/>
        </w:rPr>
      </w:pPr>
      <w:r w:rsidRPr="00DB0C40">
        <w:rPr>
          <w:sz w:val="22"/>
          <w:szCs w:val="22"/>
        </w:rPr>
        <w:t xml:space="preserve">Employer obligations for crèche and day-care facilities are intended for only large enterprises in which 100-150 women are employed. However, women’s employment is proportionally higher in micro-enterprises and informal employment is also high in those enterprises. Thus, care facilities might include all personnel regardless of gender in large enterprises and also additional regulations may be added for micro-enterprises. The state should provide additional incentives and share this care obligation together with the employers. </w:t>
      </w:r>
    </w:p>
    <w:p w14:paraId="3BC253F6" w14:textId="77777777" w:rsidR="00BB44E1" w:rsidRPr="00DB0C40" w:rsidRDefault="00230B49" w:rsidP="00FB59BE">
      <w:pPr>
        <w:numPr>
          <w:ilvl w:val="0"/>
          <w:numId w:val="7"/>
        </w:numPr>
        <w:jc w:val="both"/>
        <w:rPr>
          <w:sz w:val="22"/>
          <w:szCs w:val="22"/>
        </w:rPr>
      </w:pPr>
      <w:r w:rsidRPr="00DB0C40">
        <w:rPr>
          <w:sz w:val="22"/>
          <w:szCs w:val="22"/>
        </w:rPr>
        <w:lastRenderedPageBreak/>
        <w:t xml:space="preserve">Breastfeeding leaves are problematic in practice. The duration and the length might be increased. </w:t>
      </w:r>
    </w:p>
    <w:p w14:paraId="291BE387" w14:textId="77777777" w:rsidR="00BB44E1" w:rsidRPr="00DB0C40" w:rsidRDefault="00230B49" w:rsidP="00FB59BE">
      <w:pPr>
        <w:numPr>
          <w:ilvl w:val="0"/>
          <w:numId w:val="7"/>
        </w:numPr>
        <w:jc w:val="both"/>
        <w:rPr>
          <w:sz w:val="22"/>
          <w:szCs w:val="22"/>
        </w:rPr>
      </w:pPr>
      <w:r w:rsidRPr="00DB0C40">
        <w:rPr>
          <w:sz w:val="22"/>
          <w:szCs w:val="22"/>
        </w:rPr>
        <w:t xml:space="preserve">Home-based working might be given as an option for those who would like to use it for sharing the care work at home. Both mothers and fathers can choose to work at home for 1-2 days a week in rotation to share the care work. </w:t>
      </w:r>
    </w:p>
    <w:p w14:paraId="2DF47FBF" w14:textId="77777777" w:rsidR="00BB44E1" w:rsidRPr="00DB0C40" w:rsidRDefault="00230B49" w:rsidP="00FB59BE">
      <w:pPr>
        <w:numPr>
          <w:ilvl w:val="0"/>
          <w:numId w:val="7"/>
        </w:numPr>
        <w:jc w:val="both"/>
        <w:rPr>
          <w:sz w:val="22"/>
          <w:szCs w:val="22"/>
        </w:rPr>
      </w:pPr>
      <w:r w:rsidRPr="00DB0C40">
        <w:rPr>
          <w:sz w:val="22"/>
          <w:szCs w:val="22"/>
        </w:rPr>
        <w:t xml:space="preserve">Care work provisions might be extended to cover care for the elderly, patients, and disabled. </w:t>
      </w:r>
    </w:p>
    <w:p w14:paraId="17D583BA" w14:textId="77777777" w:rsidR="00BB44E1" w:rsidRPr="00DB0C40" w:rsidRDefault="00230B49" w:rsidP="00FB59BE">
      <w:pPr>
        <w:numPr>
          <w:ilvl w:val="0"/>
          <w:numId w:val="7"/>
        </w:numPr>
        <w:jc w:val="both"/>
        <w:rPr>
          <w:sz w:val="22"/>
          <w:szCs w:val="22"/>
        </w:rPr>
      </w:pPr>
      <w:r w:rsidRPr="00DB0C40">
        <w:rPr>
          <w:sz w:val="22"/>
          <w:szCs w:val="22"/>
        </w:rPr>
        <w:t xml:space="preserve">To increase women’s employment is the goal but also retaining women in employment and eliminating the glass ceiling may be targeted. So, additional incentives could be provided for women who are assigned to management positions. </w:t>
      </w:r>
    </w:p>
    <w:p w14:paraId="752B3907" w14:textId="77777777" w:rsidR="00BB44E1" w:rsidRPr="00DB0C40" w:rsidRDefault="00230B49" w:rsidP="00FB59BE">
      <w:pPr>
        <w:numPr>
          <w:ilvl w:val="0"/>
          <w:numId w:val="7"/>
        </w:numPr>
        <w:jc w:val="both"/>
        <w:rPr>
          <w:sz w:val="22"/>
          <w:szCs w:val="22"/>
        </w:rPr>
      </w:pPr>
      <w:r w:rsidRPr="00DB0C40">
        <w:rPr>
          <w:sz w:val="22"/>
          <w:szCs w:val="22"/>
        </w:rPr>
        <w:t xml:space="preserve">Home-based working might be regulated well. Lunch breaks, other breaks, and working rights may be preserved in legislation. </w:t>
      </w:r>
    </w:p>
    <w:p w14:paraId="1637C62B" w14:textId="77777777" w:rsidR="00BB44E1" w:rsidRPr="00DB0C40" w:rsidRDefault="00230B49" w:rsidP="00FB59BE">
      <w:pPr>
        <w:numPr>
          <w:ilvl w:val="0"/>
          <w:numId w:val="7"/>
        </w:numPr>
        <w:jc w:val="both"/>
        <w:rPr>
          <w:sz w:val="22"/>
          <w:szCs w:val="22"/>
        </w:rPr>
      </w:pPr>
      <w:r w:rsidRPr="00DB0C40">
        <w:rPr>
          <w:sz w:val="22"/>
          <w:szCs w:val="22"/>
        </w:rPr>
        <w:t xml:space="preserve">The legislation might target a work-life balance. </w:t>
      </w:r>
    </w:p>
    <w:p w14:paraId="74BA2693" w14:textId="77777777" w:rsidR="00BB44E1" w:rsidRPr="00DB0C40" w:rsidRDefault="00230B49" w:rsidP="00FB59BE">
      <w:pPr>
        <w:numPr>
          <w:ilvl w:val="0"/>
          <w:numId w:val="7"/>
        </w:numPr>
        <w:jc w:val="both"/>
        <w:rPr>
          <w:sz w:val="22"/>
          <w:szCs w:val="22"/>
        </w:rPr>
      </w:pPr>
      <w:r w:rsidRPr="00DB0C40">
        <w:rPr>
          <w:sz w:val="22"/>
          <w:szCs w:val="22"/>
        </w:rPr>
        <w:t xml:space="preserve">Care incentives might be extended to include platform workers, atypical workers, freelancers, etc. since they lack protection under labour law. </w:t>
      </w:r>
    </w:p>
    <w:p w14:paraId="2466D622" w14:textId="77777777" w:rsidR="00BB44E1" w:rsidRPr="00DB0C40" w:rsidRDefault="00BB44E1">
      <w:pPr>
        <w:jc w:val="both"/>
        <w:rPr>
          <w:sz w:val="22"/>
          <w:szCs w:val="22"/>
        </w:rPr>
      </w:pPr>
    </w:p>
    <w:p w14:paraId="18318C3A" w14:textId="071A80C9" w:rsidR="00BB44E1" w:rsidRPr="00500A88" w:rsidRDefault="00230B49">
      <w:pPr>
        <w:jc w:val="both"/>
        <w:rPr>
          <w:color w:val="FF0000"/>
          <w:sz w:val="22"/>
          <w:szCs w:val="22"/>
        </w:rPr>
      </w:pPr>
      <w:r w:rsidRPr="00DB0C40">
        <w:rPr>
          <w:sz w:val="22"/>
          <w:szCs w:val="22"/>
        </w:rPr>
        <w:t>Some policy recommendations emerged from the discussion</w:t>
      </w:r>
      <w:r w:rsidR="00CD2A61">
        <w:rPr>
          <w:sz w:val="22"/>
          <w:szCs w:val="22"/>
        </w:rPr>
        <w:t>.</w:t>
      </w:r>
      <w:r w:rsidRPr="00DB0C40">
        <w:rPr>
          <w:sz w:val="22"/>
          <w:szCs w:val="22"/>
        </w:rPr>
        <w:t xml:space="preserve"> </w:t>
      </w:r>
      <w:r w:rsidR="00500A88" w:rsidRPr="00362B91">
        <w:rPr>
          <w:sz w:val="22"/>
          <w:szCs w:val="22"/>
        </w:rPr>
        <w:t xml:space="preserve">Care policies were analysed as one of the key topics to improve </w:t>
      </w:r>
      <w:r w:rsidR="000551F2" w:rsidRPr="00362B91">
        <w:rPr>
          <w:sz w:val="22"/>
          <w:szCs w:val="22"/>
        </w:rPr>
        <w:t xml:space="preserve">and increase </w:t>
      </w:r>
      <w:r w:rsidR="00500A88" w:rsidRPr="00362B91">
        <w:rPr>
          <w:sz w:val="22"/>
          <w:szCs w:val="22"/>
        </w:rPr>
        <w:t>women employment</w:t>
      </w:r>
      <w:r w:rsidR="000551F2" w:rsidRPr="00362B91">
        <w:rPr>
          <w:sz w:val="22"/>
          <w:szCs w:val="22"/>
        </w:rPr>
        <w:t xml:space="preserve"> from a gender perspective</w:t>
      </w:r>
      <w:r w:rsidR="00500A88" w:rsidRPr="00362B91">
        <w:rPr>
          <w:sz w:val="22"/>
          <w:szCs w:val="22"/>
        </w:rPr>
        <w:t xml:space="preserve">. But also, there were deep reflections </w:t>
      </w:r>
      <w:r w:rsidR="000551F2" w:rsidRPr="00362B91">
        <w:rPr>
          <w:sz w:val="22"/>
          <w:szCs w:val="22"/>
        </w:rPr>
        <w:t xml:space="preserve">on the </w:t>
      </w:r>
      <w:r w:rsidR="00500A88" w:rsidRPr="00362B91">
        <w:rPr>
          <w:sz w:val="22"/>
          <w:szCs w:val="22"/>
        </w:rPr>
        <w:t>measures</w:t>
      </w:r>
      <w:r w:rsidR="000551F2" w:rsidRPr="00362B91">
        <w:rPr>
          <w:sz w:val="22"/>
          <w:szCs w:val="22"/>
        </w:rPr>
        <w:t xml:space="preserve"> needed</w:t>
      </w:r>
      <w:r w:rsidR="00500A88" w:rsidRPr="00362B91">
        <w:rPr>
          <w:sz w:val="22"/>
          <w:szCs w:val="22"/>
        </w:rPr>
        <w:t xml:space="preserve"> concerning the </w:t>
      </w:r>
      <w:r w:rsidR="000551F2" w:rsidRPr="00362B91">
        <w:rPr>
          <w:sz w:val="22"/>
          <w:szCs w:val="22"/>
        </w:rPr>
        <w:t xml:space="preserve">work-life balance. These measures </w:t>
      </w:r>
      <w:r w:rsidR="00500A88" w:rsidRPr="00362B91">
        <w:rPr>
          <w:sz w:val="22"/>
          <w:szCs w:val="22"/>
        </w:rPr>
        <w:t xml:space="preserve">concern both the recipients and providers of care, and include measures to ensure access to the services, time and resources needed for giving and receiving care, as well as regulations and oversight to safeguard its quality. </w:t>
      </w:r>
    </w:p>
    <w:p w14:paraId="3FDD578D" w14:textId="77777777" w:rsidR="00BB44E1" w:rsidRPr="00DB0C40" w:rsidRDefault="00BB44E1">
      <w:pPr>
        <w:jc w:val="both"/>
        <w:rPr>
          <w:sz w:val="22"/>
          <w:szCs w:val="22"/>
        </w:rPr>
      </w:pPr>
    </w:p>
    <w:p w14:paraId="297484D4" w14:textId="77777777" w:rsidR="00BB44E1" w:rsidRPr="00CD2A61" w:rsidRDefault="00230B49">
      <w:pPr>
        <w:jc w:val="both"/>
        <w:rPr>
          <w:rFonts w:asciiTheme="majorHAnsi" w:eastAsiaTheme="majorEastAsia" w:hAnsiTheme="majorHAnsi" w:cstheme="majorBidi"/>
          <w:color w:val="1F3763" w:themeColor="accent1" w:themeShade="7F"/>
        </w:rPr>
      </w:pPr>
      <w:r w:rsidRPr="00CD2A61">
        <w:rPr>
          <w:rFonts w:asciiTheme="majorHAnsi" w:eastAsiaTheme="majorEastAsia" w:hAnsiTheme="majorHAnsi" w:cstheme="majorBidi"/>
          <w:color w:val="1F3763" w:themeColor="accent1" w:themeShade="7F"/>
        </w:rPr>
        <w:t>5.</w:t>
      </w:r>
      <w:r w:rsidRPr="00CD2A61">
        <w:rPr>
          <w:rFonts w:asciiTheme="majorHAnsi" w:eastAsiaTheme="majorEastAsia" w:hAnsiTheme="majorHAnsi" w:cstheme="majorBidi"/>
          <w:color w:val="1F3763" w:themeColor="accent1" w:themeShade="7F"/>
        </w:rPr>
        <w:tab/>
      </w:r>
      <w:bookmarkStart w:id="130" w:name="_Hlk107139301"/>
      <w:r w:rsidRPr="00CD2A61">
        <w:rPr>
          <w:rFonts w:asciiTheme="majorHAnsi" w:eastAsiaTheme="majorEastAsia" w:hAnsiTheme="majorHAnsi" w:cstheme="majorBidi"/>
          <w:color w:val="1F3763" w:themeColor="accent1" w:themeShade="7F"/>
        </w:rPr>
        <w:t>QUANTITATIVE INFORMATION DERIVED FROM A MAJOR FIELD STUDY</w:t>
      </w:r>
    </w:p>
    <w:bookmarkEnd w:id="130"/>
    <w:p w14:paraId="7618933A" w14:textId="77777777" w:rsidR="00BB44E1" w:rsidRPr="00DB0C40" w:rsidRDefault="00BB44E1">
      <w:pPr>
        <w:jc w:val="both"/>
        <w:rPr>
          <w:sz w:val="22"/>
          <w:szCs w:val="22"/>
        </w:rPr>
      </w:pPr>
    </w:p>
    <w:p w14:paraId="27D50C96" w14:textId="07CFEE0A" w:rsidR="00BB44E1" w:rsidRPr="00CD2A61" w:rsidRDefault="00230B49">
      <w:pPr>
        <w:jc w:val="both"/>
        <w:rPr>
          <w:rFonts w:asciiTheme="majorHAnsi" w:eastAsiaTheme="majorEastAsia" w:hAnsiTheme="majorHAnsi" w:cstheme="majorBidi"/>
          <w:color w:val="1F3763" w:themeColor="accent1" w:themeShade="7F"/>
        </w:rPr>
      </w:pPr>
      <w:r w:rsidRPr="00CD2A61">
        <w:rPr>
          <w:rFonts w:asciiTheme="majorHAnsi" w:eastAsiaTheme="majorEastAsia" w:hAnsiTheme="majorHAnsi" w:cstheme="majorBidi"/>
          <w:color w:val="1F3763" w:themeColor="accent1" w:themeShade="7F"/>
        </w:rPr>
        <w:t>5.1.</w:t>
      </w:r>
      <w:r w:rsidRPr="00CD2A61">
        <w:rPr>
          <w:rFonts w:asciiTheme="majorHAnsi" w:eastAsiaTheme="majorEastAsia" w:hAnsiTheme="majorHAnsi" w:cstheme="majorBidi"/>
          <w:color w:val="1F3763" w:themeColor="accent1" w:themeShade="7F"/>
        </w:rPr>
        <w:tab/>
      </w:r>
      <w:bookmarkStart w:id="131" w:name="_Hlk107139391"/>
      <w:r w:rsidR="00B84159" w:rsidRPr="00CD2A61">
        <w:rPr>
          <w:rFonts w:asciiTheme="majorHAnsi" w:eastAsiaTheme="majorEastAsia" w:hAnsiTheme="majorHAnsi" w:cstheme="majorBidi"/>
          <w:color w:val="1F3763" w:themeColor="accent1" w:themeShade="7F"/>
        </w:rPr>
        <w:t>Design of the Field Study</w:t>
      </w:r>
    </w:p>
    <w:bookmarkEnd w:id="131"/>
    <w:p w14:paraId="33509B5A" w14:textId="77777777" w:rsidR="00BB44E1" w:rsidRPr="00DB0C40" w:rsidRDefault="00BB44E1">
      <w:pPr>
        <w:jc w:val="both"/>
        <w:rPr>
          <w:sz w:val="22"/>
          <w:szCs w:val="22"/>
        </w:rPr>
      </w:pPr>
    </w:p>
    <w:p w14:paraId="3664A2C3" w14:textId="77777777" w:rsidR="00BB44E1" w:rsidRPr="00DB0C40" w:rsidRDefault="00230B49">
      <w:pPr>
        <w:jc w:val="both"/>
        <w:rPr>
          <w:sz w:val="22"/>
          <w:szCs w:val="22"/>
        </w:rPr>
      </w:pPr>
      <w:r w:rsidRPr="00DB0C40">
        <w:rPr>
          <w:sz w:val="22"/>
          <w:szCs w:val="22"/>
        </w:rPr>
        <w:t>As part of this study, it was suggested to conduct Face-to-Face interviews with women employees and employers to get an overview of how the provisions of the law are perceived and practiced. For this purpose, two different questionnaires were prepared (Annex 2), one for employees and one for employers by considering the feedback received during the interviews. The field research was realized between the mid of March and April in five provinces Adana, Ankara, Bursa, Istanbul, and Izmir. A total of 500 Face-to-Face interviews, 100 of which were conducted in each province.</w:t>
      </w:r>
    </w:p>
    <w:p w14:paraId="4DC4EF3A" w14:textId="77777777" w:rsidR="00BB44E1" w:rsidRPr="00DB0C40" w:rsidRDefault="00BB44E1">
      <w:pPr>
        <w:jc w:val="both"/>
        <w:rPr>
          <w:sz w:val="22"/>
          <w:szCs w:val="22"/>
        </w:rPr>
      </w:pPr>
    </w:p>
    <w:p w14:paraId="171A5C7D" w14:textId="6D8EE7B6" w:rsidR="00BB44E1" w:rsidRPr="00DB0C40" w:rsidRDefault="00230B49">
      <w:pPr>
        <w:jc w:val="both"/>
        <w:rPr>
          <w:sz w:val="22"/>
          <w:szCs w:val="22"/>
        </w:rPr>
      </w:pPr>
      <w:r w:rsidRPr="00DB0C40">
        <w:rPr>
          <w:sz w:val="22"/>
          <w:szCs w:val="22"/>
        </w:rPr>
        <w:t>The questionnaires consist</w:t>
      </w:r>
      <w:r w:rsidR="00B84159" w:rsidRPr="00DB0C40">
        <w:rPr>
          <w:sz w:val="22"/>
          <w:szCs w:val="22"/>
        </w:rPr>
        <w:t>ed</w:t>
      </w:r>
      <w:r w:rsidRPr="00DB0C40">
        <w:rPr>
          <w:sz w:val="22"/>
          <w:szCs w:val="22"/>
        </w:rPr>
        <w:t xml:space="preserve"> of three main parts</w:t>
      </w:r>
    </w:p>
    <w:p w14:paraId="695AE7C5" w14:textId="77777777" w:rsidR="00BB44E1" w:rsidRPr="00DB0C40" w:rsidRDefault="00BB44E1">
      <w:pPr>
        <w:jc w:val="both"/>
        <w:rPr>
          <w:sz w:val="22"/>
          <w:szCs w:val="22"/>
        </w:rPr>
      </w:pPr>
    </w:p>
    <w:p w14:paraId="5F7A71E4" w14:textId="77777777" w:rsidR="00BB44E1" w:rsidRPr="00DB0C40" w:rsidRDefault="00230B49">
      <w:pPr>
        <w:jc w:val="both"/>
        <w:rPr>
          <w:sz w:val="22"/>
          <w:szCs w:val="22"/>
        </w:rPr>
      </w:pPr>
      <w:r w:rsidRPr="00DB0C40">
        <w:rPr>
          <w:sz w:val="22"/>
          <w:szCs w:val="22"/>
        </w:rPr>
        <w:t>1.</w:t>
      </w:r>
      <w:r w:rsidRPr="00DB0C40">
        <w:rPr>
          <w:sz w:val="22"/>
          <w:szCs w:val="22"/>
        </w:rPr>
        <w:tab/>
        <w:t>General information about the respondents</w:t>
      </w:r>
    </w:p>
    <w:p w14:paraId="7770254C" w14:textId="77777777" w:rsidR="00BB44E1" w:rsidRPr="00DB0C40" w:rsidRDefault="00230B49">
      <w:pPr>
        <w:jc w:val="both"/>
        <w:rPr>
          <w:sz w:val="22"/>
          <w:szCs w:val="22"/>
        </w:rPr>
      </w:pPr>
      <w:r w:rsidRPr="00DB0C40">
        <w:rPr>
          <w:sz w:val="22"/>
          <w:szCs w:val="22"/>
        </w:rPr>
        <w:t>2.</w:t>
      </w:r>
      <w:r w:rsidRPr="00DB0C40">
        <w:rPr>
          <w:sz w:val="22"/>
          <w:szCs w:val="22"/>
        </w:rPr>
        <w:tab/>
        <w:t>Attitudes to implementation of the law and their level of satisfaction with the provisions</w:t>
      </w:r>
    </w:p>
    <w:p w14:paraId="2453BCE9" w14:textId="77777777" w:rsidR="00BB44E1" w:rsidRPr="00DB0C40" w:rsidRDefault="00230B49">
      <w:pPr>
        <w:jc w:val="both"/>
        <w:rPr>
          <w:sz w:val="22"/>
          <w:szCs w:val="22"/>
        </w:rPr>
      </w:pPr>
      <w:r w:rsidRPr="00DB0C40">
        <w:rPr>
          <w:sz w:val="22"/>
          <w:szCs w:val="22"/>
        </w:rPr>
        <w:t>3.</w:t>
      </w:r>
      <w:r w:rsidRPr="00DB0C40">
        <w:rPr>
          <w:sz w:val="22"/>
          <w:szCs w:val="22"/>
        </w:rPr>
        <w:tab/>
        <w:t>Suggestions and expectations for the future</w:t>
      </w:r>
    </w:p>
    <w:p w14:paraId="3B830A7D" w14:textId="77777777" w:rsidR="00BB44E1" w:rsidRPr="00DB0C40" w:rsidRDefault="00BB44E1">
      <w:pPr>
        <w:jc w:val="both"/>
        <w:rPr>
          <w:sz w:val="22"/>
          <w:szCs w:val="22"/>
        </w:rPr>
      </w:pPr>
    </w:p>
    <w:p w14:paraId="2D364111" w14:textId="77777777" w:rsidR="00BB44E1" w:rsidRPr="00DB0C40" w:rsidRDefault="00230B49">
      <w:pPr>
        <w:jc w:val="both"/>
        <w:rPr>
          <w:sz w:val="22"/>
          <w:szCs w:val="22"/>
        </w:rPr>
      </w:pPr>
      <w:r w:rsidRPr="00DB0C40">
        <w:rPr>
          <w:sz w:val="22"/>
          <w:szCs w:val="22"/>
        </w:rPr>
        <w:t>In designing the questionnaires, it is aimed to measure how effectively the law was implemented, their level of satisfaction, and opinions about the provisions of the existing Labour law as well as their suggestions for the improvement of conditions in favour of female employees. Table 1 presents the number of surveys conducted in each province by sector.</w:t>
      </w:r>
    </w:p>
    <w:p w14:paraId="156AF2FC" w14:textId="77777777" w:rsidR="00BB44E1" w:rsidRPr="00DB0C40" w:rsidRDefault="00230B49">
      <w:pPr>
        <w:jc w:val="both"/>
        <w:rPr>
          <w:sz w:val="22"/>
          <w:szCs w:val="22"/>
        </w:rPr>
      </w:pPr>
      <w:r w:rsidRPr="00DB0C40">
        <w:rPr>
          <w:sz w:val="22"/>
          <w:szCs w:val="22"/>
        </w:rPr>
        <w:t xml:space="preserve"> </w:t>
      </w:r>
    </w:p>
    <w:p w14:paraId="42F85DCD" w14:textId="55927B36" w:rsidR="00BB44E1" w:rsidRPr="00DB0C40" w:rsidRDefault="00230B49">
      <w:pPr>
        <w:widowControl w:val="0"/>
        <w:spacing w:before="52" w:after="29"/>
        <w:ind w:left="1668"/>
        <w:jc w:val="center"/>
        <w:rPr>
          <w:b/>
          <w:sz w:val="22"/>
          <w:szCs w:val="22"/>
        </w:rPr>
      </w:pPr>
      <w:bookmarkStart w:id="132" w:name="_Hlk107139449"/>
      <w:r w:rsidRPr="00DB0C40">
        <w:rPr>
          <w:b/>
          <w:sz w:val="22"/>
          <w:szCs w:val="22"/>
        </w:rPr>
        <w:t xml:space="preserve">Table </w:t>
      </w:r>
      <w:r w:rsidR="00151244" w:rsidRPr="00DB0C40">
        <w:rPr>
          <w:b/>
          <w:sz w:val="22"/>
          <w:szCs w:val="22"/>
        </w:rPr>
        <w:t>8</w:t>
      </w:r>
      <w:r w:rsidRPr="00DB0C40">
        <w:rPr>
          <w:b/>
          <w:sz w:val="22"/>
          <w:szCs w:val="22"/>
        </w:rPr>
        <w:t>. Number of Face-To-Face interviews conducted by sector in each of the provinces</w:t>
      </w:r>
      <w:r w:rsidR="005C3C21" w:rsidRPr="00DB0C40">
        <w:rPr>
          <w:b/>
          <w:sz w:val="22"/>
          <w:szCs w:val="22"/>
        </w:rPr>
        <w:t xml:space="preserve"> for the Field Study </w:t>
      </w:r>
    </w:p>
    <w:tbl>
      <w:tblPr>
        <w:tblStyle w:val="a4"/>
        <w:tblW w:w="68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37"/>
        <w:gridCol w:w="1668"/>
        <w:gridCol w:w="1203"/>
        <w:gridCol w:w="1111"/>
      </w:tblGrid>
      <w:tr w:rsidR="00BB44E1" w:rsidRPr="00DB0C40" w14:paraId="088B1B32" w14:textId="77777777" w:rsidTr="007A7E2D">
        <w:trPr>
          <w:trHeight w:val="645"/>
          <w:jc w:val="center"/>
        </w:trPr>
        <w:tc>
          <w:tcPr>
            <w:tcW w:w="2837" w:type="dxa"/>
            <w:shd w:val="clear" w:color="auto" w:fill="D9E2F3" w:themeFill="accent1" w:themeFillTint="33"/>
          </w:tcPr>
          <w:bookmarkEnd w:id="132"/>
          <w:p w14:paraId="4D335A69" w14:textId="77777777" w:rsidR="00BB44E1" w:rsidRPr="00853140" w:rsidRDefault="00230B49">
            <w:pPr>
              <w:widowControl w:val="0"/>
              <w:spacing w:before="1"/>
              <w:ind w:left="107"/>
              <w:jc w:val="center"/>
              <w:rPr>
                <w:b/>
                <w:sz w:val="18"/>
                <w:szCs w:val="18"/>
              </w:rPr>
            </w:pPr>
            <w:r w:rsidRPr="00853140">
              <w:rPr>
                <w:b/>
                <w:sz w:val="18"/>
                <w:szCs w:val="18"/>
              </w:rPr>
              <w:t>Sector</w:t>
            </w:r>
          </w:p>
        </w:tc>
        <w:tc>
          <w:tcPr>
            <w:tcW w:w="1668" w:type="dxa"/>
            <w:shd w:val="clear" w:color="auto" w:fill="D9E2F3" w:themeFill="accent1" w:themeFillTint="33"/>
          </w:tcPr>
          <w:p w14:paraId="46205F49" w14:textId="77777777" w:rsidR="00BB44E1" w:rsidRPr="00853140" w:rsidRDefault="00230B49">
            <w:pPr>
              <w:widowControl w:val="0"/>
              <w:spacing w:before="1"/>
              <w:ind w:left="105"/>
              <w:jc w:val="center"/>
              <w:rPr>
                <w:b/>
                <w:sz w:val="18"/>
                <w:szCs w:val="18"/>
              </w:rPr>
            </w:pPr>
            <w:r w:rsidRPr="00853140">
              <w:rPr>
                <w:b/>
                <w:sz w:val="18"/>
                <w:szCs w:val="18"/>
              </w:rPr>
              <w:t>Employer</w:t>
            </w:r>
          </w:p>
        </w:tc>
        <w:tc>
          <w:tcPr>
            <w:tcW w:w="1203" w:type="dxa"/>
            <w:shd w:val="clear" w:color="auto" w:fill="D9E2F3" w:themeFill="accent1" w:themeFillTint="33"/>
          </w:tcPr>
          <w:p w14:paraId="62F457FF" w14:textId="77777777" w:rsidR="00BB44E1" w:rsidRPr="00853140" w:rsidRDefault="00230B49">
            <w:pPr>
              <w:widowControl w:val="0"/>
              <w:spacing w:before="1"/>
              <w:ind w:left="108"/>
              <w:jc w:val="center"/>
              <w:rPr>
                <w:b/>
                <w:sz w:val="18"/>
                <w:szCs w:val="18"/>
              </w:rPr>
            </w:pPr>
            <w:r w:rsidRPr="00853140">
              <w:rPr>
                <w:b/>
                <w:sz w:val="18"/>
                <w:szCs w:val="18"/>
              </w:rPr>
              <w:t>Women</w:t>
            </w:r>
          </w:p>
          <w:p w14:paraId="52E0C1BB" w14:textId="77777777" w:rsidR="00BB44E1" w:rsidRPr="00853140" w:rsidRDefault="00230B49">
            <w:pPr>
              <w:widowControl w:val="0"/>
              <w:spacing w:before="29"/>
              <w:ind w:left="108"/>
              <w:jc w:val="center"/>
              <w:rPr>
                <w:b/>
                <w:sz w:val="18"/>
                <w:szCs w:val="18"/>
              </w:rPr>
            </w:pPr>
            <w:r w:rsidRPr="00853140">
              <w:rPr>
                <w:b/>
                <w:sz w:val="18"/>
                <w:szCs w:val="18"/>
              </w:rPr>
              <w:t>Employee</w:t>
            </w:r>
          </w:p>
        </w:tc>
        <w:tc>
          <w:tcPr>
            <w:tcW w:w="1111" w:type="dxa"/>
            <w:shd w:val="clear" w:color="auto" w:fill="D9E2F3" w:themeFill="accent1" w:themeFillTint="33"/>
          </w:tcPr>
          <w:p w14:paraId="1374F296" w14:textId="77777777" w:rsidR="00BB44E1" w:rsidRPr="00853140" w:rsidRDefault="00230B49">
            <w:pPr>
              <w:widowControl w:val="0"/>
              <w:spacing w:before="1"/>
              <w:ind w:left="106"/>
              <w:jc w:val="center"/>
              <w:rPr>
                <w:b/>
                <w:sz w:val="18"/>
                <w:szCs w:val="18"/>
              </w:rPr>
            </w:pPr>
            <w:r w:rsidRPr="00853140">
              <w:rPr>
                <w:b/>
                <w:sz w:val="18"/>
                <w:szCs w:val="18"/>
              </w:rPr>
              <w:t>Total</w:t>
            </w:r>
          </w:p>
        </w:tc>
      </w:tr>
      <w:tr w:rsidR="00BB44E1" w:rsidRPr="00DB0C40" w14:paraId="577B6272" w14:textId="77777777" w:rsidTr="007A7E2D">
        <w:trPr>
          <w:trHeight w:val="323"/>
          <w:jc w:val="center"/>
        </w:trPr>
        <w:tc>
          <w:tcPr>
            <w:tcW w:w="2837" w:type="dxa"/>
            <w:shd w:val="clear" w:color="auto" w:fill="B4C6E7" w:themeFill="accent1" w:themeFillTint="66"/>
          </w:tcPr>
          <w:p w14:paraId="5B9EF134" w14:textId="77777777" w:rsidR="00BB44E1" w:rsidRPr="00853140" w:rsidRDefault="00230B49">
            <w:pPr>
              <w:widowControl w:val="0"/>
              <w:spacing w:line="291" w:lineRule="auto"/>
              <w:ind w:left="107"/>
              <w:jc w:val="center"/>
              <w:rPr>
                <w:b/>
                <w:bCs/>
                <w:sz w:val="18"/>
                <w:szCs w:val="18"/>
              </w:rPr>
            </w:pPr>
            <w:r w:rsidRPr="00853140">
              <w:rPr>
                <w:b/>
                <w:bCs/>
                <w:sz w:val="18"/>
                <w:szCs w:val="18"/>
              </w:rPr>
              <w:t>Banking and finance</w:t>
            </w:r>
          </w:p>
        </w:tc>
        <w:tc>
          <w:tcPr>
            <w:tcW w:w="1668" w:type="dxa"/>
            <w:shd w:val="clear" w:color="auto" w:fill="FBE4D5" w:themeFill="accent2" w:themeFillTint="33"/>
          </w:tcPr>
          <w:p w14:paraId="7B983FE3" w14:textId="77777777" w:rsidR="00BB44E1" w:rsidRPr="00853140" w:rsidRDefault="00230B49">
            <w:pPr>
              <w:widowControl w:val="0"/>
              <w:spacing w:line="291" w:lineRule="auto"/>
              <w:ind w:left="105"/>
              <w:jc w:val="center"/>
              <w:rPr>
                <w:sz w:val="18"/>
                <w:szCs w:val="18"/>
              </w:rPr>
            </w:pPr>
            <w:r w:rsidRPr="00853140">
              <w:rPr>
                <w:sz w:val="18"/>
                <w:szCs w:val="18"/>
              </w:rPr>
              <w:t>5</w:t>
            </w:r>
          </w:p>
        </w:tc>
        <w:tc>
          <w:tcPr>
            <w:tcW w:w="1203" w:type="dxa"/>
            <w:shd w:val="clear" w:color="auto" w:fill="FBE4D5" w:themeFill="accent2" w:themeFillTint="33"/>
          </w:tcPr>
          <w:p w14:paraId="1AD7EC2A" w14:textId="77777777" w:rsidR="00BB44E1" w:rsidRPr="00853140" w:rsidRDefault="00230B49">
            <w:pPr>
              <w:widowControl w:val="0"/>
              <w:spacing w:line="291" w:lineRule="auto"/>
              <w:ind w:left="108"/>
              <w:jc w:val="center"/>
              <w:rPr>
                <w:sz w:val="18"/>
                <w:szCs w:val="18"/>
              </w:rPr>
            </w:pPr>
            <w:r w:rsidRPr="00853140">
              <w:rPr>
                <w:sz w:val="18"/>
                <w:szCs w:val="18"/>
              </w:rPr>
              <w:t>8</w:t>
            </w:r>
          </w:p>
        </w:tc>
        <w:tc>
          <w:tcPr>
            <w:tcW w:w="1111" w:type="dxa"/>
            <w:shd w:val="clear" w:color="auto" w:fill="FBE4D5" w:themeFill="accent2" w:themeFillTint="33"/>
          </w:tcPr>
          <w:p w14:paraId="688BD51B" w14:textId="77777777" w:rsidR="00BB44E1" w:rsidRPr="00853140" w:rsidRDefault="00230B49">
            <w:pPr>
              <w:widowControl w:val="0"/>
              <w:spacing w:line="291" w:lineRule="auto"/>
              <w:ind w:left="106"/>
              <w:jc w:val="center"/>
              <w:rPr>
                <w:sz w:val="18"/>
                <w:szCs w:val="18"/>
              </w:rPr>
            </w:pPr>
            <w:r w:rsidRPr="00853140">
              <w:rPr>
                <w:sz w:val="18"/>
                <w:szCs w:val="18"/>
              </w:rPr>
              <w:t>13</w:t>
            </w:r>
          </w:p>
        </w:tc>
      </w:tr>
      <w:tr w:rsidR="00BB44E1" w:rsidRPr="00DB0C40" w14:paraId="79653AF8" w14:textId="77777777" w:rsidTr="007A7E2D">
        <w:trPr>
          <w:trHeight w:val="321"/>
          <w:jc w:val="center"/>
        </w:trPr>
        <w:tc>
          <w:tcPr>
            <w:tcW w:w="2837" w:type="dxa"/>
            <w:shd w:val="clear" w:color="auto" w:fill="B4C6E7" w:themeFill="accent1" w:themeFillTint="66"/>
          </w:tcPr>
          <w:p w14:paraId="337C8FFF" w14:textId="77777777" w:rsidR="00BB44E1" w:rsidRPr="00853140" w:rsidRDefault="00230B49">
            <w:pPr>
              <w:widowControl w:val="0"/>
              <w:spacing w:line="291" w:lineRule="auto"/>
              <w:ind w:left="107"/>
              <w:jc w:val="center"/>
              <w:rPr>
                <w:b/>
                <w:bCs/>
                <w:sz w:val="18"/>
                <w:szCs w:val="18"/>
              </w:rPr>
            </w:pPr>
            <w:r w:rsidRPr="00853140">
              <w:rPr>
                <w:b/>
                <w:bCs/>
                <w:sz w:val="18"/>
                <w:szCs w:val="18"/>
              </w:rPr>
              <w:lastRenderedPageBreak/>
              <w:t>Information Technologies</w:t>
            </w:r>
          </w:p>
        </w:tc>
        <w:tc>
          <w:tcPr>
            <w:tcW w:w="1668" w:type="dxa"/>
            <w:shd w:val="clear" w:color="auto" w:fill="FBE4D5" w:themeFill="accent2" w:themeFillTint="33"/>
          </w:tcPr>
          <w:p w14:paraId="4CAD08A5" w14:textId="77777777" w:rsidR="00BB44E1" w:rsidRPr="00853140" w:rsidRDefault="00230B49">
            <w:pPr>
              <w:widowControl w:val="0"/>
              <w:spacing w:line="291" w:lineRule="auto"/>
              <w:ind w:left="105"/>
              <w:jc w:val="center"/>
              <w:rPr>
                <w:sz w:val="18"/>
                <w:szCs w:val="18"/>
              </w:rPr>
            </w:pPr>
            <w:r w:rsidRPr="00853140">
              <w:rPr>
                <w:sz w:val="18"/>
                <w:szCs w:val="18"/>
              </w:rPr>
              <w:t>5</w:t>
            </w:r>
          </w:p>
        </w:tc>
        <w:tc>
          <w:tcPr>
            <w:tcW w:w="1203" w:type="dxa"/>
            <w:shd w:val="clear" w:color="auto" w:fill="FBE4D5" w:themeFill="accent2" w:themeFillTint="33"/>
          </w:tcPr>
          <w:p w14:paraId="25318812" w14:textId="77777777" w:rsidR="00BB44E1" w:rsidRPr="00853140" w:rsidRDefault="00230B49">
            <w:pPr>
              <w:widowControl w:val="0"/>
              <w:spacing w:line="291" w:lineRule="auto"/>
              <w:ind w:left="108"/>
              <w:jc w:val="center"/>
              <w:rPr>
                <w:sz w:val="18"/>
                <w:szCs w:val="18"/>
              </w:rPr>
            </w:pPr>
            <w:r w:rsidRPr="00853140">
              <w:rPr>
                <w:sz w:val="18"/>
                <w:szCs w:val="18"/>
              </w:rPr>
              <w:t>8</w:t>
            </w:r>
          </w:p>
        </w:tc>
        <w:tc>
          <w:tcPr>
            <w:tcW w:w="1111" w:type="dxa"/>
            <w:shd w:val="clear" w:color="auto" w:fill="FBE4D5" w:themeFill="accent2" w:themeFillTint="33"/>
          </w:tcPr>
          <w:p w14:paraId="783DE41E" w14:textId="77777777" w:rsidR="00BB44E1" w:rsidRPr="00853140" w:rsidRDefault="00230B49">
            <w:pPr>
              <w:widowControl w:val="0"/>
              <w:spacing w:line="291" w:lineRule="auto"/>
              <w:ind w:left="106"/>
              <w:jc w:val="center"/>
              <w:rPr>
                <w:sz w:val="18"/>
                <w:szCs w:val="18"/>
              </w:rPr>
            </w:pPr>
            <w:r w:rsidRPr="00853140">
              <w:rPr>
                <w:sz w:val="18"/>
                <w:szCs w:val="18"/>
              </w:rPr>
              <w:t>13</w:t>
            </w:r>
          </w:p>
        </w:tc>
      </w:tr>
      <w:tr w:rsidR="00BB44E1" w:rsidRPr="00DB0C40" w14:paraId="3829FBC6" w14:textId="77777777" w:rsidTr="007A7E2D">
        <w:trPr>
          <w:trHeight w:val="321"/>
          <w:jc w:val="center"/>
        </w:trPr>
        <w:tc>
          <w:tcPr>
            <w:tcW w:w="2837" w:type="dxa"/>
            <w:shd w:val="clear" w:color="auto" w:fill="B4C6E7" w:themeFill="accent1" w:themeFillTint="66"/>
          </w:tcPr>
          <w:p w14:paraId="3B9447D6" w14:textId="77777777" w:rsidR="00BB44E1" w:rsidRPr="00853140" w:rsidRDefault="00230B49">
            <w:pPr>
              <w:widowControl w:val="0"/>
              <w:spacing w:line="291" w:lineRule="auto"/>
              <w:ind w:left="107"/>
              <w:jc w:val="center"/>
              <w:rPr>
                <w:b/>
                <w:bCs/>
                <w:sz w:val="18"/>
                <w:szCs w:val="18"/>
              </w:rPr>
            </w:pPr>
            <w:r w:rsidRPr="00853140">
              <w:rPr>
                <w:b/>
                <w:bCs/>
                <w:sz w:val="18"/>
                <w:szCs w:val="18"/>
              </w:rPr>
              <w:t>Education</w:t>
            </w:r>
          </w:p>
        </w:tc>
        <w:tc>
          <w:tcPr>
            <w:tcW w:w="1668" w:type="dxa"/>
            <w:shd w:val="clear" w:color="auto" w:fill="FBE4D5" w:themeFill="accent2" w:themeFillTint="33"/>
          </w:tcPr>
          <w:p w14:paraId="4294AD71" w14:textId="77777777" w:rsidR="00BB44E1" w:rsidRPr="00853140" w:rsidRDefault="00230B49">
            <w:pPr>
              <w:widowControl w:val="0"/>
              <w:spacing w:line="291" w:lineRule="auto"/>
              <w:ind w:left="105"/>
              <w:jc w:val="center"/>
              <w:rPr>
                <w:sz w:val="18"/>
                <w:szCs w:val="18"/>
              </w:rPr>
            </w:pPr>
            <w:r w:rsidRPr="00853140">
              <w:rPr>
                <w:sz w:val="18"/>
                <w:szCs w:val="18"/>
              </w:rPr>
              <w:t>5</w:t>
            </w:r>
          </w:p>
        </w:tc>
        <w:tc>
          <w:tcPr>
            <w:tcW w:w="1203" w:type="dxa"/>
            <w:shd w:val="clear" w:color="auto" w:fill="FBE4D5" w:themeFill="accent2" w:themeFillTint="33"/>
          </w:tcPr>
          <w:p w14:paraId="5CCE9394" w14:textId="77777777" w:rsidR="00BB44E1" w:rsidRPr="00853140" w:rsidRDefault="00230B49">
            <w:pPr>
              <w:widowControl w:val="0"/>
              <w:spacing w:line="291" w:lineRule="auto"/>
              <w:ind w:left="108"/>
              <w:jc w:val="center"/>
              <w:rPr>
                <w:sz w:val="18"/>
                <w:szCs w:val="18"/>
              </w:rPr>
            </w:pPr>
            <w:r w:rsidRPr="00853140">
              <w:rPr>
                <w:sz w:val="18"/>
                <w:szCs w:val="18"/>
              </w:rPr>
              <w:t>8</w:t>
            </w:r>
          </w:p>
        </w:tc>
        <w:tc>
          <w:tcPr>
            <w:tcW w:w="1111" w:type="dxa"/>
            <w:shd w:val="clear" w:color="auto" w:fill="FBE4D5" w:themeFill="accent2" w:themeFillTint="33"/>
          </w:tcPr>
          <w:p w14:paraId="7C007233" w14:textId="77777777" w:rsidR="00BB44E1" w:rsidRPr="00853140" w:rsidRDefault="00230B49">
            <w:pPr>
              <w:widowControl w:val="0"/>
              <w:spacing w:line="291" w:lineRule="auto"/>
              <w:ind w:left="106"/>
              <w:jc w:val="center"/>
              <w:rPr>
                <w:sz w:val="18"/>
                <w:szCs w:val="18"/>
              </w:rPr>
            </w:pPr>
            <w:r w:rsidRPr="00853140">
              <w:rPr>
                <w:sz w:val="18"/>
                <w:szCs w:val="18"/>
              </w:rPr>
              <w:t>13</w:t>
            </w:r>
          </w:p>
        </w:tc>
      </w:tr>
      <w:tr w:rsidR="00BB44E1" w:rsidRPr="00DB0C40" w14:paraId="3D687B89" w14:textId="77777777" w:rsidTr="007A7E2D">
        <w:trPr>
          <w:trHeight w:val="323"/>
          <w:jc w:val="center"/>
        </w:trPr>
        <w:tc>
          <w:tcPr>
            <w:tcW w:w="2837" w:type="dxa"/>
            <w:shd w:val="clear" w:color="auto" w:fill="B4C6E7" w:themeFill="accent1" w:themeFillTint="66"/>
          </w:tcPr>
          <w:p w14:paraId="3DACAE7A" w14:textId="77777777" w:rsidR="00BB44E1" w:rsidRPr="00853140" w:rsidRDefault="00230B49">
            <w:pPr>
              <w:widowControl w:val="0"/>
              <w:spacing w:before="1"/>
              <w:ind w:left="107"/>
              <w:jc w:val="center"/>
              <w:rPr>
                <w:b/>
                <w:bCs/>
                <w:sz w:val="18"/>
                <w:szCs w:val="18"/>
              </w:rPr>
            </w:pPr>
            <w:r w:rsidRPr="00853140">
              <w:rPr>
                <w:b/>
                <w:bCs/>
                <w:sz w:val="18"/>
                <w:szCs w:val="18"/>
              </w:rPr>
              <w:t>Energy</w:t>
            </w:r>
          </w:p>
        </w:tc>
        <w:tc>
          <w:tcPr>
            <w:tcW w:w="1668" w:type="dxa"/>
            <w:shd w:val="clear" w:color="auto" w:fill="FBE4D5" w:themeFill="accent2" w:themeFillTint="33"/>
          </w:tcPr>
          <w:p w14:paraId="24AE461B" w14:textId="77777777" w:rsidR="00BB44E1" w:rsidRPr="00853140" w:rsidRDefault="00230B49">
            <w:pPr>
              <w:widowControl w:val="0"/>
              <w:spacing w:before="1"/>
              <w:ind w:left="105"/>
              <w:jc w:val="center"/>
              <w:rPr>
                <w:sz w:val="18"/>
                <w:szCs w:val="18"/>
              </w:rPr>
            </w:pPr>
            <w:r w:rsidRPr="00853140">
              <w:rPr>
                <w:sz w:val="18"/>
                <w:szCs w:val="18"/>
              </w:rPr>
              <w:t>5</w:t>
            </w:r>
          </w:p>
        </w:tc>
        <w:tc>
          <w:tcPr>
            <w:tcW w:w="1203" w:type="dxa"/>
            <w:shd w:val="clear" w:color="auto" w:fill="FBE4D5" w:themeFill="accent2" w:themeFillTint="33"/>
          </w:tcPr>
          <w:p w14:paraId="4CC42DBC" w14:textId="77777777" w:rsidR="00BB44E1" w:rsidRPr="00853140" w:rsidRDefault="00230B49">
            <w:pPr>
              <w:widowControl w:val="0"/>
              <w:spacing w:before="1"/>
              <w:ind w:left="108"/>
              <w:jc w:val="center"/>
              <w:rPr>
                <w:sz w:val="18"/>
                <w:szCs w:val="18"/>
              </w:rPr>
            </w:pPr>
            <w:r w:rsidRPr="00853140">
              <w:rPr>
                <w:sz w:val="18"/>
                <w:szCs w:val="18"/>
              </w:rPr>
              <w:t>8</w:t>
            </w:r>
          </w:p>
        </w:tc>
        <w:tc>
          <w:tcPr>
            <w:tcW w:w="1111" w:type="dxa"/>
            <w:shd w:val="clear" w:color="auto" w:fill="FBE4D5" w:themeFill="accent2" w:themeFillTint="33"/>
          </w:tcPr>
          <w:p w14:paraId="1D1B5A6B" w14:textId="77777777" w:rsidR="00BB44E1" w:rsidRPr="00853140" w:rsidRDefault="00230B49">
            <w:pPr>
              <w:widowControl w:val="0"/>
              <w:spacing w:before="1"/>
              <w:ind w:left="106"/>
              <w:jc w:val="center"/>
              <w:rPr>
                <w:sz w:val="18"/>
                <w:szCs w:val="18"/>
              </w:rPr>
            </w:pPr>
            <w:r w:rsidRPr="00853140">
              <w:rPr>
                <w:sz w:val="18"/>
                <w:szCs w:val="18"/>
              </w:rPr>
              <w:t>13</w:t>
            </w:r>
          </w:p>
        </w:tc>
      </w:tr>
      <w:tr w:rsidR="00BB44E1" w:rsidRPr="00DB0C40" w14:paraId="3625E2D4" w14:textId="77777777" w:rsidTr="007A7E2D">
        <w:trPr>
          <w:trHeight w:val="321"/>
          <w:jc w:val="center"/>
        </w:trPr>
        <w:tc>
          <w:tcPr>
            <w:tcW w:w="2837" w:type="dxa"/>
            <w:shd w:val="clear" w:color="auto" w:fill="B4C6E7" w:themeFill="accent1" w:themeFillTint="66"/>
          </w:tcPr>
          <w:p w14:paraId="6C58073D" w14:textId="77777777" w:rsidR="00BB44E1" w:rsidRPr="00853140" w:rsidRDefault="00230B49">
            <w:pPr>
              <w:widowControl w:val="0"/>
              <w:spacing w:line="291" w:lineRule="auto"/>
              <w:ind w:left="107"/>
              <w:jc w:val="center"/>
              <w:rPr>
                <w:b/>
                <w:bCs/>
                <w:sz w:val="18"/>
                <w:szCs w:val="18"/>
              </w:rPr>
            </w:pPr>
            <w:r w:rsidRPr="00853140">
              <w:rPr>
                <w:b/>
                <w:bCs/>
                <w:sz w:val="18"/>
                <w:szCs w:val="18"/>
              </w:rPr>
              <w:t>Health</w:t>
            </w:r>
          </w:p>
        </w:tc>
        <w:tc>
          <w:tcPr>
            <w:tcW w:w="1668" w:type="dxa"/>
            <w:shd w:val="clear" w:color="auto" w:fill="FBE4D5" w:themeFill="accent2" w:themeFillTint="33"/>
          </w:tcPr>
          <w:p w14:paraId="081AB283" w14:textId="77777777" w:rsidR="00BB44E1" w:rsidRPr="00853140" w:rsidRDefault="00230B49">
            <w:pPr>
              <w:widowControl w:val="0"/>
              <w:spacing w:line="291" w:lineRule="auto"/>
              <w:ind w:left="105"/>
              <w:jc w:val="center"/>
              <w:rPr>
                <w:sz w:val="18"/>
                <w:szCs w:val="18"/>
              </w:rPr>
            </w:pPr>
            <w:r w:rsidRPr="00853140">
              <w:rPr>
                <w:sz w:val="18"/>
                <w:szCs w:val="18"/>
              </w:rPr>
              <w:t>5</w:t>
            </w:r>
          </w:p>
        </w:tc>
        <w:tc>
          <w:tcPr>
            <w:tcW w:w="1203" w:type="dxa"/>
            <w:shd w:val="clear" w:color="auto" w:fill="FBE4D5" w:themeFill="accent2" w:themeFillTint="33"/>
          </w:tcPr>
          <w:p w14:paraId="033F0F1B" w14:textId="77777777" w:rsidR="00BB44E1" w:rsidRPr="00853140" w:rsidRDefault="00230B49">
            <w:pPr>
              <w:widowControl w:val="0"/>
              <w:spacing w:line="291" w:lineRule="auto"/>
              <w:ind w:left="108"/>
              <w:jc w:val="center"/>
              <w:rPr>
                <w:sz w:val="18"/>
                <w:szCs w:val="18"/>
              </w:rPr>
            </w:pPr>
            <w:r w:rsidRPr="00853140">
              <w:rPr>
                <w:sz w:val="18"/>
                <w:szCs w:val="18"/>
              </w:rPr>
              <w:t>8</w:t>
            </w:r>
          </w:p>
        </w:tc>
        <w:tc>
          <w:tcPr>
            <w:tcW w:w="1111" w:type="dxa"/>
            <w:shd w:val="clear" w:color="auto" w:fill="FBE4D5" w:themeFill="accent2" w:themeFillTint="33"/>
          </w:tcPr>
          <w:p w14:paraId="2533252D" w14:textId="77777777" w:rsidR="00BB44E1" w:rsidRPr="00853140" w:rsidRDefault="00230B49">
            <w:pPr>
              <w:widowControl w:val="0"/>
              <w:spacing w:line="291" w:lineRule="auto"/>
              <w:ind w:left="106"/>
              <w:jc w:val="center"/>
              <w:rPr>
                <w:sz w:val="18"/>
                <w:szCs w:val="18"/>
              </w:rPr>
            </w:pPr>
            <w:r w:rsidRPr="00853140">
              <w:rPr>
                <w:sz w:val="18"/>
                <w:szCs w:val="18"/>
              </w:rPr>
              <w:t>13</w:t>
            </w:r>
          </w:p>
        </w:tc>
      </w:tr>
      <w:tr w:rsidR="00BB44E1" w:rsidRPr="00DB0C40" w14:paraId="024E2CA1" w14:textId="77777777" w:rsidTr="007A7E2D">
        <w:trPr>
          <w:trHeight w:val="324"/>
          <w:jc w:val="center"/>
        </w:trPr>
        <w:tc>
          <w:tcPr>
            <w:tcW w:w="2837" w:type="dxa"/>
            <w:shd w:val="clear" w:color="auto" w:fill="B4C6E7" w:themeFill="accent1" w:themeFillTint="66"/>
          </w:tcPr>
          <w:p w14:paraId="667BA153" w14:textId="77777777" w:rsidR="00BB44E1" w:rsidRPr="00853140" w:rsidRDefault="00230B49">
            <w:pPr>
              <w:widowControl w:val="0"/>
              <w:ind w:left="107"/>
              <w:jc w:val="center"/>
              <w:rPr>
                <w:b/>
                <w:bCs/>
                <w:sz w:val="18"/>
                <w:szCs w:val="18"/>
              </w:rPr>
            </w:pPr>
            <w:r w:rsidRPr="00853140">
              <w:rPr>
                <w:b/>
                <w:bCs/>
                <w:sz w:val="18"/>
                <w:szCs w:val="18"/>
              </w:rPr>
              <w:t>Others</w:t>
            </w:r>
          </w:p>
        </w:tc>
        <w:tc>
          <w:tcPr>
            <w:tcW w:w="1668" w:type="dxa"/>
            <w:shd w:val="clear" w:color="auto" w:fill="FBE4D5" w:themeFill="accent2" w:themeFillTint="33"/>
          </w:tcPr>
          <w:p w14:paraId="2FE8E3D7" w14:textId="77777777" w:rsidR="00BB44E1" w:rsidRPr="00853140" w:rsidRDefault="00230B49">
            <w:pPr>
              <w:widowControl w:val="0"/>
              <w:ind w:left="105"/>
              <w:jc w:val="center"/>
              <w:rPr>
                <w:sz w:val="18"/>
                <w:szCs w:val="18"/>
              </w:rPr>
            </w:pPr>
            <w:r w:rsidRPr="00853140">
              <w:rPr>
                <w:sz w:val="18"/>
                <w:szCs w:val="18"/>
              </w:rPr>
              <w:t>10</w:t>
            </w:r>
          </w:p>
        </w:tc>
        <w:tc>
          <w:tcPr>
            <w:tcW w:w="1203" w:type="dxa"/>
            <w:shd w:val="clear" w:color="auto" w:fill="FBE4D5" w:themeFill="accent2" w:themeFillTint="33"/>
          </w:tcPr>
          <w:p w14:paraId="14797E28" w14:textId="77777777" w:rsidR="00BB44E1" w:rsidRPr="00853140" w:rsidRDefault="00230B49">
            <w:pPr>
              <w:widowControl w:val="0"/>
              <w:ind w:left="108"/>
              <w:jc w:val="center"/>
              <w:rPr>
                <w:sz w:val="18"/>
                <w:szCs w:val="18"/>
              </w:rPr>
            </w:pPr>
            <w:r w:rsidRPr="00853140">
              <w:rPr>
                <w:sz w:val="18"/>
                <w:szCs w:val="18"/>
              </w:rPr>
              <w:t>25</w:t>
            </w:r>
          </w:p>
        </w:tc>
        <w:tc>
          <w:tcPr>
            <w:tcW w:w="1111" w:type="dxa"/>
            <w:shd w:val="clear" w:color="auto" w:fill="FBE4D5" w:themeFill="accent2" w:themeFillTint="33"/>
          </w:tcPr>
          <w:p w14:paraId="13E99036" w14:textId="77777777" w:rsidR="00BB44E1" w:rsidRPr="00853140" w:rsidRDefault="00230B49">
            <w:pPr>
              <w:widowControl w:val="0"/>
              <w:ind w:left="106"/>
              <w:jc w:val="center"/>
              <w:rPr>
                <w:sz w:val="18"/>
                <w:szCs w:val="18"/>
              </w:rPr>
            </w:pPr>
            <w:r w:rsidRPr="00853140">
              <w:rPr>
                <w:sz w:val="18"/>
                <w:szCs w:val="18"/>
              </w:rPr>
              <w:t>35</w:t>
            </w:r>
          </w:p>
        </w:tc>
      </w:tr>
      <w:tr w:rsidR="00BB44E1" w:rsidRPr="00DB0C40" w14:paraId="3C00ED94" w14:textId="77777777" w:rsidTr="007A7E2D">
        <w:trPr>
          <w:trHeight w:val="321"/>
          <w:jc w:val="center"/>
        </w:trPr>
        <w:tc>
          <w:tcPr>
            <w:tcW w:w="2837" w:type="dxa"/>
            <w:shd w:val="clear" w:color="auto" w:fill="B4C6E7" w:themeFill="accent1" w:themeFillTint="66"/>
          </w:tcPr>
          <w:p w14:paraId="0C12DB22" w14:textId="77777777" w:rsidR="00BB44E1" w:rsidRPr="00853140" w:rsidRDefault="00230B49">
            <w:pPr>
              <w:widowControl w:val="0"/>
              <w:spacing w:line="291" w:lineRule="auto"/>
              <w:ind w:left="107"/>
              <w:jc w:val="center"/>
              <w:rPr>
                <w:b/>
                <w:bCs/>
                <w:sz w:val="18"/>
                <w:szCs w:val="18"/>
              </w:rPr>
            </w:pPr>
            <w:r w:rsidRPr="00853140">
              <w:rPr>
                <w:b/>
                <w:bCs/>
                <w:sz w:val="18"/>
                <w:szCs w:val="18"/>
              </w:rPr>
              <w:t>Total</w:t>
            </w:r>
          </w:p>
        </w:tc>
        <w:tc>
          <w:tcPr>
            <w:tcW w:w="1668" w:type="dxa"/>
            <w:shd w:val="clear" w:color="auto" w:fill="FBE4D5" w:themeFill="accent2" w:themeFillTint="33"/>
          </w:tcPr>
          <w:p w14:paraId="4A6D5523" w14:textId="77777777" w:rsidR="00BB44E1" w:rsidRPr="00853140" w:rsidRDefault="00230B49">
            <w:pPr>
              <w:widowControl w:val="0"/>
              <w:spacing w:line="291" w:lineRule="auto"/>
              <w:ind w:left="105"/>
              <w:jc w:val="center"/>
              <w:rPr>
                <w:b/>
                <w:sz w:val="18"/>
                <w:szCs w:val="18"/>
              </w:rPr>
            </w:pPr>
            <w:r w:rsidRPr="00853140">
              <w:rPr>
                <w:b/>
                <w:sz w:val="18"/>
                <w:szCs w:val="18"/>
              </w:rPr>
              <w:t>35</w:t>
            </w:r>
          </w:p>
        </w:tc>
        <w:tc>
          <w:tcPr>
            <w:tcW w:w="1203" w:type="dxa"/>
            <w:shd w:val="clear" w:color="auto" w:fill="FBE4D5" w:themeFill="accent2" w:themeFillTint="33"/>
          </w:tcPr>
          <w:p w14:paraId="5F67E982" w14:textId="77777777" w:rsidR="00BB44E1" w:rsidRPr="00853140" w:rsidRDefault="00230B49">
            <w:pPr>
              <w:widowControl w:val="0"/>
              <w:spacing w:line="291" w:lineRule="auto"/>
              <w:ind w:left="108"/>
              <w:jc w:val="center"/>
              <w:rPr>
                <w:b/>
                <w:sz w:val="18"/>
                <w:szCs w:val="18"/>
              </w:rPr>
            </w:pPr>
            <w:r w:rsidRPr="00853140">
              <w:rPr>
                <w:b/>
                <w:sz w:val="18"/>
                <w:szCs w:val="18"/>
              </w:rPr>
              <w:t>65</w:t>
            </w:r>
          </w:p>
        </w:tc>
        <w:tc>
          <w:tcPr>
            <w:tcW w:w="1111" w:type="dxa"/>
            <w:shd w:val="clear" w:color="auto" w:fill="FBE4D5" w:themeFill="accent2" w:themeFillTint="33"/>
          </w:tcPr>
          <w:p w14:paraId="30760DEC" w14:textId="77777777" w:rsidR="00BB44E1" w:rsidRPr="00853140" w:rsidRDefault="00230B49">
            <w:pPr>
              <w:widowControl w:val="0"/>
              <w:spacing w:line="291" w:lineRule="auto"/>
              <w:ind w:left="106"/>
              <w:jc w:val="center"/>
              <w:rPr>
                <w:b/>
                <w:sz w:val="18"/>
                <w:szCs w:val="18"/>
              </w:rPr>
            </w:pPr>
            <w:r w:rsidRPr="00853140">
              <w:rPr>
                <w:b/>
                <w:sz w:val="18"/>
                <w:szCs w:val="18"/>
              </w:rPr>
              <w:t>100</w:t>
            </w:r>
          </w:p>
        </w:tc>
      </w:tr>
    </w:tbl>
    <w:p w14:paraId="0AA70E40" w14:textId="77777777" w:rsidR="00BB44E1" w:rsidRPr="00DB0C40" w:rsidRDefault="00BB44E1">
      <w:pPr>
        <w:widowControl w:val="0"/>
        <w:spacing w:before="6"/>
        <w:jc w:val="center"/>
        <w:rPr>
          <w:sz w:val="22"/>
          <w:szCs w:val="22"/>
        </w:rPr>
      </w:pPr>
    </w:p>
    <w:p w14:paraId="45DA6BAA" w14:textId="3665FED8" w:rsidR="00BB44E1" w:rsidRPr="00DB0C40" w:rsidRDefault="00230B49">
      <w:pPr>
        <w:jc w:val="center"/>
        <w:rPr>
          <w:sz w:val="18"/>
          <w:szCs w:val="18"/>
        </w:rPr>
      </w:pPr>
      <w:r w:rsidRPr="00DB0C40">
        <w:rPr>
          <w:sz w:val="18"/>
          <w:szCs w:val="18"/>
        </w:rPr>
        <w:t xml:space="preserve">Source: TAT </w:t>
      </w:r>
      <w:r w:rsidR="00F37BC3" w:rsidRPr="00DB0C40">
        <w:rPr>
          <w:sz w:val="18"/>
          <w:szCs w:val="18"/>
        </w:rPr>
        <w:t>E</w:t>
      </w:r>
      <w:r w:rsidR="00F37BC3">
        <w:rPr>
          <w:sz w:val="18"/>
          <w:szCs w:val="18"/>
        </w:rPr>
        <w:t>labora</w:t>
      </w:r>
      <w:r w:rsidR="00F37BC3" w:rsidRPr="00DB0C40">
        <w:rPr>
          <w:sz w:val="18"/>
          <w:szCs w:val="18"/>
        </w:rPr>
        <w:t>tion</w:t>
      </w:r>
    </w:p>
    <w:p w14:paraId="67613E5C" w14:textId="77777777" w:rsidR="00BB44E1" w:rsidRPr="00DB0C40" w:rsidRDefault="00BB44E1">
      <w:pPr>
        <w:jc w:val="center"/>
        <w:rPr>
          <w:sz w:val="22"/>
          <w:szCs w:val="22"/>
        </w:rPr>
      </w:pPr>
    </w:p>
    <w:p w14:paraId="18A234F4" w14:textId="77777777" w:rsidR="00BB44E1" w:rsidRPr="00DB0C40" w:rsidRDefault="00230B49">
      <w:pPr>
        <w:jc w:val="both"/>
        <w:rPr>
          <w:sz w:val="22"/>
          <w:szCs w:val="22"/>
        </w:rPr>
      </w:pPr>
      <w:r w:rsidRPr="00DB0C40">
        <w:rPr>
          <w:sz w:val="22"/>
          <w:szCs w:val="22"/>
        </w:rPr>
        <w:t>The questionnaires aimed to explore the following information to support the assessment of the impact of Labour Law on women’s employment (See Annex 2):</w:t>
      </w:r>
    </w:p>
    <w:p w14:paraId="21D62CD7" w14:textId="77777777" w:rsidR="00BB44E1" w:rsidRPr="00DB0C40" w:rsidRDefault="00BB44E1">
      <w:pPr>
        <w:jc w:val="both"/>
        <w:rPr>
          <w:sz w:val="22"/>
          <w:szCs w:val="22"/>
        </w:rPr>
      </w:pPr>
    </w:p>
    <w:p w14:paraId="3082F06D" w14:textId="77777777" w:rsidR="00BB44E1" w:rsidRPr="00DB0C40" w:rsidRDefault="00230B49" w:rsidP="00FB59BE">
      <w:pPr>
        <w:numPr>
          <w:ilvl w:val="0"/>
          <w:numId w:val="14"/>
        </w:numPr>
        <w:pBdr>
          <w:top w:val="nil"/>
          <w:left w:val="nil"/>
          <w:bottom w:val="nil"/>
          <w:right w:val="nil"/>
          <w:between w:val="nil"/>
        </w:pBdr>
        <w:jc w:val="both"/>
        <w:rPr>
          <w:color w:val="000000"/>
          <w:sz w:val="22"/>
          <w:szCs w:val="22"/>
        </w:rPr>
      </w:pPr>
      <w:r w:rsidRPr="00DB0C40">
        <w:rPr>
          <w:color w:val="000000"/>
          <w:sz w:val="22"/>
          <w:szCs w:val="22"/>
        </w:rPr>
        <w:t>What is the level of knowledge both employees and employers about the provisions of the law to enhance the women’s employment</w:t>
      </w:r>
    </w:p>
    <w:p w14:paraId="2A4E418B" w14:textId="77777777" w:rsidR="00BB44E1" w:rsidRPr="00DB0C40" w:rsidRDefault="00230B49" w:rsidP="00FB59BE">
      <w:pPr>
        <w:numPr>
          <w:ilvl w:val="0"/>
          <w:numId w:val="14"/>
        </w:numPr>
        <w:pBdr>
          <w:top w:val="nil"/>
          <w:left w:val="nil"/>
          <w:bottom w:val="nil"/>
          <w:right w:val="nil"/>
          <w:between w:val="nil"/>
        </w:pBdr>
        <w:jc w:val="both"/>
        <w:rPr>
          <w:color w:val="000000"/>
          <w:sz w:val="22"/>
          <w:szCs w:val="22"/>
        </w:rPr>
      </w:pPr>
      <w:r w:rsidRPr="00DB0C40">
        <w:rPr>
          <w:color w:val="000000"/>
          <w:sz w:val="22"/>
          <w:szCs w:val="22"/>
        </w:rPr>
        <w:t>Which of the provisions are most widely used by the employees</w:t>
      </w:r>
    </w:p>
    <w:p w14:paraId="173530F7" w14:textId="77777777" w:rsidR="00BB44E1" w:rsidRPr="00DB0C40" w:rsidRDefault="00230B49" w:rsidP="00FB59BE">
      <w:pPr>
        <w:numPr>
          <w:ilvl w:val="0"/>
          <w:numId w:val="14"/>
        </w:numPr>
        <w:pBdr>
          <w:top w:val="nil"/>
          <w:left w:val="nil"/>
          <w:bottom w:val="nil"/>
          <w:right w:val="nil"/>
          <w:between w:val="nil"/>
        </w:pBdr>
        <w:jc w:val="both"/>
        <w:rPr>
          <w:color w:val="000000"/>
          <w:sz w:val="22"/>
          <w:szCs w:val="22"/>
        </w:rPr>
      </w:pPr>
      <w:r w:rsidRPr="00DB0C40">
        <w:rPr>
          <w:color w:val="000000"/>
          <w:sz w:val="22"/>
          <w:szCs w:val="22"/>
        </w:rPr>
        <w:t>What are the opinions of employees and employers about the effectiveness or suitability of the provisions to promote women’s employment</w:t>
      </w:r>
    </w:p>
    <w:p w14:paraId="6EA4216F" w14:textId="77777777" w:rsidR="00BB44E1" w:rsidRPr="00DB0C40" w:rsidRDefault="00230B49" w:rsidP="00FB59BE">
      <w:pPr>
        <w:numPr>
          <w:ilvl w:val="0"/>
          <w:numId w:val="14"/>
        </w:numPr>
        <w:pBdr>
          <w:top w:val="nil"/>
          <w:left w:val="nil"/>
          <w:bottom w:val="nil"/>
          <w:right w:val="nil"/>
          <w:between w:val="nil"/>
        </w:pBdr>
        <w:jc w:val="both"/>
        <w:rPr>
          <w:color w:val="000000"/>
          <w:sz w:val="22"/>
          <w:szCs w:val="22"/>
        </w:rPr>
      </w:pPr>
      <w:r w:rsidRPr="00DB0C40">
        <w:rPr>
          <w:color w:val="000000"/>
          <w:sz w:val="22"/>
          <w:szCs w:val="22"/>
        </w:rPr>
        <w:t>What kind of amendments can be done to facilitate participation of more women to labour market</w:t>
      </w:r>
    </w:p>
    <w:p w14:paraId="29A397E3" w14:textId="77777777" w:rsidR="00BB44E1" w:rsidRPr="00DB0C40" w:rsidRDefault="00BB44E1">
      <w:pPr>
        <w:jc w:val="both"/>
        <w:rPr>
          <w:sz w:val="22"/>
          <w:szCs w:val="22"/>
        </w:rPr>
      </w:pPr>
    </w:p>
    <w:p w14:paraId="04069CFC" w14:textId="77777777" w:rsidR="00BB44E1" w:rsidRPr="00DB0C40" w:rsidRDefault="00BB44E1">
      <w:pPr>
        <w:jc w:val="both"/>
        <w:rPr>
          <w:sz w:val="22"/>
          <w:szCs w:val="22"/>
        </w:rPr>
      </w:pPr>
    </w:p>
    <w:p w14:paraId="0CC127E5" w14:textId="77777777" w:rsidR="00BB44E1" w:rsidRPr="00DB0C40" w:rsidRDefault="00230B49">
      <w:pPr>
        <w:jc w:val="both"/>
        <w:rPr>
          <w:color w:val="2F5496"/>
          <w:sz w:val="26"/>
          <w:szCs w:val="26"/>
        </w:rPr>
      </w:pPr>
      <w:bookmarkStart w:id="133" w:name="_Hlk107139733"/>
      <w:r w:rsidRPr="00CD2A61">
        <w:rPr>
          <w:rFonts w:asciiTheme="majorHAnsi" w:eastAsiaTheme="majorEastAsia" w:hAnsiTheme="majorHAnsi" w:cstheme="majorBidi"/>
          <w:color w:val="1F3763" w:themeColor="accent1" w:themeShade="7F"/>
        </w:rPr>
        <w:t>5.2.</w:t>
      </w:r>
      <w:r w:rsidRPr="00CD2A61">
        <w:rPr>
          <w:rFonts w:asciiTheme="majorHAnsi" w:eastAsiaTheme="majorEastAsia" w:hAnsiTheme="majorHAnsi" w:cstheme="majorBidi"/>
          <w:color w:val="1F3763" w:themeColor="accent1" w:themeShade="7F"/>
        </w:rPr>
        <w:tab/>
        <w:t>Results of the Field Study</w:t>
      </w:r>
    </w:p>
    <w:p w14:paraId="69244671" w14:textId="77777777" w:rsidR="00BB44E1" w:rsidRPr="00DB0C40" w:rsidRDefault="00BB44E1">
      <w:pPr>
        <w:jc w:val="both"/>
        <w:rPr>
          <w:sz w:val="22"/>
          <w:szCs w:val="22"/>
        </w:rPr>
      </w:pPr>
    </w:p>
    <w:p w14:paraId="2FAF5D7B" w14:textId="3DB771C5" w:rsidR="00BB44E1" w:rsidRPr="00CD2A61" w:rsidRDefault="00230B49">
      <w:pPr>
        <w:jc w:val="both"/>
        <w:rPr>
          <w:rFonts w:asciiTheme="majorHAnsi" w:eastAsiaTheme="majorEastAsia" w:hAnsiTheme="majorHAnsi" w:cstheme="majorBidi"/>
          <w:color w:val="1F3763" w:themeColor="accent1" w:themeShade="7F"/>
        </w:rPr>
      </w:pPr>
      <w:r w:rsidRPr="00CD2A61">
        <w:rPr>
          <w:rFonts w:asciiTheme="majorHAnsi" w:eastAsiaTheme="majorEastAsia" w:hAnsiTheme="majorHAnsi" w:cstheme="majorBidi"/>
          <w:color w:val="1F3763" w:themeColor="accent1" w:themeShade="7F"/>
        </w:rPr>
        <w:t xml:space="preserve">5.2.1. Results from Employee </w:t>
      </w:r>
      <w:r w:rsidR="00B84159" w:rsidRPr="00CD2A61">
        <w:rPr>
          <w:rFonts w:asciiTheme="majorHAnsi" w:eastAsiaTheme="majorEastAsia" w:hAnsiTheme="majorHAnsi" w:cstheme="majorBidi"/>
          <w:color w:val="1F3763" w:themeColor="accent1" w:themeShade="7F"/>
        </w:rPr>
        <w:t>P</w:t>
      </w:r>
      <w:r w:rsidRPr="00CD2A61">
        <w:rPr>
          <w:rFonts w:asciiTheme="majorHAnsi" w:eastAsiaTheme="majorEastAsia" w:hAnsiTheme="majorHAnsi" w:cstheme="majorBidi"/>
          <w:color w:val="1F3763" w:themeColor="accent1" w:themeShade="7F"/>
        </w:rPr>
        <w:t>articipants</w:t>
      </w:r>
    </w:p>
    <w:p w14:paraId="75A1F7E5" w14:textId="77777777" w:rsidR="00BB44E1" w:rsidRPr="00DB0C40" w:rsidRDefault="00BB44E1">
      <w:pPr>
        <w:jc w:val="both"/>
        <w:rPr>
          <w:b/>
          <w:sz w:val="22"/>
          <w:szCs w:val="22"/>
        </w:rPr>
      </w:pPr>
    </w:p>
    <w:p w14:paraId="61AFFF94" w14:textId="4B16D6D4" w:rsidR="00BB44E1" w:rsidRPr="00CD2A61" w:rsidRDefault="00230B49">
      <w:pPr>
        <w:jc w:val="both"/>
        <w:rPr>
          <w:rFonts w:asciiTheme="majorHAnsi" w:eastAsiaTheme="majorEastAsia" w:hAnsiTheme="majorHAnsi" w:cstheme="majorBidi"/>
          <w:color w:val="1F3763" w:themeColor="accent1" w:themeShade="7F"/>
        </w:rPr>
      </w:pPr>
      <w:r w:rsidRPr="00CD2A61">
        <w:rPr>
          <w:rFonts w:asciiTheme="majorHAnsi" w:eastAsiaTheme="majorEastAsia" w:hAnsiTheme="majorHAnsi" w:cstheme="majorBidi"/>
          <w:color w:val="1F3763" w:themeColor="accent1" w:themeShade="7F"/>
        </w:rPr>
        <w:t xml:space="preserve">5.2.1.1. Demographic </w:t>
      </w:r>
      <w:r w:rsidR="00B84159" w:rsidRPr="00CD2A61">
        <w:rPr>
          <w:rFonts w:asciiTheme="majorHAnsi" w:eastAsiaTheme="majorEastAsia" w:hAnsiTheme="majorHAnsi" w:cstheme="majorBidi"/>
          <w:color w:val="1F3763" w:themeColor="accent1" w:themeShade="7F"/>
        </w:rPr>
        <w:t>p</w:t>
      </w:r>
      <w:r w:rsidRPr="00CD2A61">
        <w:rPr>
          <w:rFonts w:asciiTheme="majorHAnsi" w:eastAsiaTheme="majorEastAsia" w:hAnsiTheme="majorHAnsi" w:cstheme="majorBidi"/>
          <w:color w:val="1F3763" w:themeColor="accent1" w:themeShade="7F"/>
        </w:rPr>
        <w:t xml:space="preserve">rofile of </w:t>
      </w:r>
      <w:r w:rsidR="00B84159" w:rsidRPr="00CD2A61">
        <w:rPr>
          <w:rFonts w:asciiTheme="majorHAnsi" w:eastAsiaTheme="majorEastAsia" w:hAnsiTheme="majorHAnsi" w:cstheme="majorBidi"/>
          <w:color w:val="1F3763" w:themeColor="accent1" w:themeShade="7F"/>
        </w:rPr>
        <w:t>E</w:t>
      </w:r>
      <w:r w:rsidRPr="00CD2A61">
        <w:rPr>
          <w:rFonts w:asciiTheme="majorHAnsi" w:eastAsiaTheme="majorEastAsia" w:hAnsiTheme="majorHAnsi" w:cstheme="majorBidi"/>
          <w:color w:val="1F3763" w:themeColor="accent1" w:themeShade="7F"/>
        </w:rPr>
        <w:t xml:space="preserve">mployee </w:t>
      </w:r>
      <w:r w:rsidR="00B84159" w:rsidRPr="00CD2A61">
        <w:rPr>
          <w:rFonts w:asciiTheme="majorHAnsi" w:eastAsiaTheme="majorEastAsia" w:hAnsiTheme="majorHAnsi" w:cstheme="majorBidi"/>
          <w:color w:val="1F3763" w:themeColor="accent1" w:themeShade="7F"/>
        </w:rPr>
        <w:t>P</w:t>
      </w:r>
      <w:r w:rsidRPr="00CD2A61">
        <w:rPr>
          <w:rFonts w:asciiTheme="majorHAnsi" w:eastAsiaTheme="majorEastAsia" w:hAnsiTheme="majorHAnsi" w:cstheme="majorBidi"/>
          <w:color w:val="1F3763" w:themeColor="accent1" w:themeShade="7F"/>
        </w:rPr>
        <w:t>articipants</w:t>
      </w:r>
    </w:p>
    <w:bookmarkEnd w:id="133"/>
    <w:p w14:paraId="37ECC67B" w14:textId="77777777" w:rsidR="00BB44E1" w:rsidRPr="00DB0C40" w:rsidRDefault="00BB44E1">
      <w:pPr>
        <w:rPr>
          <w:sz w:val="22"/>
          <w:szCs w:val="22"/>
        </w:rPr>
      </w:pPr>
    </w:p>
    <w:p w14:paraId="11871DE0" w14:textId="77777777" w:rsidR="00BB44E1" w:rsidRPr="00DB0C40" w:rsidRDefault="00230B49">
      <w:pPr>
        <w:rPr>
          <w:sz w:val="22"/>
          <w:szCs w:val="22"/>
        </w:rPr>
      </w:pPr>
      <w:r w:rsidRPr="00DB0C40">
        <w:rPr>
          <w:sz w:val="22"/>
          <w:szCs w:val="22"/>
        </w:rPr>
        <w:t>The field study was conducted with 387 female employees. In each of the provinces 65 of the surveys out of 100 were applied to the female employees  working in banking and finance, health, education, energy and other sectors including service and retail. The cumulative percentage of the interviews conducted by province in given below:</w:t>
      </w:r>
    </w:p>
    <w:p w14:paraId="0791CEE7" w14:textId="77777777" w:rsidR="00BB44E1" w:rsidRPr="00DB0C40" w:rsidRDefault="00BB44E1">
      <w:pPr>
        <w:rPr>
          <w:sz w:val="22"/>
          <w:szCs w:val="22"/>
        </w:rPr>
      </w:pPr>
    </w:p>
    <w:p w14:paraId="7FBB340E" w14:textId="2A035B24" w:rsidR="00BB44E1" w:rsidRPr="00DB0C40" w:rsidRDefault="00230B49">
      <w:pPr>
        <w:jc w:val="center"/>
        <w:rPr>
          <w:b/>
          <w:sz w:val="22"/>
          <w:szCs w:val="22"/>
        </w:rPr>
      </w:pPr>
      <w:bookmarkStart w:id="134" w:name="_Hlk107139704"/>
      <w:r w:rsidRPr="00DB0C40">
        <w:rPr>
          <w:b/>
          <w:sz w:val="22"/>
          <w:szCs w:val="22"/>
        </w:rPr>
        <w:t xml:space="preserve">Table </w:t>
      </w:r>
      <w:r w:rsidR="005C3C21" w:rsidRPr="00DB0C40">
        <w:rPr>
          <w:b/>
          <w:sz w:val="22"/>
          <w:szCs w:val="22"/>
        </w:rPr>
        <w:t>9</w:t>
      </w:r>
      <w:r w:rsidRPr="00DB0C40">
        <w:rPr>
          <w:b/>
          <w:sz w:val="22"/>
          <w:szCs w:val="22"/>
        </w:rPr>
        <w:t xml:space="preserve">. Distribution of </w:t>
      </w:r>
      <w:r w:rsidR="00B84159" w:rsidRPr="00DB0C40">
        <w:rPr>
          <w:b/>
          <w:sz w:val="22"/>
          <w:szCs w:val="22"/>
        </w:rPr>
        <w:t>R</w:t>
      </w:r>
      <w:r w:rsidRPr="00DB0C40">
        <w:rPr>
          <w:b/>
          <w:sz w:val="22"/>
          <w:szCs w:val="22"/>
        </w:rPr>
        <w:t xml:space="preserve">espondents by </w:t>
      </w:r>
      <w:r w:rsidR="00B84159" w:rsidRPr="00DB0C40">
        <w:rPr>
          <w:b/>
          <w:sz w:val="22"/>
          <w:szCs w:val="22"/>
        </w:rPr>
        <w:t>P</w:t>
      </w:r>
      <w:r w:rsidRPr="00DB0C40">
        <w:rPr>
          <w:b/>
          <w:sz w:val="22"/>
          <w:szCs w:val="22"/>
        </w:rPr>
        <w:t>rovince</w:t>
      </w:r>
    </w:p>
    <w:bookmarkEnd w:id="134"/>
    <w:p w14:paraId="4BC8E982" w14:textId="77777777" w:rsidR="00BB44E1" w:rsidRPr="00DB0C40" w:rsidRDefault="00BB44E1">
      <w:pPr>
        <w:rPr>
          <w:sz w:val="22"/>
          <w:szCs w:val="22"/>
        </w:rPr>
      </w:pPr>
    </w:p>
    <w:tbl>
      <w:tblPr>
        <w:tblStyle w:val="a5"/>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20"/>
        <w:gridCol w:w="3021"/>
        <w:gridCol w:w="3021"/>
      </w:tblGrid>
      <w:tr w:rsidR="00BB44E1" w:rsidRPr="00DB0C40" w14:paraId="4907D4B7" w14:textId="77777777" w:rsidTr="007A7E2D">
        <w:tc>
          <w:tcPr>
            <w:tcW w:w="3020"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75B2F3C5" w14:textId="77777777" w:rsidR="00BB44E1" w:rsidRPr="00711F8A" w:rsidRDefault="00230B49">
            <w:pPr>
              <w:jc w:val="center"/>
              <w:rPr>
                <w:b/>
                <w:sz w:val="18"/>
                <w:szCs w:val="18"/>
              </w:rPr>
            </w:pPr>
            <w:r w:rsidRPr="00711F8A">
              <w:rPr>
                <w:b/>
                <w:sz w:val="18"/>
                <w:szCs w:val="18"/>
              </w:rPr>
              <w:t>Province</w:t>
            </w:r>
          </w:p>
        </w:tc>
        <w:tc>
          <w:tcPr>
            <w:tcW w:w="3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6D3EBAB5" w14:textId="77777777" w:rsidR="00BB44E1" w:rsidRPr="00711F8A" w:rsidRDefault="00230B49">
            <w:pPr>
              <w:jc w:val="center"/>
              <w:rPr>
                <w:b/>
                <w:sz w:val="18"/>
                <w:szCs w:val="18"/>
              </w:rPr>
            </w:pPr>
            <w:r w:rsidRPr="00711F8A">
              <w:rPr>
                <w:b/>
                <w:sz w:val="18"/>
                <w:szCs w:val="18"/>
              </w:rPr>
              <w:t>No.</w:t>
            </w:r>
          </w:p>
        </w:tc>
        <w:tc>
          <w:tcPr>
            <w:tcW w:w="302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1A8DB28F" w14:textId="77777777" w:rsidR="00BB44E1" w:rsidRPr="00711F8A" w:rsidRDefault="00230B49">
            <w:pPr>
              <w:jc w:val="center"/>
              <w:rPr>
                <w:b/>
                <w:sz w:val="18"/>
                <w:szCs w:val="18"/>
              </w:rPr>
            </w:pPr>
            <w:r w:rsidRPr="00711F8A">
              <w:rPr>
                <w:b/>
                <w:sz w:val="18"/>
                <w:szCs w:val="18"/>
              </w:rPr>
              <w:t>%</w:t>
            </w:r>
          </w:p>
        </w:tc>
      </w:tr>
      <w:tr w:rsidR="00BB44E1" w:rsidRPr="00DB0C40" w14:paraId="74928F70" w14:textId="77777777" w:rsidTr="007A7E2D">
        <w:tc>
          <w:tcPr>
            <w:tcW w:w="3020"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Pr>
          <w:p w14:paraId="4C78563C" w14:textId="77777777" w:rsidR="00BB44E1" w:rsidRPr="00711F8A" w:rsidRDefault="00230B49">
            <w:pPr>
              <w:rPr>
                <w:sz w:val="18"/>
                <w:szCs w:val="18"/>
              </w:rPr>
            </w:pPr>
            <w:r w:rsidRPr="00711F8A">
              <w:rPr>
                <w:sz w:val="18"/>
                <w:szCs w:val="18"/>
              </w:rPr>
              <w:t>Adana</w:t>
            </w:r>
          </w:p>
        </w:tc>
        <w:tc>
          <w:tcPr>
            <w:tcW w:w="3021"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Pr>
          <w:p w14:paraId="3F9108E6" w14:textId="77777777" w:rsidR="00BB44E1" w:rsidRPr="00711F8A" w:rsidRDefault="00230B49" w:rsidP="007A7E2D">
            <w:pPr>
              <w:jc w:val="center"/>
              <w:rPr>
                <w:sz w:val="18"/>
                <w:szCs w:val="18"/>
              </w:rPr>
            </w:pPr>
            <w:r w:rsidRPr="00711F8A">
              <w:rPr>
                <w:sz w:val="18"/>
                <w:szCs w:val="18"/>
              </w:rPr>
              <w:t>72</w:t>
            </w:r>
          </w:p>
        </w:tc>
        <w:tc>
          <w:tcPr>
            <w:tcW w:w="3021"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Pr>
          <w:p w14:paraId="3A0F35DF" w14:textId="77777777" w:rsidR="00BB44E1" w:rsidRPr="00711F8A" w:rsidRDefault="00230B49" w:rsidP="007A7E2D">
            <w:pPr>
              <w:jc w:val="center"/>
              <w:rPr>
                <w:sz w:val="18"/>
                <w:szCs w:val="18"/>
              </w:rPr>
            </w:pPr>
            <w:r w:rsidRPr="00711F8A">
              <w:rPr>
                <w:sz w:val="18"/>
                <w:szCs w:val="18"/>
              </w:rPr>
              <w:t>18.6</w:t>
            </w:r>
          </w:p>
        </w:tc>
      </w:tr>
      <w:tr w:rsidR="00BB44E1" w:rsidRPr="00DB0C40" w14:paraId="0506CEB1" w14:textId="77777777" w:rsidTr="007A7E2D">
        <w:tc>
          <w:tcPr>
            <w:tcW w:w="3020"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Pr>
          <w:p w14:paraId="3595BD50" w14:textId="77777777" w:rsidR="00BB44E1" w:rsidRPr="00711F8A" w:rsidRDefault="00230B49">
            <w:pPr>
              <w:rPr>
                <w:sz w:val="18"/>
                <w:szCs w:val="18"/>
              </w:rPr>
            </w:pPr>
            <w:r w:rsidRPr="00711F8A">
              <w:rPr>
                <w:sz w:val="18"/>
                <w:szCs w:val="18"/>
              </w:rPr>
              <w:t>Ankara</w:t>
            </w:r>
          </w:p>
        </w:tc>
        <w:tc>
          <w:tcPr>
            <w:tcW w:w="3021"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Pr>
          <w:p w14:paraId="4C8C8931" w14:textId="77777777" w:rsidR="00BB44E1" w:rsidRPr="00711F8A" w:rsidRDefault="00230B49" w:rsidP="007A7E2D">
            <w:pPr>
              <w:jc w:val="center"/>
              <w:rPr>
                <w:sz w:val="18"/>
                <w:szCs w:val="18"/>
              </w:rPr>
            </w:pPr>
            <w:r w:rsidRPr="00711F8A">
              <w:rPr>
                <w:sz w:val="18"/>
                <w:szCs w:val="18"/>
              </w:rPr>
              <w:t>85</w:t>
            </w:r>
          </w:p>
        </w:tc>
        <w:tc>
          <w:tcPr>
            <w:tcW w:w="3021"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Pr>
          <w:p w14:paraId="4678028E" w14:textId="77777777" w:rsidR="00BB44E1" w:rsidRPr="00711F8A" w:rsidRDefault="00230B49" w:rsidP="007A7E2D">
            <w:pPr>
              <w:jc w:val="center"/>
              <w:rPr>
                <w:sz w:val="18"/>
                <w:szCs w:val="18"/>
              </w:rPr>
            </w:pPr>
            <w:r w:rsidRPr="00711F8A">
              <w:rPr>
                <w:sz w:val="18"/>
                <w:szCs w:val="18"/>
              </w:rPr>
              <w:t>22</w:t>
            </w:r>
          </w:p>
        </w:tc>
      </w:tr>
      <w:tr w:rsidR="00BB44E1" w:rsidRPr="00DB0C40" w14:paraId="728A28E6" w14:textId="77777777" w:rsidTr="007A7E2D">
        <w:tc>
          <w:tcPr>
            <w:tcW w:w="3020"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Pr>
          <w:p w14:paraId="71340C41" w14:textId="77777777" w:rsidR="00BB44E1" w:rsidRPr="00711F8A" w:rsidRDefault="00230B49">
            <w:pPr>
              <w:rPr>
                <w:sz w:val="18"/>
                <w:szCs w:val="18"/>
              </w:rPr>
            </w:pPr>
            <w:r w:rsidRPr="00711F8A">
              <w:rPr>
                <w:sz w:val="18"/>
                <w:szCs w:val="18"/>
              </w:rPr>
              <w:t>Bursa</w:t>
            </w:r>
          </w:p>
        </w:tc>
        <w:tc>
          <w:tcPr>
            <w:tcW w:w="3021"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Pr>
          <w:p w14:paraId="74C6FD0A" w14:textId="77777777" w:rsidR="00BB44E1" w:rsidRPr="00711F8A" w:rsidRDefault="00230B49" w:rsidP="007A7E2D">
            <w:pPr>
              <w:jc w:val="center"/>
              <w:rPr>
                <w:sz w:val="18"/>
                <w:szCs w:val="18"/>
              </w:rPr>
            </w:pPr>
            <w:r w:rsidRPr="00711F8A">
              <w:rPr>
                <w:sz w:val="18"/>
                <w:szCs w:val="18"/>
              </w:rPr>
              <w:t>70</w:t>
            </w:r>
          </w:p>
        </w:tc>
        <w:tc>
          <w:tcPr>
            <w:tcW w:w="3021"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Pr>
          <w:p w14:paraId="10E66A56" w14:textId="77777777" w:rsidR="00BB44E1" w:rsidRPr="00711F8A" w:rsidRDefault="00230B49" w:rsidP="007A7E2D">
            <w:pPr>
              <w:jc w:val="center"/>
              <w:rPr>
                <w:sz w:val="18"/>
                <w:szCs w:val="18"/>
              </w:rPr>
            </w:pPr>
            <w:r w:rsidRPr="00711F8A">
              <w:rPr>
                <w:sz w:val="18"/>
                <w:szCs w:val="18"/>
              </w:rPr>
              <w:t>18.1</w:t>
            </w:r>
          </w:p>
        </w:tc>
      </w:tr>
      <w:tr w:rsidR="00BB44E1" w:rsidRPr="00DB0C40" w14:paraId="5A471066" w14:textId="77777777" w:rsidTr="007A7E2D">
        <w:tc>
          <w:tcPr>
            <w:tcW w:w="3020"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Pr>
          <w:p w14:paraId="39500095" w14:textId="77777777" w:rsidR="00BB44E1" w:rsidRPr="00711F8A" w:rsidRDefault="00230B49">
            <w:pPr>
              <w:rPr>
                <w:sz w:val="18"/>
                <w:szCs w:val="18"/>
              </w:rPr>
            </w:pPr>
            <w:r w:rsidRPr="00711F8A">
              <w:rPr>
                <w:sz w:val="18"/>
                <w:szCs w:val="18"/>
              </w:rPr>
              <w:t>İstanbul</w:t>
            </w:r>
          </w:p>
        </w:tc>
        <w:tc>
          <w:tcPr>
            <w:tcW w:w="3021"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Pr>
          <w:p w14:paraId="4D3325E0" w14:textId="77777777" w:rsidR="00BB44E1" w:rsidRPr="00711F8A" w:rsidRDefault="00230B49" w:rsidP="007A7E2D">
            <w:pPr>
              <w:jc w:val="center"/>
              <w:rPr>
                <w:sz w:val="18"/>
                <w:szCs w:val="18"/>
              </w:rPr>
            </w:pPr>
            <w:r w:rsidRPr="00711F8A">
              <w:rPr>
                <w:sz w:val="18"/>
                <w:szCs w:val="18"/>
              </w:rPr>
              <w:t>73</w:t>
            </w:r>
          </w:p>
        </w:tc>
        <w:tc>
          <w:tcPr>
            <w:tcW w:w="3021"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Pr>
          <w:p w14:paraId="3E40E2BC" w14:textId="77777777" w:rsidR="00BB44E1" w:rsidRPr="00711F8A" w:rsidRDefault="00230B49" w:rsidP="007A7E2D">
            <w:pPr>
              <w:jc w:val="center"/>
              <w:rPr>
                <w:sz w:val="18"/>
                <w:szCs w:val="18"/>
              </w:rPr>
            </w:pPr>
            <w:r w:rsidRPr="00711F8A">
              <w:rPr>
                <w:sz w:val="18"/>
                <w:szCs w:val="18"/>
              </w:rPr>
              <w:t>18.9</w:t>
            </w:r>
          </w:p>
        </w:tc>
      </w:tr>
      <w:tr w:rsidR="00BB44E1" w:rsidRPr="00DB0C40" w14:paraId="6045D4BA" w14:textId="77777777" w:rsidTr="007A7E2D">
        <w:tc>
          <w:tcPr>
            <w:tcW w:w="3020"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Pr>
          <w:p w14:paraId="734D0B8B" w14:textId="77777777" w:rsidR="00BB44E1" w:rsidRPr="00711F8A" w:rsidRDefault="00230B49">
            <w:pPr>
              <w:rPr>
                <w:sz w:val="18"/>
                <w:szCs w:val="18"/>
              </w:rPr>
            </w:pPr>
            <w:r w:rsidRPr="00711F8A">
              <w:rPr>
                <w:sz w:val="18"/>
                <w:szCs w:val="18"/>
              </w:rPr>
              <w:t>İzmir</w:t>
            </w:r>
          </w:p>
        </w:tc>
        <w:tc>
          <w:tcPr>
            <w:tcW w:w="3021"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Pr>
          <w:p w14:paraId="6DC0C250" w14:textId="77777777" w:rsidR="00BB44E1" w:rsidRPr="00711F8A" w:rsidRDefault="00230B49" w:rsidP="007A7E2D">
            <w:pPr>
              <w:jc w:val="center"/>
              <w:rPr>
                <w:sz w:val="18"/>
                <w:szCs w:val="18"/>
              </w:rPr>
            </w:pPr>
            <w:r w:rsidRPr="00711F8A">
              <w:rPr>
                <w:sz w:val="18"/>
                <w:szCs w:val="18"/>
              </w:rPr>
              <w:t>87</w:t>
            </w:r>
          </w:p>
        </w:tc>
        <w:tc>
          <w:tcPr>
            <w:tcW w:w="3021"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Pr>
          <w:p w14:paraId="16EB69C8" w14:textId="77777777" w:rsidR="00BB44E1" w:rsidRPr="00711F8A" w:rsidRDefault="00230B49" w:rsidP="007A7E2D">
            <w:pPr>
              <w:jc w:val="center"/>
              <w:rPr>
                <w:sz w:val="18"/>
                <w:szCs w:val="18"/>
              </w:rPr>
            </w:pPr>
            <w:r w:rsidRPr="00711F8A">
              <w:rPr>
                <w:sz w:val="18"/>
                <w:szCs w:val="18"/>
              </w:rPr>
              <w:t>22.5</w:t>
            </w:r>
          </w:p>
        </w:tc>
      </w:tr>
      <w:tr w:rsidR="00BB44E1" w:rsidRPr="00DB0C40" w14:paraId="73E3FB09" w14:textId="77777777" w:rsidTr="007A7E2D">
        <w:tc>
          <w:tcPr>
            <w:tcW w:w="3020"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Pr>
          <w:p w14:paraId="71FED0D0" w14:textId="77777777" w:rsidR="00BB44E1" w:rsidRPr="00711F8A" w:rsidRDefault="00230B49">
            <w:pPr>
              <w:rPr>
                <w:sz w:val="18"/>
                <w:szCs w:val="18"/>
              </w:rPr>
            </w:pPr>
            <w:r w:rsidRPr="00711F8A">
              <w:rPr>
                <w:sz w:val="18"/>
                <w:szCs w:val="18"/>
              </w:rPr>
              <w:t>Total</w:t>
            </w:r>
          </w:p>
        </w:tc>
        <w:tc>
          <w:tcPr>
            <w:tcW w:w="3021"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Pr>
          <w:p w14:paraId="579DB552" w14:textId="77777777" w:rsidR="00BB44E1" w:rsidRPr="00711F8A" w:rsidRDefault="00230B49" w:rsidP="007A7E2D">
            <w:pPr>
              <w:jc w:val="center"/>
              <w:rPr>
                <w:sz w:val="18"/>
                <w:szCs w:val="18"/>
              </w:rPr>
            </w:pPr>
            <w:r w:rsidRPr="00711F8A">
              <w:rPr>
                <w:sz w:val="18"/>
                <w:szCs w:val="18"/>
              </w:rPr>
              <w:t>387</w:t>
            </w:r>
          </w:p>
        </w:tc>
        <w:tc>
          <w:tcPr>
            <w:tcW w:w="3021"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Pr>
          <w:p w14:paraId="5841EB12" w14:textId="77777777" w:rsidR="00BB44E1" w:rsidRPr="00711F8A" w:rsidRDefault="00230B49" w:rsidP="007A7E2D">
            <w:pPr>
              <w:jc w:val="center"/>
              <w:rPr>
                <w:sz w:val="18"/>
                <w:szCs w:val="18"/>
              </w:rPr>
            </w:pPr>
            <w:r w:rsidRPr="00711F8A">
              <w:rPr>
                <w:sz w:val="18"/>
                <w:szCs w:val="18"/>
              </w:rPr>
              <w:t>100</w:t>
            </w:r>
          </w:p>
        </w:tc>
      </w:tr>
    </w:tbl>
    <w:p w14:paraId="0C227EE2" w14:textId="29344495" w:rsidR="00BB44E1" w:rsidRPr="00DB0C40" w:rsidRDefault="00230B49">
      <w:pPr>
        <w:jc w:val="center"/>
        <w:rPr>
          <w:sz w:val="18"/>
          <w:szCs w:val="18"/>
        </w:rPr>
      </w:pPr>
      <w:r w:rsidRPr="00DB0C40">
        <w:rPr>
          <w:sz w:val="18"/>
          <w:szCs w:val="18"/>
        </w:rPr>
        <w:t xml:space="preserve">Source: TAT </w:t>
      </w:r>
      <w:r w:rsidR="00F37BC3" w:rsidRPr="00DB0C40">
        <w:rPr>
          <w:sz w:val="18"/>
          <w:szCs w:val="18"/>
        </w:rPr>
        <w:t>E</w:t>
      </w:r>
      <w:r w:rsidR="00F37BC3">
        <w:rPr>
          <w:sz w:val="18"/>
          <w:szCs w:val="18"/>
        </w:rPr>
        <w:t>labora</w:t>
      </w:r>
      <w:r w:rsidR="00F37BC3" w:rsidRPr="00DB0C40">
        <w:rPr>
          <w:sz w:val="18"/>
          <w:szCs w:val="18"/>
        </w:rPr>
        <w:t>tion</w:t>
      </w:r>
    </w:p>
    <w:p w14:paraId="226A6C42" w14:textId="77777777" w:rsidR="00BB44E1" w:rsidRPr="00DB0C40" w:rsidRDefault="00BB44E1">
      <w:pPr>
        <w:jc w:val="center"/>
        <w:rPr>
          <w:sz w:val="18"/>
          <w:szCs w:val="18"/>
        </w:rPr>
      </w:pPr>
    </w:p>
    <w:p w14:paraId="67C7F6BE" w14:textId="77777777" w:rsidR="00BB44E1" w:rsidRPr="00DB0C40" w:rsidRDefault="00BB44E1">
      <w:pPr>
        <w:rPr>
          <w:sz w:val="22"/>
          <w:szCs w:val="22"/>
        </w:rPr>
      </w:pPr>
    </w:p>
    <w:p w14:paraId="7D51BDE6" w14:textId="77777777" w:rsidR="00BB44E1" w:rsidRPr="00F23644" w:rsidRDefault="00230B49">
      <w:pPr>
        <w:jc w:val="both"/>
        <w:rPr>
          <w:sz w:val="22"/>
          <w:szCs w:val="22"/>
        </w:rPr>
      </w:pPr>
      <w:r w:rsidRPr="00F23644">
        <w:rPr>
          <w:sz w:val="22"/>
          <w:szCs w:val="22"/>
        </w:rPr>
        <w:t>86.8% of respondents were employees of private-sector establishments while 13.2% were government officers. 52.2% of the respondents are married and 47.8% are single (divorced/widowed included). 54.5% of the respondents had at least one child while 45.5% have no children. Among the respondents with children, 22.2% have minimum one child under age 6. This question was asked to reflect the care responsibilities of the employees and its link with their perception of the efficiency of law.</w:t>
      </w:r>
    </w:p>
    <w:p w14:paraId="43EF0974" w14:textId="77777777" w:rsidR="00BB44E1" w:rsidRPr="00F23644" w:rsidRDefault="00BB44E1">
      <w:pPr>
        <w:jc w:val="both"/>
        <w:rPr>
          <w:sz w:val="22"/>
          <w:szCs w:val="22"/>
        </w:rPr>
      </w:pPr>
    </w:p>
    <w:p w14:paraId="444A8C5E" w14:textId="77777777" w:rsidR="00BB44E1" w:rsidRPr="00DB0C40" w:rsidRDefault="00230B49">
      <w:pPr>
        <w:jc w:val="both"/>
        <w:rPr>
          <w:sz w:val="22"/>
          <w:szCs w:val="22"/>
        </w:rPr>
      </w:pPr>
      <w:r w:rsidRPr="00F23644">
        <w:rPr>
          <w:sz w:val="22"/>
          <w:szCs w:val="22"/>
        </w:rPr>
        <w:t>Most of the respondents graduated from high school corresponding to 60.5% of the total employees surveyed while 33.6 % of the respondents had a bachelor’s degree and 5.9% had post-graduate degree. The position of the respondents at the work place was also asked: 79.6% of the respondents were employed as workers, 8.8% as technical staff, 10.1% as administrative staff, and only 1.6% as managers.</w:t>
      </w:r>
      <w:r w:rsidRPr="00DB0C40">
        <w:rPr>
          <w:sz w:val="22"/>
          <w:szCs w:val="22"/>
        </w:rPr>
        <w:t xml:space="preserve"> </w:t>
      </w:r>
    </w:p>
    <w:p w14:paraId="7AF7DB32" w14:textId="77777777" w:rsidR="00BB44E1" w:rsidRPr="00DB0C40" w:rsidRDefault="00BB44E1">
      <w:pPr>
        <w:jc w:val="both"/>
        <w:rPr>
          <w:sz w:val="22"/>
          <w:szCs w:val="22"/>
        </w:rPr>
      </w:pPr>
    </w:p>
    <w:p w14:paraId="11A10055" w14:textId="6A3CECD8" w:rsidR="00BB44E1" w:rsidRPr="00DB0C40" w:rsidRDefault="00230B49" w:rsidP="005C3C21">
      <w:pPr>
        <w:jc w:val="center"/>
        <w:rPr>
          <w:sz w:val="22"/>
          <w:szCs w:val="22"/>
        </w:rPr>
      </w:pPr>
      <w:bookmarkStart w:id="135" w:name="_Hlk107139833"/>
      <w:r w:rsidRPr="00DB0C40">
        <w:rPr>
          <w:b/>
          <w:sz w:val="22"/>
          <w:szCs w:val="22"/>
        </w:rPr>
        <w:t xml:space="preserve">Table </w:t>
      </w:r>
      <w:r w:rsidR="005C3C21" w:rsidRPr="00DB0C40">
        <w:rPr>
          <w:b/>
          <w:sz w:val="22"/>
          <w:szCs w:val="22"/>
        </w:rPr>
        <w:t>10</w:t>
      </w:r>
      <w:r w:rsidRPr="00DB0C40">
        <w:rPr>
          <w:b/>
          <w:sz w:val="22"/>
          <w:szCs w:val="22"/>
        </w:rPr>
        <w:t xml:space="preserve">. The </w:t>
      </w:r>
      <w:r w:rsidR="00B84159" w:rsidRPr="00DB0C40">
        <w:rPr>
          <w:b/>
          <w:sz w:val="22"/>
          <w:szCs w:val="22"/>
        </w:rPr>
        <w:t>D</w:t>
      </w:r>
      <w:r w:rsidRPr="00DB0C40">
        <w:rPr>
          <w:b/>
          <w:sz w:val="22"/>
          <w:szCs w:val="22"/>
        </w:rPr>
        <w:t xml:space="preserve">emographic </w:t>
      </w:r>
      <w:r w:rsidR="00B84159" w:rsidRPr="00DB0C40">
        <w:rPr>
          <w:b/>
          <w:sz w:val="22"/>
          <w:szCs w:val="22"/>
        </w:rPr>
        <w:t>s</w:t>
      </w:r>
      <w:r w:rsidRPr="00DB0C40">
        <w:rPr>
          <w:b/>
          <w:sz w:val="22"/>
          <w:szCs w:val="22"/>
        </w:rPr>
        <w:t xml:space="preserve">tructure of </w:t>
      </w:r>
      <w:r w:rsidR="00B84159" w:rsidRPr="00DB0C40">
        <w:rPr>
          <w:b/>
          <w:sz w:val="22"/>
          <w:szCs w:val="22"/>
        </w:rPr>
        <w:t>R</w:t>
      </w:r>
      <w:r w:rsidRPr="00DB0C40">
        <w:rPr>
          <w:b/>
          <w:sz w:val="22"/>
          <w:szCs w:val="22"/>
        </w:rPr>
        <w:t>espondents</w:t>
      </w:r>
    </w:p>
    <w:bookmarkEnd w:id="135"/>
    <w:p w14:paraId="68967765" w14:textId="77777777" w:rsidR="00BB44E1" w:rsidRPr="00DB0C40" w:rsidRDefault="00BB44E1">
      <w:pPr>
        <w:jc w:val="both"/>
        <w:rPr>
          <w:sz w:val="22"/>
          <w:szCs w:val="22"/>
        </w:rPr>
      </w:pPr>
    </w:p>
    <w:p w14:paraId="6F6F5892" w14:textId="77777777" w:rsidR="00BB44E1" w:rsidRPr="00DB0C40" w:rsidRDefault="00BB44E1">
      <w:pPr>
        <w:jc w:val="center"/>
        <w:rPr>
          <w:sz w:val="18"/>
          <w:szCs w:val="18"/>
        </w:rPr>
      </w:pPr>
    </w:p>
    <w:tbl>
      <w:tblPr>
        <w:tblStyle w:val="a6"/>
        <w:tblW w:w="87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47"/>
        <w:gridCol w:w="1370"/>
        <w:gridCol w:w="1247"/>
        <w:gridCol w:w="1247"/>
        <w:gridCol w:w="1688"/>
        <w:gridCol w:w="1985"/>
      </w:tblGrid>
      <w:tr w:rsidR="00BB44E1" w:rsidRPr="00DB0C40" w14:paraId="27D1C880" w14:textId="77777777" w:rsidTr="007A7E2D">
        <w:tc>
          <w:tcPr>
            <w:tcW w:w="2617" w:type="dxa"/>
            <w:gridSpan w:val="2"/>
            <w:shd w:val="clear" w:color="auto" w:fill="D9E2F3" w:themeFill="accent1" w:themeFillTint="33"/>
          </w:tcPr>
          <w:p w14:paraId="1DA5D50C" w14:textId="77777777" w:rsidR="00BB44E1" w:rsidRPr="00853140" w:rsidRDefault="00230B49">
            <w:pPr>
              <w:rPr>
                <w:b/>
                <w:sz w:val="18"/>
                <w:szCs w:val="18"/>
              </w:rPr>
            </w:pPr>
            <w:r w:rsidRPr="00853140">
              <w:rPr>
                <w:b/>
                <w:sz w:val="18"/>
                <w:szCs w:val="18"/>
              </w:rPr>
              <w:t xml:space="preserve">Respondents by sector </w:t>
            </w:r>
          </w:p>
        </w:tc>
        <w:tc>
          <w:tcPr>
            <w:tcW w:w="2494" w:type="dxa"/>
            <w:gridSpan w:val="2"/>
            <w:shd w:val="clear" w:color="auto" w:fill="D9E2F3" w:themeFill="accent1" w:themeFillTint="33"/>
          </w:tcPr>
          <w:p w14:paraId="7DEAF882" w14:textId="77777777" w:rsidR="00BB44E1" w:rsidRPr="00853140" w:rsidRDefault="00230B49">
            <w:pPr>
              <w:rPr>
                <w:b/>
                <w:sz w:val="18"/>
                <w:szCs w:val="18"/>
              </w:rPr>
            </w:pPr>
            <w:r w:rsidRPr="00853140">
              <w:rPr>
                <w:b/>
                <w:sz w:val="18"/>
                <w:szCs w:val="18"/>
              </w:rPr>
              <w:t>Respondents by marital status (%)</w:t>
            </w:r>
          </w:p>
        </w:tc>
        <w:tc>
          <w:tcPr>
            <w:tcW w:w="3673" w:type="dxa"/>
            <w:gridSpan w:val="2"/>
            <w:shd w:val="clear" w:color="auto" w:fill="D9E2F3" w:themeFill="accent1" w:themeFillTint="33"/>
          </w:tcPr>
          <w:p w14:paraId="3A4C9A8C" w14:textId="77777777" w:rsidR="00BB44E1" w:rsidRPr="00853140" w:rsidRDefault="00230B49">
            <w:pPr>
              <w:rPr>
                <w:b/>
                <w:sz w:val="18"/>
                <w:szCs w:val="18"/>
              </w:rPr>
            </w:pPr>
            <w:r w:rsidRPr="00853140">
              <w:rPr>
                <w:b/>
                <w:sz w:val="18"/>
                <w:szCs w:val="18"/>
              </w:rPr>
              <w:t>Respondents by the status of having children (%)</w:t>
            </w:r>
          </w:p>
        </w:tc>
      </w:tr>
      <w:tr w:rsidR="00BB44E1" w:rsidRPr="00DB0C40" w14:paraId="56B55722" w14:textId="77777777" w:rsidTr="007A7E2D">
        <w:tc>
          <w:tcPr>
            <w:tcW w:w="1247" w:type="dxa"/>
            <w:shd w:val="clear" w:color="auto" w:fill="D9E2F3" w:themeFill="accent1" w:themeFillTint="33"/>
          </w:tcPr>
          <w:p w14:paraId="36058F99" w14:textId="77777777" w:rsidR="00BB44E1" w:rsidRPr="00853140" w:rsidRDefault="00230B49">
            <w:pPr>
              <w:rPr>
                <w:b/>
                <w:sz w:val="18"/>
                <w:szCs w:val="18"/>
              </w:rPr>
            </w:pPr>
            <w:r w:rsidRPr="00853140">
              <w:rPr>
                <w:b/>
                <w:sz w:val="18"/>
                <w:szCs w:val="18"/>
              </w:rPr>
              <w:t>Private</w:t>
            </w:r>
          </w:p>
        </w:tc>
        <w:tc>
          <w:tcPr>
            <w:tcW w:w="1370" w:type="dxa"/>
            <w:shd w:val="clear" w:color="auto" w:fill="D9E2F3" w:themeFill="accent1" w:themeFillTint="33"/>
          </w:tcPr>
          <w:p w14:paraId="0E62A3CC" w14:textId="77777777" w:rsidR="00BB44E1" w:rsidRPr="00853140" w:rsidRDefault="00230B49">
            <w:pPr>
              <w:rPr>
                <w:b/>
                <w:sz w:val="18"/>
                <w:szCs w:val="18"/>
              </w:rPr>
            </w:pPr>
            <w:r w:rsidRPr="00853140">
              <w:rPr>
                <w:b/>
                <w:sz w:val="18"/>
                <w:szCs w:val="18"/>
              </w:rPr>
              <w:t xml:space="preserve">Government </w:t>
            </w:r>
          </w:p>
        </w:tc>
        <w:tc>
          <w:tcPr>
            <w:tcW w:w="1247" w:type="dxa"/>
            <w:shd w:val="clear" w:color="auto" w:fill="D9E2F3" w:themeFill="accent1" w:themeFillTint="33"/>
          </w:tcPr>
          <w:p w14:paraId="793279F6" w14:textId="77777777" w:rsidR="00BB44E1" w:rsidRPr="00853140" w:rsidRDefault="00230B49">
            <w:pPr>
              <w:rPr>
                <w:b/>
                <w:sz w:val="18"/>
                <w:szCs w:val="18"/>
              </w:rPr>
            </w:pPr>
            <w:r w:rsidRPr="00853140">
              <w:rPr>
                <w:b/>
                <w:sz w:val="18"/>
                <w:szCs w:val="18"/>
              </w:rPr>
              <w:t>Married</w:t>
            </w:r>
          </w:p>
        </w:tc>
        <w:tc>
          <w:tcPr>
            <w:tcW w:w="1247" w:type="dxa"/>
            <w:shd w:val="clear" w:color="auto" w:fill="D9E2F3" w:themeFill="accent1" w:themeFillTint="33"/>
          </w:tcPr>
          <w:p w14:paraId="207DBCB1" w14:textId="77777777" w:rsidR="00BB44E1" w:rsidRPr="00853140" w:rsidRDefault="00230B49">
            <w:pPr>
              <w:rPr>
                <w:b/>
                <w:sz w:val="18"/>
                <w:szCs w:val="18"/>
              </w:rPr>
            </w:pPr>
            <w:r w:rsidRPr="00853140">
              <w:rPr>
                <w:b/>
                <w:sz w:val="18"/>
                <w:szCs w:val="18"/>
              </w:rPr>
              <w:t>Single</w:t>
            </w:r>
          </w:p>
        </w:tc>
        <w:tc>
          <w:tcPr>
            <w:tcW w:w="1688" w:type="dxa"/>
            <w:shd w:val="clear" w:color="auto" w:fill="D9E2F3" w:themeFill="accent1" w:themeFillTint="33"/>
          </w:tcPr>
          <w:p w14:paraId="12BCA28D" w14:textId="77777777" w:rsidR="00BB44E1" w:rsidRPr="00853140" w:rsidRDefault="00230B49">
            <w:pPr>
              <w:rPr>
                <w:b/>
                <w:sz w:val="18"/>
                <w:szCs w:val="18"/>
              </w:rPr>
            </w:pPr>
            <w:r w:rsidRPr="00853140">
              <w:rPr>
                <w:b/>
                <w:sz w:val="18"/>
                <w:szCs w:val="18"/>
              </w:rPr>
              <w:t xml:space="preserve">With children </w:t>
            </w:r>
          </w:p>
        </w:tc>
        <w:tc>
          <w:tcPr>
            <w:tcW w:w="1985" w:type="dxa"/>
            <w:shd w:val="clear" w:color="auto" w:fill="D9E2F3" w:themeFill="accent1" w:themeFillTint="33"/>
          </w:tcPr>
          <w:p w14:paraId="69B4C34D" w14:textId="77777777" w:rsidR="00BB44E1" w:rsidRPr="00853140" w:rsidRDefault="00230B49">
            <w:pPr>
              <w:rPr>
                <w:b/>
                <w:sz w:val="18"/>
                <w:szCs w:val="18"/>
              </w:rPr>
            </w:pPr>
            <w:r w:rsidRPr="00853140">
              <w:rPr>
                <w:b/>
                <w:sz w:val="18"/>
                <w:szCs w:val="18"/>
              </w:rPr>
              <w:t xml:space="preserve">Without children </w:t>
            </w:r>
          </w:p>
        </w:tc>
      </w:tr>
      <w:tr w:rsidR="00BB44E1" w:rsidRPr="00DB0C40" w14:paraId="55C5BE37" w14:textId="77777777" w:rsidTr="007A7E2D">
        <w:tc>
          <w:tcPr>
            <w:tcW w:w="1247" w:type="dxa"/>
            <w:shd w:val="clear" w:color="auto" w:fill="FBE4D5" w:themeFill="accent2" w:themeFillTint="33"/>
          </w:tcPr>
          <w:p w14:paraId="05DC9E5A" w14:textId="77777777" w:rsidR="00BB44E1" w:rsidRPr="00853140" w:rsidRDefault="00BB44E1">
            <w:pPr>
              <w:jc w:val="center"/>
              <w:rPr>
                <w:sz w:val="18"/>
                <w:szCs w:val="18"/>
              </w:rPr>
            </w:pPr>
          </w:p>
          <w:p w14:paraId="7BB3A4DB" w14:textId="77777777" w:rsidR="00BB44E1" w:rsidRPr="00853140" w:rsidRDefault="00230B49">
            <w:pPr>
              <w:jc w:val="center"/>
              <w:rPr>
                <w:sz w:val="18"/>
                <w:szCs w:val="18"/>
              </w:rPr>
            </w:pPr>
            <w:r w:rsidRPr="00853140">
              <w:rPr>
                <w:sz w:val="18"/>
                <w:szCs w:val="18"/>
              </w:rPr>
              <w:t>13%</w:t>
            </w:r>
          </w:p>
        </w:tc>
        <w:tc>
          <w:tcPr>
            <w:tcW w:w="1370" w:type="dxa"/>
            <w:shd w:val="clear" w:color="auto" w:fill="FBE4D5" w:themeFill="accent2" w:themeFillTint="33"/>
          </w:tcPr>
          <w:p w14:paraId="35C84E4F" w14:textId="77777777" w:rsidR="00BB44E1" w:rsidRPr="00853140" w:rsidRDefault="00BB44E1">
            <w:pPr>
              <w:jc w:val="center"/>
              <w:rPr>
                <w:sz w:val="18"/>
                <w:szCs w:val="18"/>
              </w:rPr>
            </w:pPr>
          </w:p>
          <w:p w14:paraId="60710424" w14:textId="77777777" w:rsidR="00BB44E1" w:rsidRPr="00853140" w:rsidRDefault="00230B49">
            <w:pPr>
              <w:jc w:val="center"/>
              <w:rPr>
                <w:sz w:val="18"/>
                <w:szCs w:val="18"/>
              </w:rPr>
            </w:pPr>
            <w:r w:rsidRPr="00853140">
              <w:rPr>
                <w:sz w:val="18"/>
                <w:szCs w:val="18"/>
              </w:rPr>
              <w:t>87%</w:t>
            </w:r>
          </w:p>
        </w:tc>
        <w:tc>
          <w:tcPr>
            <w:tcW w:w="1247" w:type="dxa"/>
            <w:shd w:val="clear" w:color="auto" w:fill="FBE4D5" w:themeFill="accent2" w:themeFillTint="33"/>
          </w:tcPr>
          <w:p w14:paraId="6AB8B1F1" w14:textId="77777777" w:rsidR="00BB44E1" w:rsidRPr="00853140" w:rsidRDefault="00BB44E1">
            <w:pPr>
              <w:jc w:val="center"/>
              <w:rPr>
                <w:sz w:val="18"/>
                <w:szCs w:val="18"/>
              </w:rPr>
            </w:pPr>
          </w:p>
          <w:p w14:paraId="4A8F54B9" w14:textId="77777777" w:rsidR="00BB44E1" w:rsidRPr="00853140" w:rsidRDefault="00230B49">
            <w:pPr>
              <w:jc w:val="center"/>
              <w:rPr>
                <w:sz w:val="18"/>
                <w:szCs w:val="18"/>
              </w:rPr>
            </w:pPr>
            <w:r w:rsidRPr="00853140">
              <w:rPr>
                <w:sz w:val="18"/>
                <w:szCs w:val="18"/>
              </w:rPr>
              <w:t>52%</w:t>
            </w:r>
          </w:p>
        </w:tc>
        <w:tc>
          <w:tcPr>
            <w:tcW w:w="1247" w:type="dxa"/>
            <w:shd w:val="clear" w:color="auto" w:fill="FBE4D5" w:themeFill="accent2" w:themeFillTint="33"/>
          </w:tcPr>
          <w:p w14:paraId="77B225CE" w14:textId="77777777" w:rsidR="00BB44E1" w:rsidRPr="00853140" w:rsidRDefault="00BB44E1">
            <w:pPr>
              <w:jc w:val="center"/>
              <w:rPr>
                <w:sz w:val="18"/>
                <w:szCs w:val="18"/>
              </w:rPr>
            </w:pPr>
          </w:p>
          <w:p w14:paraId="08613F8F" w14:textId="77777777" w:rsidR="00BB44E1" w:rsidRPr="00853140" w:rsidRDefault="00230B49">
            <w:pPr>
              <w:jc w:val="center"/>
              <w:rPr>
                <w:sz w:val="18"/>
                <w:szCs w:val="18"/>
              </w:rPr>
            </w:pPr>
            <w:r w:rsidRPr="00853140">
              <w:rPr>
                <w:sz w:val="18"/>
                <w:szCs w:val="18"/>
              </w:rPr>
              <w:t>48%</w:t>
            </w:r>
          </w:p>
        </w:tc>
        <w:tc>
          <w:tcPr>
            <w:tcW w:w="1688" w:type="dxa"/>
            <w:shd w:val="clear" w:color="auto" w:fill="FBE4D5" w:themeFill="accent2" w:themeFillTint="33"/>
          </w:tcPr>
          <w:p w14:paraId="15CFFDD6" w14:textId="77777777" w:rsidR="00BB44E1" w:rsidRPr="00853140" w:rsidRDefault="00BB44E1">
            <w:pPr>
              <w:jc w:val="center"/>
              <w:rPr>
                <w:sz w:val="18"/>
                <w:szCs w:val="18"/>
              </w:rPr>
            </w:pPr>
          </w:p>
          <w:p w14:paraId="6749A6A6" w14:textId="77777777" w:rsidR="00BB44E1" w:rsidRPr="00853140" w:rsidRDefault="00230B49">
            <w:pPr>
              <w:jc w:val="center"/>
              <w:rPr>
                <w:sz w:val="18"/>
                <w:szCs w:val="18"/>
              </w:rPr>
            </w:pPr>
            <w:r w:rsidRPr="00853140">
              <w:rPr>
                <w:sz w:val="18"/>
                <w:szCs w:val="18"/>
              </w:rPr>
              <w:t>55%</w:t>
            </w:r>
          </w:p>
        </w:tc>
        <w:tc>
          <w:tcPr>
            <w:tcW w:w="1985" w:type="dxa"/>
            <w:shd w:val="clear" w:color="auto" w:fill="FBE4D5" w:themeFill="accent2" w:themeFillTint="33"/>
          </w:tcPr>
          <w:p w14:paraId="0F8B1915" w14:textId="77777777" w:rsidR="00BB44E1" w:rsidRPr="00853140" w:rsidRDefault="00BB44E1">
            <w:pPr>
              <w:jc w:val="center"/>
              <w:rPr>
                <w:sz w:val="18"/>
                <w:szCs w:val="18"/>
              </w:rPr>
            </w:pPr>
          </w:p>
          <w:p w14:paraId="664DE7E2" w14:textId="77777777" w:rsidR="00BB44E1" w:rsidRPr="00853140" w:rsidRDefault="00230B49">
            <w:pPr>
              <w:jc w:val="center"/>
              <w:rPr>
                <w:sz w:val="18"/>
                <w:szCs w:val="18"/>
              </w:rPr>
            </w:pPr>
            <w:r w:rsidRPr="00853140">
              <w:rPr>
                <w:sz w:val="18"/>
                <w:szCs w:val="18"/>
              </w:rPr>
              <w:t>45%</w:t>
            </w:r>
          </w:p>
        </w:tc>
      </w:tr>
    </w:tbl>
    <w:p w14:paraId="1E1F1A27" w14:textId="77777777" w:rsidR="00BB44E1" w:rsidRPr="00DB0C40" w:rsidRDefault="00230B49">
      <w:pPr>
        <w:ind w:left="720" w:firstLine="720"/>
        <w:rPr>
          <w:sz w:val="22"/>
          <w:szCs w:val="22"/>
        </w:rPr>
      </w:pPr>
      <w:r w:rsidRPr="00DB0C40">
        <w:rPr>
          <w:b/>
          <w:sz w:val="22"/>
          <w:szCs w:val="22"/>
        </w:rPr>
        <w:t xml:space="preserve">                   </w:t>
      </w:r>
    </w:p>
    <w:p w14:paraId="2A3AF94D" w14:textId="61994C3E" w:rsidR="00BB44E1" w:rsidRPr="00DB0C40" w:rsidRDefault="00230B49">
      <w:pPr>
        <w:jc w:val="center"/>
        <w:rPr>
          <w:sz w:val="18"/>
          <w:szCs w:val="18"/>
        </w:rPr>
      </w:pPr>
      <w:r w:rsidRPr="00DB0C40">
        <w:rPr>
          <w:sz w:val="18"/>
          <w:szCs w:val="18"/>
        </w:rPr>
        <w:t xml:space="preserve">Source: TAT </w:t>
      </w:r>
      <w:r w:rsidR="00F37BC3" w:rsidRPr="00DB0C40">
        <w:rPr>
          <w:sz w:val="18"/>
          <w:szCs w:val="18"/>
        </w:rPr>
        <w:t>E</w:t>
      </w:r>
      <w:r w:rsidR="00F37BC3">
        <w:rPr>
          <w:sz w:val="18"/>
          <w:szCs w:val="18"/>
        </w:rPr>
        <w:t>labora</w:t>
      </w:r>
      <w:r w:rsidR="00F37BC3" w:rsidRPr="00DB0C40">
        <w:rPr>
          <w:sz w:val="18"/>
          <w:szCs w:val="18"/>
        </w:rPr>
        <w:t>tion</w:t>
      </w:r>
    </w:p>
    <w:p w14:paraId="337ABC1E" w14:textId="77777777" w:rsidR="00BB44E1" w:rsidRPr="00DB0C40" w:rsidRDefault="00BB44E1">
      <w:pPr>
        <w:jc w:val="both"/>
        <w:rPr>
          <w:sz w:val="22"/>
          <w:szCs w:val="22"/>
        </w:rPr>
      </w:pPr>
    </w:p>
    <w:p w14:paraId="068F86C5" w14:textId="77777777" w:rsidR="00BB44E1" w:rsidRPr="00DB0C40" w:rsidRDefault="00BB44E1">
      <w:pPr>
        <w:jc w:val="both"/>
        <w:rPr>
          <w:sz w:val="22"/>
          <w:szCs w:val="22"/>
        </w:rPr>
      </w:pPr>
    </w:p>
    <w:p w14:paraId="4B31EC10" w14:textId="5EE6CE10" w:rsidR="00BB44E1" w:rsidRPr="00DB0C40" w:rsidRDefault="00230B49">
      <w:pPr>
        <w:jc w:val="both"/>
        <w:rPr>
          <w:b/>
          <w:sz w:val="22"/>
          <w:szCs w:val="22"/>
        </w:rPr>
      </w:pPr>
      <w:bookmarkStart w:id="136" w:name="_heading=h.4i7ojhp" w:colFirst="0" w:colLast="0"/>
      <w:bookmarkEnd w:id="136"/>
      <w:r w:rsidRPr="00CD2A61">
        <w:rPr>
          <w:rFonts w:asciiTheme="majorHAnsi" w:eastAsiaTheme="majorEastAsia" w:hAnsiTheme="majorHAnsi" w:cstheme="majorBidi"/>
          <w:color w:val="1F3763" w:themeColor="accent1" w:themeShade="7F"/>
        </w:rPr>
        <w:t xml:space="preserve">5.2.1.2. </w:t>
      </w:r>
      <w:bookmarkStart w:id="137" w:name="_Hlk107139855"/>
      <w:r w:rsidRPr="00CD2A61">
        <w:rPr>
          <w:rFonts w:asciiTheme="majorHAnsi" w:eastAsiaTheme="majorEastAsia" w:hAnsiTheme="majorHAnsi" w:cstheme="majorBidi"/>
          <w:color w:val="1F3763" w:themeColor="accent1" w:themeShade="7F"/>
        </w:rPr>
        <w:t xml:space="preserve">Implementation of the </w:t>
      </w:r>
      <w:r w:rsidR="00B84159" w:rsidRPr="00CD2A61">
        <w:rPr>
          <w:rFonts w:asciiTheme="majorHAnsi" w:eastAsiaTheme="majorEastAsia" w:hAnsiTheme="majorHAnsi" w:cstheme="majorBidi"/>
          <w:color w:val="1F3763" w:themeColor="accent1" w:themeShade="7F"/>
        </w:rPr>
        <w:t>L</w:t>
      </w:r>
      <w:r w:rsidRPr="00CD2A61">
        <w:rPr>
          <w:rFonts w:asciiTheme="majorHAnsi" w:eastAsiaTheme="majorEastAsia" w:hAnsiTheme="majorHAnsi" w:cstheme="majorBidi"/>
          <w:color w:val="1F3763" w:themeColor="accent1" w:themeShade="7F"/>
        </w:rPr>
        <w:t xml:space="preserve">aw and </w:t>
      </w:r>
      <w:r w:rsidR="00B84159" w:rsidRPr="00CD2A61">
        <w:rPr>
          <w:rFonts w:asciiTheme="majorHAnsi" w:eastAsiaTheme="majorEastAsia" w:hAnsiTheme="majorHAnsi" w:cstheme="majorBidi"/>
          <w:color w:val="1F3763" w:themeColor="accent1" w:themeShade="7F"/>
        </w:rPr>
        <w:t>L</w:t>
      </w:r>
      <w:r w:rsidRPr="00CD2A61">
        <w:rPr>
          <w:rFonts w:asciiTheme="majorHAnsi" w:eastAsiaTheme="majorEastAsia" w:hAnsiTheme="majorHAnsi" w:cstheme="majorBidi"/>
          <w:color w:val="1F3763" w:themeColor="accent1" w:themeShade="7F"/>
        </w:rPr>
        <w:t>evel of</w:t>
      </w:r>
      <w:r w:rsidRPr="00DB0C40">
        <w:rPr>
          <w:b/>
          <w:sz w:val="22"/>
          <w:szCs w:val="22"/>
        </w:rPr>
        <w:t xml:space="preserve"> </w:t>
      </w:r>
      <w:r w:rsidR="00B84159" w:rsidRPr="00CD2A61">
        <w:rPr>
          <w:rFonts w:asciiTheme="majorHAnsi" w:eastAsiaTheme="majorEastAsia" w:hAnsiTheme="majorHAnsi" w:cstheme="majorBidi"/>
          <w:color w:val="1F3763" w:themeColor="accent1" w:themeShade="7F"/>
        </w:rPr>
        <w:t>S</w:t>
      </w:r>
      <w:r w:rsidRPr="00CD2A61">
        <w:rPr>
          <w:rFonts w:asciiTheme="majorHAnsi" w:eastAsiaTheme="majorEastAsia" w:hAnsiTheme="majorHAnsi" w:cstheme="majorBidi"/>
          <w:color w:val="1F3763" w:themeColor="accent1" w:themeShade="7F"/>
        </w:rPr>
        <w:t xml:space="preserve">atisfaction </w:t>
      </w:r>
      <w:r w:rsidRPr="00DB0C40">
        <w:rPr>
          <w:b/>
          <w:sz w:val="22"/>
          <w:szCs w:val="22"/>
        </w:rPr>
        <w:t xml:space="preserve">  </w:t>
      </w:r>
    </w:p>
    <w:bookmarkEnd w:id="137"/>
    <w:p w14:paraId="5539FA01" w14:textId="77777777" w:rsidR="00BB44E1" w:rsidRPr="00DB0C40" w:rsidRDefault="00BB44E1">
      <w:pPr>
        <w:jc w:val="both"/>
        <w:rPr>
          <w:sz w:val="22"/>
          <w:szCs w:val="22"/>
        </w:rPr>
      </w:pPr>
    </w:p>
    <w:p w14:paraId="2C38CA30" w14:textId="77777777" w:rsidR="00BB44E1" w:rsidRPr="00F23644" w:rsidRDefault="00230B49">
      <w:pPr>
        <w:jc w:val="both"/>
        <w:rPr>
          <w:sz w:val="22"/>
          <w:szCs w:val="22"/>
        </w:rPr>
      </w:pPr>
      <w:r w:rsidRPr="00F23644">
        <w:rPr>
          <w:sz w:val="22"/>
          <w:szCs w:val="22"/>
        </w:rPr>
        <w:t>In this part of the questionnaire, it was asked to get information whether the respondents benefited from the provisions of the law, and their views about how effectively the provisions of the law are being implemented in their workplace. Also, their opinion about the appropriateness of the provisions to facilitate women’s employment was questioned.</w:t>
      </w:r>
    </w:p>
    <w:p w14:paraId="19B15467" w14:textId="77777777" w:rsidR="00BB44E1" w:rsidRPr="00F23644" w:rsidRDefault="00BB44E1">
      <w:pPr>
        <w:jc w:val="both"/>
        <w:rPr>
          <w:sz w:val="22"/>
          <w:szCs w:val="22"/>
        </w:rPr>
      </w:pPr>
    </w:p>
    <w:p w14:paraId="42FFB967" w14:textId="77777777" w:rsidR="00BB44E1" w:rsidRPr="00DB0C40" w:rsidRDefault="00230B49">
      <w:pPr>
        <w:jc w:val="both"/>
        <w:rPr>
          <w:sz w:val="22"/>
          <w:szCs w:val="22"/>
        </w:rPr>
      </w:pPr>
      <w:r w:rsidRPr="00F23644">
        <w:rPr>
          <w:sz w:val="22"/>
          <w:szCs w:val="22"/>
        </w:rPr>
        <w:t>According to the responses, the most widely used provision was the maternity leave right. 65.9% of the respondents with children benefited from this right. It is followed by “prohibition of gender discrimination in wages” with 49.3% and transportation facilities for women working the night shift with 37.6%. Only 14.6% of the total respondents stated that they have benefited from crèche and breastfeeding room obligation of the regulation.</w:t>
      </w:r>
      <w:r w:rsidRPr="00DB0C40">
        <w:rPr>
          <w:sz w:val="22"/>
          <w:szCs w:val="22"/>
        </w:rPr>
        <w:t xml:space="preserve"> </w:t>
      </w:r>
    </w:p>
    <w:p w14:paraId="677870EB" w14:textId="77777777" w:rsidR="00BB44E1" w:rsidRPr="00DB0C40" w:rsidRDefault="00BB44E1">
      <w:pPr>
        <w:jc w:val="both"/>
        <w:rPr>
          <w:sz w:val="22"/>
          <w:szCs w:val="22"/>
        </w:rPr>
      </w:pPr>
    </w:p>
    <w:p w14:paraId="1290D2AC" w14:textId="04115E4A" w:rsidR="00BB44E1" w:rsidRDefault="00230B49">
      <w:pPr>
        <w:jc w:val="center"/>
        <w:rPr>
          <w:b/>
          <w:sz w:val="22"/>
          <w:szCs w:val="22"/>
        </w:rPr>
      </w:pPr>
      <w:bookmarkStart w:id="138" w:name="_Hlk107139896"/>
      <w:r w:rsidRPr="00DB0C40">
        <w:rPr>
          <w:b/>
          <w:sz w:val="22"/>
          <w:szCs w:val="22"/>
        </w:rPr>
        <w:t>Figure 1</w:t>
      </w:r>
      <w:r w:rsidR="005C3C21" w:rsidRPr="00DB0C40">
        <w:rPr>
          <w:b/>
          <w:sz w:val="22"/>
          <w:szCs w:val="22"/>
        </w:rPr>
        <w:t>8</w:t>
      </w:r>
      <w:r w:rsidRPr="00DB0C40">
        <w:rPr>
          <w:b/>
          <w:sz w:val="22"/>
          <w:szCs w:val="22"/>
        </w:rPr>
        <w:t>: Provisions of the Law that respondents get benefited (%)</w:t>
      </w:r>
    </w:p>
    <w:p w14:paraId="295AF4C8" w14:textId="14D9F43D" w:rsidR="00AD5960" w:rsidRDefault="00AD5960">
      <w:pPr>
        <w:jc w:val="center"/>
        <w:rPr>
          <w:b/>
          <w:sz w:val="22"/>
          <w:szCs w:val="22"/>
        </w:rPr>
      </w:pPr>
    </w:p>
    <w:p w14:paraId="087B739F" w14:textId="77777777" w:rsidR="00AD5960" w:rsidRPr="00DB0C40" w:rsidRDefault="00AD5960">
      <w:pPr>
        <w:jc w:val="center"/>
        <w:rPr>
          <w:b/>
          <w:sz w:val="22"/>
          <w:szCs w:val="22"/>
        </w:rPr>
      </w:pPr>
    </w:p>
    <w:bookmarkEnd w:id="138"/>
    <w:p w14:paraId="58EEC828" w14:textId="371B1674" w:rsidR="00BB44E1" w:rsidRPr="00DB0C40" w:rsidRDefault="00BB44E1">
      <w:pPr>
        <w:jc w:val="both"/>
        <w:rPr>
          <w:sz w:val="22"/>
          <w:szCs w:val="22"/>
        </w:rPr>
      </w:pPr>
    </w:p>
    <w:p w14:paraId="5B817ECC" w14:textId="3DCB5A0B" w:rsidR="00BB44E1" w:rsidRDefault="00230B49">
      <w:pPr>
        <w:jc w:val="center"/>
        <w:rPr>
          <w:sz w:val="18"/>
          <w:szCs w:val="18"/>
        </w:rPr>
      </w:pPr>
      <w:r w:rsidRPr="00DB0C40">
        <w:rPr>
          <w:sz w:val="18"/>
          <w:szCs w:val="18"/>
        </w:rPr>
        <w:t xml:space="preserve">Source: TAT </w:t>
      </w:r>
      <w:r w:rsidR="00F37BC3" w:rsidRPr="00DB0C40">
        <w:rPr>
          <w:sz w:val="18"/>
          <w:szCs w:val="18"/>
        </w:rPr>
        <w:t>E</w:t>
      </w:r>
      <w:r w:rsidR="00F37BC3">
        <w:rPr>
          <w:sz w:val="18"/>
          <w:szCs w:val="18"/>
        </w:rPr>
        <w:t>labora</w:t>
      </w:r>
      <w:r w:rsidR="00F37BC3" w:rsidRPr="00DB0C40">
        <w:rPr>
          <w:sz w:val="18"/>
          <w:szCs w:val="18"/>
        </w:rPr>
        <w:t>tion</w:t>
      </w:r>
    </w:p>
    <w:p w14:paraId="3D4A3C1A" w14:textId="45C759F6" w:rsidR="00AD5960" w:rsidRDefault="00AD5960">
      <w:pPr>
        <w:jc w:val="center"/>
        <w:rPr>
          <w:sz w:val="18"/>
          <w:szCs w:val="18"/>
        </w:rPr>
      </w:pPr>
    </w:p>
    <w:p w14:paraId="0BD30E4F" w14:textId="3AD89B4E" w:rsidR="00AD5960" w:rsidRDefault="00AD5960">
      <w:pPr>
        <w:jc w:val="center"/>
        <w:rPr>
          <w:sz w:val="18"/>
          <w:szCs w:val="18"/>
        </w:rPr>
      </w:pPr>
    </w:p>
    <w:p w14:paraId="22CAD86E" w14:textId="6FDBE158" w:rsidR="00AD5960" w:rsidRPr="00DB0C40" w:rsidRDefault="00AD5960">
      <w:pPr>
        <w:jc w:val="center"/>
        <w:rPr>
          <w:sz w:val="18"/>
          <w:szCs w:val="18"/>
        </w:rPr>
      </w:pPr>
      <w:r w:rsidRPr="00AD5960">
        <w:rPr>
          <w:noProof/>
          <w:sz w:val="18"/>
          <w:szCs w:val="18"/>
          <w:lang w:eastAsia="en-GB"/>
        </w:rPr>
        <w:lastRenderedPageBreak/>
        <w:drawing>
          <wp:inline distT="0" distB="0" distL="0" distR="0" wp14:anchorId="6160DD22" wp14:editId="743AEAEE">
            <wp:extent cx="6030595" cy="2257425"/>
            <wp:effectExtent l="0" t="0" r="825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030595" cy="2257425"/>
                    </a:xfrm>
                    <a:prstGeom prst="rect">
                      <a:avLst/>
                    </a:prstGeom>
                  </pic:spPr>
                </pic:pic>
              </a:graphicData>
            </a:graphic>
          </wp:inline>
        </w:drawing>
      </w:r>
    </w:p>
    <w:p w14:paraId="11EA30E7" w14:textId="77777777" w:rsidR="00BB44E1" w:rsidRPr="00DB0C40" w:rsidRDefault="00BB44E1">
      <w:pPr>
        <w:jc w:val="both"/>
        <w:rPr>
          <w:sz w:val="22"/>
          <w:szCs w:val="22"/>
        </w:rPr>
      </w:pPr>
    </w:p>
    <w:p w14:paraId="6062CAC2" w14:textId="32105882" w:rsidR="00BB44E1" w:rsidRPr="00853140" w:rsidRDefault="00230B49">
      <w:pPr>
        <w:jc w:val="both"/>
        <w:rPr>
          <w:sz w:val="22"/>
          <w:szCs w:val="22"/>
        </w:rPr>
      </w:pPr>
      <w:r w:rsidRPr="00853140">
        <w:rPr>
          <w:sz w:val="22"/>
          <w:szCs w:val="22"/>
        </w:rPr>
        <w:t>As seen in the figure, paternity leave (21</w:t>
      </w:r>
      <w:r w:rsidR="00CD2A61" w:rsidRPr="00853140">
        <w:rPr>
          <w:sz w:val="22"/>
          <w:szCs w:val="22"/>
        </w:rPr>
        <w:t>.</w:t>
      </w:r>
      <w:r w:rsidRPr="00853140">
        <w:rPr>
          <w:sz w:val="22"/>
          <w:szCs w:val="22"/>
        </w:rPr>
        <w:t xml:space="preserve">9%) has the fifth rank in the order of provisions employees benefited mostly, whereas the right to have part-time work after maternity leave was among the least benefited provisions of the law with 16.4%. </w:t>
      </w:r>
      <w:r w:rsidR="00853140" w:rsidRPr="00711F8A">
        <w:rPr>
          <w:sz w:val="22"/>
          <w:szCs w:val="22"/>
          <w:highlight w:val="yellow"/>
        </w:rPr>
        <w:t>(The question about paternity leave was addressed to both male and femal</w:t>
      </w:r>
      <w:r w:rsidR="00711F8A" w:rsidRPr="00711F8A">
        <w:rPr>
          <w:sz w:val="22"/>
          <w:szCs w:val="22"/>
          <w:highlight w:val="yellow"/>
        </w:rPr>
        <w:t>e respondents, since a mother benefits from the support provided by her partner which is, in turn, supported by paternity leave provisions. Hence, it may be regarded as a gender-neutral issue).</w:t>
      </w:r>
    </w:p>
    <w:p w14:paraId="49096133" w14:textId="77777777" w:rsidR="00BB44E1" w:rsidRPr="001456B5" w:rsidRDefault="00BB44E1">
      <w:pPr>
        <w:jc w:val="both"/>
        <w:rPr>
          <w:sz w:val="22"/>
          <w:szCs w:val="22"/>
          <w:highlight w:val="yellow"/>
        </w:rPr>
      </w:pPr>
    </w:p>
    <w:p w14:paraId="07E2AA83" w14:textId="77777777" w:rsidR="00BB44E1" w:rsidRPr="00DB0C40" w:rsidRDefault="00230B49">
      <w:pPr>
        <w:jc w:val="both"/>
        <w:rPr>
          <w:sz w:val="22"/>
          <w:szCs w:val="22"/>
        </w:rPr>
      </w:pPr>
      <w:r w:rsidRPr="00F23644">
        <w:rPr>
          <w:sz w:val="22"/>
          <w:szCs w:val="22"/>
        </w:rPr>
        <w:t>The below figure illustrates the employees' assessment of the implementation of the provisions of the law to facilitate women’s employment by considering the situation in their working place.</w:t>
      </w:r>
    </w:p>
    <w:p w14:paraId="1DB413EC" w14:textId="77777777" w:rsidR="00BB44E1" w:rsidRPr="00DB0C40" w:rsidRDefault="00BB44E1">
      <w:pPr>
        <w:jc w:val="both"/>
        <w:rPr>
          <w:sz w:val="22"/>
          <w:szCs w:val="22"/>
        </w:rPr>
      </w:pPr>
    </w:p>
    <w:p w14:paraId="246EEA9C" w14:textId="1D5FA0C7" w:rsidR="00BB44E1" w:rsidRPr="00DB0C40" w:rsidRDefault="00230B49">
      <w:pPr>
        <w:jc w:val="center"/>
        <w:rPr>
          <w:b/>
          <w:sz w:val="22"/>
          <w:szCs w:val="22"/>
        </w:rPr>
      </w:pPr>
      <w:bookmarkStart w:id="139" w:name="_Hlk107139940"/>
      <w:r w:rsidRPr="00DB0C40">
        <w:rPr>
          <w:b/>
          <w:sz w:val="22"/>
          <w:szCs w:val="22"/>
        </w:rPr>
        <w:t xml:space="preserve">Figure </w:t>
      </w:r>
      <w:r w:rsidR="00373C22" w:rsidRPr="00DB0C40">
        <w:rPr>
          <w:b/>
          <w:sz w:val="22"/>
          <w:szCs w:val="22"/>
        </w:rPr>
        <w:t>19</w:t>
      </w:r>
      <w:r w:rsidRPr="00DB0C40">
        <w:rPr>
          <w:b/>
          <w:sz w:val="22"/>
          <w:szCs w:val="22"/>
        </w:rPr>
        <w:t xml:space="preserve">. Assessment on how </w:t>
      </w:r>
      <w:r w:rsidR="00B84159" w:rsidRPr="00DB0C40">
        <w:rPr>
          <w:b/>
          <w:sz w:val="22"/>
          <w:szCs w:val="22"/>
        </w:rPr>
        <w:t>P</w:t>
      </w:r>
      <w:r w:rsidRPr="00DB0C40">
        <w:rPr>
          <w:b/>
          <w:sz w:val="22"/>
          <w:szCs w:val="22"/>
        </w:rPr>
        <w:t xml:space="preserve">rovisions in the Labour Law </w:t>
      </w:r>
      <w:r w:rsidR="00B84159" w:rsidRPr="00DB0C40">
        <w:rPr>
          <w:b/>
          <w:sz w:val="22"/>
          <w:szCs w:val="22"/>
        </w:rPr>
        <w:t>F</w:t>
      </w:r>
      <w:r w:rsidRPr="00DB0C40">
        <w:rPr>
          <w:b/>
          <w:sz w:val="22"/>
          <w:szCs w:val="22"/>
        </w:rPr>
        <w:t xml:space="preserve">acilitate Women´s Working </w:t>
      </w:r>
      <w:r w:rsidR="00B84159" w:rsidRPr="00DB0C40">
        <w:rPr>
          <w:b/>
          <w:sz w:val="22"/>
          <w:szCs w:val="22"/>
        </w:rPr>
        <w:t>L</w:t>
      </w:r>
      <w:r w:rsidRPr="00DB0C40">
        <w:rPr>
          <w:b/>
          <w:sz w:val="22"/>
          <w:szCs w:val="22"/>
        </w:rPr>
        <w:t xml:space="preserve">ife in </w:t>
      </w:r>
      <w:r w:rsidR="00B84159" w:rsidRPr="00DB0C40">
        <w:rPr>
          <w:b/>
          <w:sz w:val="22"/>
          <w:szCs w:val="22"/>
        </w:rPr>
        <w:t>P</w:t>
      </w:r>
      <w:r w:rsidRPr="00DB0C40">
        <w:rPr>
          <w:b/>
          <w:sz w:val="22"/>
          <w:szCs w:val="22"/>
        </w:rPr>
        <w:t>ractice (Question B3)</w:t>
      </w:r>
    </w:p>
    <w:bookmarkEnd w:id="139"/>
    <w:p w14:paraId="4E2B2402" w14:textId="77777777" w:rsidR="00BB44E1" w:rsidRPr="00DB0C40" w:rsidRDefault="00BB44E1">
      <w:pPr>
        <w:jc w:val="both"/>
        <w:rPr>
          <w:sz w:val="22"/>
          <w:szCs w:val="22"/>
        </w:rPr>
      </w:pPr>
    </w:p>
    <w:p w14:paraId="6811498D" w14:textId="77777777" w:rsidR="00BB44E1" w:rsidRPr="00DB0C40" w:rsidRDefault="00230B49">
      <w:pPr>
        <w:jc w:val="both"/>
        <w:rPr>
          <w:sz w:val="22"/>
          <w:szCs w:val="22"/>
        </w:rPr>
      </w:pPr>
      <w:r w:rsidRPr="00DB0C40">
        <w:rPr>
          <w:noProof/>
          <w:sz w:val="22"/>
          <w:szCs w:val="22"/>
          <w:lang w:eastAsia="en-GB"/>
        </w:rPr>
        <w:drawing>
          <wp:inline distT="0" distB="0" distL="0" distR="0" wp14:anchorId="51285DF1" wp14:editId="14A8BDD8">
            <wp:extent cx="5772150" cy="3009900"/>
            <wp:effectExtent l="0" t="0" r="0" b="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7A3F847B" w14:textId="2B8B6F59" w:rsidR="00BB44E1" w:rsidRPr="00DB0C40" w:rsidRDefault="00230B49">
      <w:pPr>
        <w:jc w:val="center"/>
        <w:rPr>
          <w:sz w:val="18"/>
          <w:szCs w:val="18"/>
        </w:rPr>
      </w:pPr>
      <w:bookmarkStart w:id="140" w:name="_heading=h.2xcytpi" w:colFirst="0" w:colLast="0"/>
      <w:bookmarkEnd w:id="140"/>
      <w:r w:rsidRPr="00DB0C40">
        <w:rPr>
          <w:sz w:val="18"/>
          <w:szCs w:val="18"/>
        </w:rPr>
        <w:t xml:space="preserve">Source: TAT </w:t>
      </w:r>
      <w:r w:rsidR="00F37BC3" w:rsidRPr="00DB0C40">
        <w:rPr>
          <w:sz w:val="18"/>
          <w:szCs w:val="18"/>
        </w:rPr>
        <w:t>E</w:t>
      </w:r>
      <w:r w:rsidR="00F37BC3">
        <w:rPr>
          <w:sz w:val="18"/>
          <w:szCs w:val="18"/>
        </w:rPr>
        <w:t>labora</w:t>
      </w:r>
      <w:r w:rsidR="00F37BC3" w:rsidRPr="00DB0C40">
        <w:rPr>
          <w:sz w:val="18"/>
          <w:szCs w:val="18"/>
        </w:rPr>
        <w:t>tion</w:t>
      </w:r>
    </w:p>
    <w:p w14:paraId="71CA4FDA" w14:textId="77777777" w:rsidR="00BB44E1" w:rsidRPr="00DB0C40" w:rsidRDefault="00BB44E1">
      <w:pPr>
        <w:jc w:val="both"/>
        <w:rPr>
          <w:sz w:val="22"/>
          <w:szCs w:val="22"/>
        </w:rPr>
      </w:pPr>
    </w:p>
    <w:p w14:paraId="7966510F" w14:textId="4FAEF752" w:rsidR="00BB44E1" w:rsidRPr="00F23644" w:rsidRDefault="00230B49">
      <w:pPr>
        <w:jc w:val="both"/>
        <w:rPr>
          <w:sz w:val="22"/>
          <w:szCs w:val="22"/>
        </w:rPr>
      </w:pPr>
      <w:r w:rsidRPr="00F23644">
        <w:rPr>
          <w:sz w:val="22"/>
          <w:szCs w:val="22"/>
        </w:rPr>
        <w:t xml:space="preserve">From the perspectives of employees’ maternity leave, right to have unpaid maternity leave (71.1%), paternity leave (42.9%) and prohibition of discrimination by gender in terms of payment (41.6%) are the </w:t>
      </w:r>
      <w:r w:rsidRPr="00F23644">
        <w:rPr>
          <w:sz w:val="22"/>
          <w:szCs w:val="22"/>
        </w:rPr>
        <w:lastRenderedPageBreak/>
        <w:t>most effective provisions in practice. On the other hand, the right to part-time work after maternity (9%), was stated as the  least implemented provision. The breastfeeding room (18.6%) and nursery obligation (19.9%) could be interpreted as these provisions implemented effectively when compared with the size of the enterprises covered in the survey (See Figure 7 p</w:t>
      </w:r>
      <w:r w:rsidR="00F37BC3" w:rsidRPr="00F23644">
        <w:rPr>
          <w:sz w:val="22"/>
          <w:szCs w:val="22"/>
        </w:rPr>
        <w:t>.</w:t>
      </w:r>
      <w:r w:rsidRPr="00F23644">
        <w:rPr>
          <w:sz w:val="22"/>
          <w:szCs w:val="22"/>
        </w:rPr>
        <w:t xml:space="preserve"> 31) stated as “not effective”.</w:t>
      </w:r>
    </w:p>
    <w:p w14:paraId="654097D2" w14:textId="77777777" w:rsidR="00BB44E1" w:rsidRPr="00DB0C40" w:rsidRDefault="00BB44E1">
      <w:pPr>
        <w:jc w:val="both"/>
        <w:rPr>
          <w:sz w:val="22"/>
          <w:szCs w:val="22"/>
          <w:highlight w:val="white"/>
        </w:rPr>
      </w:pPr>
    </w:p>
    <w:p w14:paraId="7A0D385D" w14:textId="77777777" w:rsidR="00BB44E1" w:rsidRPr="00DB0C40" w:rsidRDefault="00BB44E1">
      <w:pPr>
        <w:jc w:val="both"/>
        <w:rPr>
          <w:sz w:val="22"/>
          <w:szCs w:val="22"/>
          <w:highlight w:val="white"/>
        </w:rPr>
      </w:pPr>
    </w:p>
    <w:p w14:paraId="68384942" w14:textId="579459DE" w:rsidR="00BB44E1" w:rsidRPr="00DB0C40" w:rsidRDefault="00230B49">
      <w:pPr>
        <w:jc w:val="center"/>
        <w:rPr>
          <w:b/>
          <w:sz w:val="22"/>
          <w:szCs w:val="22"/>
        </w:rPr>
      </w:pPr>
      <w:bookmarkStart w:id="141" w:name="_Hlk107139967"/>
      <w:r w:rsidRPr="00DB0C40">
        <w:rPr>
          <w:b/>
          <w:sz w:val="22"/>
          <w:szCs w:val="22"/>
        </w:rPr>
        <w:t>Figure</w:t>
      </w:r>
      <w:r w:rsidR="00373C22" w:rsidRPr="00DB0C40">
        <w:rPr>
          <w:b/>
          <w:sz w:val="22"/>
          <w:szCs w:val="22"/>
        </w:rPr>
        <w:t xml:space="preserve"> 20</w:t>
      </w:r>
      <w:r w:rsidRPr="00DB0C40">
        <w:rPr>
          <w:b/>
          <w:sz w:val="22"/>
          <w:szCs w:val="22"/>
        </w:rPr>
        <w:t xml:space="preserve">: Assessment on how the </w:t>
      </w:r>
      <w:r w:rsidR="00B84159" w:rsidRPr="00DB0C40">
        <w:rPr>
          <w:b/>
          <w:sz w:val="22"/>
          <w:szCs w:val="22"/>
        </w:rPr>
        <w:t>P</w:t>
      </w:r>
      <w:r w:rsidRPr="00DB0C40">
        <w:rPr>
          <w:b/>
          <w:sz w:val="22"/>
          <w:szCs w:val="22"/>
        </w:rPr>
        <w:t xml:space="preserve">rovisions in the Labour Law </w:t>
      </w:r>
      <w:r w:rsidR="00B84159" w:rsidRPr="00DB0C40">
        <w:rPr>
          <w:b/>
          <w:sz w:val="22"/>
          <w:szCs w:val="22"/>
        </w:rPr>
        <w:t>F</w:t>
      </w:r>
      <w:r w:rsidRPr="00DB0C40">
        <w:rPr>
          <w:b/>
          <w:sz w:val="22"/>
          <w:szCs w:val="22"/>
        </w:rPr>
        <w:t xml:space="preserve">acilitate </w:t>
      </w:r>
      <w:r w:rsidR="00B84159" w:rsidRPr="00DB0C40">
        <w:rPr>
          <w:b/>
          <w:sz w:val="22"/>
          <w:szCs w:val="22"/>
        </w:rPr>
        <w:t>W</w:t>
      </w:r>
      <w:r w:rsidRPr="00DB0C40">
        <w:rPr>
          <w:b/>
          <w:sz w:val="22"/>
          <w:szCs w:val="22"/>
        </w:rPr>
        <w:t xml:space="preserve">omen’s </w:t>
      </w:r>
      <w:r w:rsidR="00B84159" w:rsidRPr="00DB0C40">
        <w:rPr>
          <w:b/>
          <w:sz w:val="22"/>
          <w:szCs w:val="22"/>
        </w:rPr>
        <w:t>W</w:t>
      </w:r>
      <w:r w:rsidRPr="00DB0C40">
        <w:rPr>
          <w:b/>
          <w:sz w:val="22"/>
          <w:szCs w:val="22"/>
        </w:rPr>
        <w:t xml:space="preserve">ork </w:t>
      </w:r>
      <w:r w:rsidR="00B84159" w:rsidRPr="00DB0C40">
        <w:rPr>
          <w:b/>
          <w:sz w:val="22"/>
          <w:szCs w:val="22"/>
        </w:rPr>
        <w:t>L</w:t>
      </w:r>
      <w:r w:rsidRPr="00DB0C40">
        <w:rPr>
          <w:b/>
          <w:sz w:val="22"/>
          <w:szCs w:val="22"/>
        </w:rPr>
        <w:t xml:space="preserve">ife in </w:t>
      </w:r>
      <w:r w:rsidR="00B84159" w:rsidRPr="00DB0C40">
        <w:rPr>
          <w:b/>
          <w:sz w:val="22"/>
          <w:szCs w:val="22"/>
        </w:rPr>
        <w:t>P</w:t>
      </w:r>
      <w:r w:rsidRPr="00DB0C40">
        <w:rPr>
          <w:b/>
          <w:sz w:val="22"/>
          <w:szCs w:val="22"/>
        </w:rPr>
        <w:t>ractice (Question B4)</w:t>
      </w:r>
    </w:p>
    <w:bookmarkEnd w:id="141"/>
    <w:p w14:paraId="525F6462" w14:textId="77777777" w:rsidR="00BB44E1" w:rsidRPr="00DB0C40" w:rsidRDefault="00230B49">
      <w:pPr>
        <w:jc w:val="both"/>
        <w:rPr>
          <w:sz w:val="22"/>
          <w:szCs w:val="22"/>
        </w:rPr>
      </w:pPr>
      <w:r w:rsidRPr="00DB0C40">
        <w:rPr>
          <w:noProof/>
          <w:sz w:val="22"/>
          <w:szCs w:val="22"/>
          <w:lang w:eastAsia="en-GB"/>
        </w:rPr>
        <w:drawing>
          <wp:inline distT="0" distB="0" distL="0" distR="0" wp14:anchorId="2887D266" wp14:editId="7D9F5F1A">
            <wp:extent cx="5759450" cy="2777490"/>
            <wp:effectExtent l="0" t="0" r="12700" b="381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309AE3A9" w14:textId="46C381C4" w:rsidR="00BB44E1" w:rsidRPr="00DB0C40" w:rsidRDefault="00230B49">
      <w:pPr>
        <w:jc w:val="center"/>
        <w:rPr>
          <w:sz w:val="18"/>
          <w:szCs w:val="18"/>
        </w:rPr>
      </w:pPr>
      <w:r w:rsidRPr="00DB0C40">
        <w:rPr>
          <w:sz w:val="18"/>
          <w:szCs w:val="18"/>
        </w:rPr>
        <w:t xml:space="preserve">Source: TAT </w:t>
      </w:r>
      <w:r w:rsidR="00F37BC3" w:rsidRPr="00DB0C40">
        <w:rPr>
          <w:sz w:val="18"/>
          <w:szCs w:val="18"/>
        </w:rPr>
        <w:t>E</w:t>
      </w:r>
      <w:r w:rsidR="00F37BC3">
        <w:rPr>
          <w:sz w:val="18"/>
          <w:szCs w:val="18"/>
        </w:rPr>
        <w:t>labora</w:t>
      </w:r>
      <w:r w:rsidR="00F37BC3" w:rsidRPr="00DB0C40">
        <w:rPr>
          <w:sz w:val="18"/>
          <w:szCs w:val="18"/>
        </w:rPr>
        <w:t>tion</w:t>
      </w:r>
    </w:p>
    <w:p w14:paraId="411C9EFD" w14:textId="77777777" w:rsidR="00BB44E1" w:rsidRPr="00DB0C40" w:rsidRDefault="00BB44E1">
      <w:pPr>
        <w:jc w:val="both"/>
        <w:rPr>
          <w:sz w:val="22"/>
          <w:szCs w:val="22"/>
        </w:rPr>
      </w:pPr>
    </w:p>
    <w:p w14:paraId="020C2C87" w14:textId="77777777" w:rsidR="00BB44E1" w:rsidRPr="00DB0C40" w:rsidRDefault="00BB44E1">
      <w:pPr>
        <w:jc w:val="both"/>
        <w:rPr>
          <w:sz w:val="22"/>
          <w:szCs w:val="22"/>
        </w:rPr>
      </w:pPr>
    </w:p>
    <w:p w14:paraId="2814D7A3" w14:textId="71DB20A8" w:rsidR="00BB44E1" w:rsidRPr="00DB0C40" w:rsidRDefault="00230B49">
      <w:pPr>
        <w:jc w:val="both"/>
        <w:rPr>
          <w:sz w:val="22"/>
          <w:szCs w:val="22"/>
        </w:rPr>
      </w:pPr>
      <w:bookmarkStart w:id="142" w:name="_Hlk130540199"/>
      <w:r w:rsidRPr="00F23644">
        <w:rPr>
          <w:sz w:val="22"/>
          <w:szCs w:val="22"/>
        </w:rPr>
        <w:t>The respondents were asked (Question B4) about their opinion on how the provisions in the labour law facilitates women’s work life in practice. As seen in Figure 11 above, the majority of the respondents think that maternity leave (85%), transportation facilities (84%), anti-discrimination in terms of wages (78.8%), and prohibition for nigh shifts for pregnant and breastfeeding women (78.8) would facilitate women’s employment. 14.5% of the respondents stated that “paternity leave” would facilitate women’s employment “to some extent”. The reason for this statement can be explained by the gender-b</w:t>
      </w:r>
      <w:r w:rsidR="00C27017">
        <w:rPr>
          <w:sz w:val="22"/>
          <w:szCs w:val="22"/>
        </w:rPr>
        <w:t>i</w:t>
      </w:r>
      <w:r w:rsidRPr="00F23644">
        <w:rPr>
          <w:sz w:val="22"/>
          <w:szCs w:val="22"/>
        </w:rPr>
        <w:t>ased division of care work in the household.</w:t>
      </w:r>
      <w:r w:rsidRPr="00DB0C40">
        <w:rPr>
          <w:sz w:val="22"/>
          <w:szCs w:val="22"/>
        </w:rPr>
        <w:t xml:space="preserve"> </w:t>
      </w:r>
    </w:p>
    <w:bookmarkEnd w:id="142"/>
    <w:p w14:paraId="42A16295" w14:textId="77777777" w:rsidR="00BB44E1" w:rsidRPr="00DB0C40" w:rsidRDefault="00BB44E1">
      <w:pPr>
        <w:jc w:val="both"/>
        <w:rPr>
          <w:sz w:val="22"/>
          <w:szCs w:val="22"/>
        </w:rPr>
      </w:pPr>
    </w:p>
    <w:p w14:paraId="3E15A968" w14:textId="77777777" w:rsidR="007A7E2D" w:rsidRDefault="007A7E2D">
      <w:pPr>
        <w:rPr>
          <w:b/>
          <w:sz w:val="22"/>
          <w:szCs w:val="22"/>
        </w:rPr>
      </w:pPr>
      <w:r>
        <w:rPr>
          <w:b/>
          <w:sz w:val="22"/>
          <w:szCs w:val="22"/>
        </w:rPr>
        <w:br w:type="page"/>
      </w:r>
    </w:p>
    <w:p w14:paraId="444FBADB" w14:textId="0796C524" w:rsidR="00BB44E1" w:rsidRPr="00DB0C40" w:rsidRDefault="00230B49">
      <w:pPr>
        <w:jc w:val="center"/>
        <w:rPr>
          <w:b/>
          <w:sz w:val="22"/>
          <w:szCs w:val="22"/>
        </w:rPr>
      </w:pPr>
      <w:r w:rsidRPr="00DB0C40">
        <w:rPr>
          <w:b/>
          <w:sz w:val="22"/>
          <w:szCs w:val="22"/>
        </w:rPr>
        <w:lastRenderedPageBreak/>
        <w:t>F</w:t>
      </w:r>
      <w:bookmarkStart w:id="143" w:name="_Hlk107139995"/>
      <w:r w:rsidRPr="00DB0C40">
        <w:rPr>
          <w:b/>
          <w:sz w:val="22"/>
          <w:szCs w:val="22"/>
        </w:rPr>
        <w:t xml:space="preserve">igure </w:t>
      </w:r>
      <w:r w:rsidR="00373C22" w:rsidRPr="00DB0C40">
        <w:rPr>
          <w:b/>
          <w:sz w:val="22"/>
          <w:szCs w:val="22"/>
        </w:rPr>
        <w:t>21</w:t>
      </w:r>
      <w:r w:rsidRPr="00DB0C40">
        <w:rPr>
          <w:b/>
          <w:sz w:val="22"/>
          <w:szCs w:val="22"/>
        </w:rPr>
        <w:t xml:space="preserve">.  Measures taken at the </w:t>
      </w:r>
      <w:r w:rsidR="00B84159" w:rsidRPr="00DB0C40">
        <w:rPr>
          <w:b/>
          <w:sz w:val="22"/>
          <w:szCs w:val="22"/>
        </w:rPr>
        <w:t>W</w:t>
      </w:r>
      <w:r w:rsidRPr="00DB0C40">
        <w:rPr>
          <w:b/>
          <w:sz w:val="22"/>
          <w:szCs w:val="22"/>
        </w:rPr>
        <w:t xml:space="preserve">orkplace to </w:t>
      </w:r>
      <w:r w:rsidR="00B84159" w:rsidRPr="00DB0C40">
        <w:rPr>
          <w:b/>
          <w:sz w:val="22"/>
          <w:szCs w:val="22"/>
        </w:rPr>
        <w:t>i</w:t>
      </w:r>
      <w:r w:rsidRPr="00DB0C40">
        <w:rPr>
          <w:b/>
          <w:sz w:val="22"/>
          <w:szCs w:val="22"/>
        </w:rPr>
        <w:t xml:space="preserve">mplement the </w:t>
      </w:r>
      <w:r w:rsidR="00B84159" w:rsidRPr="00DB0C40">
        <w:rPr>
          <w:b/>
          <w:sz w:val="22"/>
          <w:szCs w:val="22"/>
        </w:rPr>
        <w:t>P</w:t>
      </w:r>
      <w:r w:rsidRPr="00DB0C40">
        <w:rPr>
          <w:b/>
          <w:sz w:val="22"/>
          <w:szCs w:val="22"/>
        </w:rPr>
        <w:t xml:space="preserve">rovisions of the </w:t>
      </w:r>
      <w:r w:rsidR="00B84159" w:rsidRPr="00DB0C40">
        <w:rPr>
          <w:b/>
          <w:sz w:val="22"/>
          <w:szCs w:val="22"/>
        </w:rPr>
        <w:t>L</w:t>
      </w:r>
      <w:r w:rsidRPr="00DB0C40">
        <w:rPr>
          <w:b/>
          <w:sz w:val="22"/>
          <w:szCs w:val="22"/>
        </w:rPr>
        <w:t>aw (Question B5)</w:t>
      </w:r>
      <w:bookmarkEnd w:id="143"/>
    </w:p>
    <w:p w14:paraId="41C03D66" w14:textId="77777777" w:rsidR="00BB44E1" w:rsidRPr="00DB0C40" w:rsidRDefault="00BB44E1">
      <w:pPr>
        <w:jc w:val="both"/>
        <w:rPr>
          <w:sz w:val="22"/>
          <w:szCs w:val="22"/>
        </w:rPr>
      </w:pPr>
    </w:p>
    <w:p w14:paraId="070043BB" w14:textId="77777777" w:rsidR="00BB44E1" w:rsidRPr="00DB0C40" w:rsidRDefault="00BB44E1">
      <w:pPr>
        <w:jc w:val="both"/>
        <w:rPr>
          <w:sz w:val="22"/>
          <w:szCs w:val="22"/>
        </w:rPr>
      </w:pPr>
    </w:p>
    <w:p w14:paraId="30330FF6" w14:textId="77777777" w:rsidR="00BB44E1" w:rsidRPr="00DB0C40" w:rsidRDefault="00230B49">
      <w:pPr>
        <w:jc w:val="both"/>
        <w:rPr>
          <w:sz w:val="22"/>
          <w:szCs w:val="22"/>
        </w:rPr>
      </w:pPr>
      <w:r w:rsidRPr="00DB0C40">
        <w:rPr>
          <w:noProof/>
          <w:sz w:val="22"/>
          <w:szCs w:val="22"/>
          <w:lang w:eastAsia="en-GB"/>
        </w:rPr>
        <w:drawing>
          <wp:inline distT="0" distB="0" distL="0" distR="0" wp14:anchorId="661076A8" wp14:editId="20A501F2">
            <wp:extent cx="5772150" cy="3086100"/>
            <wp:effectExtent l="0" t="0" r="0" b="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31F81E98" w14:textId="44D986B3" w:rsidR="00BB44E1" w:rsidRPr="00DB0C40" w:rsidRDefault="00230B49">
      <w:pPr>
        <w:jc w:val="center"/>
        <w:rPr>
          <w:sz w:val="18"/>
          <w:szCs w:val="18"/>
        </w:rPr>
      </w:pPr>
      <w:r w:rsidRPr="00DB0C40">
        <w:rPr>
          <w:sz w:val="18"/>
          <w:szCs w:val="18"/>
        </w:rPr>
        <w:t xml:space="preserve">Source: TAT </w:t>
      </w:r>
      <w:r w:rsidR="00F37BC3" w:rsidRPr="00DB0C40">
        <w:rPr>
          <w:sz w:val="18"/>
          <w:szCs w:val="18"/>
        </w:rPr>
        <w:t>E</w:t>
      </w:r>
      <w:r w:rsidR="00F37BC3">
        <w:rPr>
          <w:sz w:val="18"/>
          <w:szCs w:val="18"/>
        </w:rPr>
        <w:t>labora</w:t>
      </w:r>
      <w:r w:rsidR="00F37BC3" w:rsidRPr="00DB0C40">
        <w:rPr>
          <w:sz w:val="18"/>
          <w:szCs w:val="18"/>
        </w:rPr>
        <w:t>tion</w:t>
      </w:r>
    </w:p>
    <w:p w14:paraId="16BA78F9" w14:textId="77777777" w:rsidR="00BB44E1" w:rsidRPr="00DB0C40" w:rsidRDefault="00BB44E1">
      <w:pPr>
        <w:jc w:val="both"/>
        <w:rPr>
          <w:sz w:val="22"/>
          <w:szCs w:val="22"/>
        </w:rPr>
      </w:pPr>
    </w:p>
    <w:p w14:paraId="0ABFB470" w14:textId="77777777" w:rsidR="00BB44E1" w:rsidRPr="00DB0C40" w:rsidRDefault="00230B49">
      <w:pPr>
        <w:jc w:val="both"/>
        <w:rPr>
          <w:sz w:val="22"/>
          <w:szCs w:val="22"/>
        </w:rPr>
      </w:pPr>
      <w:r w:rsidRPr="00F23644">
        <w:rPr>
          <w:sz w:val="22"/>
          <w:szCs w:val="22"/>
        </w:rPr>
        <w:t>The respondents were asked about the level of measures taken at their workplace  to fulfil the requirements of the law; 61,1% of the respondents said that they can use unpaid maternal leave rights as prescribed by the law. More than half of respondents mentioned that maternity and breastfeeding permits specified in the law can be used without any pressure or restriction (51,7%). It is noteworthy to state that also a large ratio of the respondents did not show this response which suggest that there might be an unspecified pressure on employees in terms of their utilisation of maternity and breastfeeding leaves.  In addition, availability of breastfeeding room and crèche facilities are among the least selected option (18.5% and 9.1%, respectively). This low ratio can be also explained with the fact that the majority of the respondents in the study work in companies with lower than 100 female employees (76% of the enterprises included in the study are small and medium scale with 1-100 employees), which are out of the scope of obligation in the Labour law.</w:t>
      </w:r>
      <w:r w:rsidRPr="00DB0C40">
        <w:rPr>
          <w:sz w:val="22"/>
          <w:szCs w:val="22"/>
        </w:rPr>
        <w:t xml:space="preserve">  </w:t>
      </w:r>
    </w:p>
    <w:p w14:paraId="7779E734" w14:textId="77777777" w:rsidR="00BB44E1" w:rsidRPr="00DB0C40" w:rsidRDefault="00BB44E1">
      <w:pPr>
        <w:jc w:val="both"/>
        <w:rPr>
          <w:sz w:val="22"/>
          <w:szCs w:val="22"/>
        </w:rPr>
      </w:pPr>
    </w:p>
    <w:p w14:paraId="1AA7B0C7" w14:textId="77777777" w:rsidR="00BB44E1" w:rsidRPr="00DB0C40" w:rsidRDefault="00230B49">
      <w:pPr>
        <w:jc w:val="both"/>
        <w:rPr>
          <w:sz w:val="22"/>
          <w:szCs w:val="22"/>
        </w:rPr>
      </w:pPr>
      <w:r w:rsidRPr="00DB0C40">
        <w:rPr>
          <w:sz w:val="22"/>
          <w:szCs w:val="22"/>
        </w:rPr>
        <w:t xml:space="preserve">The respondents were also asked about their overall assessment on the efficiency of the Labour Law in increasing women’s employment. </w:t>
      </w:r>
    </w:p>
    <w:p w14:paraId="2E357193" w14:textId="77777777" w:rsidR="00BB44E1" w:rsidRPr="00DB0C40" w:rsidRDefault="00BB44E1">
      <w:pPr>
        <w:jc w:val="both"/>
        <w:rPr>
          <w:sz w:val="22"/>
          <w:szCs w:val="22"/>
        </w:rPr>
      </w:pPr>
    </w:p>
    <w:p w14:paraId="2D544BAD" w14:textId="77777777" w:rsidR="00BB44E1" w:rsidRPr="00DB0C40" w:rsidRDefault="00BB44E1">
      <w:pPr>
        <w:jc w:val="both"/>
        <w:rPr>
          <w:sz w:val="22"/>
          <w:szCs w:val="22"/>
        </w:rPr>
      </w:pPr>
    </w:p>
    <w:p w14:paraId="7D69AF95" w14:textId="77777777" w:rsidR="007A7E2D" w:rsidRDefault="007A7E2D">
      <w:pPr>
        <w:rPr>
          <w:b/>
          <w:sz w:val="22"/>
          <w:szCs w:val="22"/>
        </w:rPr>
      </w:pPr>
      <w:bookmarkStart w:id="144" w:name="_Hlk107140079"/>
      <w:r>
        <w:rPr>
          <w:b/>
          <w:sz w:val="22"/>
          <w:szCs w:val="22"/>
        </w:rPr>
        <w:br w:type="page"/>
      </w:r>
    </w:p>
    <w:p w14:paraId="15E7E519" w14:textId="6010BE84" w:rsidR="00BB44E1" w:rsidRPr="00DB0C40" w:rsidRDefault="00230B49">
      <w:pPr>
        <w:jc w:val="center"/>
        <w:rPr>
          <w:b/>
          <w:sz w:val="22"/>
          <w:szCs w:val="22"/>
        </w:rPr>
      </w:pPr>
      <w:r w:rsidRPr="00DB0C40">
        <w:rPr>
          <w:b/>
          <w:sz w:val="22"/>
          <w:szCs w:val="22"/>
        </w:rPr>
        <w:lastRenderedPageBreak/>
        <w:t>Figure</w:t>
      </w:r>
      <w:r w:rsidR="00373C22" w:rsidRPr="00DB0C40">
        <w:rPr>
          <w:b/>
          <w:sz w:val="22"/>
          <w:szCs w:val="22"/>
        </w:rPr>
        <w:t xml:space="preserve"> 22</w:t>
      </w:r>
      <w:r w:rsidRPr="00DB0C40">
        <w:rPr>
          <w:b/>
          <w:sz w:val="22"/>
          <w:szCs w:val="22"/>
        </w:rPr>
        <w:t xml:space="preserve">: Assessment on the </w:t>
      </w:r>
      <w:r w:rsidR="00B84159" w:rsidRPr="00DB0C40">
        <w:rPr>
          <w:b/>
          <w:sz w:val="22"/>
          <w:szCs w:val="22"/>
        </w:rPr>
        <w:t>E</w:t>
      </w:r>
      <w:r w:rsidRPr="00DB0C40">
        <w:rPr>
          <w:b/>
          <w:sz w:val="22"/>
          <w:szCs w:val="22"/>
        </w:rPr>
        <w:t xml:space="preserve">fficiency of the </w:t>
      </w:r>
      <w:r w:rsidR="00B84159" w:rsidRPr="00DB0C40">
        <w:rPr>
          <w:b/>
          <w:sz w:val="22"/>
          <w:szCs w:val="22"/>
        </w:rPr>
        <w:t>L</w:t>
      </w:r>
      <w:r w:rsidRPr="00DB0C40">
        <w:rPr>
          <w:b/>
          <w:sz w:val="22"/>
          <w:szCs w:val="22"/>
        </w:rPr>
        <w:t xml:space="preserve">aw by </w:t>
      </w:r>
      <w:r w:rsidR="00B84159" w:rsidRPr="00DB0C40">
        <w:rPr>
          <w:b/>
          <w:sz w:val="22"/>
          <w:szCs w:val="22"/>
        </w:rPr>
        <w:t>P</w:t>
      </w:r>
      <w:r w:rsidRPr="00DB0C40">
        <w:rPr>
          <w:b/>
          <w:sz w:val="22"/>
          <w:szCs w:val="22"/>
        </w:rPr>
        <w:t>articipants</w:t>
      </w:r>
    </w:p>
    <w:bookmarkEnd w:id="144"/>
    <w:p w14:paraId="6546904E" w14:textId="77777777" w:rsidR="00B84159" w:rsidRPr="00DB0C40" w:rsidRDefault="00B84159">
      <w:pPr>
        <w:jc w:val="center"/>
        <w:rPr>
          <w:sz w:val="22"/>
          <w:szCs w:val="22"/>
        </w:rPr>
      </w:pPr>
    </w:p>
    <w:p w14:paraId="7C4C9ADD" w14:textId="77777777" w:rsidR="00BB44E1" w:rsidRPr="00DB0C40" w:rsidRDefault="00230B49" w:rsidP="000551F2">
      <w:pPr>
        <w:jc w:val="center"/>
        <w:rPr>
          <w:sz w:val="22"/>
          <w:szCs w:val="22"/>
        </w:rPr>
      </w:pPr>
      <w:r w:rsidRPr="00DB0C40">
        <w:rPr>
          <w:noProof/>
          <w:sz w:val="22"/>
          <w:szCs w:val="22"/>
          <w:lang w:eastAsia="en-GB"/>
        </w:rPr>
        <w:drawing>
          <wp:inline distT="0" distB="0" distL="0" distR="0" wp14:anchorId="75485E81" wp14:editId="20998A67">
            <wp:extent cx="3349625" cy="2740025"/>
            <wp:effectExtent l="0" t="0" r="3175" b="3175"/>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21DE05A0" w14:textId="77777777" w:rsidR="00BB44E1" w:rsidRPr="00DB0C40" w:rsidRDefault="00BB44E1">
      <w:pPr>
        <w:jc w:val="both"/>
        <w:rPr>
          <w:sz w:val="22"/>
          <w:szCs w:val="22"/>
        </w:rPr>
      </w:pPr>
    </w:p>
    <w:p w14:paraId="5D8A8FFC" w14:textId="69E844AA" w:rsidR="00BB44E1" w:rsidRPr="00DB0C40" w:rsidRDefault="00230B49">
      <w:pPr>
        <w:jc w:val="center"/>
        <w:rPr>
          <w:sz w:val="18"/>
          <w:szCs w:val="18"/>
        </w:rPr>
      </w:pPr>
      <w:r w:rsidRPr="00DB0C40">
        <w:rPr>
          <w:sz w:val="18"/>
          <w:szCs w:val="18"/>
        </w:rPr>
        <w:t xml:space="preserve">Source: TAT </w:t>
      </w:r>
      <w:r w:rsidR="00F37BC3" w:rsidRPr="00DB0C40">
        <w:rPr>
          <w:sz w:val="18"/>
          <w:szCs w:val="18"/>
        </w:rPr>
        <w:t>E</w:t>
      </w:r>
      <w:r w:rsidR="00F37BC3">
        <w:rPr>
          <w:sz w:val="18"/>
          <w:szCs w:val="18"/>
        </w:rPr>
        <w:t>labora</w:t>
      </w:r>
      <w:r w:rsidR="00F37BC3" w:rsidRPr="00DB0C40">
        <w:rPr>
          <w:sz w:val="18"/>
          <w:szCs w:val="18"/>
        </w:rPr>
        <w:t>tion</w:t>
      </w:r>
    </w:p>
    <w:p w14:paraId="27C28D9E" w14:textId="77777777" w:rsidR="00BB44E1" w:rsidRPr="00DB0C40" w:rsidRDefault="00BB44E1">
      <w:pPr>
        <w:jc w:val="both"/>
        <w:rPr>
          <w:sz w:val="22"/>
          <w:szCs w:val="22"/>
        </w:rPr>
      </w:pPr>
    </w:p>
    <w:p w14:paraId="6DBF9C6B" w14:textId="77777777" w:rsidR="00BB44E1" w:rsidRPr="00DB0C40" w:rsidRDefault="00BB44E1">
      <w:pPr>
        <w:jc w:val="both"/>
        <w:rPr>
          <w:sz w:val="22"/>
          <w:szCs w:val="22"/>
        </w:rPr>
      </w:pPr>
    </w:p>
    <w:p w14:paraId="6AE0B3A6" w14:textId="77777777" w:rsidR="00BB44E1" w:rsidRPr="00DB0C40" w:rsidRDefault="00BB44E1">
      <w:pPr>
        <w:jc w:val="both"/>
        <w:rPr>
          <w:sz w:val="22"/>
          <w:szCs w:val="22"/>
        </w:rPr>
      </w:pPr>
    </w:p>
    <w:p w14:paraId="4958CE08" w14:textId="77777777" w:rsidR="00BB44E1" w:rsidRPr="00C27017" w:rsidRDefault="00230B49">
      <w:pPr>
        <w:jc w:val="both"/>
        <w:rPr>
          <w:sz w:val="22"/>
          <w:szCs w:val="22"/>
        </w:rPr>
      </w:pPr>
      <w:r w:rsidRPr="00F23644">
        <w:rPr>
          <w:sz w:val="22"/>
          <w:szCs w:val="22"/>
        </w:rPr>
        <w:t xml:space="preserve">As seen, the majority of the participants stated that the current Labour Law is not sufficient/efficient in increasing women’s employment. Looking at the responses in Section C of the questionnaire which was designed to find out suggestions from the respondents for improving the law for increasing women’s employment, it is seen that the most frequent answer is the duration of maternity leave. Almost 90% of the participants stated that “the </w:t>
      </w:r>
      <w:r w:rsidRPr="00F23644">
        <w:rPr>
          <w:b/>
          <w:sz w:val="22"/>
          <w:szCs w:val="22"/>
        </w:rPr>
        <w:t>duration of maternity</w:t>
      </w:r>
      <w:r w:rsidRPr="00F23644">
        <w:rPr>
          <w:sz w:val="22"/>
          <w:szCs w:val="22"/>
        </w:rPr>
        <w:t xml:space="preserve"> leave should be longer (equal to government officers). It is also noteworthy that 82.4% indicated that </w:t>
      </w:r>
      <w:r w:rsidRPr="00F23644">
        <w:rPr>
          <w:b/>
          <w:sz w:val="22"/>
          <w:szCs w:val="22"/>
        </w:rPr>
        <w:t>elderly and patient care</w:t>
      </w:r>
      <w:r w:rsidRPr="00F23644">
        <w:rPr>
          <w:sz w:val="22"/>
          <w:szCs w:val="22"/>
        </w:rPr>
        <w:t xml:space="preserve"> facilities should be also covered by the law. The third most frequent answer is “State support for workplace nurseries” with 82.17%.</w:t>
      </w:r>
      <w:r w:rsidRPr="00C27017">
        <w:rPr>
          <w:sz w:val="22"/>
          <w:szCs w:val="22"/>
        </w:rPr>
        <w:t xml:space="preserve"> </w:t>
      </w:r>
    </w:p>
    <w:p w14:paraId="6EE4E3F1" w14:textId="77777777" w:rsidR="00BB44E1" w:rsidRPr="00C27017" w:rsidRDefault="00BB44E1">
      <w:pPr>
        <w:jc w:val="both"/>
        <w:rPr>
          <w:sz w:val="22"/>
          <w:szCs w:val="22"/>
        </w:rPr>
      </w:pPr>
    </w:p>
    <w:p w14:paraId="5E0988FD" w14:textId="77777777" w:rsidR="00BB44E1" w:rsidRPr="00F23644" w:rsidRDefault="00230B49">
      <w:pPr>
        <w:jc w:val="both"/>
        <w:rPr>
          <w:sz w:val="22"/>
          <w:szCs w:val="22"/>
        </w:rPr>
      </w:pPr>
      <w:r w:rsidRPr="00F23644">
        <w:rPr>
          <w:sz w:val="22"/>
          <w:szCs w:val="22"/>
        </w:rPr>
        <w:t>In the qualitative part of the study, the respondents answered open-ended questions about their opinions on the law and their suggestions for its improvement from a gender aspect. TAT analysed these responses through content analysis and found out the following:</w:t>
      </w:r>
    </w:p>
    <w:p w14:paraId="2ED9363E" w14:textId="77777777" w:rsidR="00BB44E1" w:rsidRPr="00F23644" w:rsidRDefault="00BB44E1">
      <w:pPr>
        <w:jc w:val="both"/>
        <w:rPr>
          <w:sz w:val="22"/>
          <w:szCs w:val="22"/>
        </w:rPr>
      </w:pPr>
    </w:p>
    <w:p w14:paraId="5E02A451" w14:textId="77777777" w:rsidR="00BB44E1" w:rsidRPr="00F23644" w:rsidRDefault="00230B49" w:rsidP="00FB59BE">
      <w:pPr>
        <w:numPr>
          <w:ilvl w:val="0"/>
          <w:numId w:val="2"/>
        </w:numPr>
        <w:spacing w:line="256" w:lineRule="auto"/>
        <w:jc w:val="both"/>
        <w:rPr>
          <w:sz w:val="22"/>
          <w:szCs w:val="22"/>
        </w:rPr>
      </w:pPr>
      <w:r w:rsidRPr="00F23644">
        <w:rPr>
          <w:sz w:val="22"/>
          <w:szCs w:val="22"/>
        </w:rPr>
        <w:t>Care responsibilities are seen as the main issue to tackle for increasing and retaining women’s employment</w:t>
      </w:r>
    </w:p>
    <w:p w14:paraId="26668F52" w14:textId="77777777" w:rsidR="00BB44E1" w:rsidRPr="00F23644" w:rsidRDefault="00230B49" w:rsidP="00FB59BE">
      <w:pPr>
        <w:numPr>
          <w:ilvl w:val="0"/>
          <w:numId w:val="2"/>
        </w:numPr>
        <w:spacing w:line="256" w:lineRule="auto"/>
        <w:jc w:val="both"/>
        <w:rPr>
          <w:sz w:val="22"/>
          <w:szCs w:val="22"/>
        </w:rPr>
      </w:pPr>
      <w:r w:rsidRPr="00F23644">
        <w:rPr>
          <w:sz w:val="22"/>
          <w:szCs w:val="22"/>
        </w:rPr>
        <w:t xml:space="preserve">Transportation and working hours should be arranged to provide work-family life balance. </w:t>
      </w:r>
    </w:p>
    <w:p w14:paraId="4794F2BD" w14:textId="77777777" w:rsidR="00BB44E1" w:rsidRPr="00F23644" w:rsidRDefault="00230B49" w:rsidP="00FB59BE">
      <w:pPr>
        <w:numPr>
          <w:ilvl w:val="0"/>
          <w:numId w:val="2"/>
        </w:numPr>
        <w:spacing w:line="256" w:lineRule="auto"/>
        <w:jc w:val="both"/>
        <w:rPr>
          <w:sz w:val="22"/>
          <w:szCs w:val="22"/>
        </w:rPr>
      </w:pPr>
      <w:r w:rsidRPr="00F23644">
        <w:rPr>
          <w:sz w:val="22"/>
          <w:szCs w:val="22"/>
        </w:rPr>
        <w:t>More and better care facilities should be provided for working mothers and fathers</w:t>
      </w:r>
    </w:p>
    <w:p w14:paraId="38310E1C" w14:textId="77777777" w:rsidR="00BB44E1" w:rsidRPr="00DB0C40" w:rsidRDefault="00BB44E1">
      <w:pPr>
        <w:jc w:val="both"/>
        <w:rPr>
          <w:sz w:val="22"/>
          <w:szCs w:val="22"/>
        </w:rPr>
      </w:pPr>
    </w:p>
    <w:p w14:paraId="4CF70CA8" w14:textId="77777777" w:rsidR="00BB44E1" w:rsidRPr="00DB0C40" w:rsidRDefault="00BB44E1">
      <w:pPr>
        <w:jc w:val="both"/>
        <w:rPr>
          <w:sz w:val="22"/>
          <w:szCs w:val="22"/>
        </w:rPr>
      </w:pPr>
    </w:p>
    <w:p w14:paraId="42BA2F0A" w14:textId="77777777" w:rsidR="007A7E2D" w:rsidRDefault="007A7E2D">
      <w:pPr>
        <w:rPr>
          <w:b/>
          <w:sz w:val="22"/>
          <w:szCs w:val="22"/>
        </w:rPr>
      </w:pPr>
      <w:bookmarkStart w:id="145" w:name="_Hlk107140102"/>
      <w:r>
        <w:rPr>
          <w:b/>
          <w:sz w:val="22"/>
          <w:szCs w:val="22"/>
        </w:rPr>
        <w:br w:type="page"/>
      </w:r>
    </w:p>
    <w:p w14:paraId="3CAD639F" w14:textId="5A81DAF7" w:rsidR="00BB44E1" w:rsidRPr="00DB0C40" w:rsidRDefault="00230B49">
      <w:pPr>
        <w:jc w:val="center"/>
        <w:rPr>
          <w:b/>
          <w:sz w:val="22"/>
          <w:szCs w:val="22"/>
        </w:rPr>
      </w:pPr>
      <w:r w:rsidRPr="00DB0C40">
        <w:rPr>
          <w:b/>
          <w:sz w:val="22"/>
          <w:szCs w:val="22"/>
        </w:rPr>
        <w:lastRenderedPageBreak/>
        <w:t xml:space="preserve">Figure </w:t>
      </w:r>
      <w:r w:rsidR="00373C22" w:rsidRPr="00DB0C40">
        <w:rPr>
          <w:b/>
          <w:sz w:val="22"/>
          <w:szCs w:val="22"/>
        </w:rPr>
        <w:t>23</w:t>
      </w:r>
      <w:r w:rsidRPr="00DB0C40">
        <w:rPr>
          <w:b/>
          <w:sz w:val="22"/>
          <w:szCs w:val="22"/>
        </w:rPr>
        <w:t xml:space="preserve">: Suggestions by </w:t>
      </w:r>
      <w:r w:rsidR="00B84159" w:rsidRPr="00DB0C40">
        <w:rPr>
          <w:b/>
          <w:sz w:val="22"/>
          <w:szCs w:val="22"/>
        </w:rPr>
        <w:t>P</w:t>
      </w:r>
      <w:r w:rsidRPr="00DB0C40">
        <w:rPr>
          <w:b/>
          <w:sz w:val="22"/>
          <w:szCs w:val="22"/>
        </w:rPr>
        <w:t xml:space="preserve">articipants to </w:t>
      </w:r>
      <w:r w:rsidR="00B84159" w:rsidRPr="00DB0C40">
        <w:rPr>
          <w:b/>
          <w:sz w:val="22"/>
          <w:szCs w:val="22"/>
        </w:rPr>
        <w:t>I</w:t>
      </w:r>
      <w:r w:rsidRPr="00DB0C40">
        <w:rPr>
          <w:b/>
          <w:sz w:val="22"/>
          <w:szCs w:val="22"/>
        </w:rPr>
        <w:t xml:space="preserve">mprove the </w:t>
      </w:r>
      <w:r w:rsidR="00B84159" w:rsidRPr="00DB0C40">
        <w:rPr>
          <w:b/>
          <w:sz w:val="22"/>
          <w:szCs w:val="22"/>
        </w:rPr>
        <w:t>L</w:t>
      </w:r>
      <w:r w:rsidRPr="00DB0C40">
        <w:rPr>
          <w:b/>
          <w:sz w:val="22"/>
          <w:szCs w:val="22"/>
        </w:rPr>
        <w:t xml:space="preserve">aw from a </w:t>
      </w:r>
      <w:r w:rsidR="00B84159" w:rsidRPr="00DB0C40">
        <w:rPr>
          <w:b/>
          <w:sz w:val="22"/>
          <w:szCs w:val="22"/>
        </w:rPr>
        <w:t>g</w:t>
      </w:r>
      <w:r w:rsidRPr="00DB0C40">
        <w:rPr>
          <w:b/>
          <w:sz w:val="22"/>
          <w:szCs w:val="22"/>
        </w:rPr>
        <w:t xml:space="preserve">ender </w:t>
      </w:r>
      <w:r w:rsidR="00B84159" w:rsidRPr="00DB0C40">
        <w:rPr>
          <w:b/>
          <w:sz w:val="22"/>
          <w:szCs w:val="22"/>
        </w:rPr>
        <w:t>P</w:t>
      </w:r>
      <w:r w:rsidRPr="00DB0C40">
        <w:rPr>
          <w:b/>
          <w:sz w:val="22"/>
          <w:szCs w:val="22"/>
        </w:rPr>
        <w:t>erspective</w:t>
      </w:r>
    </w:p>
    <w:bookmarkEnd w:id="145"/>
    <w:p w14:paraId="62D39563" w14:textId="77777777" w:rsidR="00BB44E1" w:rsidRPr="00DB0C40" w:rsidRDefault="00230B49">
      <w:pPr>
        <w:jc w:val="both"/>
        <w:rPr>
          <w:sz w:val="22"/>
          <w:szCs w:val="22"/>
        </w:rPr>
      </w:pPr>
      <w:r w:rsidRPr="00DB0C40">
        <w:rPr>
          <w:noProof/>
          <w:sz w:val="22"/>
          <w:szCs w:val="22"/>
          <w:lang w:eastAsia="en-GB"/>
        </w:rPr>
        <w:drawing>
          <wp:inline distT="0" distB="0" distL="0" distR="0" wp14:anchorId="63AA7AB4" wp14:editId="1E322CE0">
            <wp:extent cx="5759450" cy="2453640"/>
            <wp:effectExtent l="0" t="0" r="0" b="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6A16F3DE" w14:textId="3BAA1FE9" w:rsidR="00BB44E1" w:rsidRPr="00DB0C40" w:rsidRDefault="00230B49">
      <w:pPr>
        <w:jc w:val="center"/>
        <w:rPr>
          <w:sz w:val="18"/>
          <w:szCs w:val="18"/>
        </w:rPr>
      </w:pPr>
      <w:r w:rsidRPr="00DB0C40">
        <w:rPr>
          <w:sz w:val="18"/>
          <w:szCs w:val="18"/>
        </w:rPr>
        <w:t xml:space="preserve">Source: TAT </w:t>
      </w:r>
      <w:r w:rsidR="00F37BC3" w:rsidRPr="00DB0C40">
        <w:rPr>
          <w:sz w:val="18"/>
          <w:szCs w:val="18"/>
        </w:rPr>
        <w:t>E</w:t>
      </w:r>
      <w:r w:rsidR="00F37BC3">
        <w:rPr>
          <w:sz w:val="18"/>
          <w:szCs w:val="18"/>
        </w:rPr>
        <w:t>labora</w:t>
      </w:r>
      <w:r w:rsidR="00F37BC3" w:rsidRPr="00DB0C40">
        <w:rPr>
          <w:sz w:val="18"/>
          <w:szCs w:val="18"/>
        </w:rPr>
        <w:t>tion</w:t>
      </w:r>
    </w:p>
    <w:p w14:paraId="0D9683FD" w14:textId="77777777" w:rsidR="00BB44E1" w:rsidRPr="00DB0C40" w:rsidRDefault="00BB44E1">
      <w:pPr>
        <w:jc w:val="both"/>
        <w:rPr>
          <w:sz w:val="22"/>
          <w:szCs w:val="22"/>
        </w:rPr>
      </w:pPr>
    </w:p>
    <w:p w14:paraId="62522972" w14:textId="77777777" w:rsidR="00BB44E1" w:rsidRPr="00DB0C40" w:rsidRDefault="00230B49">
      <w:pPr>
        <w:jc w:val="both"/>
        <w:rPr>
          <w:sz w:val="22"/>
          <w:szCs w:val="22"/>
        </w:rPr>
      </w:pPr>
      <w:bookmarkStart w:id="146" w:name="_heading=h.1ci93xb" w:colFirst="0" w:colLast="0"/>
      <w:bookmarkEnd w:id="146"/>
      <w:r w:rsidRPr="00F23644">
        <w:rPr>
          <w:sz w:val="22"/>
          <w:szCs w:val="22"/>
        </w:rPr>
        <w:t>In conclusion, the findings from the field study indicate that “maternity leave”, “breastfeeding leave”, and “anti-discrimination” provisions of the law are the most effective and widely used at the enterprises. However, the findings also suggest that there is a room for improvement for the law by including elderly and patient care within the scope of the law and by levelling up the duration of maternal in the private sector. In addition, state support for more and better crèches/nurseries are widely suggested by the respondents in the study.</w:t>
      </w:r>
      <w:r w:rsidRPr="00DB0C40">
        <w:rPr>
          <w:sz w:val="22"/>
          <w:szCs w:val="22"/>
        </w:rPr>
        <w:t xml:space="preserve"> </w:t>
      </w:r>
    </w:p>
    <w:p w14:paraId="050CDE86" w14:textId="77777777" w:rsidR="00BB44E1" w:rsidRPr="00DB0C40" w:rsidRDefault="00BB44E1">
      <w:pPr>
        <w:jc w:val="both"/>
        <w:rPr>
          <w:sz w:val="22"/>
          <w:szCs w:val="22"/>
        </w:rPr>
      </w:pPr>
    </w:p>
    <w:p w14:paraId="59C16191" w14:textId="77777777" w:rsidR="00BB44E1" w:rsidRPr="00DB0C40" w:rsidRDefault="00230B49">
      <w:pPr>
        <w:jc w:val="both"/>
        <w:rPr>
          <w:sz w:val="22"/>
          <w:szCs w:val="22"/>
        </w:rPr>
      </w:pPr>
      <w:r w:rsidRPr="00DB0C40">
        <w:rPr>
          <w:sz w:val="22"/>
          <w:szCs w:val="22"/>
        </w:rPr>
        <w:t xml:space="preserve">Below, the findings from the field study with the employers are explained in detail. </w:t>
      </w:r>
    </w:p>
    <w:p w14:paraId="6AC8DBED" w14:textId="77777777" w:rsidR="00BB44E1" w:rsidRPr="00DB0C40" w:rsidRDefault="00BB44E1">
      <w:pPr>
        <w:jc w:val="both"/>
        <w:rPr>
          <w:sz w:val="22"/>
          <w:szCs w:val="22"/>
        </w:rPr>
      </w:pPr>
    </w:p>
    <w:p w14:paraId="36AA14A6" w14:textId="7088A5E4" w:rsidR="00BB44E1" w:rsidRPr="00CD2A61" w:rsidRDefault="00230B49">
      <w:pPr>
        <w:jc w:val="both"/>
        <w:rPr>
          <w:rFonts w:asciiTheme="majorHAnsi" w:eastAsiaTheme="majorEastAsia" w:hAnsiTheme="majorHAnsi" w:cstheme="majorBidi"/>
          <w:color w:val="1F3763" w:themeColor="accent1" w:themeShade="7F"/>
        </w:rPr>
      </w:pPr>
      <w:bookmarkStart w:id="147" w:name="_heading=h.3whwml4" w:colFirst="0" w:colLast="0"/>
      <w:bookmarkEnd w:id="147"/>
      <w:r w:rsidRPr="00CD2A61">
        <w:rPr>
          <w:rFonts w:asciiTheme="majorHAnsi" w:eastAsiaTheme="majorEastAsia" w:hAnsiTheme="majorHAnsi" w:cstheme="majorBidi"/>
          <w:color w:val="1F3763" w:themeColor="accent1" w:themeShade="7F"/>
        </w:rPr>
        <w:t xml:space="preserve">5.2.2. </w:t>
      </w:r>
      <w:bookmarkStart w:id="148" w:name="_Hlk107140155"/>
      <w:r w:rsidRPr="00CD2A61">
        <w:rPr>
          <w:rFonts w:asciiTheme="majorHAnsi" w:eastAsiaTheme="majorEastAsia" w:hAnsiTheme="majorHAnsi" w:cstheme="majorBidi"/>
          <w:color w:val="1F3763" w:themeColor="accent1" w:themeShade="7F"/>
        </w:rPr>
        <w:t xml:space="preserve">Results from Employer </w:t>
      </w:r>
      <w:r w:rsidR="00B84159" w:rsidRPr="00CD2A61">
        <w:rPr>
          <w:rFonts w:asciiTheme="majorHAnsi" w:eastAsiaTheme="majorEastAsia" w:hAnsiTheme="majorHAnsi" w:cstheme="majorBidi"/>
          <w:color w:val="1F3763" w:themeColor="accent1" w:themeShade="7F"/>
        </w:rPr>
        <w:t>P</w:t>
      </w:r>
      <w:r w:rsidRPr="00CD2A61">
        <w:rPr>
          <w:rFonts w:asciiTheme="majorHAnsi" w:eastAsiaTheme="majorEastAsia" w:hAnsiTheme="majorHAnsi" w:cstheme="majorBidi"/>
          <w:color w:val="1F3763" w:themeColor="accent1" w:themeShade="7F"/>
        </w:rPr>
        <w:t>articipants</w:t>
      </w:r>
    </w:p>
    <w:p w14:paraId="35E70064" w14:textId="77777777" w:rsidR="00BB44E1" w:rsidRPr="00DB0C40" w:rsidRDefault="00BB44E1">
      <w:pPr>
        <w:jc w:val="both"/>
        <w:rPr>
          <w:b/>
          <w:sz w:val="22"/>
          <w:szCs w:val="22"/>
        </w:rPr>
      </w:pPr>
      <w:bookmarkStart w:id="149" w:name="_heading=h.23h8r7s1knhm" w:colFirst="0" w:colLast="0"/>
      <w:bookmarkEnd w:id="149"/>
    </w:p>
    <w:p w14:paraId="7A06DF3B" w14:textId="77777777" w:rsidR="00BB44E1" w:rsidRPr="00CD2A61" w:rsidRDefault="00230B49">
      <w:pPr>
        <w:jc w:val="both"/>
        <w:rPr>
          <w:rFonts w:asciiTheme="majorHAnsi" w:eastAsiaTheme="majorEastAsia" w:hAnsiTheme="majorHAnsi" w:cstheme="majorBidi"/>
          <w:color w:val="1F3763" w:themeColor="accent1" w:themeShade="7F"/>
        </w:rPr>
      </w:pPr>
      <w:r w:rsidRPr="00CD2A61">
        <w:rPr>
          <w:rFonts w:asciiTheme="majorHAnsi" w:eastAsiaTheme="majorEastAsia" w:hAnsiTheme="majorHAnsi" w:cstheme="majorBidi"/>
          <w:color w:val="1F3763" w:themeColor="accent1" w:themeShade="7F"/>
        </w:rPr>
        <w:t>5.2.2.1. Demographic Profile of the Employers</w:t>
      </w:r>
    </w:p>
    <w:bookmarkEnd w:id="148"/>
    <w:p w14:paraId="74AED1A4" w14:textId="77777777" w:rsidR="00BB44E1" w:rsidRPr="00DB0C40" w:rsidRDefault="00BB44E1">
      <w:pPr>
        <w:jc w:val="both"/>
        <w:rPr>
          <w:sz w:val="22"/>
          <w:szCs w:val="22"/>
        </w:rPr>
      </w:pPr>
    </w:p>
    <w:p w14:paraId="71AD807A" w14:textId="77777777" w:rsidR="00BB44E1" w:rsidRPr="00DB0C40" w:rsidRDefault="00230B49">
      <w:pPr>
        <w:jc w:val="both"/>
        <w:rPr>
          <w:sz w:val="22"/>
          <w:szCs w:val="22"/>
        </w:rPr>
      </w:pPr>
      <w:r w:rsidRPr="00F23644">
        <w:rPr>
          <w:sz w:val="22"/>
          <w:szCs w:val="22"/>
        </w:rPr>
        <w:t>Another target group of the face-to-face interviews  was the employers that are responsible from the implementation of the regulations. In this regard, in each of the province 35 face-to-face interviews out of 100 were conducted with the managers, owners or high-level officials of the employers (159 persons). 82% of respondents were from private-sector establishments while 18% were from government institutions.</w:t>
      </w:r>
    </w:p>
    <w:p w14:paraId="2826CAEC" w14:textId="77777777" w:rsidR="00BB44E1" w:rsidRPr="00DB0C40" w:rsidRDefault="00BB44E1">
      <w:pPr>
        <w:jc w:val="both"/>
        <w:rPr>
          <w:sz w:val="22"/>
          <w:szCs w:val="22"/>
        </w:rPr>
      </w:pPr>
    </w:p>
    <w:p w14:paraId="3B159725" w14:textId="77777777" w:rsidR="00373C22" w:rsidRPr="00DB0C40" w:rsidRDefault="00373C22">
      <w:pPr>
        <w:jc w:val="center"/>
        <w:rPr>
          <w:b/>
          <w:bCs/>
          <w:sz w:val="22"/>
          <w:szCs w:val="22"/>
        </w:rPr>
      </w:pPr>
    </w:p>
    <w:p w14:paraId="73438A49" w14:textId="1A8D557F" w:rsidR="00BB44E1" w:rsidRPr="00DB0C40" w:rsidRDefault="00230B49">
      <w:pPr>
        <w:jc w:val="center"/>
        <w:rPr>
          <w:b/>
          <w:bCs/>
          <w:sz w:val="22"/>
          <w:szCs w:val="22"/>
        </w:rPr>
      </w:pPr>
      <w:bookmarkStart w:id="150" w:name="_Hlk107140200"/>
      <w:r w:rsidRPr="00DB0C40">
        <w:rPr>
          <w:b/>
          <w:bCs/>
          <w:sz w:val="22"/>
          <w:szCs w:val="22"/>
        </w:rPr>
        <w:t xml:space="preserve">Table </w:t>
      </w:r>
      <w:r w:rsidR="00373C22" w:rsidRPr="00DB0C40">
        <w:rPr>
          <w:b/>
          <w:bCs/>
          <w:sz w:val="22"/>
          <w:szCs w:val="22"/>
        </w:rPr>
        <w:t>11</w:t>
      </w:r>
      <w:r w:rsidRPr="00DB0C40">
        <w:rPr>
          <w:b/>
          <w:bCs/>
          <w:sz w:val="22"/>
          <w:szCs w:val="22"/>
        </w:rPr>
        <w:t>: Distribution of respondents per province</w:t>
      </w:r>
    </w:p>
    <w:tbl>
      <w:tblPr>
        <w:tblStyle w:val="a7"/>
        <w:tblW w:w="4540" w:type="dxa"/>
        <w:jc w:val="center"/>
        <w:tblLayout w:type="fixed"/>
        <w:tblLook w:val="0400" w:firstRow="0" w:lastRow="0" w:firstColumn="0" w:lastColumn="0" w:noHBand="0" w:noVBand="1"/>
      </w:tblPr>
      <w:tblGrid>
        <w:gridCol w:w="2700"/>
        <w:gridCol w:w="920"/>
        <w:gridCol w:w="920"/>
      </w:tblGrid>
      <w:tr w:rsidR="00BB44E1" w:rsidRPr="00DB0C40" w14:paraId="459014AE" w14:textId="77777777" w:rsidTr="007A7E2D">
        <w:trPr>
          <w:trHeight w:val="750"/>
          <w:jc w:val="center"/>
        </w:trPr>
        <w:tc>
          <w:tcPr>
            <w:tcW w:w="2700"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vAlign w:val="center"/>
          </w:tcPr>
          <w:bookmarkEnd w:id="150"/>
          <w:p w14:paraId="011D0876" w14:textId="77777777" w:rsidR="00BB44E1" w:rsidRPr="00711F8A" w:rsidRDefault="00230B49">
            <w:pPr>
              <w:jc w:val="center"/>
              <w:rPr>
                <w:b/>
                <w:bCs/>
                <w:color w:val="000000"/>
                <w:sz w:val="18"/>
                <w:szCs w:val="18"/>
              </w:rPr>
            </w:pPr>
            <w:r w:rsidRPr="00711F8A">
              <w:rPr>
                <w:b/>
                <w:bCs/>
                <w:color w:val="000000"/>
                <w:sz w:val="18"/>
                <w:szCs w:val="18"/>
              </w:rPr>
              <w:t>Province</w:t>
            </w:r>
          </w:p>
        </w:tc>
        <w:tc>
          <w:tcPr>
            <w:tcW w:w="920" w:type="dxa"/>
            <w:tcBorders>
              <w:top w:val="single" w:sz="4" w:space="0" w:color="000000"/>
              <w:left w:val="nil"/>
              <w:bottom w:val="single" w:sz="4" w:space="0" w:color="000000"/>
              <w:right w:val="single" w:sz="4" w:space="0" w:color="000000"/>
            </w:tcBorders>
            <w:shd w:val="clear" w:color="auto" w:fill="D9E2F3" w:themeFill="accent1" w:themeFillTint="33"/>
            <w:vAlign w:val="center"/>
          </w:tcPr>
          <w:p w14:paraId="51DA46BF" w14:textId="77777777" w:rsidR="00BB44E1" w:rsidRPr="00711F8A" w:rsidRDefault="00230B49">
            <w:pPr>
              <w:jc w:val="center"/>
              <w:rPr>
                <w:b/>
                <w:bCs/>
                <w:color w:val="000000"/>
                <w:sz w:val="18"/>
                <w:szCs w:val="18"/>
              </w:rPr>
            </w:pPr>
            <w:r w:rsidRPr="00711F8A">
              <w:rPr>
                <w:b/>
                <w:bCs/>
                <w:color w:val="000000"/>
                <w:sz w:val="18"/>
                <w:szCs w:val="18"/>
              </w:rPr>
              <w:t>n</w:t>
            </w:r>
          </w:p>
        </w:tc>
        <w:tc>
          <w:tcPr>
            <w:tcW w:w="920" w:type="dxa"/>
            <w:tcBorders>
              <w:top w:val="single" w:sz="4" w:space="0" w:color="000000"/>
              <w:left w:val="nil"/>
              <w:bottom w:val="single" w:sz="4" w:space="0" w:color="000000"/>
              <w:right w:val="single" w:sz="4" w:space="0" w:color="000000"/>
            </w:tcBorders>
            <w:shd w:val="clear" w:color="auto" w:fill="D9E2F3" w:themeFill="accent1" w:themeFillTint="33"/>
            <w:vAlign w:val="center"/>
          </w:tcPr>
          <w:p w14:paraId="3DD8E9DA" w14:textId="77777777" w:rsidR="00BB44E1" w:rsidRPr="00711F8A" w:rsidRDefault="00230B49">
            <w:pPr>
              <w:jc w:val="center"/>
              <w:rPr>
                <w:b/>
                <w:bCs/>
                <w:color w:val="000000"/>
                <w:sz w:val="18"/>
                <w:szCs w:val="18"/>
              </w:rPr>
            </w:pPr>
            <w:r w:rsidRPr="00711F8A">
              <w:rPr>
                <w:b/>
                <w:bCs/>
                <w:color w:val="000000"/>
                <w:sz w:val="18"/>
                <w:szCs w:val="18"/>
              </w:rPr>
              <w:t>%</w:t>
            </w:r>
          </w:p>
        </w:tc>
      </w:tr>
      <w:tr w:rsidR="00BB44E1" w:rsidRPr="00DB0C40" w14:paraId="28807AE2" w14:textId="77777777" w:rsidTr="007A7E2D">
        <w:trPr>
          <w:trHeight w:val="300"/>
          <w:jc w:val="center"/>
        </w:trPr>
        <w:tc>
          <w:tcPr>
            <w:tcW w:w="2700" w:type="dxa"/>
            <w:tcBorders>
              <w:top w:val="nil"/>
              <w:left w:val="single" w:sz="4" w:space="0" w:color="000000"/>
              <w:bottom w:val="single" w:sz="4" w:space="0" w:color="000000"/>
              <w:right w:val="single" w:sz="4" w:space="0" w:color="000000"/>
            </w:tcBorders>
            <w:shd w:val="clear" w:color="auto" w:fill="B4C6E7" w:themeFill="accent1" w:themeFillTint="66"/>
            <w:vAlign w:val="center"/>
          </w:tcPr>
          <w:p w14:paraId="437631CD" w14:textId="77777777" w:rsidR="00BB44E1" w:rsidRPr="00711F8A" w:rsidRDefault="00230B49">
            <w:pPr>
              <w:jc w:val="center"/>
              <w:rPr>
                <w:b/>
                <w:bCs/>
                <w:color w:val="000000"/>
                <w:sz w:val="18"/>
                <w:szCs w:val="18"/>
              </w:rPr>
            </w:pPr>
            <w:r w:rsidRPr="00711F8A">
              <w:rPr>
                <w:b/>
                <w:bCs/>
                <w:color w:val="000000"/>
                <w:sz w:val="18"/>
                <w:szCs w:val="18"/>
              </w:rPr>
              <w:t>Adana</w:t>
            </w:r>
          </w:p>
        </w:tc>
        <w:tc>
          <w:tcPr>
            <w:tcW w:w="920" w:type="dxa"/>
            <w:tcBorders>
              <w:top w:val="nil"/>
              <w:left w:val="nil"/>
              <w:bottom w:val="single" w:sz="4" w:space="0" w:color="000000"/>
              <w:right w:val="single" w:sz="4" w:space="0" w:color="000000"/>
            </w:tcBorders>
            <w:shd w:val="clear" w:color="auto" w:fill="FBE4D5" w:themeFill="accent2" w:themeFillTint="33"/>
            <w:vAlign w:val="center"/>
          </w:tcPr>
          <w:p w14:paraId="2861501A" w14:textId="77777777" w:rsidR="00BB44E1" w:rsidRPr="00711F8A" w:rsidRDefault="00230B49">
            <w:pPr>
              <w:jc w:val="center"/>
              <w:rPr>
                <w:color w:val="000000"/>
                <w:sz w:val="18"/>
                <w:szCs w:val="18"/>
              </w:rPr>
            </w:pPr>
            <w:r w:rsidRPr="00711F8A">
              <w:rPr>
                <w:color w:val="000000"/>
                <w:sz w:val="18"/>
                <w:szCs w:val="18"/>
              </w:rPr>
              <w:t>30</w:t>
            </w:r>
          </w:p>
        </w:tc>
        <w:tc>
          <w:tcPr>
            <w:tcW w:w="920" w:type="dxa"/>
            <w:tcBorders>
              <w:top w:val="nil"/>
              <w:left w:val="nil"/>
              <w:bottom w:val="single" w:sz="4" w:space="0" w:color="000000"/>
              <w:right w:val="single" w:sz="4" w:space="0" w:color="000000"/>
            </w:tcBorders>
            <w:shd w:val="clear" w:color="auto" w:fill="FBE4D5" w:themeFill="accent2" w:themeFillTint="33"/>
            <w:vAlign w:val="center"/>
          </w:tcPr>
          <w:p w14:paraId="384ACBFD" w14:textId="77777777" w:rsidR="00BB44E1" w:rsidRPr="00711F8A" w:rsidRDefault="00230B49">
            <w:pPr>
              <w:jc w:val="center"/>
              <w:rPr>
                <w:color w:val="000000"/>
                <w:sz w:val="18"/>
                <w:szCs w:val="18"/>
              </w:rPr>
            </w:pPr>
            <w:r w:rsidRPr="00711F8A">
              <w:rPr>
                <w:color w:val="000000"/>
                <w:sz w:val="18"/>
                <w:szCs w:val="18"/>
              </w:rPr>
              <w:t>19%</w:t>
            </w:r>
          </w:p>
        </w:tc>
      </w:tr>
      <w:tr w:rsidR="00BB44E1" w:rsidRPr="00DB0C40" w14:paraId="65E1F7B4" w14:textId="77777777" w:rsidTr="007A7E2D">
        <w:trPr>
          <w:trHeight w:val="300"/>
          <w:jc w:val="center"/>
        </w:trPr>
        <w:tc>
          <w:tcPr>
            <w:tcW w:w="2700" w:type="dxa"/>
            <w:tcBorders>
              <w:top w:val="nil"/>
              <w:left w:val="single" w:sz="4" w:space="0" w:color="000000"/>
              <w:bottom w:val="single" w:sz="4" w:space="0" w:color="000000"/>
              <w:right w:val="single" w:sz="4" w:space="0" w:color="000000"/>
            </w:tcBorders>
            <w:shd w:val="clear" w:color="auto" w:fill="B4C6E7" w:themeFill="accent1" w:themeFillTint="66"/>
            <w:vAlign w:val="center"/>
          </w:tcPr>
          <w:p w14:paraId="63F6FF00" w14:textId="77777777" w:rsidR="00BB44E1" w:rsidRPr="00711F8A" w:rsidRDefault="00230B49">
            <w:pPr>
              <w:jc w:val="center"/>
              <w:rPr>
                <w:b/>
                <w:bCs/>
                <w:color w:val="000000"/>
                <w:sz w:val="18"/>
                <w:szCs w:val="18"/>
              </w:rPr>
            </w:pPr>
            <w:r w:rsidRPr="00711F8A">
              <w:rPr>
                <w:b/>
                <w:bCs/>
                <w:color w:val="000000"/>
                <w:sz w:val="18"/>
                <w:szCs w:val="18"/>
              </w:rPr>
              <w:t>Ankara</w:t>
            </w:r>
          </w:p>
        </w:tc>
        <w:tc>
          <w:tcPr>
            <w:tcW w:w="920" w:type="dxa"/>
            <w:tcBorders>
              <w:top w:val="nil"/>
              <w:left w:val="nil"/>
              <w:bottom w:val="single" w:sz="4" w:space="0" w:color="000000"/>
              <w:right w:val="single" w:sz="4" w:space="0" w:color="000000"/>
            </w:tcBorders>
            <w:shd w:val="clear" w:color="auto" w:fill="FBE4D5" w:themeFill="accent2" w:themeFillTint="33"/>
            <w:vAlign w:val="center"/>
          </w:tcPr>
          <w:p w14:paraId="15A1871B" w14:textId="77777777" w:rsidR="00BB44E1" w:rsidRPr="00711F8A" w:rsidRDefault="00230B49">
            <w:pPr>
              <w:jc w:val="center"/>
              <w:rPr>
                <w:color w:val="000000"/>
                <w:sz w:val="18"/>
                <w:szCs w:val="18"/>
              </w:rPr>
            </w:pPr>
            <w:r w:rsidRPr="00711F8A">
              <w:rPr>
                <w:color w:val="000000"/>
                <w:sz w:val="18"/>
                <w:szCs w:val="18"/>
              </w:rPr>
              <w:t>34</w:t>
            </w:r>
          </w:p>
        </w:tc>
        <w:tc>
          <w:tcPr>
            <w:tcW w:w="920" w:type="dxa"/>
            <w:tcBorders>
              <w:top w:val="nil"/>
              <w:left w:val="nil"/>
              <w:bottom w:val="single" w:sz="4" w:space="0" w:color="000000"/>
              <w:right w:val="single" w:sz="4" w:space="0" w:color="000000"/>
            </w:tcBorders>
            <w:shd w:val="clear" w:color="auto" w:fill="FBE4D5" w:themeFill="accent2" w:themeFillTint="33"/>
            <w:vAlign w:val="center"/>
          </w:tcPr>
          <w:p w14:paraId="70C8E40F" w14:textId="77777777" w:rsidR="00BB44E1" w:rsidRPr="00711F8A" w:rsidRDefault="00230B49">
            <w:pPr>
              <w:jc w:val="center"/>
              <w:rPr>
                <w:color w:val="000000"/>
                <w:sz w:val="18"/>
                <w:szCs w:val="18"/>
              </w:rPr>
            </w:pPr>
            <w:r w:rsidRPr="00711F8A">
              <w:rPr>
                <w:color w:val="000000"/>
                <w:sz w:val="18"/>
                <w:szCs w:val="18"/>
              </w:rPr>
              <w:t>21%</w:t>
            </w:r>
          </w:p>
        </w:tc>
      </w:tr>
      <w:tr w:rsidR="00BB44E1" w:rsidRPr="00DB0C40" w14:paraId="126D5EE3" w14:textId="77777777" w:rsidTr="007A7E2D">
        <w:trPr>
          <w:trHeight w:val="300"/>
          <w:jc w:val="center"/>
        </w:trPr>
        <w:tc>
          <w:tcPr>
            <w:tcW w:w="2700" w:type="dxa"/>
            <w:tcBorders>
              <w:top w:val="nil"/>
              <w:left w:val="single" w:sz="4" w:space="0" w:color="000000"/>
              <w:bottom w:val="single" w:sz="4" w:space="0" w:color="000000"/>
              <w:right w:val="single" w:sz="4" w:space="0" w:color="000000"/>
            </w:tcBorders>
            <w:shd w:val="clear" w:color="auto" w:fill="B4C6E7" w:themeFill="accent1" w:themeFillTint="66"/>
            <w:vAlign w:val="center"/>
          </w:tcPr>
          <w:p w14:paraId="28E88FBB" w14:textId="77777777" w:rsidR="00BB44E1" w:rsidRPr="00711F8A" w:rsidRDefault="00230B49">
            <w:pPr>
              <w:jc w:val="center"/>
              <w:rPr>
                <w:b/>
                <w:bCs/>
                <w:color w:val="000000"/>
                <w:sz w:val="18"/>
                <w:szCs w:val="18"/>
              </w:rPr>
            </w:pPr>
            <w:r w:rsidRPr="00711F8A">
              <w:rPr>
                <w:b/>
                <w:bCs/>
                <w:color w:val="000000"/>
                <w:sz w:val="18"/>
                <w:szCs w:val="18"/>
              </w:rPr>
              <w:t>Bursa</w:t>
            </w:r>
          </w:p>
        </w:tc>
        <w:tc>
          <w:tcPr>
            <w:tcW w:w="920" w:type="dxa"/>
            <w:tcBorders>
              <w:top w:val="nil"/>
              <w:left w:val="nil"/>
              <w:bottom w:val="single" w:sz="4" w:space="0" w:color="000000"/>
              <w:right w:val="single" w:sz="4" w:space="0" w:color="000000"/>
            </w:tcBorders>
            <w:shd w:val="clear" w:color="auto" w:fill="FBE4D5" w:themeFill="accent2" w:themeFillTint="33"/>
            <w:vAlign w:val="center"/>
          </w:tcPr>
          <w:p w14:paraId="7CDEBC84" w14:textId="77777777" w:rsidR="00BB44E1" w:rsidRPr="00711F8A" w:rsidRDefault="00230B49">
            <w:pPr>
              <w:jc w:val="center"/>
              <w:rPr>
                <w:color w:val="000000"/>
                <w:sz w:val="18"/>
                <w:szCs w:val="18"/>
              </w:rPr>
            </w:pPr>
            <w:r w:rsidRPr="00711F8A">
              <w:rPr>
                <w:color w:val="000000"/>
                <w:sz w:val="18"/>
                <w:szCs w:val="18"/>
              </w:rPr>
              <w:t>31</w:t>
            </w:r>
          </w:p>
        </w:tc>
        <w:tc>
          <w:tcPr>
            <w:tcW w:w="920" w:type="dxa"/>
            <w:tcBorders>
              <w:top w:val="nil"/>
              <w:left w:val="nil"/>
              <w:bottom w:val="single" w:sz="4" w:space="0" w:color="000000"/>
              <w:right w:val="single" w:sz="4" w:space="0" w:color="000000"/>
            </w:tcBorders>
            <w:shd w:val="clear" w:color="auto" w:fill="FBE4D5" w:themeFill="accent2" w:themeFillTint="33"/>
            <w:vAlign w:val="center"/>
          </w:tcPr>
          <w:p w14:paraId="07F30E04" w14:textId="77777777" w:rsidR="00BB44E1" w:rsidRPr="00711F8A" w:rsidRDefault="00230B49">
            <w:pPr>
              <w:jc w:val="center"/>
              <w:rPr>
                <w:color w:val="000000"/>
                <w:sz w:val="18"/>
                <w:szCs w:val="18"/>
              </w:rPr>
            </w:pPr>
            <w:r w:rsidRPr="00711F8A">
              <w:rPr>
                <w:color w:val="000000"/>
                <w:sz w:val="18"/>
                <w:szCs w:val="18"/>
              </w:rPr>
              <w:t>19%</w:t>
            </w:r>
          </w:p>
        </w:tc>
      </w:tr>
      <w:tr w:rsidR="00BB44E1" w:rsidRPr="00DB0C40" w14:paraId="6D426713" w14:textId="77777777" w:rsidTr="007A7E2D">
        <w:trPr>
          <w:trHeight w:val="300"/>
          <w:jc w:val="center"/>
        </w:trPr>
        <w:tc>
          <w:tcPr>
            <w:tcW w:w="2700" w:type="dxa"/>
            <w:tcBorders>
              <w:top w:val="nil"/>
              <w:left w:val="single" w:sz="4" w:space="0" w:color="000000"/>
              <w:bottom w:val="single" w:sz="4" w:space="0" w:color="000000"/>
              <w:right w:val="single" w:sz="4" w:space="0" w:color="000000"/>
            </w:tcBorders>
            <w:shd w:val="clear" w:color="auto" w:fill="B4C6E7" w:themeFill="accent1" w:themeFillTint="66"/>
            <w:vAlign w:val="center"/>
          </w:tcPr>
          <w:p w14:paraId="08DDDD1F" w14:textId="77777777" w:rsidR="00BB44E1" w:rsidRPr="00711F8A" w:rsidRDefault="00230B49">
            <w:pPr>
              <w:jc w:val="center"/>
              <w:rPr>
                <w:b/>
                <w:bCs/>
                <w:color w:val="000000"/>
                <w:sz w:val="18"/>
                <w:szCs w:val="18"/>
              </w:rPr>
            </w:pPr>
            <w:r w:rsidRPr="00711F8A">
              <w:rPr>
                <w:b/>
                <w:bCs/>
                <w:color w:val="000000"/>
                <w:sz w:val="18"/>
                <w:szCs w:val="18"/>
              </w:rPr>
              <w:t>İstanbul</w:t>
            </w:r>
          </w:p>
        </w:tc>
        <w:tc>
          <w:tcPr>
            <w:tcW w:w="920" w:type="dxa"/>
            <w:tcBorders>
              <w:top w:val="nil"/>
              <w:left w:val="nil"/>
              <w:bottom w:val="single" w:sz="4" w:space="0" w:color="000000"/>
              <w:right w:val="single" w:sz="4" w:space="0" w:color="000000"/>
            </w:tcBorders>
            <w:shd w:val="clear" w:color="auto" w:fill="FBE4D5" w:themeFill="accent2" w:themeFillTint="33"/>
            <w:vAlign w:val="center"/>
          </w:tcPr>
          <w:p w14:paraId="427899A5" w14:textId="77777777" w:rsidR="00BB44E1" w:rsidRPr="00711F8A" w:rsidRDefault="00230B49">
            <w:pPr>
              <w:jc w:val="center"/>
              <w:rPr>
                <w:color w:val="000000"/>
                <w:sz w:val="18"/>
                <w:szCs w:val="18"/>
              </w:rPr>
            </w:pPr>
            <w:r w:rsidRPr="00711F8A">
              <w:rPr>
                <w:color w:val="000000"/>
                <w:sz w:val="18"/>
                <w:szCs w:val="18"/>
              </w:rPr>
              <w:t>31</w:t>
            </w:r>
          </w:p>
        </w:tc>
        <w:tc>
          <w:tcPr>
            <w:tcW w:w="920" w:type="dxa"/>
            <w:tcBorders>
              <w:top w:val="nil"/>
              <w:left w:val="nil"/>
              <w:bottom w:val="single" w:sz="4" w:space="0" w:color="000000"/>
              <w:right w:val="single" w:sz="4" w:space="0" w:color="000000"/>
            </w:tcBorders>
            <w:shd w:val="clear" w:color="auto" w:fill="FBE4D5" w:themeFill="accent2" w:themeFillTint="33"/>
            <w:vAlign w:val="center"/>
          </w:tcPr>
          <w:p w14:paraId="27AB2F4D" w14:textId="77777777" w:rsidR="00BB44E1" w:rsidRPr="00711F8A" w:rsidRDefault="00230B49">
            <w:pPr>
              <w:jc w:val="center"/>
              <w:rPr>
                <w:color w:val="000000"/>
                <w:sz w:val="18"/>
                <w:szCs w:val="18"/>
              </w:rPr>
            </w:pPr>
            <w:r w:rsidRPr="00711F8A">
              <w:rPr>
                <w:color w:val="000000"/>
                <w:sz w:val="18"/>
                <w:szCs w:val="18"/>
              </w:rPr>
              <w:t>19%</w:t>
            </w:r>
          </w:p>
        </w:tc>
      </w:tr>
      <w:tr w:rsidR="00BB44E1" w:rsidRPr="00DB0C40" w14:paraId="6374532B" w14:textId="77777777" w:rsidTr="007A7E2D">
        <w:trPr>
          <w:trHeight w:val="300"/>
          <w:jc w:val="center"/>
        </w:trPr>
        <w:tc>
          <w:tcPr>
            <w:tcW w:w="2700" w:type="dxa"/>
            <w:tcBorders>
              <w:top w:val="nil"/>
              <w:left w:val="single" w:sz="4" w:space="0" w:color="000000"/>
              <w:bottom w:val="single" w:sz="4" w:space="0" w:color="000000"/>
              <w:right w:val="single" w:sz="4" w:space="0" w:color="000000"/>
            </w:tcBorders>
            <w:shd w:val="clear" w:color="auto" w:fill="B4C6E7" w:themeFill="accent1" w:themeFillTint="66"/>
            <w:vAlign w:val="center"/>
          </w:tcPr>
          <w:p w14:paraId="27793665" w14:textId="77777777" w:rsidR="00BB44E1" w:rsidRPr="00711F8A" w:rsidRDefault="00230B49">
            <w:pPr>
              <w:jc w:val="center"/>
              <w:rPr>
                <w:b/>
                <w:bCs/>
                <w:color w:val="000000"/>
                <w:sz w:val="18"/>
                <w:szCs w:val="18"/>
              </w:rPr>
            </w:pPr>
            <w:r w:rsidRPr="00711F8A">
              <w:rPr>
                <w:b/>
                <w:bCs/>
                <w:color w:val="000000"/>
                <w:sz w:val="18"/>
                <w:szCs w:val="18"/>
              </w:rPr>
              <w:t>İzmir</w:t>
            </w:r>
          </w:p>
        </w:tc>
        <w:tc>
          <w:tcPr>
            <w:tcW w:w="920" w:type="dxa"/>
            <w:tcBorders>
              <w:top w:val="nil"/>
              <w:left w:val="nil"/>
              <w:bottom w:val="single" w:sz="4" w:space="0" w:color="000000"/>
              <w:right w:val="single" w:sz="4" w:space="0" w:color="000000"/>
            </w:tcBorders>
            <w:shd w:val="clear" w:color="auto" w:fill="FBE4D5" w:themeFill="accent2" w:themeFillTint="33"/>
            <w:vAlign w:val="center"/>
          </w:tcPr>
          <w:p w14:paraId="70288925" w14:textId="77777777" w:rsidR="00BB44E1" w:rsidRPr="00711F8A" w:rsidRDefault="00230B49">
            <w:pPr>
              <w:jc w:val="center"/>
              <w:rPr>
                <w:color w:val="000000"/>
                <w:sz w:val="18"/>
                <w:szCs w:val="18"/>
              </w:rPr>
            </w:pPr>
            <w:r w:rsidRPr="00711F8A">
              <w:rPr>
                <w:color w:val="000000"/>
                <w:sz w:val="18"/>
                <w:szCs w:val="18"/>
              </w:rPr>
              <w:t>33</w:t>
            </w:r>
          </w:p>
        </w:tc>
        <w:tc>
          <w:tcPr>
            <w:tcW w:w="920" w:type="dxa"/>
            <w:tcBorders>
              <w:top w:val="nil"/>
              <w:left w:val="nil"/>
              <w:bottom w:val="single" w:sz="4" w:space="0" w:color="000000"/>
              <w:right w:val="single" w:sz="4" w:space="0" w:color="000000"/>
            </w:tcBorders>
            <w:shd w:val="clear" w:color="auto" w:fill="FBE4D5" w:themeFill="accent2" w:themeFillTint="33"/>
            <w:vAlign w:val="center"/>
          </w:tcPr>
          <w:p w14:paraId="5E224315" w14:textId="77777777" w:rsidR="00BB44E1" w:rsidRPr="00711F8A" w:rsidRDefault="00230B49">
            <w:pPr>
              <w:jc w:val="center"/>
              <w:rPr>
                <w:color w:val="000000"/>
                <w:sz w:val="18"/>
                <w:szCs w:val="18"/>
              </w:rPr>
            </w:pPr>
            <w:r w:rsidRPr="00711F8A">
              <w:rPr>
                <w:color w:val="000000"/>
                <w:sz w:val="18"/>
                <w:szCs w:val="18"/>
              </w:rPr>
              <w:t>21%</w:t>
            </w:r>
          </w:p>
        </w:tc>
      </w:tr>
      <w:tr w:rsidR="00BB44E1" w:rsidRPr="00DB0C40" w14:paraId="487435E5" w14:textId="77777777" w:rsidTr="007A7E2D">
        <w:trPr>
          <w:trHeight w:val="300"/>
          <w:jc w:val="center"/>
        </w:trPr>
        <w:tc>
          <w:tcPr>
            <w:tcW w:w="2700" w:type="dxa"/>
            <w:tcBorders>
              <w:top w:val="nil"/>
              <w:left w:val="single" w:sz="4" w:space="0" w:color="000000"/>
              <w:bottom w:val="single" w:sz="4" w:space="0" w:color="000000"/>
              <w:right w:val="single" w:sz="4" w:space="0" w:color="000000"/>
            </w:tcBorders>
            <w:shd w:val="clear" w:color="auto" w:fill="B4C6E7" w:themeFill="accent1" w:themeFillTint="66"/>
            <w:vAlign w:val="center"/>
          </w:tcPr>
          <w:p w14:paraId="00A790F6" w14:textId="77777777" w:rsidR="00BB44E1" w:rsidRPr="00711F8A" w:rsidRDefault="00230B49">
            <w:pPr>
              <w:jc w:val="center"/>
              <w:rPr>
                <w:b/>
                <w:bCs/>
                <w:color w:val="000000"/>
                <w:sz w:val="18"/>
                <w:szCs w:val="18"/>
              </w:rPr>
            </w:pPr>
            <w:r w:rsidRPr="00711F8A">
              <w:rPr>
                <w:b/>
                <w:bCs/>
                <w:color w:val="000000"/>
                <w:sz w:val="18"/>
                <w:szCs w:val="18"/>
              </w:rPr>
              <w:t>Total</w:t>
            </w:r>
          </w:p>
        </w:tc>
        <w:tc>
          <w:tcPr>
            <w:tcW w:w="920" w:type="dxa"/>
            <w:tcBorders>
              <w:top w:val="nil"/>
              <w:left w:val="nil"/>
              <w:bottom w:val="single" w:sz="4" w:space="0" w:color="000000"/>
              <w:right w:val="single" w:sz="4" w:space="0" w:color="000000"/>
            </w:tcBorders>
            <w:shd w:val="clear" w:color="auto" w:fill="FBE4D5" w:themeFill="accent2" w:themeFillTint="33"/>
            <w:vAlign w:val="center"/>
          </w:tcPr>
          <w:p w14:paraId="3770D5E7" w14:textId="77777777" w:rsidR="00BB44E1" w:rsidRPr="00711F8A" w:rsidRDefault="00230B49">
            <w:pPr>
              <w:jc w:val="center"/>
              <w:rPr>
                <w:color w:val="000000"/>
                <w:sz w:val="18"/>
                <w:szCs w:val="18"/>
              </w:rPr>
            </w:pPr>
            <w:r w:rsidRPr="00711F8A">
              <w:rPr>
                <w:color w:val="000000"/>
                <w:sz w:val="18"/>
                <w:szCs w:val="18"/>
              </w:rPr>
              <w:t>159</w:t>
            </w:r>
          </w:p>
        </w:tc>
        <w:tc>
          <w:tcPr>
            <w:tcW w:w="920" w:type="dxa"/>
            <w:tcBorders>
              <w:top w:val="nil"/>
              <w:left w:val="nil"/>
              <w:bottom w:val="single" w:sz="4" w:space="0" w:color="000000"/>
              <w:right w:val="single" w:sz="4" w:space="0" w:color="000000"/>
            </w:tcBorders>
            <w:shd w:val="clear" w:color="auto" w:fill="FBE4D5" w:themeFill="accent2" w:themeFillTint="33"/>
            <w:vAlign w:val="center"/>
          </w:tcPr>
          <w:p w14:paraId="7ECAE305" w14:textId="77777777" w:rsidR="00BB44E1" w:rsidRPr="00711F8A" w:rsidRDefault="00230B49">
            <w:pPr>
              <w:jc w:val="center"/>
              <w:rPr>
                <w:color w:val="000000"/>
                <w:sz w:val="18"/>
                <w:szCs w:val="18"/>
              </w:rPr>
            </w:pPr>
            <w:r w:rsidRPr="00711F8A">
              <w:rPr>
                <w:color w:val="000000"/>
                <w:sz w:val="18"/>
                <w:szCs w:val="18"/>
              </w:rPr>
              <w:t>100%</w:t>
            </w:r>
          </w:p>
        </w:tc>
      </w:tr>
    </w:tbl>
    <w:p w14:paraId="2D446E6E" w14:textId="5866AE6C" w:rsidR="00BB44E1" w:rsidRPr="00DB0C40" w:rsidRDefault="00230B49">
      <w:pPr>
        <w:jc w:val="center"/>
        <w:rPr>
          <w:sz w:val="18"/>
          <w:szCs w:val="18"/>
        </w:rPr>
      </w:pPr>
      <w:r w:rsidRPr="00DB0C40">
        <w:rPr>
          <w:sz w:val="18"/>
          <w:szCs w:val="18"/>
        </w:rPr>
        <w:t xml:space="preserve">Source: TAT </w:t>
      </w:r>
      <w:r w:rsidR="00F37BC3" w:rsidRPr="00DB0C40">
        <w:rPr>
          <w:sz w:val="18"/>
          <w:szCs w:val="18"/>
        </w:rPr>
        <w:t>E</w:t>
      </w:r>
      <w:r w:rsidR="00F37BC3">
        <w:rPr>
          <w:sz w:val="18"/>
          <w:szCs w:val="18"/>
        </w:rPr>
        <w:t>labora</w:t>
      </w:r>
      <w:r w:rsidR="00F37BC3" w:rsidRPr="00DB0C40">
        <w:rPr>
          <w:sz w:val="18"/>
          <w:szCs w:val="18"/>
        </w:rPr>
        <w:t>tion</w:t>
      </w:r>
    </w:p>
    <w:p w14:paraId="354D3C71" w14:textId="77777777" w:rsidR="00BB44E1" w:rsidRPr="00DB0C40" w:rsidRDefault="00BB44E1">
      <w:pPr>
        <w:jc w:val="both"/>
        <w:rPr>
          <w:sz w:val="22"/>
          <w:szCs w:val="22"/>
        </w:rPr>
      </w:pPr>
    </w:p>
    <w:p w14:paraId="6F1483A7" w14:textId="77777777" w:rsidR="00BB44E1" w:rsidRPr="00DB0C40" w:rsidRDefault="00230B49">
      <w:pPr>
        <w:spacing w:before="240" w:after="240"/>
        <w:jc w:val="both"/>
        <w:rPr>
          <w:sz w:val="22"/>
          <w:szCs w:val="22"/>
        </w:rPr>
      </w:pPr>
      <w:r w:rsidRPr="00DB0C40">
        <w:rPr>
          <w:sz w:val="22"/>
          <w:szCs w:val="22"/>
        </w:rPr>
        <w:t>The majority of the enterprises included in the study are small and medium scale (%58). Only 28% of the enterprises employ more than 100 people. The below Figure 7 presents the distribution of the number of enterprises by the number of employees in  2022.</w:t>
      </w:r>
    </w:p>
    <w:p w14:paraId="010B9E40" w14:textId="77777777" w:rsidR="00BB44E1" w:rsidRPr="00DB0C40" w:rsidRDefault="00BB44E1">
      <w:pPr>
        <w:jc w:val="both"/>
        <w:rPr>
          <w:sz w:val="22"/>
          <w:szCs w:val="22"/>
        </w:rPr>
      </w:pPr>
    </w:p>
    <w:p w14:paraId="35C2A50A" w14:textId="77777777" w:rsidR="00BB44E1" w:rsidRPr="00DB0C40" w:rsidRDefault="00BB44E1">
      <w:pPr>
        <w:jc w:val="both"/>
        <w:rPr>
          <w:sz w:val="22"/>
          <w:szCs w:val="22"/>
        </w:rPr>
      </w:pPr>
    </w:p>
    <w:p w14:paraId="0742356C" w14:textId="7B83E3EF" w:rsidR="00BB44E1" w:rsidRPr="00DB0C40" w:rsidRDefault="00230B49">
      <w:pPr>
        <w:jc w:val="center"/>
        <w:rPr>
          <w:b/>
          <w:sz w:val="22"/>
          <w:szCs w:val="22"/>
        </w:rPr>
      </w:pPr>
      <w:bookmarkStart w:id="151" w:name="_Hlk107140255"/>
      <w:r w:rsidRPr="00DB0C40">
        <w:rPr>
          <w:b/>
          <w:sz w:val="22"/>
          <w:szCs w:val="22"/>
        </w:rPr>
        <w:t xml:space="preserve">Figure </w:t>
      </w:r>
      <w:r w:rsidR="00373C22" w:rsidRPr="00DB0C40">
        <w:rPr>
          <w:b/>
          <w:sz w:val="22"/>
          <w:szCs w:val="22"/>
        </w:rPr>
        <w:t>24</w:t>
      </w:r>
      <w:r w:rsidRPr="00DB0C40">
        <w:rPr>
          <w:b/>
          <w:sz w:val="22"/>
          <w:szCs w:val="22"/>
        </w:rPr>
        <w:t xml:space="preserve">. Number of </w:t>
      </w:r>
      <w:r w:rsidR="00B84159" w:rsidRPr="00DB0C40">
        <w:rPr>
          <w:b/>
          <w:sz w:val="22"/>
          <w:szCs w:val="22"/>
        </w:rPr>
        <w:t>E</w:t>
      </w:r>
      <w:r w:rsidRPr="00DB0C40">
        <w:rPr>
          <w:b/>
          <w:sz w:val="22"/>
          <w:szCs w:val="22"/>
        </w:rPr>
        <w:t xml:space="preserve">mployees at the </w:t>
      </w:r>
      <w:r w:rsidR="00B84159" w:rsidRPr="00DB0C40">
        <w:rPr>
          <w:b/>
          <w:sz w:val="22"/>
          <w:szCs w:val="22"/>
        </w:rPr>
        <w:t>I</w:t>
      </w:r>
      <w:r w:rsidRPr="00DB0C40">
        <w:rPr>
          <w:b/>
          <w:sz w:val="22"/>
          <w:szCs w:val="22"/>
        </w:rPr>
        <w:t xml:space="preserve">nterviewed </w:t>
      </w:r>
      <w:r w:rsidR="00B84159" w:rsidRPr="00DB0C40">
        <w:rPr>
          <w:b/>
          <w:sz w:val="22"/>
          <w:szCs w:val="22"/>
        </w:rPr>
        <w:t>E</w:t>
      </w:r>
      <w:r w:rsidRPr="00DB0C40">
        <w:rPr>
          <w:b/>
          <w:sz w:val="22"/>
          <w:szCs w:val="22"/>
        </w:rPr>
        <w:t>nterprises, 2022</w:t>
      </w:r>
      <w:r w:rsidR="00FC3AC5" w:rsidRPr="00DB0C40">
        <w:rPr>
          <w:b/>
          <w:sz w:val="22"/>
          <w:szCs w:val="22"/>
        </w:rPr>
        <w:t xml:space="preserve"> </w:t>
      </w:r>
      <w:r w:rsidRPr="00DB0C40">
        <w:rPr>
          <w:b/>
          <w:sz w:val="22"/>
          <w:szCs w:val="22"/>
        </w:rPr>
        <w:t>(%)</w:t>
      </w:r>
    </w:p>
    <w:bookmarkEnd w:id="151"/>
    <w:p w14:paraId="12082570" w14:textId="77777777" w:rsidR="00BB44E1" w:rsidRPr="00DB0C40" w:rsidRDefault="00230B49">
      <w:pPr>
        <w:jc w:val="center"/>
        <w:rPr>
          <w:sz w:val="22"/>
          <w:szCs w:val="22"/>
        </w:rPr>
      </w:pPr>
      <w:r w:rsidRPr="00DB0C40">
        <w:rPr>
          <w:noProof/>
          <w:sz w:val="22"/>
          <w:szCs w:val="22"/>
          <w:lang w:eastAsia="en-GB"/>
        </w:rPr>
        <w:drawing>
          <wp:inline distT="0" distB="0" distL="0" distR="0" wp14:anchorId="05F04CEB" wp14:editId="6EC3880B">
            <wp:extent cx="4581525" cy="2476500"/>
            <wp:effectExtent l="0" t="0" r="0" b="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5D90EBD0" w14:textId="4786E04C" w:rsidR="00BB44E1" w:rsidRPr="00DB0C40" w:rsidRDefault="00230B49">
      <w:pPr>
        <w:jc w:val="center"/>
        <w:rPr>
          <w:sz w:val="18"/>
          <w:szCs w:val="18"/>
        </w:rPr>
      </w:pPr>
      <w:bookmarkStart w:id="152" w:name="_heading=h.2bn6wsx" w:colFirst="0" w:colLast="0"/>
      <w:bookmarkEnd w:id="152"/>
      <w:r w:rsidRPr="00DB0C40">
        <w:rPr>
          <w:sz w:val="18"/>
          <w:szCs w:val="18"/>
        </w:rPr>
        <w:t xml:space="preserve">Source: TAT </w:t>
      </w:r>
      <w:r w:rsidR="00F37BC3" w:rsidRPr="00DB0C40">
        <w:rPr>
          <w:sz w:val="18"/>
          <w:szCs w:val="18"/>
        </w:rPr>
        <w:t>E</w:t>
      </w:r>
      <w:r w:rsidR="00F37BC3">
        <w:rPr>
          <w:sz w:val="18"/>
          <w:szCs w:val="18"/>
        </w:rPr>
        <w:t>labora</w:t>
      </w:r>
      <w:r w:rsidR="00F37BC3" w:rsidRPr="00DB0C40">
        <w:rPr>
          <w:sz w:val="18"/>
          <w:szCs w:val="18"/>
        </w:rPr>
        <w:t>tion</w:t>
      </w:r>
    </w:p>
    <w:p w14:paraId="1BB37843" w14:textId="77777777" w:rsidR="00BB44E1" w:rsidRPr="00DB0C40" w:rsidRDefault="00BB44E1">
      <w:pPr>
        <w:jc w:val="both"/>
        <w:rPr>
          <w:sz w:val="22"/>
          <w:szCs w:val="22"/>
        </w:rPr>
      </w:pPr>
    </w:p>
    <w:p w14:paraId="4F1952D1" w14:textId="77777777" w:rsidR="00BB44E1" w:rsidRPr="00F23644" w:rsidRDefault="00230B49">
      <w:pPr>
        <w:jc w:val="both"/>
        <w:rPr>
          <w:sz w:val="22"/>
          <w:szCs w:val="22"/>
        </w:rPr>
      </w:pPr>
      <w:r w:rsidRPr="00F23644">
        <w:rPr>
          <w:sz w:val="22"/>
          <w:szCs w:val="22"/>
        </w:rPr>
        <w:t xml:space="preserve">The number of employees by gender is given in the graph below. As seen 43.6% of the employees are women and when compared to 2015 data from the same enterprises, we see a slight increase in the number of female employees. In 2015, the ratio of female employees at the interviewed enterprises was 39.3%. </w:t>
      </w:r>
    </w:p>
    <w:p w14:paraId="198B09C6" w14:textId="77777777" w:rsidR="00BB44E1" w:rsidRPr="00F23644" w:rsidRDefault="00BB44E1">
      <w:pPr>
        <w:jc w:val="both"/>
        <w:rPr>
          <w:sz w:val="22"/>
          <w:szCs w:val="22"/>
        </w:rPr>
      </w:pPr>
    </w:p>
    <w:p w14:paraId="0602AF59" w14:textId="77777777" w:rsidR="00BB44E1" w:rsidRPr="00DB0C40" w:rsidRDefault="00230B49">
      <w:pPr>
        <w:jc w:val="both"/>
        <w:rPr>
          <w:sz w:val="22"/>
          <w:szCs w:val="22"/>
        </w:rPr>
      </w:pPr>
      <w:r w:rsidRPr="00F23644">
        <w:rPr>
          <w:sz w:val="22"/>
          <w:szCs w:val="22"/>
        </w:rPr>
        <w:t>The below pie charts present the respondents by gender and their position within the organisation. 62% of the respondents were men and 38 % were women and more than 80% of the respondents were high-level managers including the owner, manager, and senior management positions. The majority of the enterprises included in the study are small and medium scale (%50). Below figure presents the number of employees working at the interviewed enterprises by 2022.</w:t>
      </w:r>
    </w:p>
    <w:p w14:paraId="300DA893" w14:textId="77777777" w:rsidR="00BB44E1" w:rsidRPr="00DB0C40" w:rsidRDefault="00BB44E1">
      <w:pPr>
        <w:jc w:val="center"/>
        <w:rPr>
          <w:b/>
          <w:sz w:val="22"/>
          <w:szCs w:val="22"/>
        </w:rPr>
      </w:pPr>
    </w:p>
    <w:p w14:paraId="28CF8BD0" w14:textId="77777777" w:rsidR="00490C4C" w:rsidRPr="00DB0C40" w:rsidRDefault="00490C4C">
      <w:pPr>
        <w:jc w:val="center"/>
        <w:rPr>
          <w:b/>
          <w:sz w:val="22"/>
          <w:szCs w:val="22"/>
        </w:rPr>
      </w:pPr>
    </w:p>
    <w:p w14:paraId="2E4FB085" w14:textId="77777777" w:rsidR="007A7E2D" w:rsidRDefault="007A7E2D">
      <w:pPr>
        <w:rPr>
          <w:b/>
          <w:sz w:val="22"/>
          <w:szCs w:val="22"/>
        </w:rPr>
      </w:pPr>
      <w:bookmarkStart w:id="153" w:name="_Hlk107140281"/>
      <w:r>
        <w:rPr>
          <w:b/>
          <w:sz w:val="22"/>
          <w:szCs w:val="22"/>
        </w:rPr>
        <w:br w:type="page"/>
      </w:r>
    </w:p>
    <w:p w14:paraId="1708CE92" w14:textId="0359FD1B" w:rsidR="00BB44E1" w:rsidRPr="00DB0C40" w:rsidRDefault="00230B49">
      <w:pPr>
        <w:jc w:val="center"/>
        <w:rPr>
          <w:b/>
          <w:sz w:val="22"/>
          <w:szCs w:val="22"/>
        </w:rPr>
      </w:pPr>
      <w:r w:rsidRPr="00DB0C40">
        <w:rPr>
          <w:b/>
          <w:sz w:val="22"/>
          <w:szCs w:val="22"/>
        </w:rPr>
        <w:lastRenderedPageBreak/>
        <w:t xml:space="preserve">Figure </w:t>
      </w:r>
      <w:r w:rsidR="00490C4C" w:rsidRPr="00DB0C40">
        <w:rPr>
          <w:b/>
          <w:sz w:val="22"/>
          <w:szCs w:val="22"/>
        </w:rPr>
        <w:t>25</w:t>
      </w:r>
      <w:r w:rsidRPr="00DB0C40">
        <w:rPr>
          <w:b/>
          <w:sz w:val="22"/>
          <w:szCs w:val="22"/>
        </w:rPr>
        <w:t xml:space="preserve">. Distribution of </w:t>
      </w:r>
      <w:r w:rsidR="00FC3AC5" w:rsidRPr="00DB0C40">
        <w:rPr>
          <w:b/>
          <w:sz w:val="22"/>
          <w:szCs w:val="22"/>
        </w:rPr>
        <w:t>E</w:t>
      </w:r>
      <w:r w:rsidRPr="00DB0C40">
        <w:rPr>
          <w:b/>
          <w:sz w:val="22"/>
          <w:szCs w:val="22"/>
        </w:rPr>
        <w:t xml:space="preserve">mployees by </w:t>
      </w:r>
      <w:r w:rsidR="00FC3AC5" w:rsidRPr="00DB0C40">
        <w:rPr>
          <w:b/>
          <w:sz w:val="22"/>
          <w:szCs w:val="22"/>
        </w:rPr>
        <w:t>G</w:t>
      </w:r>
      <w:r w:rsidRPr="00DB0C40">
        <w:rPr>
          <w:b/>
          <w:sz w:val="22"/>
          <w:szCs w:val="22"/>
        </w:rPr>
        <w:t>ender, 2022 (%)</w:t>
      </w:r>
    </w:p>
    <w:bookmarkEnd w:id="153"/>
    <w:p w14:paraId="47E96F3C" w14:textId="77777777" w:rsidR="00BB44E1" w:rsidRPr="00DB0C40" w:rsidRDefault="00BB44E1">
      <w:pPr>
        <w:jc w:val="both"/>
        <w:rPr>
          <w:sz w:val="22"/>
          <w:szCs w:val="22"/>
        </w:rPr>
      </w:pPr>
    </w:p>
    <w:p w14:paraId="615D337A" w14:textId="77777777" w:rsidR="00BB44E1" w:rsidRPr="00DB0C40" w:rsidRDefault="00230B49">
      <w:pPr>
        <w:jc w:val="center"/>
        <w:rPr>
          <w:sz w:val="22"/>
          <w:szCs w:val="22"/>
        </w:rPr>
      </w:pPr>
      <w:r w:rsidRPr="00DB0C40">
        <w:rPr>
          <w:noProof/>
          <w:sz w:val="22"/>
          <w:szCs w:val="22"/>
          <w:lang w:eastAsia="en-GB"/>
        </w:rPr>
        <w:drawing>
          <wp:inline distT="0" distB="0" distL="0" distR="0" wp14:anchorId="5E47026F" wp14:editId="653540A7">
            <wp:extent cx="4581525" cy="2752725"/>
            <wp:effectExtent l="0" t="0" r="0" b="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4F8CB1A0" w14:textId="0082EE30" w:rsidR="00BB44E1" w:rsidRPr="00DB0C40" w:rsidRDefault="00230B49">
      <w:pPr>
        <w:jc w:val="center"/>
        <w:rPr>
          <w:sz w:val="18"/>
          <w:szCs w:val="18"/>
        </w:rPr>
      </w:pPr>
      <w:r w:rsidRPr="00DB0C40">
        <w:rPr>
          <w:sz w:val="18"/>
          <w:szCs w:val="18"/>
        </w:rPr>
        <w:t xml:space="preserve">Source: TAT </w:t>
      </w:r>
      <w:r w:rsidR="00F37BC3" w:rsidRPr="00DB0C40">
        <w:rPr>
          <w:sz w:val="18"/>
          <w:szCs w:val="18"/>
        </w:rPr>
        <w:t>E</w:t>
      </w:r>
      <w:r w:rsidR="00F37BC3">
        <w:rPr>
          <w:sz w:val="18"/>
          <w:szCs w:val="18"/>
        </w:rPr>
        <w:t>labora</w:t>
      </w:r>
      <w:r w:rsidR="00F37BC3" w:rsidRPr="00DB0C40">
        <w:rPr>
          <w:sz w:val="18"/>
          <w:szCs w:val="18"/>
        </w:rPr>
        <w:t>tion</w:t>
      </w:r>
    </w:p>
    <w:p w14:paraId="63872CF3" w14:textId="77777777" w:rsidR="00BB44E1" w:rsidRPr="00DB0C40" w:rsidRDefault="00BB44E1">
      <w:pPr>
        <w:jc w:val="both"/>
        <w:rPr>
          <w:sz w:val="22"/>
          <w:szCs w:val="22"/>
        </w:rPr>
      </w:pPr>
    </w:p>
    <w:p w14:paraId="53D460B6" w14:textId="77777777" w:rsidR="00BB44E1" w:rsidRPr="00DB0C40" w:rsidRDefault="00230B49">
      <w:pPr>
        <w:jc w:val="both"/>
        <w:rPr>
          <w:sz w:val="22"/>
          <w:szCs w:val="22"/>
        </w:rPr>
      </w:pPr>
      <w:r w:rsidRPr="00DB0C40">
        <w:rPr>
          <w:sz w:val="22"/>
          <w:szCs w:val="22"/>
        </w:rPr>
        <w:t xml:space="preserve">While 43.6% of the employees at the interviewed enterprises are women, only 37% of the senior managers are women at the same enterprises. This suggests a clear gap in management positions between men and women. </w:t>
      </w:r>
    </w:p>
    <w:p w14:paraId="158EF851" w14:textId="77777777" w:rsidR="00BB44E1" w:rsidRPr="00DB0C40" w:rsidRDefault="00BB44E1">
      <w:pPr>
        <w:jc w:val="both"/>
        <w:rPr>
          <w:sz w:val="22"/>
          <w:szCs w:val="22"/>
        </w:rPr>
      </w:pPr>
    </w:p>
    <w:p w14:paraId="28D8F8DE" w14:textId="4DC23D5B" w:rsidR="00BB44E1" w:rsidRPr="00CD2A61" w:rsidRDefault="00230B49">
      <w:pPr>
        <w:jc w:val="both"/>
        <w:rPr>
          <w:rFonts w:asciiTheme="majorHAnsi" w:eastAsiaTheme="majorEastAsia" w:hAnsiTheme="majorHAnsi" w:cstheme="majorBidi"/>
          <w:color w:val="1F3763" w:themeColor="accent1" w:themeShade="7F"/>
        </w:rPr>
      </w:pPr>
      <w:r w:rsidRPr="00CD2A61">
        <w:rPr>
          <w:rFonts w:asciiTheme="majorHAnsi" w:eastAsiaTheme="majorEastAsia" w:hAnsiTheme="majorHAnsi" w:cstheme="majorBidi"/>
          <w:color w:val="1F3763" w:themeColor="accent1" w:themeShade="7F"/>
        </w:rPr>
        <w:t xml:space="preserve">5.2.2.2. </w:t>
      </w:r>
      <w:bookmarkStart w:id="154" w:name="_Hlk107140305"/>
      <w:r w:rsidRPr="00CD2A61">
        <w:rPr>
          <w:rFonts w:asciiTheme="majorHAnsi" w:eastAsiaTheme="majorEastAsia" w:hAnsiTheme="majorHAnsi" w:cstheme="majorBidi"/>
          <w:color w:val="1F3763" w:themeColor="accent1" w:themeShade="7F"/>
        </w:rPr>
        <w:t xml:space="preserve">Implementation of the </w:t>
      </w:r>
      <w:r w:rsidR="00FC3AC5" w:rsidRPr="00CD2A61">
        <w:rPr>
          <w:rFonts w:asciiTheme="majorHAnsi" w:eastAsiaTheme="majorEastAsia" w:hAnsiTheme="majorHAnsi" w:cstheme="majorBidi"/>
          <w:color w:val="1F3763" w:themeColor="accent1" w:themeShade="7F"/>
        </w:rPr>
        <w:t>L</w:t>
      </w:r>
      <w:r w:rsidRPr="00CD2A61">
        <w:rPr>
          <w:rFonts w:asciiTheme="majorHAnsi" w:eastAsiaTheme="majorEastAsia" w:hAnsiTheme="majorHAnsi" w:cstheme="majorBidi"/>
          <w:color w:val="1F3763" w:themeColor="accent1" w:themeShade="7F"/>
        </w:rPr>
        <w:t xml:space="preserve">aw and </w:t>
      </w:r>
      <w:r w:rsidR="00FC3AC5" w:rsidRPr="00CD2A61">
        <w:rPr>
          <w:rFonts w:asciiTheme="majorHAnsi" w:eastAsiaTheme="majorEastAsia" w:hAnsiTheme="majorHAnsi" w:cstheme="majorBidi"/>
          <w:color w:val="1F3763" w:themeColor="accent1" w:themeShade="7F"/>
        </w:rPr>
        <w:t>L</w:t>
      </w:r>
      <w:r w:rsidRPr="00CD2A61">
        <w:rPr>
          <w:rFonts w:asciiTheme="majorHAnsi" w:eastAsiaTheme="majorEastAsia" w:hAnsiTheme="majorHAnsi" w:cstheme="majorBidi"/>
          <w:color w:val="1F3763" w:themeColor="accent1" w:themeShade="7F"/>
        </w:rPr>
        <w:t xml:space="preserve">evel of </w:t>
      </w:r>
      <w:r w:rsidR="00FC3AC5" w:rsidRPr="00CD2A61">
        <w:rPr>
          <w:rFonts w:asciiTheme="majorHAnsi" w:eastAsiaTheme="majorEastAsia" w:hAnsiTheme="majorHAnsi" w:cstheme="majorBidi"/>
          <w:color w:val="1F3763" w:themeColor="accent1" w:themeShade="7F"/>
        </w:rPr>
        <w:t>S</w:t>
      </w:r>
      <w:r w:rsidRPr="00CD2A61">
        <w:rPr>
          <w:rFonts w:asciiTheme="majorHAnsi" w:eastAsiaTheme="majorEastAsia" w:hAnsiTheme="majorHAnsi" w:cstheme="majorBidi"/>
          <w:color w:val="1F3763" w:themeColor="accent1" w:themeShade="7F"/>
        </w:rPr>
        <w:t xml:space="preserve">atisfaction   </w:t>
      </w:r>
      <w:bookmarkEnd w:id="154"/>
    </w:p>
    <w:p w14:paraId="26D03464" w14:textId="77777777" w:rsidR="00BB44E1" w:rsidRPr="00DB0C40" w:rsidRDefault="00BB44E1">
      <w:pPr>
        <w:jc w:val="both"/>
        <w:rPr>
          <w:sz w:val="22"/>
          <w:szCs w:val="22"/>
        </w:rPr>
      </w:pPr>
    </w:p>
    <w:p w14:paraId="1C76AEB5" w14:textId="77777777" w:rsidR="00BB44E1" w:rsidRPr="00DB0C40" w:rsidRDefault="00230B49">
      <w:pPr>
        <w:jc w:val="both"/>
        <w:rPr>
          <w:sz w:val="22"/>
          <w:szCs w:val="22"/>
        </w:rPr>
      </w:pPr>
      <w:r w:rsidRPr="00F23644">
        <w:rPr>
          <w:sz w:val="22"/>
          <w:szCs w:val="22"/>
        </w:rPr>
        <w:t>In the second part of the employer questionnaire, the respondents were asked about their level of knowledge regarding the labour law, their opinion about its efficiency and their suggestions for improvement. As seen from the figure below, only 37% of the respondents know the provisions of Labour Law related to women’s employment. Regarding their opinion about whether the law and provisions about female workers are understandable and clear; it is seen that  only 34% of respondents said “yes” and 66% thinks that provisions are not clear.</w:t>
      </w:r>
      <w:r w:rsidRPr="00DB0C40">
        <w:rPr>
          <w:sz w:val="22"/>
          <w:szCs w:val="22"/>
        </w:rPr>
        <w:t xml:space="preserve"> </w:t>
      </w:r>
    </w:p>
    <w:p w14:paraId="10190915" w14:textId="77777777" w:rsidR="00BB44E1" w:rsidRPr="00DB0C40" w:rsidRDefault="00BB44E1">
      <w:pPr>
        <w:jc w:val="both"/>
        <w:rPr>
          <w:sz w:val="22"/>
          <w:szCs w:val="22"/>
        </w:rPr>
      </w:pPr>
    </w:p>
    <w:p w14:paraId="2B7E2E5E" w14:textId="7B5738D1" w:rsidR="00BB44E1" w:rsidRPr="00DB0C40" w:rsidRDefault="00230B49">
      <w:pPr>
        <w:jc w:val="both"/>
        <w:rPr>
          <w:b/>
          <w:sz w:val="22"/>
          <w:szCs w:val="22"/>
        </w:rPr>
      </w:pPr>
      <w:bookmarkStart w:id="155" w:name="_Hlk107140339"/>
      <w:r w:rsidRPr="00DB0C40">
        <w:rPr>
          <w:b/>
          <w:sz w:val="22"/>
          <w:szCs w:val="22"/>
        </w:rPr>
        <w:t xml:space="preserve">Figure </w:t>
      </w:r>
      <w:r w:rsidR="00490C4C" w:rsidRPr="00DB0C40">
        <w:rPr>
          <w:b/>
          <w:sz w:val="22"/>
          <w:szCs w:val="22"/>
        </w:rPr>
        <w:t>26</w:t>
      </w:r>
      <w:r w:rsidRPr="00DB0C40">
        <w:rPr>
          <w:b/>
          <w:sz w:val="22"/>
          <w:szCs w:val="22"/>
        </w:rPr>
        <w:t>. Respondents</w:t>
      </w:r>
      <w:r w:rsidR="00FC3AC5" w:rsidRPr="00DB0C40">
        <w:rPr>
          <w:b/>
          <w:sz w:val="22"/>
          <w:szCs w:val="22"/>
        </w:rPr>
        <w:t>’</w:t>
      </w:r>
      <w:r w:rsidRPr="00DB0C40">
        <w:rPr>
          <w:b/>
          <w:sz w:val="22"/>
          <w:szCs w:val="22"/>
        </w:rPr>
        <w:t xml:space="preserve"> </w:t>
      </w:r>
      <w:r w:rsidR="00FC3AC5" w:rsidRPr="00DB0C40">
        <w:rPr>
          <w:b/>
          <w:sz w:val="22"/>
          <w:szCs w:val="22"/>
        </w:rPr>
        <w:t>L</w:t>
      </w:r>
      <w:r w:rsidRPr="00DB0C40">
        <w:rPr>
          <w:b/>
          <w:sz w:val="22"/>
          <w:szCs w:val="22"/>
        </w:rPr>
        <w:t xml:space="preserve">evel of </w:t>
      </w:r>
      <w:r w:rsidR="00FC3AC5" w:rsidRPr="00DB0C40">
        <w:rPr>
          <w:b/>
          <w:sz w:val="22"/>
          <w:szCs w:val="22"/>
        </w:rPr>
        <w:t>K</w:t>
      </w:r>
      <w:r w:rsidRPr="00DB0C40">
        <w:rPr>
          <w:b/>
          <w:sz w:val="22"/>
          <w:szCs w:val="22"/>
        </w:rPr>
        <w:t xml:space="preserve">nowledge about </w:t>
      </w:r>
      <w:r w:rsidR="00FC3AC5" w:rsidRPr="00DB0C40">
        <w:rPr>
          <w:b/>
          <w:sz w:val="22"/>
          <w:szCs w:val="22"/>
        </w:rPr>
        <w:t>P</w:t>
      </w:r>
      <w:r w:rsidRPr="00DB0C40">
        <w:rPr>
          <w:b/>
          <w:sz w:val="22"/>
          <w:szCs w:val="22"/>
        </w:rPr>
        <w:t xml:space="preserve">reparation and </w:t>
      </w:r>
      <w:r w:rsidR="00FC3AC5" w:rsidRPr="00DB0C40">
        <w:rPr>
          <w:b/>
          <w:sz w:val="22"/>
          <w:szCs w:val="22"/>
        </w:rPr>
        <w:t>I</w:t>
      </w:r>
      <w:r w:rsidRPr="00DB0C40">
        <w:rPr>
          <w:b/>
          <w:sz w:val="22"/>
          <w:szCs w:val="22"/>
        </w:rPr>
        <w:t xml:space="preserve">mplementation of the Labour Law </w:t>
      </w:r>
    </w:p>
    <w:bookmarkEnd w:id="155"/>
    <w:p w14:paraId="22C5876B" w14:textId="77777777" w:rsidR="00BB44E1" w:rsidRPr="00DB0C40" w:rsidRDefault="00230B49">
      <w:pPr>
        <w:jc w:val="both"/>
        <w:rPr>
          <w:sz w:val="22"/>
          <w:szCs w:val="22"/>
        </w:rPr>
      </w:pPr>
      <w:r w:rsidRPr="00DB0C40">
        <w:rPr>
          <w:noProof/>
          <w:sz w:val="22"/>
          <w:szCs w:val="22"/>
          <w:lang w:eastAsia="en-GB"/>
        </w:rPr>
        <w:drawing>
          <wp:inline distT="0" distB="0" distL="0" distR="0" wp14:anchorId="46FE28D3" wp14:editId="1F70FE8C">
            <wp:extent cx="5486400" cy="2343150"/>
            <wp:effectExtent l="0" t="0" r="0" b="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0EE8E15A" w14:textId="77777777" w:rsidR="00BB44E1" w:rsidRPr="00DB0C40" w:rsidRDefault="00230B49">
      <w:pPr>
        <w:jc w:val="both"/>
        <w:rPr>
          <w:sz w:val="22"/>
          <w:szCs w:val="22"/>
        </w:rPr>
      </w:pPr>
      <w:r w:rsidRPr="00DB0C40">
        <w:rPr>
          <w:sz w:val="22"/>
          <w:szCs w:val="22"/>
        </w:rPr>
        <w:lastRenderedPageBreak/>
        <w:t xml:space="preserve"> </w:t>
      </w:r>
    </w:p>
    <w:p w14:paraId="1719E621" w14:textId="3ECF6C23" w:rsidR="00BB44E1" w:rsidRPr="00DB0C40" w:rsidRDefault="00230B49">
      <w:pPr>
        <w:jc w:val="center"/>
        <w:rPr>
          <w:sz w:val="18"/>
          <w:szCs w:val="18"/>
        </w:rPr>
      </w:pPr>
      <w:r w:rsidRPr="00DB0C40">
        <w:rPr>
          <w:sz w:val="18"/>
          <w:szCs w:val="18"/>
        </w:rPr>
        <w:t xml:space="preserve">Source: TAT </w:t>
      </w:r>
      <w:r w:rsidR="00F37BC3" w:rsidRPr="00DB0C40">
        <w:rPr>
          <w:sz w:val="18"/>
          <w:szCs w:val="18"/>
        </w:rPr>
        <w:t>E</w:t>
      </w:r>
      <w:r w:rsidR="00F37BC3">
        <w:rPr>
          <w:sz w:val="18"/>
          <w:szCs w:val="18"/>
        </w:rPr>
        <w:t>labora</w:t>
      </w:r>
      <w:r w:rsidR="00F37BC3" w:rsidRPr="00DB0C40">
        <w:rPr>
          <w:sz w:val="18"/>
          <w:szCs w:val="18"/>
        </w:rPr>
        <w:t>tion</w:t>
      </w:r>
    </w:p>
    <w:p w14:paraId="579E4ED0" w14:textId="77777777" w:rsidR="00BB44E1" w:rsidRPr="00DB0C40" w:rsidRDefault="00BB44E1">
      <w:pPr>
        <w:jc w:val="center"/>
        <w:rPr>
          <w:sz w:val="22"/>
          <w:szCs w:val="22"/>
        </w:rPr>
      </w:pPr>
    </w:p>
    <w:p w14:paraId="6F425EB2" w14:textId="3756A910" w:rsidR="00BB44E1" w:rsidRPr="00DB0C40" w:rsidRDefault="00230B49">
      <w:pPr>
        <w:jc w:val="both"/>
        <w:rPr>
          <w:sz w:val="22"/>
          <w:szCs w:val="22"/>
        </w:rPr>
      </w:pPr>
      <w:bookmarkStart w:id="156" w:name="_heading=h.3as4poj" w:colFirst="0" w:colLast="0"/>
      <w:bookmarkEnd w:id="156"/>
      <w:r w:rsidRPr="00F23644">
        <w:rPr>
          <w:sz w:val="22"/>
          <w:szCs w:val="22"/>
        </w:rPr>
        <w:t>Following the general assessment about the law and its provisions, in the next question, the respondents were asked about the level of utilisation of provisions by employees and the frequency of it.  As seen below, 95% of the respondent’s state that their employees benefited from the maternity leave rights and 77% of the respondent’s state that their workers used unpaid leave after birth upon request. 64% of the respondents selected paternity leave as the third most frequently used labour right by their employees.  (77%) and paternity leave (64%).  As seen in Figure 10 below, crèche and breastfeeding room facilities are the least available among other legal provisions (11% and 14%, respectively).</w:t>
      </w:r>
      <w:r w:rsidRPr="00DB0C40">
        <w:rPr>
          <w:sz w:val="22"/>
          <w:szCs w:val="22"/>
        </w:rPr>
        <w:t xml:space="preserve"> </w:t>
      </w:r>
    </w:p>
    <w:p w14:paraId="6037CA66" w14:textId="77777777" w:rsidR="00BB44E1" w:rsidRPr="00DB0C40" w:rsidRDefault="00BB44E1">
      <w:pPr>
        <w:jc w:val="both"/>
        <w:rPr>
          <w:sz w:val="22"/>
          <w:szCs w:val="22"/>
        </w:rPr>
      </w:pPr>
    </w:p>
    <w:p w14:paraId="575C8F15" w14:textId="77777777" w:rsidR="00BB44E1" w:rsidRPr="00DB0C40" w:rsidRDefault="00BB44E1">
      <w:pPr>
        <w:jc w:val="center"/>
        <w:rPr>
          <w:sz w:val="22"/>
          <w:szCs w:val="22"/>
        </w:rPr>
      </w:pPr>
    </w:p>
    <w:p w14:paraId="14EA0547" w14:textId="77777777" w:rsidR="00BB44E1" w:rsidRPr="00DB0C40" w:rsidRDefault="00BB44E1">
      <w:pPr>
        <w:jc w:val="center"/>
        <w:rPr>
          <w:sz w:val="22"/>
          <w:szCs w:val="22"/>
        </w:rPr>
      </w:pPr>
    </w:p>
    <w:p w14:paraId="70D936CD" w14:textId="12A02C39" w:rsidR="00BB44E1" w:rsidRPr="00DB0C40" w:rsidRDefault="00230B49">
      <w:pPr>
        <w:jc w:val="center"/>
        <w:rPr>
          <w:b/>
          <w:sz w:val="22"/>
          <w:szCs w:val="22"/>
        </w:rPr>
      </w:pPr>
      <w:bookmarkStart w:id="157" w:name="_Hlk107140367"/>
      <w:r w:rsidRPr="00DB0C40">
        <w:rPr>
          <w:b/>
          <w:sz w:val="22"/>
          <w:szCs w:val="22"/>
        </w:rPr>
        <w:t xml:space="preserve">Figure </w:t>
      </w:r>
      <w:r w:rsidR="00490C4C" w:rsidRPr="00DB0C40">
        <w:rPr>
          <w:b/>
          <w:sz w:val="22"/>
          <w:szCs w:val="22"/>
        </w:rPr>
        <w:t>27</w:t>
      </w:r>
      <w:r w:rsidRPr="00DB0C40">
        <w:rPr>
          <w:b/>
          <w:sz w:val="22"/>
          <w:szCs w:val="22"/>
        </w:rPr>
        <w:t xml:space="preserve">. The </w:t>
      </w:r>
      <w:r w:rsidR="00FC3AC5" w:rsidRPr="00DB0C40">
        <w:rPr>
          <w:b/>
          <w:sz w:val="22"/>
          <w:szCs w:val="22"/>
        </w:rPr>
        <w:t>P</w:t>
      </w:r>
      <w:r w:rsidRPr="00DB0C40">
        <w:rPr>
          <w:b/>
          <w:sz w:val="22"/>
          <w:szCs w:val="22"/>
        </w:rPr>
        <w:t xml:space="preserve">rovisions of the Law that </w:t>
      </w:r>
      <w:r w:rsidR="00FC3AC5" w:rsidRPr="00DB0C40">
        <w:rPr>
          <w:b/>
          <w:sz w:val="22"/>
          <w:szCs w:val="22"/>
        </w:rPr>
        <w:t>E</w:t>
      </w:r>
      <w:r w:rsidRPr="00DB0C40">
        <w:rPr>
          <w:b/>
          <w:sz w:val="22"/>
          <w:szCs w:val="22"/>
        </w:rPr>
        <w:t xml:space="preserve">mployees </w:t>
      </w:r>
      <w:r w:rsidR="00FC3AC5" w:rsidRPr="00DB0C40">
        <w:rPr>
          <w:b/>
          <w:sz w:val="22"/>
          <w:szCs w:val="22"/>
        </w:rPr>
        <w:t>B</w:t>
      </w:r>
      <w:r w:rsidRPr="00DB0C40">
        <w:rPr>
          <w:b/>
          <w:sz w:val="22"/>
          <w:szCs w:val="22"/>
        </w:rPr>
        <w:t>enefited (%)</w:t>
      </w:r>
    </w:p>
    <w:bookmarkEnd w:id="157"/>
    <w:p w14:paraId="581857A6" w14:textId="77777777" w:rsidR="00BB44E1" w:rsidRPr="00DB0C40" w:rsidRDefault="00230B49">
      <w:pPr>
        <w:jc w:val="both"/>
        <w:rPr>
          <w:sz w:val="22"/>
          <w:szCs w:val="22"/>
        </w:rPr>
      </w:pPr>
      <w:r w:rsidRPr="00DB0C40">
        <w:rPr>
          <w:noProof/>
          <w:sz w:val="22"/>
          <w:szCs w:val="22"/>
          <w:lang w:eastAsia="en-GB"/>
        </w:rPr>
        <w:drawing>
          <wp:inline distT="0" distB="0" distL="0" distR="0" wp14:anchorId="4CE1F6CF" wp14:editId="13C634A6">
            <wp:extent cx="5915025" cy="2838450"/>
            <wp:effectExtent l="0" t="0" r="0" b="0"/>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38E75AD7" w14:textId="77777777" w:rsidR="00BB44E1" w:rsidRPr="00DB0C40" w:rsidRDefault="00BB44E1">
      <w:pPr>
        <w:jc w:val="both"/>
        <w:rPr>
          <w:sz w:val="22"/>
          <w:szCs w:val="22"/>
        </w:rPr>
      </w:pPr>
    </w:p>
    <w:p w14:paraId="1E94B449" w14:textId="77777777" w:rsidR="00BB44E1" w:rsidRPr="00DB0C40" w:rsidRDefault="00BB44E1">
      <w:pPr>
        <w:jc w:val="both"/>
        <w:rPr>
          <w:sz w:val="22"/>
          <w:szCs w:val="22"/>
        </w:rPr>
      </w:pPr>
    </w:p>
    <w:p w14:paraId="49D5279D" w14:textId="0FF90A36" w:rsidR="00BB44E1" w:rsidRPr="00DB0C40" w:rsidRDefault="00230B49">
      <w:pPr>
        <w:jc w:val="center"/>
        <w:rPr>
          <w:sz w:val="18"/>
          <w:szCs w:val="18"/>
        </w:rPr>
      </w:pPr>
      <w:r w:rsidRPr="00DB0C40">
        <w:rPr>
          <w:sz w:val="18"/>
          <w:szCs w:val="18"/>
        </w:rPr>
        <w:t xml:space="preserve">Source: TAT </w:t>
      </w:r>
      <w:r w:rsidR="00F37BC3" w:rsidRPr="00DB0C40">
        <w:rPr>
          <w:sz w:val="18"/>
          <w:szCs w:val="18"/>
        </w:rPr>
        <w:t>E</w:t>
      </w:r>
      <w:r w:rsidR="00F37BC3">
        <w:rPr>
          <w:sz w:val="18"/>
          <w:szCs w:val="18"/>
        </w:rPr>
        <w:t>labora</w:t>
      </w:r>
      <w:r w:rsidR="00F37BC3" w:rsidRPr="00DB0C40">
        <w:rPr>
          <w:sz w:val="18"/>
          <w:szCs w:val="18"/>
        </w:rPr>
        <w:t>tion</w:t>
      </w:r>
    </w:p>
    <w:p w14:paraId="115D9CBC" w14:textId="77777777" w:rsidR="00BB44E1" w:rsidRPr="00DB0C40" w:rsidRDefault="00BB44E1">
      <w:pPr>
        <w:jc w:val="both"/>
        <w:rPr>
          <w:sz w:val="22"/>
          <w:szCs w:val="22"/>
        </w:rPr>
      </w:pPr>
    </w:p>
    <w:p w14:paraId="4F52A4F3" w14:textId="77777777" w:rsidR="00BB44E1" w:rsidRPr="00DB0C40" w:rsidRDefault="00BB44E1">
      <w:pPr>
        <w:jc w:val="center"/>
        <w:rPr>
          <w:b/>
          <w:sz w:val="22"/>
          <w:szCs w:val="22"/>
        </w:rPr>
      </w:pPr>
      <w:bookmarkStart w:id="158" w:name="_heading=h.1pxezwc" w:colFirst="0" w:colLast="0"/>
      <w:bookmarkEnd w:id="158"/>
    </w:p>
    <w:p w14:paraId="308ED126" w14:textId="77777777" w:rsidR="00BB44E1" w:rsidRPr="00DB0C40" w:rsidRDefault="00BB44E1">
      <w:pPr>
        <w:jc w:val="center"/>
        <w:rPr>
          <w:b/>
          <w:sz w:val="22"/>
          <w:szCs w:val="22"/>
        </w:rPr>
      </w:pPr>
    </w:p>
    <w:p w14:paraId="71FA7498" w14:textId="77777777" w:rsidR="00BB44E1" w:rsidRPr="00DB0C40" w:rsidRDefault="00BB44E1">
      <w:pPr>
        <w:jc w:val="center"/>
        <w:rPr>
          <w:b/>
          <w:sz w:val="22"/>
          <w:szCs w:val="22"/>
        </w:rPr>
      </w:pPr>
    </w:p>
    <w:p w14:paraId="37CFC154" w14:textId="77777777" w:rsidR="00BB44E1" w:rsidRPr="00DB0C40" w:rsidRDefault="00BB44E1">
      <w:pPr>
        <w:jc w:val="center"/>
        <w:rPr>
          <w:b/>
          <w:sz w:val="22"/>
          <w:szCs w:val="22"/>
        </w:rPr>
      </w:pPr>
    </w:p>
    <w:p w14:paraId="383893E0" w14:textId="77777777" w:rsidR="00BB44E1" w:rsidRPr="00DB0C40" w:rsidRDefault="00BB44E1">
      <w:pPr>
        <w:jc w:val="center"/>
        <w:rPr>
          <w:b/>
          <w:sz w:val="22"/>
          <w:szCs w:val="22"/>
        </w:rPr>
      </w:pPr>
    </w:p>
    <w:p w14:paraId="6D8DC27A" w14:textId="77777777" w:rsidR="00BB44E1" w:rsidRPr="00DB0C40" w:rsidRDefault="00BB44E1">
      <w:pPr>
        <w:jc w:val="center"/>
        <w:rPr>
          <w:b/>
          <w:sz w:val="22"/>
          <w:szCs w:val="22"/>
        </w:rPr>
      </w:pPr>
    </w:p>
    <w:p w14:paraId="726AB4CF" w14:textId="77777777" w:rsidR="00BB44E1" w:rsidRPr="00DB0C40" w:rsidRDefault="00BB44E1">
      <w:pPr>
        <w:jc w:val="center"/>
        <w:rPr>
          <w:b/>
          <w:sz w:val="22"/>
          <w:szCs w:val="22"/>
        </w:rPr>
      </w:pPr>
    </w:p>
    <w:p w14:paraId="02A75806" w14:textId="77777777" w:rsidR="00BB44E1" w:rsidRPr="00DB0C40" w:rsidRDefault="00BB44E1">
      <w:pPr>
        <w:jc w:val="center"/>
        <w:rPr>
          <w:b/>
          <w:sz w:val="22"/>
          <w:szCs w:val="22"/>
        </w:rPr>
      </w:pPr>
    </w:p>
    <w:p w14:paraId="68E8842B" w14:textId="77777777" w:rsidR="00BB44E1" w:rsidRPr="00DB0C40" w:rsidRDefault="00BB44E1">
      <w:pPr>
        <w:jc w:val="center"/>
        <w:rPr>
          <w:b/>
          <w:sz w:val="22"/>
          <w:szCs w:val="22"/>
        </w:rPr>
      </w:pPr>
    </w:p>
    <w:p w14:paraId="3B2342FC" w14:textId="77777777" w:rsidR="00BB44E1" w:rsidRPr="00DB0C40" w:rsidRDefault="00BB44E1">
      <w:pPr>
        <w:jc w:val="center"/>
        <w:rPr>
          <w:b/>
          <w:sz w:val="22"/>
          <w:szCs w:val="22"/>
        </w:rPr>
      </w:pPr>
    </w:p>
    <w:p w14:paraId="52CD9476" w14:textId="77777777" w:rsidR="00BB44E1" w:rsidRPr="00DB0C40" w:rsidRDefault="00BB44E1">
      <w:pPr>
        <w:jc w:val="center"/>
        <w:rPr>
          <w:b/>
          <w:sz w:val="22"/>
          <w:szCs w:val="22"/>
        </w:rPr>
      </w:pPr>
    </w:p>
    <w:p w14:paraId="33C567AE" w14:textId="77777777" w:rsidR="00BB44E1" w:rsidRPr="00DB0C40" w:rsidRDefault="00BB44E1">
      <w:pPr>
        <w:jc w:val="center"/>
        <w:rPr>
          <w:b/>
          <w:sz w:val="22"/>
          <w:szCs w:val="22"/>
        </w:rPr>
      </w:pPr>
    </w:p>
    <w:p w14:paraId="37275EDF" w14:textId="77777777" w:rsidR="00BB44E1" w:rsidRPr="00DB0C40" w:rsidRDefault="00BB44E1">
      <w:pPr>
        <w:jc w:val="center"/>
        <w:rPr>
          <w:b/>
          <w:sz w:val="22"/>
          <w:szCs w:val="22"/>
        </w:rPr>
      </w:pPr>
    </w:p>
    <w:p w14:paraId="7C6F509F" w14:textId="77777777" w:rsidR="00BB44E1" w:rsidRPr="00DB0C40" w:rsidRDefault="00BB44E1">
      <w:pPr>
        <w:jc w:val="center"/>
        <w:rPr>
          <w:b/>
          <w:sz w:val="22"/>
          <w:szCs w:val="22"/>
        </w:rPr>
      </w:pPr>
    </w:p>
    <w:p w14:paraId="5574EC21" w14:textId="0C6D7ABF" w:rsidR="00BB44E1" w:rsidRPr="00DB0C40" w:rsidRDefault="00230B49">
      <w:pPr>
        <w:jc w:val="center"/>
        <w:rPr>
          <w:b/>
          <w:sz w:val="22"/>
          <w:szCs w:val="22"/>
        </w:rPr>
      </w:pPr>
      <w:bookmarkStart w:id="159" w:name="_Hlk107140394"/>
      <w:r w:rsidRPr="00DB0C40">
        <w:rPr>
          <w:b/>
          <w:sz w:val="22"/>
          <w:szCs w:val="22"/>
        </w:rPr>
        <w:lastRenderedPageBreak/>
        <w:t xml:space="preserve">Figure </w:t>
      </w:r>
      <w:r w:rsidR="00490C4C" w:rsidRPr="00DB0C40">
        <w:rPr>
          <w:b/>
          <w:sz w:val="22"/>
          <w:szCs w:val="22"/>
        </w:rPr>
        <w:t>28</w:t>
      </w:r>
      <w:r w:rsidRPr="00DB0C40">
        <w:rPr>
          <w:b/>
          <w:sz w:val="22"/>
          <w:szCs w:val="22"/>
        </w:rPr>
        <w:t xml:space="preserve">. Assessment on </w:t>
      </w:r>
      <w:r w:rsidR="00FC3AC5" w:rsidRPr="00DB0C40">
        <w:rPr>
          <w:b/>
          <w:sz w:val="22"/>
          <w:szCs w:val="22"/>
        </w:rPr>
        <w:t>H</w:t>
      </w:r>
      <w:r w:rsidRPr="00DB0C40">
        <w:rPr>
          <w:b/>
          <w:sz w:val="22"/>
          <w:szCs w:val="22"/>
        </w:rPr>
        <w:t xml:space="preserve">ow </w:t>
      </w:r>
      <w:r w:rsidR="00FC3AC5" w:rsidRPr="00DB0C40">
        <w:rPr>
          <w:b/>
          <w:sz w:val="22"/>
          <w:szCs w:val="22"/>
        </w:rPr>
        <w:t>P</w:t>
      </w:r>
      <w:r w:rsidRPr="00DB0C40">
        <w:rPr>
          <w:b/>
          <w:sz w:val="22"/>
          <w:szCs w:val="22"/>
        </w:rPr>
        <w:t>rovisions in the Labo</w:t>
      </w:r>
      <w:r w:rsidR="00FC3AC5" w:rsidRPr="00DB0C40">
        <w:rPr>
          <w:b/>
          <w:sz w:val="22"/>
          <w:szCs w:val="22"/>
        </w:rPr>
        <w:t>u</w:t>
      </w:r>
      <w:r w:rsidRPr="00DB0C40">
        <w:rPr>
          <w:b/>
          <w:sz w:val="22"/>
          <w:szCs w:val="22"/>
        </w:rPr>
        <w:t xml:space="preserve">r Law </w:t>
      </w:r>
      <w:r w:rsidR="00FC3AC5" w:rsidRPr="00DB0C40">
        <w:rPr>
          <w:b/>
          <w:sz w:val="22"/>
          <w:szCs w:val="22"/>
        </w:rPr>
        <w:t>F</w:t>
      </w:r>
      <w:r w:rsidRPr="00DB0C40">
        <w:rPr>
          <w:b/>
          <w:sz w:val="22"/>
          <w:szCs w:val="22"/>
        </w:rPr>
        <w:t xml:space="preserve">acilitate </w:t>
      </w:r>
      <w:r w:rsidR="00FC3AC5" w:rsidRPr="00DB0C40">
        <w:rPr>
          <w:b/>
          <w:sz w:val="22"/>
          <w:szCs w:val="22"/>
        </w:rPr>
        <w:t>W</w:t>
      </w:r>
      <w:r w:rsidRPr="00DB0C40">
        <w:rPr>
          <w:b/>
          <w:sz w:val="22"/>
          <w:szCs w:val="22"/>
        </w:rPr>
        <w:t xml:space="preserve">omen´s </w:t>
      </w:r>
      <w:r w:rsidR="00FC3AC5" w:rsidRPr="00DB0C40">
        <w:rPr>
          <w:b/>
          <w:sz w:val="22"/>
          <w:szCs w:val="22"/>
        </w:rPr>
        <w:t>W</w:t>
      </w:r>
      <w:r w:rsidRPr="00DB0C40">
        <w:rPr>
          <w:b/>
          <w:sz w:val="22"/>
          <w:szCs w:val="22"/>
        </w:rPr>
        <w:t xml:space="preserve">orking </w:t>
      </w:r>
      <w:r w:rsidR="00FC3AC5" w:rsidRPr="00DB0C40">
        <w:rPr>
          <w:b/>
          <w:sz w:val="22"/>
          <w:szCs w:val="22"/>
        </w:rPr>
        <w:t>l</w:t>
      </w:r>
      <w:r w:rsidRPr="00DB0C40">
        <w:rPr>
          <w:b/>
          <w:sz w:val="22"/>
          <w:szCs w:val="22"/>
        </w:rPr>
        <w:t xml:space="preserve">ife in </w:t>
      </w:r>
      <w:r w:rsidR="00FC3AC5" w:rsidRPr="00DB0C40">
        <w:rPr>
          <w:b/>
          <w:sz w:val="22"/>
          <w:szCs w:val="22"/>
        </w:rPr>
        <w:t>P</w:t>
      </w:r>
      <w:r w:rsidRPr="00DB0C40">
        <w:rPr>
          <w:b/>
          <w:sz w:val="22"/>
          <w:szCs w:val="22"/>
        </w:rPr>
        <w:t>ractice</w:t>
      </w:r>
    </w:p>
    <w:bookmarkEnd w:id="159"/>
    <w:p w14:paraId="01939E4F" w14:textId="77777777" w:rsidR="00BB44E1" w:rsidRPr="00DB0C40" w:rsidRDefault="00230B49">
      <w:pPr>
        <w:jc w:val="center"/>
        <w:rPr>
          <w:sz w:val="22"/>
          <w:szCs w:val="22"/>
        </w:rPr>
      </w:pPr>
      <w:r w:rsidRPr="00DB0C40">
        <w:rPr>
          <w:noProof/>
          <w:sz w:val="22"/>
          <w:szCs w:val="22"/>
          <w:lang w:eastAsia="en-GB"/>
        </w:rPr>
        <w:drawing>
          <wp:inline distT="0" distB="0" distL="0" distR="0" wp14:anchorId="35DE88CA" wp14:editId="353287F9">
            <wp:extent cx="5772150" cy="2581275"/>
            <wp:effectExtent l="0" t="0" r="0" b="9525"/>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172CFAE4" w14:textId="77777777" w:rsidR="00BB44E1" w:rsidRPr="00DB0C40" w:rsidRDefault="00BB44E1">
      <w:pPr>
        <w:jc w:val="both"/>
        <w:rPr>
          <w:sz w:val="22"/>
          <w:szCs w:val="22"/>
        </w:rPr>
      </w:pPr>
    </w:p>
    <w:p w14:paraId="33A1CD87" w14:textId="311B6461" w:rsidR="00BB44E1" w:rsidRPr="00DB0C40" w:rsidRDefault="00230B49">
      <w:pPr>
        <w:jc w:val="center"/>
        <w:rPr>
          <w:sz w:val="18"/>
          <w:szCs w:val="18"/>
        </w:rPr>
      </w:pPr>
      <w:r w:rsidRPr="00DB0C40">
        <w:rPr>
          <w:sz w:val="18"/>
          <w:szCs w:val="18"/>
        </w:rPr>
        <w:t xml:space="preserve">Source: TAT </w:t>
      </w:r>
      <w:r w:rsidR="00F37BC3" w:rsidRPr="00DB0C40">
        <w:rPr>
          <w:sz w:val="18"/>
          <w:szCs w:val="18"/>
        </w:rPr>
        <w:t>E</w:t>
      </w:r>
      <w:r w:rsidR="00F37BC3">
        <w:rPr>
          <w:sz w:val="18"/>
          <w:szCs w:val="18"/>
        </w:rPr>
        <w:t>labora</w:t>
      </w:r>
      <w:r w:rsidR="00F37BC3" w:rsidRPr="00DB0C40">
        <w:rPr>
          <w:sz w:val="18"/>
          <w:szCs w:val="18"/>
        </w:rPr>
        <w:t>tion</w:t>
      </w:r>
    </w:p>
    <w:p w14:paraId="61568B12" w14:textId="77777777" w:rsidR="00BB44E1" w:rsidRPr="00DB0C40" w:rsidRDefault="00BB44E1">
      <w:pPr>
        <w:jc w:val="both"/>
        <w:rPr>
          <w:sz w:val="22"/>
          <w:szCs w:val="22"/>
        </w:rPr>
      </w:pPr>
    </w:p>
    <w:p w14:paraId="50221D9F" w14:textId="77777777" w:rsidR="00BB44E1" w:rsidRPr="00DB0C40" w:rsidRDefault="00230B49">
      <w:pPr>
        <w:jc w:val="both"/>
        <w:rPr>
          <w:sz w:val="22"/>
          <w:szCs w:val="22"/>
        </w:rPr>
      </w:pPr>
      <w:bookmarkStart w:id="160" w:name="_heading=h.49x2ik5" w:colFirst="0" w:colLast="0"/>
      <w:bookmarkEnd w:id="160"/>
      <w:r w:rsidRPr="00DB0C40">
        <w:rPr>
          <w:sz w:val="22"/>
          <w:szCs w:val="22"/>
        </w:rPr>
        <w:t xml:space="preserve">As seen above, the majority of the respondents think that maternity leave facilitates women’s working life (90%), which is followed by crèche/nursery obligation (81%). The remaining provisions in the law were considered equally important for increasing women’s employment and facilitating their work life. </w:t>
      </w:r>
    </w:p>
    <w:p w14:paraId="47D74A75" w14:textId="77777777" w:rsidR="00BB44E1" w:rsidRPr="00DB0C40" w:rsidRDefault="00BB44E1">
      <w:pPr>
        <w:jc w:val="both"/>
        <w:rPr>
          <w:sz w:val="22"/>
          <w:szCs w:val="22"/>
        </w:rPr>
      </w:pPr>
    </w:p>
    <w:p w14:paraId="29504159" w14:textId="77777777" w:rsidR="00BB44E1" w:rsidRPr="00DB0C40" w:rsidRDefault="00BB44E1">
      <w:pPr>
        <w:jc w:val="both"/>
        <w:rPr>
          <w:sz w:val="22"/>
          <w:szCs w:val="22"/>
        </w:rPr>
      </w:pPr>
    </w:p>
    <w:p w14:paraId="06E7BAD1" w14:textId="6B67097E" w:rsidR="00BB44E1" w:rsidRPr="00DB0C40" w:rsidRDefault="00230B49">
      <w:pPr>
        <w:jc w:val="center"/>
        <w:rPr>
          <w:b/>
          <w:bCs/>
          <w:sz w:val="22"/>
          <w:szCs w:val="22"/>
        </w:rPr>
      </w:pPr>
      <w:bookmarkStart w:id="161" w:name="_Hlk107140416"/>
      <w:r w:rsidRPr="00DB0C40">
        <w:rPr>
          <w:b/>
          <w:bCs/>
          <w:sz w:val="22"/>
          <w:szCs w:val="22"/>
        </w:rPr>
        <w:t xml:space="preserve">Figure </w:t>
      </w:r>
      <w:r w:rsidR="00490C4C" w:rsidRPr="00DB0C40">
        <w:rPr>
          <w:b/>
          <w:bCs/>
          <w:sz w:val="22"/>
          <w:szCs w:val="22"/>
        </w:rPr>
        <w:t>29</w:t>
      </w:r>
      <w:r w:rsidRPr="00DB0C40">
        <w:rPr>
          <w:b/>
          <w:bCs/>
          <w:sz w:val="22"/>
          <w:szCs w:val="22"/>
        </w:rPr>
        <w:t xml:space="preserve">. Assessment on </w:t>
      </w:r>
      <w:r w:rsidR="00FC3AC5" w:rsidRPr="00DB0C40">
        <w:rPr>
          <w:b/>
          <w:bCs/>
          <w:sz w:val="22"/>
          <w:szCs w:val="22"/>
        </w:rPr>
        <w:t>I</w:t>
      </w:r>
      <w:r w:rsidRPr="00DB0C40">
        <w:rPr>
          <w:b/>
          <w:bCs/>
          <w:sz w:val="22"/>
          <w:szCs w:val="22"/>
        </w:rPr>
        <w:t xml:space="preserve">mplementation on the Labour Law in </w:t>
      </w:r>
      <w:r w:rsidR="00FC3AC5" w:rsidRPr="00DB0C40">
        <w:rPr>
          <w:b/>
          <w:bCs/>
          <w:sz w:val="22"/>
          <w:szCs w:val="22"/>
        </w:rPr>
        <w:t>P</w:t>
      </w:r>
      <w:r w:rsidRPr="00DB0C40">
        <w:rPr>
          <w:b/>
          <w:bCs/>
          <w:sz w:val="22"/>
          <w:szCs w:val="22"/>
        </w:rPr>
        <w:t>ractice</w:t>
      </w:r>
    </w:p>
    <w:bookmarkEnd w:id="161"/>
    <w:p w14:paraId="4ABEC935" w14:textId="77777777" w:rsidR="00BB44E1" w:rsidRPr="00DB0C40" w:rsidRDefault="00230B49">
      <w:pPr>
        <w:jc w:val="both"/>
        <w:rPr>
          <w:sz w:val="22"/>
          <w:szCs w:val="22"/>
        </w:rPr>
      </w:pPr>
      <w:r w:rsidRPr="00DB0C40">
        <w:rPr>
          <w:noProof/>
          <w:sz w:val="22"/>
          <w:szCs w:val="22"/>
          <w:lang w:eastAsia="en-GB"/>
        </w:rPr>
        <w:drawing>
          <wp:inline distT="0" distB="0" distL="0" distR="0" wp14:anchorId="6E972615" wp14:editId="379CF089">
            <wp:extent cx="6038850" cy="2543175"/>
            <wp:effectExtent l="0" t="0" r="0" b="0"/>
            <wp:docPr id="5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66"/>
                    <a:srcRect/>
                    <a:stretch>
                      <a:fillRect/>
                    </a:stretch>
                  </pic:blipFill>
                  <pic:spPr>
                    <a:xfrm>
                      <a:off x="0" y="0"/>
                      <a:ext cx="6038850" cy="2543175"/>
                    </a:xfrm>
                    <a:prstGeom prst="rect">
                      <a:avLst/>
                    </a:prstGeom>
                    <a:ln/>
                  </pic:spPr>
                </pic:pic>
              </a:graphicData>
            </a:graphic>
          </wp:inline>
        </w:drawing>
      </w:r>
    </w:p>
    <w:p w14:paraId="1439DBC9" w14:textId="04744276" w:rsidR="00BB44E1" w:rsidRPr="00DB0C40" w:rsidRDefault="00230B49">
      <w:pPr>
        <w:jc w:val="center"/>
        <w:rPr>
          <w:sz w:val="18"/>
          <w:szCs w:val="18"/>
        </w:rPr>
      </w:pPr>
      <w:r w:rsidRPr="00DB0C40">
        <w:rPr>
          <w:sz w:val="18"/>
          <w:szCs w:val="18"/>
        </w:rPr>
        <w:t>Source: TAT E</w:t>
      </w:r>
      <w:r w:rsidR="00F37BC3">
        <w:rPr>
          <w:sz w:val="18"/>
          <w:szCs w:val="18"/>
        </w:rPr>
        <w:t>l</w:t>
      </w:r>
      <w:r w:rsidR="00AE67F2">
        <w:rPr>
          <w:sz w:val="18"/>
          <w:szCs w:val="18"/>
        </w:rPr>
        <w:t>abor</w:t>
      </w:r>
      <w:r w:rsidRPr="00DB0C40">
        <w:rPr>
          <w:sz w:val="18"/>
          <w:szCs w:val="18"/>
        </w:rPr>
        <w:t>ation</w:t>
      </w:r>
    </w:p>
    <w:p w14:paraId="0AB17D39" w14:textId="77777777" w:rsidR="00BB44E1" w:rsidRPr="00DB0C40" w:rsidRDefault="00BB44E1">
      <w:pPr>
        <w:rPr>
          <w:sz w:val="22"/>
          <w:szCs w:val="22"/>
        </w:rPr>
      </w:pPr>
    </w:p>
    <w:p w14:paraId="4F0B2493" w14:textId="77777777" w:rsidR="00FC3AC5" w:rsidRPr="00DB0C40" w:rsidRDefault="00FC3AC5">
      <w:pPr>
        <w:rPr>
          <w:sz w:val="22"/>
          <w:szCs w:val="22"/>
        </w:rPr>
      </w:pPr>
    </w:p>
    <w:p w14:paraId="561DA6F5" w14:textId="0DBE0D26" w:rsidR="00BB44E1" w:rsidRPr="00DB0C40" w:rsidRDefault="00230B49">
      <w:pPr>
        <w:rPr>
          <w:sz w:val="22"/>
          <w:szCs w:val="22"/>
        </w:rPr>
      </w:pPr>
      <w:r w:rsidRPr="00DB0C40">
        <w:rPr>
          <w:sz w:val="22"/>
          <w:szCs w:val="22"/>
        </w:rPr>
        <w:t xml:space="preserve">When the respondents were asked about their opinion on the implementation of the related provisions of the law in practice, 31% of the respondents said the provisions of the law are implemented completely or to a great extent. </w:t>
      </w:r>
    </w:p>
    <w:p w14:paraId="4A9AE822" w14:textId="77777777" w:rsidR="00BB44E1" w:rsidRPr="00DB0C40" w:rsidRDefault="00BB44E1">
      <w:pPr>
        <w:jc w:val="both"/>
        <w:rPr>
          <w:sz w:val="22"/>
          <w:szCs w:val="22"/>
        </w:rPr>
      </w:pPr>
    </w:p>
    <w:p w14:paraId="33C8461B" w14:textId="77777777" w:rsidR="00BB44E1" w:rsidRPr="00DB0C40" w:rsidRDefault="00230B49">
      <w:pPr>
        <w:jc w:val="both"/>
        <w:rPr>
          <w:sz w:val="22"/>
          <w:szCs w:val="22"/>
        </w:rPr>
      </w:pPr>
      <w:bookmarkStart w:id="162" w:name="_heading=h.2p2csry" w:colFirst="0" w:colLast="0"/>
      <w:bookmarkEnd w:id="162"/>
      <w:r w:rsidRPr="00DB0C40">
        <w:rPr>
          <w:sz w:val="22"/>
          <w:szCs w:val="22"/>
        </w:rPr>
        <w:lastRenderedPageBreak/>
        <w:t>Regarding measures taken by the employers to fulfil the requirements of the law; 76% of the respondents said that employees can use their postpartum unpaid leave rights as prescribed by law. Following this, 72 % of them mentioned that maternity and breastfeeding permits specified in the law can be used without any pressure or restriction.</w:t>
      </w:r>
    </w:p>
    <w:p w14:paraId="253646E9" w14:textId="77777777" w:rsidR="00BB44E1" w:rsidRPr="00DB0C40" w:rsidRDefault="00BB44E1">
      <w:pPr>
        <w:jc w:val="both"/>
        <w:rPr>
          <w:sz w:val="22"/>
          <w:szCs w:val="22"/>
        </w:rPr>
      </w:pPr>
    </w:p>
    <w:p w14:paraId="2E4B2EF7" w14:textId="77777777" w:rsidR="00BB44E1" w:rsidRPr="00DB0C40" w:rsidRDefault="00230B49">
      <w:pPr>
        <w:jc w:val="both"/>
        <w:rPr>
          <w:sz w:val="22"/>
          <w:szCs w:val="22"/>
        </w:rPr>
      </w:pPr>
      <w:r w:rsidRPr="00DB0C40">
        <w:rPr>
          <w:sz w:val="22"/>
          <w:szCs w:val="22"/>
        </w:rPr>
        <w:t>More than half of respondents mentioned that Upon request, the right to work part-time after maternity leave or unpaid leave can be used (71%), no lower wages because of gender for work of the same or equal value (64%) and the number of female workers is not less than 30 % of total employees (61%).</w:t>
      </w:r>
    </w:p>
    <w:p w14:paraId="155576CD" w14:textId="77777777" w:rsidR="00BB44E1" w:rsidRPr="00DB0C40" w:rsidRDefault="00BB44E1">
      <w:pPr>
        <w:jc w:val="both"/>
        <w:rPr>
          <w:sz w:val="22"/>
          <w:szCs w:val="22"/>
        </w:rPr>
      </w:pPr>
    </w:p>
    <w:p w14:paraId="0ABB4B60" w14:textId="77777777" w:rsidR="00BB44E1" w:rsidRPr="00DB0C40" w:rsidRDefault="00230B49">
      <w:pPr>
        <w:jc w:val="both"/>
        <w:rPr>
          <w:sz w:val="22"/>
          <w:szCs w:val="22"/>
        </w:rPr>
      </w:pPr>
      <w:r w:rsidRPr="00DB0C40">
        <w:rPr>
          <w:sz w:val="22"/>
          <w:szCs w:val="22"/>
        </w:rPr>
        <w:t>The existence of a nursery and breastfeeding room were the least implemented measures taken for female employees.</w:t>
      </w:r>
    </w:p>
    <w:p w14:paraId="4E475E7E" w14:textId="77777777" w:rsidR="00BB44E1" w:rsidRPr="00DB0C40" w:rsidRDefault="00BB44E1">
      <w:pPr>
        <w:jc w:val="both"/>
        <w:rPr>
          <w:sz w:val="22"/>
          <w:szCs w:val="22"/>
        </w:rPr>
      </w:pPr>
    </w:p>
    <w:p w14:paraId="2300DF97" w14:textId="77777777" w:rsidR="00BB44E1" w:rsidRPr="00DB0C40" w:rsidRDefault="00BB44E1">
      <w:pPr>
        <w:jc w:val="both"/>
        <w:rPr>
          <w:sz w:val="22"/>
          <w:szCs w:val="22"/>
        </w:rPr>
      </w:pPr>
    </w:p>
    <w:p w14:paraId="738E7932" w14:textId="6E9A95E9" w:rsidR="00BB44E1" w:rsidRPr="00DB0C40" w:rsidRDefault="00230B49">
      <w:pPr>
        <w:jc w:val="center"/>
        <w:rPr>
          <w:b/>
          <w:sz w:val="22"/>
          <w:szCs w:val="22"/>
        </w:rPr>
      </w:pPr>
      <w:bookmarkStart w:id="163" w:name="_Hlk107140439"/>
      <w:r w:rsidRPr="00DB0C40">
        <w:rPr>
          <w:b/>
          <w:sz w:val="22"/>
          <w:szCs w:val="22"/>
        </w:rPr>
        <w:t xml:space="preserve">Figure </w:t>
      </w:r>
      <w:r w:rsidR="00490C4C" w:rsidRPr="00DB0C40">
        <w:rPr>
          <w:b/>
          <w:sz w:val="22"/>
          <w:szCs w:val="22"/>
        </w:rPr>
        <w:t>30</w:t>
      </w:r>
      <w:r w:rsidRPr="00DB0C40">
        <w:rPr>
          <w:b/>
          <w:sz w:val="22"/>
          <w:szCs w:val="22"/>
        </w:rPr>
        <w:t xml:space="preserve">. Measures </w:t>
      </w:r>
      <w:r w:rsidR="00FC3AC5" w:rsidRPr="00DB0C40">
        <w:rPr>
          <w:b/>
          <w:sz w:val="22"/>
          <w:szCs w:val="22"/>
        </w:rPr>
        <w:t>T</w:t>
      </w:r>
      <w:r w:rsidRPr="00DB0C40">
        <w:rPr>
          <w:b/>
          <w:sz w:val="22"/>
          <w:szCs w:val="22"/>
        </w:rPr>
        <w:t xml:space="preserve">aken by the </w:t>
      </w:r>
      <w:r w:rsidR="00FC3AC5" w:rsidRPr="00DB0C40">
        <w:rPr>
          <w:b/>
          <w:sz w:val="22"/>
          <w:szCs w:val="22"/>
        </w:rPr>
        <w:t>E</w:t>
      </w:r>
      <w:r w:rsidRPr="00DB0C40">
        <w:rPr>
          <w:b/>
          <w:sz w:val="22"/>
          <w:szCs w:val="22"/>
        </w:rPr>
        <w:t>mployers</w:t>
      </w:r>
    </w:p>
    <w:bookmarkEnd w:id="163"/>
    <w:p w14:paraId="3BCC6F19" w14:textId="77777777" w:rsidR="00BB44E1" w:rsidRPr="00DB0C40" w:rsidRDefault="00230B49">
      <w:pPr>
        <w:jc w:val="both"/>
        <w:rPr>
          <w:sz w:val="22"/>
          <w:szCs w:val="22"/>
        </w:rPr>
      </w:pPr>
      <w:r w:rsidRPr="00DB0C40">
        <w:rPr>
          <w:noProof/>
          <w:sz w:val="22"/>
          <w:szCs w:val="22"/>
          <w:lang w:eastAsia="en-GB"/>
        </w:rPr>
        <w:drawing>
          <wp:inline distT="0" distB="0" distL="0" distR="0" wp14:anchorId="1AC489D2" wp14:editId="00E7ECCC">
            <wp:extent cx="5295900" cy="2447925"/>
            <wp:effectExtent l="0" t="0" r="0" b="0"/>
            <wp:docPr id="5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67"/>
                    <a:srcRect/>
                    <a:stretch>
                      <a:fillRect/>
                    </a:stretch>
                  </pic:blipFill>
                  <pic:spPr>
                    <a:xfrm>
                      <a:off x="0" y="0"/>
                      <a:ext cx="5295900" cy="2447925"/>
                    </a:xfrm>
                    <a:prstGeom prst="rect">
                      <a:avLst/>
                    </a:prstGeom>
                    <a:ln/>
                  </pic:spPr>
                </pic:pic>
              </a:graphicData>
            </a:graphic>
          </wp:inline>
        </w:drawing>
      </w:r>
    </w:p>
    <w:p w14:paraId="2CCED658" w14:textId="23BCAC02" w:rsidR="00BB44E1" w:rsidRPr="00DB0C40" w:rsidRDefault="00230B49">
      <w:pPr>
        <w:jc w:val="center"/>
        <w:rPr>
          <w:sz w:val="18"/>
          <w:szCs w:val="18"/>
        </w:rPr>
      </w:pPr>
      <w:r w:rsidRPr="00DB0C40">
        <w:rPr>
          <w:sz w:val="18"/>
          <w:szCs w:val="18"/>
        </w:rPr>
        <w:t>Source: TAT E</w:t>
      </w:r>
      <w:r w:rsidR="00F37BC3">
        <w:rPr>
          <w:sz w:val="18"/>
          <w:szCs w:val="18"/>
        </w:rPr>
        <w:t>l</w:t>
      </w:r>
      <w:r w:rsidR="00AE67F2">
        <w:rPr>
          <w:sz w:val="18"/>
          <w:szCs w:val="18"/>
        </w:rPr>
        <w:t>abor</w:t>
      </w:r>
      <w:r w:rsidRPr="00DB0C40">
        <w:rPr>
          <w:sz w:val="18"/>
          <w:szCs w:val="18"/>
        </w:rPr>
        <w:t>ation</w:t>
      </w:r>
    </w:p>
    <w:p w14:paraId="1601B3A8" w14:textId="77777777" w:rsidR="00BB44E1" w:rsidRPr="00DB0C40" w:rsidRDefault="00BB44E1">
      <w:pPr>
        <w:jc w:val="center"/>
        <w:rPr>
          <w:sz w:val="22"/>
          <w:szCs w:val="22"/>
        </w:rPr>
      </w:pPr>
    </w:p>
    <w:p w14:paraId="5A55E4A9" w14:textId="362FFF7B" w:rsidR="00BB44E1" w:rsidRPr="00DB0C40" w:rsidRDefault="00230B49">
      <w:pPr>
        <w:jc w:val="both"/>
        <w:rPr>
          <w:sz w:val="22"/>
          <w:szCs w:val="22"/>
        </w:rPr>
      </w:pPr>
      <w:r w:rsidRPr="00DB0C40">
        <w:rPr>
          <w:sz w:val="22"/>
          <w:szCs w:val="22"/>
        </w:rPr>
        <w:t>Implementation of existing labour law brings some cost burden to the establishments to fulfil their responsibilities given by the law these responsibilities are establishments of nurseries, breastfeeding rooms and providing transportation facilities for the female employees. The employers were also asked whether they need support for these kinds of responsibilities. 45% of them stated that they need some kind of support for the implementation of the provisions in their workplace. 45% stated financial support, 15% transportation support, 25% training support, and 15% consultancy support. 74% of them mentioned that they have no idea about the additional cost generated due to the activities realized to fulfil their responsibilities.</w:t>
      </w:r>
    </w:p>
    <w:p w14:paraId="2C31FCD0" w14:textId="7990F8CF" w:rsidR="00BB44E1" w:rsidRPr="00DB0C40" w:rsidRDefault="00BB44E1">
      <w:pPr>
        <w:jc w:val="both"/>
        <w:rPr>
          <w:sz w:val="22"/>
          <w:szCs w:val="22"/>
        </w:rPr>
      </w:pPr>
    </w:p>
    <w:p w14:paraId="49A61635" w14:textId="03AED696" w:rsidR="00490C4C" w:rsidRPr="00DB0C40" w:rsidRDefault="00490C4C">
      <w:pPr>
        <w:jc w:val="both"/>
        <w:rPr>
          <w:sz w:val="22"/>
          <w:szCs w:val="22"/>
        </w:rPr>
      </w:pPr>
    </w:p>
    <w:p w14:paraId="656AD81C" w14:textId="4EF19D09" w:rsidR="00490C4C" w:rsidRPr="00DB0C40" w:rsidRDefault="00490C4C">
      <w:pPr>
        <w:jc w:val="both"/>
        <w:rPr>
          <w:sz w:val="22"/>
          <w:szCs w:val="22"/>
        </w:rPr>
      </w:pPr>
    </w:p>
    <w:p w14:paraId="26224D92" w14:textId="0D0691B7" w:rsidR="00490C4C" w:rsidRPr="00DB0C40" w:rsidRDefault="00490C4C">
      <w:pPr>
        <w:jc w:val="both"/>
        <w:rPr>
          <w:sz w:val="22"/>
          <w:szCs w:val="22"/>
        </w:rPr>
      </w:pPr>
    </w:p>
    <w:p w14:paraId="5010CB62" w14:textId="2F574765" w:rsidR="00490C4C" w:rsidRPr="00DB0C40" w:rsidRDefault="00490C4C">
      <w:pPr>
        <w:jc w:val="both"/>
        <w:rPr>
          <w:sz w:val="22"/>
          <w:szCs w:val="22"/>
        </w:rPr>
      </w:pPr>
    </w:p>
    <w:p w14:paraId="425AAA89" w14:textId="2B4D1021" w:rsidR="00490C4C" w:rsidRPr="00DB0C40" w:rsidRDefault="00490C4C">
      <w:pPr>
        <w:jc w:val="both"/>
        <w:rPr>
          <w:sz w:val="22"/>
          <w:szCs w:val="22"/>
        </w:rPr>
      </w:pPr>
    </w:p>
    <w:p w14:paraId="46708AF8" w14:textId="669022C9" w:rsidR="00490C4C" w:rsidRPr="00DB0C40" w:rsidRDefault="00490C4C">
      <w:pPr>
        <w:jc w:val="both"/>
        <w:rPr>
          <w:sz w:val="22"/>
          <w:szCs w:val="22"/>
        </w:rPr>
      </w:pPr>
    </w:p>
    <w:p w14:paraId="429358EE" w14:textId="29C7691F" w:rsidR="00490C4C" w:rsidRPr="00DB0C40" w:rsidRDefault="00490C4C">
      <w:pPr>
        <w:jc w:val="both"/>
        <w:rPr>
          <w:sz w:val="22"/>
          <w:szCs w:val="22"/>
        </w:rPr>
      </w:pPr>
    </w:p>
    <w:p w14:paraId="621888C0" w14:textId="62431A52" w:rsidR="00490C4C" w:rsidRPr="00DB0C40" w:rsidRDefault="00490C4C">
      <w:pPr>
        <w:jc w:val="both"/>
        <w:rPr>
          <w:sz w:val="22"/>
          <w:szCs w:val="22"/>
        </w:rPr>
      </w:pPr>
    </w:p>
    <w:p w14:paraId="43559D32" w14:textId="77777777" w:rsidR="00490C4C" w:rsidRPr="00DB0C40" w:rsidRDefault="00490C4C">
      <w:pPr>
        <w:jc w:val="both"/>
        <w:rPr>
          <w:sz w:val="22"/>
          <w:szCs w:val="22"/>
        </w:rPr>
      </w:pPr>
    </w:p>
    <w:p w14:paraId="14BC941A" w14:textId="79D4F391" w:rsidR="00BB44E1" w:rsidRPr="00DB0C40" w:rsidRDefault="00230B49">
      <w:pPr>
        <w:jc w:val="both"/>
        <w:rPr>
          <w:b/>
          <w:sz w:val="22"/>
          <w:szCs w:val="22"/>
        </w:rPr>
      </w:pPr>
      <w:bookmarkStart w:id="164" w:name="_Hlk107140485"/>
      <w:r w:rsidRPr="00DB0C40">
        <w:rPr>
          <w:b/>
          <w:sz w:val="22"/>
          <w:szCs w:val="22"/>
        </w:rPr>
        <w:lastRenderedPageBreak/>
        <w:t xml:space="preserve">Figure </w:t>
      </w:r>
      <w:r w:rsidR="00490C4C" w:rsidRPr="00DB0C40">
        <w:rPr>
          <w:b/>
          <w:sz w:val="22"/>
          <w:szCs w:val="22"/>
        </w:rPr>
        <w:t>31</w:t>
      </w:r>
      <w:r w:rsidRPr="00DB0C40">
        <w:rPr>
          <w:b/>
          <w:sz w:val="22"/>
          <w:szCs w:val="22"/>
        </w:rPr>
        <w:t xml:space="preserve">. Is there any </w:t>
      </w:r>
      <w:r w:rsidR="00FC3AC5" w:rsidRPr="00DB0C40">
        <w:rPr>
          <w:b/>
          <w:sz w:val="22"/>
          <w:szCs w:val="22"/>
        </w:rPr>
        <w:t>A</w:t>
      </w:r>
      <w:r w:rsidRPr="00DB0C40">
        <w:rPr>
          <w:b/>
          <w:sz w:val="22"/>
          <w:szCs w:val="22"/>
        </w:rPr>
        <w:t xml:space="preserve">dditional </w:t>
      </w:r>
      <w:r w:rsidR="00FC3AC5" w:rsidRPr="00DB0C40">
        <w:rPr>
          <w:b/>
          <w:sz w:val="22"/>
          <w:szCs w:val="22"/>
        </w:rPr>
        <w:t>C</w:t>
      </w:r>
      <w:r w:rsidRPr="00DB0C40">
        <w:rPr>
          <w:b/>
          <w:sz w:val="22"/>
          <w:szCs w:val="22"/>
        </w:rPr>
        <w:t xml:space="preserve">ost </w:t>
      </w:r>
      <w:r w:rsidR="00FC3AC5" w:rsidRPr="00DB0C40">
        <w:rPr>
          <w:b/>
          <w:sz w:val="22"/>
          <w:szCs w:val="22"/>
        </w:rPr>
        <w:t>A</w:t>
      </w:r>
      <w:r w:rsidRPr="00DB0C40">
        <w:rPr>
          <w:b/>
          <w:sz w:val="22"/>
          <w:szCs w:val="22"/>
        </w:rPr>
        <w:t xml:space="preserve">ssociated with the </w:t>
      </w:r>
      <w:r w:rsidR="00FC3AC5" w:rsidRPr="00DB0C40">
        <w:rPr>
          <w:b/>
          <w:sz w:val="22"/>
          <w:szCs w:val="22"/>
        </w:rPr>
        <w:t>M</w:t>
      </w:r>
      <w:r w:rsidRPr="00DB0C40">
        <w:rPr>
          <w:b/>
          <w:sz w:val="22"/>
          <w:szCs w:val="22"/>
        </w:rPr>
        <w:t xml:space="preserve">easures for </w:t>
      </w:r>
      <w:r w:rsidR="00FC3AC5" w:rsidRPr="00DB0C40">
        <w:rPr>
          <w:b/>
          <w:sz w:val="22"/>
          <w:szCs w:val="22"/>
        </w:rPr>
        <w:t>W</w:t>
      </w:r>
      <w:r w:rsidRPr="00DB0C40">
        <w:rPr>
          <w:b/>
          <w:sz w:val="22"/>
          <w:szCs w:val="22"/>
        </w:rPr>
        <w:t xml:space="preserve">omen´s </w:t>
      </w:r>
      <w:r w:rsidR="00FC3AC5" w:rsidRPr="00DB0C40">
        <w:rPr>
          <w:b/>
          <w:sz w:val="22"/>
          <w:szCs w:val="22"/>
        </w:rPr>
        <w:t>E</w:t>
      </w:r>
      <w:r w:rsidRPr="00DB0C40">
        <w:rPr>
          <w:b/>
          <w:sz w:val="22"/>
          <w:szCs w:val="22"/>
        </w:rPr>
        <w:t xml:space="preserve">mployment </w:t>
      </w:r>
      <w:r w:rsidRPr="00DB0C40">
        <w:rPr>
          <w:bCs/>
          <w:sz w:val="22"/>
          <w:szCs w:val="22"/>
        </w:rPr>
        <w:t xml:space="preserve">and </w:t>
      </w:r>
      <w:r w:rsidRPr="00DB0C40">
        <w:rPr>
          <w:b/>
          <w:sz w:val="22"/>
          <w:szCs w:val="22"/>
        </w:rPr>
        <w:t xml:space="preserve">Figure </w:t>
      </w:r>
      <w:r w:rsidR="00490C4C" w:rsidRPr="00DB0C40">
        <w:rPr>
          <w:b/>
          <w:sz w:val="22"/>
          <w:szCs w:val="22"/>
        </w:rPr>
        <w:t>32</w:t>
      </w:r>
      <w:r w:rsidRPr="00DB0C40">
        <w:rPr>
          <w:b/>
          <w:sz w:val="22"/>
          <w:szCs w:val="22"/>
        </w:rPr>
        <w:t xml:space="preserve">. Cost </w:t>
      </w:r>
      <w:r w:rsidR="00FC3AC5" w:rsidRPr="00DB0C40">
        <w:rPr>
          <w:b/>
          <w:sz w:val="22"/>
          <w:szCs w:val="22"/>
        </w:rPr>
        <w:t>B</w:t>
      </w:r>
      <w:r w:rsidRPr="00DB0C40">
        <w:rPr>
          <w:b/>
          <w:sz w:val="22"/>
          <w:szCs w:val="22"/>
        </w:rPr>
        <w:t xml:space="preserve">urden of the </w:t>
      </w:r>
      <w:r w:rsidR="00FC3AC5" w:rsidRPr="00DB0C40">
        <w:rPr>
          <w:b/>
          <w:sz w:val="22"/>
          <w:szCs w:val="22"/>
        </w:rPr>
        <w:t>M</w:t>
      </w:r>
      <w:r w:rsidRPr="00DB0C40">
        <w:rPr>
          <w:b/>
          <w:sz w:val="22"/>
          <w:szCs w:val="22"/>
        </w:rPr>
        <w:t xml:space="preserve">easures for </w:t>
      </w:r>
      <w:r w:rsidR="00FC3AC5" w:rsidRPr="00DB0C40">
        <w:rPr>
          <w:b/>
          <w:sz w:val="22"/>
          <w:szCs w:val="22"/>
        </w:rPr>
        <w:t>W</w:t>
      </w:r>
      <w:r w:rsidRPr="00DB0C40">
        <w:rPr>
          <w:b/>
          <w:sz w:val="22"/>
          <w:szCs w:val="22"/>
        </w:rPr>
        <w:t xml:space="preserve">omen´s </w:t>
      </w:r>
      <w:r w:rsidR="00FC3AC5" w:rsidRPr="00DB0C40">
        <w:rPr>
          <w:b/>
          <w:sz w:val="22"/>
          <w:szCs w:val="22"/>
        </w:rPr>
        <w:t>E</w:t>
      </w:r>
      <w:r w:rsidRPr="00DB0C40">
        <w:rPr>
          <w:b/>
          <w:sz w:val="22"/>
          <w:szCs w:val="22"/>
        </w:rPr>
        <w:t>mployment (%)</w:t>
      </w:r>
    </w:p>
    <w:bookmarkEnd w:id="164"/>
    <w:p w14:paraId="218A6970" w14:textId="77777777" w:rsidR="00BB44E1" w:rsidRPr="00DB0C40" w:rsidRDefault="00230B49">
      <w:pPr>
        <w:jc w:val="both"/>
        <w:rPr>
          <w:sz w:val="22"/>
          <w:szCs w:val="22"/>
        </w:rPr>
      </w:pPr>
      <w:r w:rsidRPr="00DB0C40">
        <w:rPr>
          <w:sz w:val="22"/>
          <w:szCs w:val="22"/>
        </w:rPr>
        <w:t xml:space="preserve"> </w:t>
      </w:r>
    </w:p>
    <w:p w14:paraId="55FBA5CF" w14:textId="77777777" w:rsidR="00BB44E1" w:rsidRPr="00DB0C40" w:rsidRDefault="00BB44E1">
      <w:pPr>
        <w:jc w:val="both"/>
        <w:rPr>
          <w:sz w:val="22"/>
          <w:szCs w:val="22"/>
        </w:rPr>
      </w:pPr>
    </w:p>
    <w:p w14:paraId="3214D1EA" w14:textId="77777777" w:rsidR="00BB44E1" w:rsidRPr="00DB0C40" w:rsidRDefault="00230B49">
      <w:pPr>
        <w:jc w:val="both"/>
        <w:rPr>
          <w:sz w:val="22"/>
          <w:szCs w:val="22"/>
        </w:rPr>
      </w:pPr>
      <w:r w:rsidRPr="00DB0C40">
        <w:rPr>
          <w:noProof/>
          <w:sz w:val="22"/>
          <w:szCs w:val="22"/>
          <w:lang w:eastAsia="en-GB"/>
        </w:rPr>
        <w:drawing>
          <wp:inline distT="0" distB="0" distL="0" distR="0" wp14:anchorId="5C7407BA" wp14:editId="6A595E8F">
            <wp:extent cx="6029325" cy="2743200"/>
            <wp:effectExtent l="0" t="0" r="0" b="0"/>
            <wp:docPr id="5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68"/>
                    <a:srcRect/>
                    <a:stretch>
                      <a:fillRect/>
                    </a:stretch>
                  </pic:blipFill>
                  <pic:spPr>
                    <a:xfrm>
                      <a:off x="0" y="0"/>
                      <a:ext cx="6029325" cy="2743200"/>
                    </a:xfrm>
                    <a:prstGeom prst="rect">
                      <a:avLst/>
                    </a:prstGeom>
                    <a:ln/>
                  </pic:spPr>
                </pic:pic>
              </a:graphicData>
            </a:graphic>
          </wp:inline>
        </w:drawing>
      </w:r>
    </w:p>
    <w:p w14:paraId="63C5BE12" w14:textId="77777777" w:rsidR="00BB44E1" w:rsidRPr="00DB0C40" w:rsidRDefault="00BB44E1">
      <w:pPr>
        <w:jc w:val="both"/>
        <w:rPr>
          <w:sz w:val="22"/>
          <w:szCs w:val="22"/>
        </w:rPr>
      </w:pPr>
    </w:p>
    <w:p w14:paraId="34199DFE" w14:textId="0AA9A065" w:rsidR="00BB44E1" w:rsidRDefault="00230B49">
      <w:pPr>
        <w:jc w:val="center"/>
        <w:rPr>
          <w:sz w:val="18"/>
          <w:szCs w:val="18"/>
        </w:rPr>
      </w:pPr>
      <w:r w:rsidRPr="00DB0C40">
        <w:rPr>
          <w:sz w:val="18"/>
          <w:szCs w:val="18"/>
        </w:rPr>
        <w:t>Source: TAT E</w:t>
      </w:r>
      <w:r w:rsidR="00F37BC3">
        <w:rPr>
          <w:sz w:val="18"/>
          <w:szCs w:val="18"/>
        </w:rPr>
        <w:t>la</w:t>
      </w:r>
      <w:r w:rsidR="00AE67F2">
        <w:rPr>
          <w:sz w:val="18"/>
          <w:szCs w:val="18"/>
        </w:rPr>
        <w:t>bor</w:t>
      </w:r>
      <w:r w:rsidRPr="00DB0C40">
        <w:rPr>
          <w:sz w:val="18"/>
          <w:szCs w:val="18"/>
        </w:rPr>
        <w:t>ation</w:t>
      </w:r>
    </w:p>
    <w:p w14:paraId="21E0B25F" w14:textId="77777777" w:rsidR="00F37BC3" w:rsidRPr="00DB0C40" w:rsidRDefault="00F37BC3">
      <w:pPr>
        <w:jc w:val="center"/>
        <w:rPr>
          <w:sz w:val="18"/>
          <w:szCs w:val="18"/>
        </w:rPr>
      </w:pPr>
    </w:p>
    <w:p w14:paraId="55CEF0DD" w14:textId="280C9519" w:rsidR="00BB44E1" w:rsidRPr="00DB0C40" w:rsidRDefault="00230B49">
      <w:pPr>
        <w:jc w:val="both"/>
        <w:rPr>
          <w:sz w:val="22"/>
          <w:szCs w:val="22"/>
        </w:rPr>
      </w:pPr>
      <w:r w:rsidRPr="00DB0C40">
        <w:rPr>
          <w:sz w:val="22"/>
          <w:szCs w:val="22"/>
        </w:rPr>
        <w:t>Besides, 45% of the respondents mentioned that they need support in the implementation of the provisions of the Labo</w:t>
      </w:r>
      <w:r w:rsidR="00CD2A61">
        <w:rPr>
          <w:sz w:val="22"/>
          <w:szCs w:val="22"/>
        </w:rPr>
        <w:t>u</w:t>
      </w:r>
      <w:r w:rsidRPr="00DB0C40">
        <w:rPr>
          <w:sz w:val="22"/>
          <w:szCs w:val="22"/>
        </w:rPr>
        <w:t>r Law on increasing women's employment and details of the what kind of support they need is presented in the chart below. 45% of the employers said that they need financial, while 25% of them need to be educated about the law and its provisions.</w:t>
      </w:r>
    </w:p>
    <w:p w14:paraId="7EFB3515" w14:textId="77777777" w:rsidR="00BB44E1" w:rsidRPr="00DB0C40" w:rsidRDefault="00BB44E1">
      <w:pPr>
        <w:jc w:val="both"/>
        <w:rPr>
          <w:sz w:val="22"/>
          <w:szCs w:val="22"/>
        </w:rPr>
      </w:pPr>
    </w:p>
    <w:p w14:paraId="06306EED" w14:textId="0EF6ABAB" w:rsidR="00BB44E1" w:rsidRPr="00DB0C40" w:rsidRDefault="00230B49">
      <w:pPr>
        <w:jc w:val="center"/>
        <w:rPr>
          <w:b/>
          <w:sz w:val="22"/>
          <w:szCs w:val="22"/>
        </w:rPr>
      </w:pPr>
      <w:bookmarkStart w:id="165" w:name="_Hlk107140511"/>
      <w:r w:rsidRPr="00DB0C40">
        <w:rPr>
          <w:b/>
          <w:sz w:val="22"/>
          <w:szCs w:val="22"/>
        </w:rPr>
        <w:t xml:space="preserve">Figure </w:t>
      </w:r>
      <w:r w:rsidR="00490C4C" w:rsidRPr="00DB0C40">
        <w:rPr>
          <w:b/>
          <w:sz w:val="22"/>
          <w:szCs w:val="22"/>
        </w:rPr>
        <w:t>33</w:t>
      </w:r>
      <w:r w:rsidRPr="00DB0C40">
        <w:rPr>
          <w:b/>
          <w:sz w:val="22"/>
          <w:szCs w:val="22"/>
        </w:rPr>
        <w:t xml:space="preserve">. Support in the </w:t>
      </w:r>
      <w:r w:rsidR="00FC3AC5" w:rsidRPr="00DB0C40">
        <w:rPr>
          <w:b/>
          <w:sz w:val="22"/>
          <w:szCs w:val="22"/>
        </w:rPr>
        <w:t>I</w:t>
      </w:r>
      <w:r w:rsidRPr="00DB0C40">
        <w:rPr>
          <w:b/>
          <w:sz w:val="22"/>
          <w:szCs w:val="22"/>
        </w:rPr>
        <w:t xml:space="preserve">mplementation of the </w:t>
      </w:r>
      <w:r w:rsidR="00FC3AC5" w:rsidRPr="00DB0C40">
        <w:rPr>
          <w:b/>
          <w:sz w:val="22"/>
          <w:szCs w:val="22"/>
        </w:rPr>
        <w:t>P</w:t>
      </w:r>
      <w:r w:rsidRPr="00DB0C40">
        <w:rPr>
          <w:b/>
          <w:sz w:val="22"/>
          <w:szCs w:val="22"/>
        </w:rPr>
        <w:t>rovisions of the Labo</w:t>
      </w:r>
      <w:r w:rsidR="00FC3AC5" w:rsidRPr="00DB0C40">
        <w:rPr>
          <w:b/>
          <w:sz w:val="22"/>
          <w:szCs w:val="22"/>
        </w:rPr>
        <w:t>u</w:t>
      </w:r>
      <w:r w:rsidRPr="00DB0C40">
        <w:rPr>
          <w:b/>
          <w:sz w:val="22"/>
          <w:szCs w:val="22"/>
        </w:rPr>
        <w:t>r Law</w:t>
      </w:r>
    </w:p>
    <w:bookmarkEnd w:id="165"/>
    <w:p w14:paraId="0B1C3D29" w14:textId="77777777" w:rsidR="00BB44E1" w:rsidRPr="00DB0C40" w:rsidRDefault="00230B49">
      <w:pPr>
        <w:jc w:val="both"/>
        <w:rPr>
          <w:sz w:val="22"/>
          <w:szCs w:val="22"/>
        </w:rPr>
      </w:pPr>
      <w:r w:rsidRPr="00DB0C40">
        <w:rPr>
          <w:noProof/>
          <w:sz w:val="22"/>
          <w:szCs w:val="22"/>
          <w:lang w:eastAsia="en-GB"/>
        </w:rPr>
        <w:drawing>
          <wp:inline distT="0" distB="0" distL="0" distR="0" wp14:anchorId="018D8026" wp14:editId="2C79F05F">
            <wp:extent cx="6029325" cy="2676525"/>
            <wp:effectExtent l="0" t="0" r="0" b="0"/>
            <wp:docPr id="4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69"/>
                    <a:srcRect/>
                    <a:stretch>
                      <a:fillRect/>
                    </a:stretch>
                  </pic:blipFill>
                  <pic:spPr>
                    <a:xfrm>
                      <a:off x="0" y="0"/>
                      <a:ext cx="6029325" cy="2676525"/>
                    </a:xfrm>
                    <a:prstGeom prst="rect">
                      <a:avLst/>
                    </a:prstGeom>
                    <a:ln/>
                  </pic:spPr>
                </pic:pic>
              </a:graphicData>
            </a:graphic>
          </wp:inline>
        </w:drawing>
      </w:r>
    </w:p>
    <w:p w14:paraId="5563172C" w14:textId="77777777" w:rsidR="00BB44E1" w:rsidRPr="00DB0C40" w:rsidRDefault="00BB44E1">
      <w:pPr>
        <w:jc w:val="both"/>
        <w:rPr>
          <w:sz w:val="22"/>
          <w:szCs w:val="22"/>
        </w:rPr>
      </w:pPr>
    </w:p>
    <w:p w14:paraId="557CE58C" w14:textId="600B440E" w:rsidR="00BB44E1" w:rsidRPr="00DB0C40" w:rsidRDefault="00230B49">
      <w:pPr>
        <w:jc w:val="center"/>
        <w:rPr>
          <w:sz w:val="18"/>
          <w:szCs w:val="18"/>
        </w:rPr>
      </w:pPr>
      <w:r w:rsidRPr="00DB0C40">
        <w:rPr>
          <w:sz w:val="18"/>
          <w:szCs w:val="18"/>
        </w:rPr>
        <w:t>Source: TAT E</w:t>
      </w:r>
      <w:r w:rsidR="00F37BC3">
        <w:rPr>
          <w:sz w:val="18"/>
          <w:szCs w:val="18"/>
        </w:rPr>
        <w:t>l</w:t>
      </w:r>
      <w:r w:rsidR="00AE67F2">
        <w:rPr>
          <w:sz w:val="18"/>
          <w:szCs w:val="18"/>
        </w:rPr>
        <w:t>abor</w:t>
      </w:r>
      <w:r w:rsidRPr="00DB0C40">
        <w:rPr>
          <w:sz w:val="18"/>
          <w:szCs w:val="18"/>
        </w:rPr>
        <w:t>ation</w:t>
      </w:r>
    </w:p>
    <w:p w14:paraId="337F21A6" w14:textId="77777777" w:rsidR="00BB44E1" w:rsidRPr="00DB0C40" w:rsidRDefault="00BB44E1">
      <w:pPr>
        <w:jc w:val="center"/>
        <w:rPr>
          <w:sz w:val="18"/>
          <w:szCs w:val="18"/>
        </w:rPr>
      </w:pPr>
    </w:p>
    <w:p w14:paraId="2F3AA576" w14:textId="77777777" w:rsidR="00BB44E1" w:rsidRPr="00DB0C40" w:rsidRDefault="00BB44E1">
      <w:pPr>
        <w:jc w:val="both"/>
        <w:rPr>
          <w:sz w:val="22"/>
          <w:szCs w:val="22"/>
        </w:rPr>
      </w:pPr>
    </w:p>
    <w:p w14:paraId="77EA76A2" w14:textId="77777777" w:rsidR="00BB44E1" w:rsidRPr="00DB0C40" w:rsidRDefault="00230B49">
      <w:pPr>
        <w:jc w:val="both"/>
        <w:rPr>
          <w:sz w:val="22"/>
          <w:szCs w:val="22"/>
        </w:rPr>
      </w:pPr>
      <w:r w:rsidRPr="00DB0C40">
        <w:rPr>
          <w:sz w:val="22"/>
          <w:szCs w:val="22"/>
        </w:rPr>
        <w:lastRenderedPageBreak/>
        <w:t>In this part of the questionnaire, they were asked about their policies on wage, carrier opportunities and vocational trainings targeting male and female employees. 75% of them declared that female employees have  equal wages, career opportunities and vocational training with male employees</w:t>
      </w:r>
    </w:p>
    <w:p w14:paraId="78D60BBA" w14:textId="77777777" w:rsidR="00BB44E1" w:rsidRPr="00DB0C40" w:rsidRDefault="00BB44E1">
      <w:pPr>
        <w:jc w:val="center"/>
        <w:rPr>
          <w:sz w:val="22"/>
          <w:szCs w:val="22"/>
        </w:rPr>
      </w:pPr>
    </w:p>
    <w:p w14:paraId="468CC78B" w14:textId="77777777" w:rsidR="00BB44E1" w:rsidRPr="00DB0C40" w:rsidRDefault="00BB44E1">
      <w:pPr>
        <w:jc w:val="center"/>
        <w:rPr>
          <w:sz w:val="22"/>
          <w:szCs w:val="22"/>
        </w:rPr>
      </w:pPr>
    </w:p>
    <w:p w14:paraId="21D00BC5" w14:textId="31A84D60" w:rsidR="00BB44E1" w:rsidRPr="00DB0C40" w:rsidRDefault="00230B49">
      <w:pPr>
        <w:jc w:val="center"/>
        <w:rPr>
          <w:b/>
          <w:sz w:val="22"/>
          <w:szCs w:val="22"/>
        </w:rPr>
      </w:pPr>
      <w:bookmarkStart w:id="166" w:name="_Hlk107140537"/>
      <w:r w:rsidRPr="00DB0C40">
        <w:rPr>
          <w:b/>
          <w:sz w:val="22"/>
          <w:szCs w:val="22"/>
        </w:rPr>
        <w:t xml:space="preserve">Figure </w:t>
      </w:r>
      <w:r w:rsidR="00490C4C" w:rsidRPr="00DB0C40">
        <w:rPr>
          <w:b/>
          <w:sz w:val="22"/>
          <w:szCs w:val="22"/>
        </w:rPr>
        <w:t>34</w:t>
      </w:r>
      <w:r w:rsidRPr="00DB0C40">
        <w:rPr>
          <w:b/>
          <w:sz w:val="22"/>
          <w:szCs w:val="22"/>
        </w:rPr>
        <w:t xml:space="preserve">. Do women have </w:t>
      </w:r>
      <w:r w:rsidR="00FC3AC5" w:rsidRPr="00DB0C40">
        <w:rPr>
          <w:b/>
          <w:sz w:val="22"/>
          <w:szCs w:val="22"/>
        </w:rPr>
        <w:t>E</w:t>
      </w:r>
      <w:r w:rsidRPr="00DB0C40">
        <w:rPr>
          <w:b/>
          <w:sz w:val="22"/>
          <w:szCs w:val="22"/>
        </w:rPr>
        <w:t xml:space="preserve">qual </w:t>
      </w:r>
      <w:r w:rsidR="00FC3AC5" w:rsidRPr="00DB0C40">
        <w:rPr>
          <w:b/>
          <w:sz w:val="22"/>
          <w:szCs w:val="22"/>
        </w:rPr>
        <w:t>W</w:t>
      </w:r>
      <w:r w:rsidRPr="00DB0C40">
        <w:rPr>
          <w:b/>
          <w:sz w:val="22"/>
          <w:szCs w:val="22"/>
        </w:rPr>
        <w:t xml:space="preserve">ages, </w:t>
      </w:r>
      <w:r w:rsidR="00FC3AC5" w:rsidRPr="00DB0C40">
        <w:rPr>
          <w:b/>
          <w:sz w:val="22"/>
          <w:szCs w:val="22"/>
        </w:rPr>
        <w:t>C</w:t>
      </w:r>
      <w:r w:rsidRPr="00DB0C40">
        <w:rPr>
          <w:b/>
          <w:sz w:val="22"/>
          <w:szCs w:val="22"/>
        </w:rPr>
        <w:t xml:space="preserve">areer </w:t>
      </w:r>
      <w:r w:rsidR="00FC3AC5" w:rsidRPr="00DB0C40">
        <w:rPr>
          <w:b/>
          <w:sz w:val="22"/>
          <w:szCs w:val="22"/>
        </w:rPr>
        <w:t>O</w:t>
      </w:r>
      <w:r w:rsidRPr="00DB0C40">
        <w:rPr>
          <w:b/>
          <w:sz w:val="22"/>
          <w:szCs w:val="22"/>
        </w:rPr>
        <w:t xml:space="preserve">pportunities and </w:t>
      </w:r>
      <w:r w:rsidR="00FC3AC5" w:rsidRPr="00DB0C40">
        <w:rPr>
          <w:b/>
          <w:sz w:val="22"/>
          <w:szCs w:val="22"/>
        </w:rPr>
        <w:t>V</w:t>
      </w:r>
      <w:r w:rsidRPr="00DB0C40">
        <w:rPr>
          <w:b/>
          <w:sz w:val="22"/>
          <w:szCs w:val="22"/>
        </w:rPr>
        <w:t xml:space="preserve">ocational </w:t>
      </w:r>
      <w:r w:rsidR="00FC3AC5" w:rsidRPr="00DB0C40">
        <w:rPr>
          <w:b/>
          <w:sz w:val="22"/>
          <w:szCs w:val="22"/>
        </w:rPr>
        <w:t>T</w:t>
      </w:r>
      <w:r w:rsidRPr="00DB0C40">
        <w:rPr>
          <w:b/>
          <w:sz w:val="22"/>
          <w:szCs w:val="22"/>
        </w:rPr>
        <w:t xml:space="preserve">raining with </w:t>
      </w:r>
      <w:r w:rsidR="00FC3AC5" w:rsidRPr="00DB0C40">
        <w:rPr>
          <w:b/>
          <w:sz w:val="22"/>
          <w:szCs w:val="22"/>
        </w:rPr>
        <w:t>M</w:t>
      </w:r>
      <w:r w:rsidRPr="00DB0C40">
        <w:rPr>
          <w:b/>
          <w:sz w:val="22"/>
          <w:szCs w:val="22"/>
        </w:rPr>
        <w:t xml:space="preserve">ale </w:t>
      </w:r>
      <w:r w:rsidR="00FC3AC5" w:rsidRPr="00DB0C40">
        <w:rPr>
          <w:b/>
          <w:sz w:val="22"/>
          <w:szCs w:val="22"/>
        </w:rPr>
        <w:t>E</w:t>
      </w:r>
      <w:r w:rsidRPr="00DB0C40">
        <w:rPr>
          <w:b/>
          <w:sz w:val="22"/>
          <w:szCs w:val="22"/>
        </w:rPr>
        <w:t>mployees</w:t>
      </w:r>
      <w:bookmarkEnd w:id="166"/>
      <w:r w:rsidR="00FC3AC5" w:rsidRPr="00DB0C40">
        <w:rPr>
          <w:b/>
          <w:sz w:val="22"/>
          <w:szCs w:val="22"/>
        </w:rPr>
        <w:t>?</w:t>
      </w:r>
      <w:r w:rsidRPr="00DB0C40">
        <w:rPr>
          <w:b/>
          <w:sz w:val="22"/>
          <w:szCs w:val="22"/>
        </w:rPr>
        <w:t xml:space="preserve"> </w:t>
      </w:r>
    </w:p>
    <w:p w14:paraId="45604A1A" w14:textId="77777777" w:rsidR="00BB44E1" w:rsidRPr="00DB0C40" w:rsidRDefault="00BB44E1">
      <w:pPr>
        <w:jc w:val="both"/>
        <w:rPr>
          <w:b/>
          <w:sz w:val="22"/>
          <w:szCs w:val="22"/>
        </w:rPr>
      </w:pPr>
    </w:p>
    <w:p w14:paraId="1A079081" w14:textId="77777777" w:rsidR="00BB44E1" w:rsidRPr="00DB0C40" w:rsidRDefault="00BB44E1">
      <w:pPr>
        <w:jc w:val="both"/>
        <w:rPr>
          <w:sz w:val="22"/>
          <w:szCs w:val="22"/>
        </w:rPr>
      </w:pPr>
    </w:p>
    <w:p w14:paraId="2F3F5C29" w14:textId="77777777" w:rsidR="00BB44E1" w:rsidRPr="00DB0C40" w:rsidRDefault="00230B49">
      <w:pPr>
        <w:jc w:val="center"/>
        <w:rPr>
          <w:sz w:val="22"/>
          <w:szCs w:val="22"/>
        </w:rPr>
      </w:pPr>
      <w:r w:rsidRPr="00DB0C40">
        <w:rPr>
          <w:noProof/>
          <w:sz w:val="22"/>
          <w:szCs w:val="22"/>
          <w:lang w:eastAsia="en-GB"/>
        </w:rPr>
        <w:drawing>
          <wp:inline distT="0" distB="0" distL="0" distR="0" wp14:anchorId="5D0739B0" wp14:editId="793CFDB9">
            <wp:extent cx="3400425" cy="2495550"/>
            <wp:effectExtent l="0" t="0" r="0" b="0"/>
            <wp:docPr id="4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0"/>
                    <a:srcRect/>
                    <a:stretch>
                      <a:fillRect/>
                    </a:stretch>
                  </pic:blipFill>
                  <pic:spPr>
                    <a:xfrm>
                      <a:off x="0" y="0"/>
                      <a:ext cx="3400425" cy="2495550"/>
                    </a:xfrm>
                    <a:prstGeom prst="rect">
                      <a:avLst/>
                    </a:prstGeom>
                    <a:ln/>
                  </pic:spPr>
                </pic:pic>
              </a:graphicData>
            </a:graphic>
          </wp:inline>
        </w:drawing>
      </w:r>
    </w:p>
    <w:p w14:paraId="2CBF6CAF" w14:textId="37D5159E" w:rsidR="00BB44E1" w:rsidRPr="00DB0C40" w:rsidRDefault="00230B49">
      <w:pPr>
        <w:jc w:val="center"/>
        <w:rPr>
          <w:sz w:val="18"/>
          <w:szCs w:val="18"/>
        </w:rPr>
      </w:pPr>
      <w:r w:rsidRPr="00DB0C40">
        <w:rPr>
          <w:sz w:val="18"/>
          <w:szCs w:val="18"/>
        </w:rPr>
        <w:t>Source: TAT E</w:t>
      </w:r>
      <w:r w:rsidR="008F729E">
        <w:rPr>
          <w:sz w:val="18"/>
          <w:szCs w:val="18"/>
        </w:rPr>
        <w:t>l</w:t>
      </w:r>
      <w:r w:rsidR="00AE67F2">
        <w:rPr>
          <w:sz w:val="18"/>
          <w:szCs w:val="18"/>
        </w:rPr>
        <w:t>abor</w:t>
      </w:r>
      <w:r w:rsidRPr="00DB0C40">
        <w:rPr>
          <w:sz w:val="18"/>
          <w:szCs w:val="18"/>
        </w:rPr>
        <w:t>ation</w:t>
      </w:r>
    </w:p>
    <w:p w14:paraId="46B93C9B" w14:textId="77777777" w:rsidR="00BB44E1" w:rsidRPr="00DB0C40" w:rsidRDefault="00BB44E1">
      <w:pPr>
        <w:jc w:val="center"/>
        <w:rPr>
          <w:sz w:val="22"/>
          <w:szCs w:val="22"/>
        </w:rPr>
      </w:pPr>
    </w:p>
    <w:p w14:paraId="4B56E7A4" w14:textId="77777777" w:rsidR="00BB44E1" w:rsidRPr="00DB0C40" w:rsidRDefault="00BB44E1">
      <w:pPr>
        <w:jc w:val="both"/>
        <w:rPr>
          <w:sz w:val="22"/>
          <w:szCs w:val="22"/>
        </w:rPr>
      </w:pPr>
    </w:p>
    <w:p w14:paraId="6001568B" w14:textId="77777777" w:rsidR="00BB44E1" w:rsidRPr="00DB0C40" w:rsidRDefault="00230B49">
      <w:pPr>
        <w:jc w:val="both"/>
        <w:rPr>
          <w:sz w:val="22"/>
          <w:szCs w:val="22"/>
        </w:rPr>
      </w:pPr>
      <w:r w:rsidRPr="00DB0C40">
        <w:rPr>
          <w:sz w:val="22"/>
          <w:szCs w:val="22"/>
        </w:rPr>
        <w:t>Finally 87% of the respondents stated that they have had no Mediation or Labour Court case regarding the rights granted to women employees by Labour Law during the last five years. Only 6% of them have a Mediation or Labour Court case regarding the rights granted to women employees by Labour Law.</w:t>
      </w:r>
    </w:p>
    <w:p w14:paraId="2E61F5C7" w14:textId="77777777" w:rsidR="00BB44E1" w:rsidRPr="00DB0C40" w:rsidRDefault="00BB44E1">
      <w:pPr>
        <w:jc w:val="both"/>
        <w:rPr>
          <w:sz w:val="22"/>
          <w:szCs w:val="22"/>
        </w:rPr>
      </w:pPr>
    </w:p>
    <w:p w14:paraId="7F1EA09E" w14:textId="77777777" w:rsidR="00BB44E1" w:rsidRPr="00DB0C40" w:rsidRDefault="00BB44E1">
      <w:pPr>
        <w:jc w:val="center"/>
        <w:rPr>
          <w:sz w:val="22"/>
          <w:szCs w:val="22"/>
        </w:rPr>
      </w:pPr>
    </w:p>
    <w:p w14:paraId="518D45EF" w14:textId="77777777" w:rsidR="007A7E2D" w:rsidRDefault="007A7E2D">
      <w:pPr>
        <w:rPr>
          <w:b/>
          <w:sz w:val="22"/>
          <w:szCs w:val="22"/>
        </w:rPr>
      </w:pPr>
      <w:bookmarkStart w:id="167" w:name="_Hlk107140566"/>
      <w:r>
        <w:rPr>
          <w:b/>
          <w:sz w:val="22"/>
          <w:szCs w:val="22"/>
        </w:rPr>
        <w:br w:type="page"/>
      </w:r>
    </w:p>
    <w:p w14:paraId="5504B89F" w14:textId="42339FFB" w:rsidR="00BB44E1" w:rsidRPr="00DB0C40" w:rsidRDefault="00230B49">
      <w:pPr>
        <w:jc w:val="both"/>
        <w:rPr>
          <w:b/>
          <w:sz w:val="22"/>
          <w:szCs w:val="22"/>
        </w:rPr>
      </w:pPr>
      <w:r w:rsidRPr="00DB0C40">
        <w:rPr>
          <w:b/>
          <w:sz w:val="22"/>
          <w:szCs w:val="22"/>
        </w:rPr>
        <w:lastRenderedPageBreak/>
        <w:t xml:space="preserve">Figure </w:t>
      </w:r>
      <w:r w:rsidR="00490C4C" w:rsidRPr="00DB0C40">
        <w:rPr>
          <w:b/>
          <w:sz w:val="22"/>
          <w:szCs w:val="22"/>
        </w:rPr>
        <w:t>35</w:t>
      </w:r>
      <w:r w:rsidRPr="00DB0C40">
        <w:rPr>
          <w:b/>
          <w:sz w:val="22"/>
          <w:szCs w:val="22"/>
        </w:rPr>
        <w:t xml:space="preserve"> . Having a </w:t>
      </w:r>
      <w:r w:rsidR="007F19BB" w:rsidRPr="00DB0C40">
        <w:rPr>
          <w:b/>
          <w:sz w:val="22"/>
          <w:szCs w:val="22"/>
        </w:rPr>
        <w:t>M</w:t>
      </w:r>
      <w:r w:rsidRPr="00DB0C40">
        <w:rPr>
          <w:b/>
          <w:sz w:val="22"/>
          <w:szCs w:val="22"/>
        </w:rPr>
        <w:t xml:space="preserve">ediation in </w:t>
      </w:r>
      <w:r w:rsidR="00FC3AC5" w:rsidRPr="00DB0C40">
        <w:rPr>
          <w:b/>
          <w:sz w:val="22"/>
          <w:szCs w:val="22"/>
        </w:rPr>
        <w:t xml:space="preserve">a </w:t>
      </w:r>
      <w:r w:rsidRPr="00DB0C40">
        <w:rPr>
          <w:b/>
          <w:sz w:val="22"/>
          <w:szCs w:val="22"/>
        </w:rPr>
        <w:t xml:space="preserve">Labour Court </w:t>
      </w:r>
      <w:r w:rsidR="00FC3AC5" w:rsidRPr="00DB0C40">
        <w:rPr>
          <w:b/>
          <w:sz w:val="22"/>
          <w:szCs w:val="22"/>
        </w:rPr>
        <w:t>C</w:t>
      </w:r>
      <w:r w:rsidRPr="00DB0C40">
        <w:rPr>
          <w:b/>
          <w:sz w:val="22"/>
          <w:szCs w:val="22"/>
        </w:rPr>
        <w:t xml:space="preserve">ase regarding </w:t>
      </w:r>
      <w:r w:rsidR="00FC3AC5" w:rsidRPr="00DB0C40">
        <w:rPr>
          <w:b/>
          <w:sz w:val="22"/>
          <w:szCs w:val="22"/>
        </w:rPr>
        <w:t>Ri</w:t>
      </w:r>
      <w:r w:rsidRPr="00DB0C40">
        <w:rPr>
          <w:b/>
          <w:sz w:val="22"/>
          <w:szCs w:val="22"/>
        </w:rPr>
        <w:t xml:space="preserve">ghts </w:t>
      </w:r>
      <w:r w:rsidR="00FC3AC5" w:rsidRPr="00DB0C40">
        <w:rPr>
          <w:b/>
          <w:sz w:val="22"/>
          <w:szCs w:val="22"/>
        </w:rPr>
        <w:t>G</w:t>
      </w:r>
      <w:r w:rsidRPr="00DB0C40">
        <w:rPr>
          <w:b/>
          <w:sz w:val="22"/>
          <w:szCs w:val="22"/>
        </w:rPr>
        <w:t xml:space="preserve">ranted to </w:t>
      </w:r>
      <w:r w:rsidR="007F19BB" w:rsidRPr="00DB0C40">
        <w:rPr>
          <w:b/>
          <w:sz w:val="22"/>
          <w:szCs w:val="22"/>
        </w:rPr>
        <w:t>W</w:t>
      </w:r>
      <w:r w:rsidRPr="00DB0C40">
        <w:rPr>
          <w:b/>
          <w:sz w:val="22"/>
          <w:szCs w:val="22"/>
        </w:rPr>
        <w:t xml:space="preserve">omen </w:t>
      </w:r>
      <w:r w:rsidR="007F19BB" w:rsidRPr="00DB0C40">
        <w:rPr>
          <w:b/>
          <w:sz w:val="22"/>
          <w:szCs w:val="22"/>
        </w:rPr>
        <w:t>E</w:t>
      </w:r>
      <w:r w:rsidRPr="00DB0C40">
        <w:rPr>
          <w:b/>
          <w:sz w:val="22"/>
          <w:szCs w:val="22"/>
        </w:rPr>
        <w:t xml:space="preserve">mployees during the </w:t>
      </w:r>
      <w:r w:rsidR="007F19BB" w:rsidRPr="00DB0C40">
        <w:rPr>
          <w:b/>
          <w:sz w:val="22"/>
          <w:szCs w:val="22"/>
        </w:rPr>
        <w:t>past F</w:t>
      </w:r>
      <w:r w:rsidRPr="00DB0C40">
        <w:rPr>
          <w:b/>
          <w:sz w:val="22"/>
          <w:szCs w:val="22"/>
        </w:rPr>
        <w:t xml:space="preserve">ive </w:t>
      </w:r>
      <w:r w:rsidR="007F19BB" w:rsidRPr="00DB0C40">
        <w:rPr>
          <w:b/>
          <w:sz w:val="22"/>
          <w:szCs w:val="22"/>
        </w:rPr>
        <w:t>Y</w:t>
      </w:r>
      <w:r w:rsidRPr="00DB0C40">
        <w:rPr>
          <w:b/>
          <w:sz w:val="22"/>
          <w:szCs w:val="22"/>
        </w:rPr>
        <w:t>ears</w:t>
      </w:r>
    </w:p>
    <w:bookmarkEnd w:id="167"/>
    <w:p w14:paraId="312B82E8" w14:textId="77777777" w:rsidR="00BB44E1" w:rsidRPr="00DB0C40" w:rsidRDefault="00BB44E1">
      <w:pPr>
        <w:jc w:val="both"/>
        <w:rPr>
          <w:sz w:val="22"/>
          <w:szCs w:val="22"/>
        </w:rPr>
      </w:pPr>
    </w:p>
    <w:p w14:paraId="6D49BB45" w14:textId="77777777" w:rsidR="00BB44E1" w:rsidRPr="00DB0C40" w:rsidRDefault="00BB44E1">
      <w:pPr>
        <w:jc w:val="both"/>
        <w:rPr>
          <w:sz w:val="22"/>
          <w:szCs w:val="22"/>
        </w:rPr>
      </w:pPr>
    </w:p>
    <w:p w14:paraId="40A240B9" w14:textId="77777777" w:rsidR="00BB44E1" w:rsidRPr="00DB0C40" w:rsidRDefault="00230B49">
      <w:pPr>
        <w:jc w:val="center"/>
        <w:rPr>
          <w:sz w:val="22"/>
          <w:szCs w:val="22"/>
        </w:rPr>
      </w:pPr>
      <w:r w:rsidRPr="00DB0C40">
        <w:rPr>
          <w:noProof/>
          <w:sz w:val="22"/>
          <w:szCs w:val="22"/>
          <w:lang w:eastAsia="en-GB"/>
        </w:rPr>
        <w:drawing>
          <wp:inline distT="0" distB="0" distL="0" distR="0" wp14:anchorId="33DE9034" wp14:editId="7C4EE73D">
            <wp:extent cx="4133850" cy="2743200"/>
            <wp:effectExtent l="0" t="0" r="0" b="0"/>
            <wp:docPr id="4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71"/>
                    <a:srcRect/>
                    <a:stretch>
                      <a:fillRect/>
                    </a:stretch>
                  </pic:blipFill>
                  <pic:spPr>
                    <a:xfrm>
                      <a:off x="0" y="0"/>
                      <a:ext cx="4133850" cy="2743200"/>
                    </a:xfrm>
                    <a:prstGeom prst="rect">
                      <a:avLst/>
                    </a:prstGeom>
                    <a:ln/>
                  </pic:spPr>
                </pic:pic>
              </a:graphicData>
            </a:graphic>
          </wp:inline>
        </w:drawing>
      </w:r>
    </w:p>
    <w:p w14:paraId="2B99E063" w14:textId="702D5A00" w:rsidR="00BB44E1" w:rsidRPr="008F729E" w:rsidRDefault="00230B49">
      <w:pPr>
        <w:jc w:val="center"/>
        <w:rPr>
          <w:sz w:val="18"/>
          <w:szCs w:val="18"/>
        </w:rPr>
      </w:pPr>
      <w:r w:rsidRPr="008F729E">
        <w:rPr>
          <w:sz w:val="18"/>
          <w:szCs w:val="18"/>
        </w:rPr>
        <w:t>Source: TAT E</w:t>
      </w:r>
      <w:r w:rsidR="008F729E">
        <w:rPr>
          <w:sz w:val="18"/>
          <w:szCs w:val="18"/>
        </w:rPr>
        <w:t>la</w:t>
      </w:r>
      <w:r w:rsidR="00AE67F2" w:rsidRPr="008F729E">
        <w:rPr>
          <w:sz w:val="18"/>
          <w:szCs w:val="18"/>
        </w:rPr>
        <w:t>bor</w:t>
      </w:r>
      <w:r w:rsidRPr="008F729E">
        <w:rPr>
          <w:sz w:val="18"/>
          <w:szCs w:val="18"/>
        </w:rPr>
        <w:t>ation</w:t>
      </w:r>
    </w:p>
    <w:p w14:paraId="4941EE03" w14:textId="77777777" w:rsidR="00BB44E1" w:rsidRPr="00DB0C40" w:rsidRDefault="00BB44E1">
      <w:pPr>
        <w:jc w:val="center"/>
        <w:rPr>
          <w:sz w:val="22"/>
          <w:szCs w:val="22"/>
        </w:rPr>
      </w:pPr>
    </w:p>
    <w:p w14:paraId="0154BDD7" w14:textId="77777777" w:rsidR="00BB44E1" w:rsidRPr="00DB0C40" w:rsidRDefault="00BB44E1">
      <w:pPr>
        <w:jc w:val="both"/>
        <w:rPr>
          <w:sz w:val="22"/>
          <w:szCs w:val="22"/>
        </w:rPr>
      </w:pPr>
    </w:p>
    <w:p w14:paraId="0703B7F7" w14:textId="77777777" w:rsidR="00BB44E1" w:rsidRPr="00DB0C40" w:rsidRDefault="00230B49">
      <w:pPr>
        <w:jc w:val="both"/>
        <w:rPr>
          <w:sz w:val="22"/>
          <w:szCs w:val="22"/>
        </w:rPr>
      </w:pPr>
      <w:bookmarkStart w:id="168" w:name="_heading=h.3o7alnk" w:colFirst="0" w:colLast="0"/>
      <w:bookmarkEnd w:id="168"/>
      <w:r w:rsidRPr="00DB0C40">
        <w:rPr>
          <w:sz w:val="22"/>
          <w:szCs w:val="22"/>
        </w:rPr>
        <w:t>The same question was asked in the employer questionnaire closing section. The results indicate that employers' priorities differed from employees as seen from the below graph. On the employers’ side; more than 80% of the respondents mentioned that more support from the government to establish nurseries and improve the conditions of breastfeeding rooms and nurseries is expected in the future. Extension of postpartum unpaid leave period was among the least preferred policy options.</w:t>
      </w:r>
    </w:p>
    <w:p w14:paraId="34B53C06" w14:textId="77777777" w:rsidR="00BB44E1" w:rsidRPr="00DB0C40" w:rsidRDefault="00BB44E1">
      <w:pPr>
        <w:jc w:val="both"/>
        <w:rPr>
          <w:sz w:val="22"/>
          <w:szCs w:val="22"/>
        </w:rPr>
      </w:pPr>
      <w:bookmarkStart w:id="169" w:name="_heading=h.dksjnxms65oa" w:colFirst="0" w:colLast="0"/>
      <w:bookmarkEnd w:id="169"/>
    </w:p>
    <w:p w14:paraId="27CC7BFC" w14:textId="77777777" w:rsidR="00BB44E1" w:rsidRPr="00DB0C40" w:rsidRDefault="00BB44E1">
      <w:pPr>
        <w:jc w:val="both"/>
        <w:rPr>
          <w:sz w:val="22"/>
          <w:szCs w:val="22"/>
        </w:rPr>
      </w:pPr>
    </w:p>
    <w:p w14:paraId="07C34E34" w14:textId="77777777" w:rsidR="007A7E2D" w:rsidRDefault="007A7E2D">
      <w:pPr>
        <w:rPr>
          <w:b/>
          <w:sz w:val="22"/>
          <w:szCs w:val="22"/>
        </w:rPr>
      </w:pPr>
      <w:bookmarkStart w:id="170" w:name="_Hlk107140588"/>
      <w:r>
        <w:rPr>
          <w:b/>
          <w:sz w:val="22"/>
          <w:szCs w:val="22"/>
        </w:rPr>
        <w:br w:type="page"/>
      </w:r>
    </w:p>
    <w:p w14:paraId="6ABD4929" w14:textId="33C0D54A" w:rsidR="00BB44E1" w:rsidRPr="00DB0C40" w:rsidRDefault="00230B49">
      <w:pPr>
        <w:jc w:val="center"/>
        <w:rPr>
          <w:b/>
          <w:sz w:val="22"/>
          <w:szCs w:val="22"/>
        </w:rPr>
      </w:pPr>
      <w:r w:rsidRPr="00DB0C40">
        <w:rPr>
          <w:b/>
          <w:sz w:val="22"/>
          <w:szCs w:val="22"/>
        </w:rPr>
        <w:lastRenderedPageBreak/>
        <w:t xml:space="preserve">Figure </w:t>
      </w:r>
      <w:r w:rsidR="00E471AD" w:rsidRPr="00DB0C40">
        <w:rPr>
          <w:b/>
          <w:sz w:val="22"/>
          <w:szCs w:val="22"/>
        </w:rPr>
        <w:t>36</w:t>
      </w:r>
      <w:r w:rsidRPr="00DB0C40">
        <w:rPr>
          <w:b/>
          <w:sz w:val="22"/>
          <w:szCs w:val="22"/>
        </w:rPr>
        <w:t xml:space="preserve">. Suggestions to </w:t>
      </w:r>
      <w:r w:rsidR="007F19BB" w:rsidRPr="00DB0C40">
        <w:rPr>
          <w:b/>
          <w:sz w:val="22"/>
          <w:szCs w:val="22"/>
        </w:rPr>
        <w:t>I</w:t>
      </w:r>
      <w:r w:rsidRPr="00DB0C40">
        <w:rPr>
          <w:b/>
          <w:sz w:val="22"/>
          <w:szCs w:val="22"/>
        </w:rPr>
        <w:t xml:space="preserve">mprove </w:t>
      </w:r>
      <w:r w:rsidR="007F19BB" w:rsidRPr="00DB0C40">
        <w:rPr>
          <w:b/>
          <w:sz w:val="22"/>
          <w:szCs w:val="22"/>
        </w:rPr>
        <w:t>C</w:t>
      </w:r>
      <w:r w:rsidRPr="00DB0C40">
        <w:rPr>
          <w:b/>
          <w:sz w:val="22"/>
          <w:szCs w:val="22"/>
        </w:rPr>
        <w:t xml:space="preserve">onditions for </w:t>
      </w:r>
      <w:r w:rsidR="007F19BB" w:rsidRPr="00DB0C40">
        <w:rPr>
          <w:b/>
          <w:sz w:val="22"/>
          <w:szCs w:val="22"/>
        </w:rPr>
        <w:t>F</w:t>
      </w:r>
      <w:r w:rsidRPr="00DB0C40">
        <w:rPr>
          <w:b/>
          <w:sz w:val="22"/>
          <w:szCs w:val="22"/>
        </w:rPr>
        <w:t xml:space="preserve">emale </w:t>
      </w:r>
      <w:r w:rsidR="007F19BB" w:rsidRPr="00DB0C40">
        <w:rPr>
          <w:b/>
          <w:sz w:val="22"/>
          <w:szCs w:val="22"/>
        </w:rPr>
        <w:t>E</w:t>
      </w:r>
      <w:r w:rsidRPr="00DB0C40">
        <w:rPr>
          <w:b/>
          <w:sz w:val="22"/>
          <w:szCs w:val="22"/>
        </w:rPr>
        <w:t>mployers</w:t>
      </w:r>
    </w:p>
    <w:bookmarkEnd w:id="170"/>
    <w:p w14:paraId="7AACA932" w14:textId="77777777" w:rsidR="00BB44E1" w:rsidRPr="00DB0C40" w:rsidRDefault="00BB44E1">
      <w:pPr>
        <w:jc w:val="both"/>
        <w:rPr>
          <w:sz w:val="22"/>
          <w:szCs w:val="22"/>
        </w:rPr>
      </w:pPr>
    </w:p>
    <w:p w14:paraId="4CE3D44E" w14:textId="77777777" w:rsidR="00BB44E1" w:rsidRPr="00DB0C40" w:rsidRDefault="00BB44E1">
      <w:pPr>
        <w:jc w:val="both"/>
        <w:rPr>
          <w:sz w:val="22"/>
          <w:szCs w:val="22"/>
        </w:rPr>
      </w:pPr>
    </w:p>
    <w:p w14:paraId="5B5498F7" w14:textId="77777777" w:rsidR="00BB44E1" w:rsidRPr="00DB0C40" w:rsidRDefault="00230B49">
      <w:pPr>
        <w:jc w:val="both"/>
        <w:rPr>
          <w:sz w:val="22"/>
          <w:szCs w:val="22"/>
        </w:rPr>
      </w:pPr>
      <w:r w:rsidRPr="00DB0C40">
        <w:rPr>
          <w:noProof/>
          <w:sz w:val="22"/>
          <w:szCs w:val="22"/>
          <w:lang w:eastAsia="en-GB"/>
        </w:rPr>
        <w:drawing>
          <wp:inline distT="0" distB="0" distL="0" distR="0" wp14:anchorId="7A0A12E2" wp14:editId="6F834E87">
            <wp:extent cx="5934075" cy="2771775"/>
            <wp:effectExtent l="0" t="0" r="0" b="0"/>
            <wp:docPr id="5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72"/>
                    <a:srcRect/>
                    <a:stretch>
                      <a:fillRect/>
                    </a:stretch>
                  </pic:blipFill>
                  <pic:spPr>
                    <a:xfrm>
                      <a:off x="0" y="0"/>
                      <a:ext cx="5934075" cy="2771775"/>
                    </a:xfrm>
                    <a:prstGeom prst="rect">
                      <a:avLst/>
                    </a:prstGeom>
                    <a:ln/>
                  </pic:spPr>
                </pic:pic>
              </a:graphicData>
            </a:graphic>
          </wp:inline>
        </w:drawing>
      </w:r>
    </w:p>
    <w:p w14:paraId="577D1365" w14:textId="77777777" w:rsidR="00BB44E1" w:rsidRPr="00DB0C40" w:rsidRDefault="00BB44E1">
      <w:pPr>
        <w:jc w:val="both"/>
        <w:rPr>
          <w:sz w:val="22"/>
          <w:szCs w:val="22"/>
        </w:rPr>
      </w:pPr>
    </w:p>
    <w:p w14:paraId="566F5D0C" w14:textId="6F0841D4" w:rsidR="00CD2A61" w:rsidRPr="008F729E" w:rsidRDefault="00230B49" w:rsidP="008F729E">
      <w:pPr>
        <w:jc w:val="center"/>
        <w:rPr>
          <w:sz w:val="18"/>
          <w:szCs w:val="18"/>
        </w:rPr>
      </w:pPr>
      <w:r w:rsidRPr="008F729E">
        <w:rPr>
          <w:sz w:val="18"/>
          <w:szCs w:val="18"/>
        </w:rPr>
        <w:t>Source: TAT E</w:t>
      </w:r>
      <w:r w:rsidR="008F729E" w:rsidRPr="008F729E">
        <w:rPr>
          <w:sz w:val="18"/>
          <w:szCs w:val="18"/>
        </w:rPr>
        <w:t>l</w:t>
      </w:r>
      <w:r w:rsidR="00AE67F2" w:rsidRPr="008F729E">
        <w:rPr>
          <w:sz w:val="18"/>
          <w:szCs w:val="18"/>
        </w:rPr>
        <w:t>abor</w:t>
      </w:r>
      <w:r w:rsidRPr="008F729E">
        <w:rPr>
          <w:sz w:val="18"/>
          <w:szCs w:val="18"/>
        </w:rPr>
        <w:t>ation</w:t>
      </w:r>
      <w:bookmarkStart w:id="171" w:name="_Hlk107140608"/>
    </w:p>
    <w:p w14:paraId="16B04BD8" w14:textId="77777777" w:rsidR="00CD2A61" w:rsidRPr="008F729E" w:rsidRDefault="00CD2A61" w:rsidP="008F729E">
      <w:pPr>
        <w:jc w:val="center"/>
        <w:rPr>
          <w:sz w:val="18"/>
          <w:szCs w:val="18"/>
        </w:rPr>
      </w:pPr>
    </w:p>
    <w:p w14:paraId="1C7E6CAA" w14:textId="09518036" w:rsidR="002557B7" w:rsidRPr="00CD2A61" w:rsidRDefault="00E941FF" w:rsidP="00CD2A61">
      <w:pPr>
        <w:jc w:val="both"/>
        <w:rPr>
          <w:rFonts w:asciiTheme="majorHAnsi" w:eastAsiaTheme="majorEastAsia" w:hAnsiTheme="majorHAnsi" w:cstheme="majorBidi"/>
          <w:color w:val="1F3763" w:themeColor="accent1" w:themeShade="7F"/>
        </w:rPr>
      </w:pPr>
      <w:r>
        <w:rPr>
          <w:rFonts w:asciiTheme="majorHAnsi" w:eastAsiaTheme="majorEastAsia" w:hAnsiTheme="majorHAnsi" w:cstheme="majorBidi"/>
          <w:color w:val="1F3763" w:themeColor="accent1" w:themeShade="7F"/>
        </w:rPr>
        <w:t xml:space="preserve">6. </w:t>
      </w:r>
      <w:r w:rsidR="002557B7" w:rsidRPr="00CD2A61">
        <w:rPr>
          <w:rFonts w:asciiTheme="majorHAnsi" w:eastAsiaTheme="majorEastAsia" w:hAnsiTheme="majorHAnsi" w:cstheme="majorBidi"/>
          <w:color w:val="1F3763" w:themeColor="accent1" w:themeShade="7F"/>
        </w:rPr>
        <w:t>POLICY RECOMMENDATIONS AND SUGGESTIONS TO ENHANCE RELEVANT REGULATIONS AND TO DRAFT NEW POLICIES</w:t>
      </w:r>
    </w:p>
    <w:p w14:paraId="1B585DA0" w14:textId="77777777" w:rsidR="00CD2A61" w:rsidRDefault="00CD2A61" w:rsidP="002557B7">
      <w:pPr>
        <w:spacing w:after="160" w:line="259" w:lineRule="auto"/>
        <w:jc w:val="both"/>
        <w:rPr>
          <w:rFonts w:asciiTheme="minorHAnsi" w:eastAsiaTheme="minorHAnsi" w:hAnsiTheme="minorHAnsi" w:cstheme="minorBidi"/>
          <w:sz w:val="22"/>
          <w:szCs w:val="22"/>
        </w:rPr>
      </w:pPr>
    </w:p>
    <w:p w14:paraId="391B63FD" w14:textId="045A681A" w:rsidR="002557B7" w:rsidRDefault="002557B7" w:rsidP="002557B7">
      <w:pPr>
        <w:spacing w:after="160" w:line="259" w:lineRule="auto"/>
        <w:jc w:val="both"/>
        <w:rPr>
          <w:rFonts w:asciiTheme="minorHAnsi" w:eastAsiaTheme="minorHAnsi" w:hAnsiTheme="minorHAnsi" w:cstheme="minorBidi"/>
          <w:sz w:val="22"/>
          <w:szCs w:val="22"/>
        </w:rPr>
      </w:pPr>
      <w:r w:rsidRPr="00DB0C40">
        <w:rPr>
          <w:rFonts w:asciiTheme="minorHAnsi" w:eastAsiaTheme="minorHAnsi" w:hAnsiTheme="minorHAnsi" w:cstheme="minorBidi"/>
          <w:sz w:val="22"/>
          <w:szCs w:val="22"/>
        </w:rPr>
        <w:t>These recommendations are based on the qualitative and quantitative information derived from the Desk Research, stakeholder meetings, the Pre-Study Workshops, the Field Study’s face-to-face interviews, and, where relevant, the Post-Study Workshop.</w:t>
      </w:r>
    </w:p>
    <w:p w14:paraId="23BA0C03" w14:textId="00D2DC08" w:rsidR="000F0267" w:rsidRDefault="000F0267" w:rsidP="000F0267">
      <w:pPr>
        <w:spacing w:after="160" w:line="259" w:lineRule="auto"/>
        <w:rPr>
          <w:rFonts w:asciiTheme="minorHAnsi" w:eastAsiaTheme="minorHAnsi" w:hAnsiTheme="minorHAnsi" w:cstheme="minorBidi"/>
          <w:sz w:val="22"/>
          <w:szCs w:val="22"/>
        </w:rPr>
      </w:pPr>
      <w:r>
        <w:rPr>
          <w:rFonts w:asciiTheme="minorHAnsi" w:eastAsiaTheme="minorHAnsi" w:hAnsiTheme="minorHAnsi" w:cstheme="minorBidi"/>
          <w:sz w:val="22"/>
          <w:szCs w:val="22"/>
        </w:rPr>
        <w:t>Also information from the Sector</w:t>
      </w:r>
      <w:r w:rsidR="00AC290E">
        <w:rPr>
          <w:rFonts w:asciiTheme="minorHAnsi" w:eastAsiaTheme="minorHAnsi" w:hAnsiTheme="minorHAnsi" w:cstheme="minorBidi"/>
          <w:sz w:val="22"/>
          <w:szCs w:val="22"/>
        </w:rPr>
        <w:t>s</w:t>
      </w:r>
      <w:r>
        <w:rPr>
          <w:rFonts w:asciiTheme="minorHAnsi" w:eastAsiaTheme="minorHAnsi" w:hAnsiTheme="minorHAnsi" w:cstheme="minorBidi"/>
          <w:sz w:val="22"/>
          <w:szCs w:val="22"/>
        </w:rPr>
        <w:t xml:space="preserve"> Report is considered to enhance these recommendations. </w:t>
      </w:r>
      <w:r w:rsidR="00AC290E">
        <w:rPr>
          <w:rFonts w:asciiTheme="minorHAnsi" w:eastAsiaTheme="minorHAnsi" w:hAnsiTheme="minorHAnsi" w:cstheme="minorBidi"/>
          <w:sz w:val="22"/>
          <w:szCs w:val="22"/>
        </w:rPr>
        <w:t>The main recommendations</w:t>
      </w:r>
      <w:r w:rsidR="004B2FB8">
        <w:rPr>
          <w:rFonts w:asciiTheme="minorHAnsi" w:eastAsiaTheme="minorHAnsi" w:hAnsiTheme="minorHAnsi" w:cstheme="minorBidi"/>
          <w:sz w:val="22"/>
          <w:szCs w:val="22"/>
        </w:rPr>
        <w:t xml:space="preserve"> of this Report </w:t>
      </w:r>
      <w:r w:rsidR="00AC290E">
        <w:rPr>
          <w:rFonts w:asciiTheme="minorHAnsi" w:eastAsiaTheme="minorHAnsi" w:hAnsiTheme="minorHAnsi" w:cstheme="minorBidi"/>
          <w:sz w:val="22"/>
          <w:szCs w:val="22"/>
        </w:rPr>
        <w:t>are</w:t>
      </w:r>
      <w:r w:rsidR="004B2FB8">
        <w:rPr>
          <w:rFonts w:asciiTheme="minorHAnsi" w:eastAsiaTheme="minorHAnsi" w:hAnsiTheme="minorHAnsi" w:cstheme="minorBidi"/>
          <w:sz w:val="22"/>
          <w:szCs w:val="22"/>
        </w:rPr>
        <w:t xml:space="preserve"> included in this section, but there are two other important</w:t>
      </w:r>
      <w:r w:rsidR="001E345A">
        <w:rPr>
          <w:rFonts w:asciiTheme="minorHAnsi" w:eastAsiaTheme="minorHAnsi" w:hAnsiTheme="minorHAnsi" w:cstheme="minorBidi"/>
          <w:sz w:val="22"/>
          <w:szCs w:val="22"/>
        </w:rPr>
        <w:t xml:space="preserve"> general</w:t>
      </w:r>
      <w:r w:rsidR="004B2FB8">
        <w:rPr>
          <w:rFonts w:asciiTheme="minorHAnsi" w:eastAsiaTheme="minorHAnsi" w:hAnsiTheme="minorHAnsi" w:cstheme="minorBidi"/>
          <w:sz w:val="22"/>
          <w:szCs w:val="22"/>
        </w:rPr>
        <w:t xml:space="preserve"> recommendations</w:t>
      </w:r>
      <w:r w:rsidR="001E345A">
        <w:rPr>
          <w:rFonts w:asciiTheme="minorHAnsi" w:eastAsiaTheme="minorHAnsi" w:hAnsiTheme="minorHAnsi" w:cstheme="minorBidi"/>
          <w:sz w:val="22"/>
          <w:szCs w:val="22"/>
        </w:rPr>
        <w:t xml:space="preserve">: </w:t>
      </w:r>
    </w:p>
    <w:p w14:paraId="10076355" w14:textId="0A9C3F73" w:rsidR="000F0267" w:rsidRPr="00CD2A61" w:rsidRDefault="001E345A">
      <w:pPr>
        <w:pStyle w:val="ListParagraph"/>
        <w:numPr>
          <w:ilvl w:val="0"/>
          <w:numId w:val="48"/>
        </w:numPr>
        <w:spacing w:after="160" w:line="259" w:lineRule="auto"/>
        <w:rPr>
          <w:rFonts w:asciiTheme="minorHAnsi" w:eastAsiaTheme="minorHAnsi" w:hAnsiTheme="minorHAnsi" w:cstheme="minorBidi"/>
          <w:i/>
          <w:iCs/>
          <w:sz w:val="22"/>
          <w:szCs w:val="22"/>
        </w:rPr>
      </w:pPr>
      <w:r>
        <w:rPr>
          <w:rFonts w:asciiTheme="minorHAnsi" w:eastAsiaTheme="minorHAnsi" w:hAnsiTheme="minorHAnsi" w:cstheme="minorBidi"/>
          <w:i/>
          <w:iCs/>
          <w:sz w:val="22"/>
          <w:szCs w:val="22"/>
        </w:rPr>
        <w:t>“</w:t>
      </w:r>
      <w:r w:rsidR="000F0267" w:rsidRPr="00CD2A61">
        <w:rPr>
          <w:rFonts w:asciiTheme="minorHAnsi" w:eastAsiaTheme="minorHAnsi" w:hAnsiTheme="minorHAnsi" w:cstheme="minorBidi"/>
          <w:i/>
          <w:iCs/>
          <w:sz w:val="22"/>
          <w:szCs w:val="22"/>
        </w:rPr>
        <w:t>Take measures to ensure and monitor female employees' participation in in-service training with equal opportunities</w:t>
      </w:r>
      <w:r w:rsidR="00597B65">
        <w:rPr>
          <w:rFonts w:asciiTheme="minorHAnsi" w:eastAsiaTheme="minorHAnsi" w:hAnsiTheme="minorHAnsi" w:cstheme="minorBidi"/>
          <w:i/>
          <w:iCs/>
          <w:sz w:val="22"/>
          <w:szCs w:val="22"/>
        </w:rPr>
        <w:t>”</w:t>
      </w:r>
      <w:r w:rsidR="000F0267" w:rsidRPr="00CD2A61">
        <w:rPr>
          <w:rFonts w:asciiTheme="minorHAnsi" w:eastAsiaTheme="minorHAnsi" w:hAnsiTheme="minorHAnsi" w:cstheme="minorBidi"/>
          <w:i/>
          <w:iCs/>
          <w:sz w:val="22"/>
          <w:szCs w:val="22"/>
        </w:rPr>
        <w:t>.</w:t>
      </w:r>
    </w:p>
    <w:p w14:paraId="067A5D78" w14:textId="194B58A4" w:rsidR="000F0267" w:rsidRPr="00CD2A61" w:rsidRDefault="00597B65">
      <w:pPr>
        <w:pStyle w:val="ListParagraph"/>
        <w:numPr>
          <w:ilvl w:val="0"/>
          <w:numId w:val="48"/>
        </w:numPr>
        <w:spacing w:after="160" w:line="259" w:lineRule="auto"/>
        <w:rPr>
          <w:rFonts w:asciiTheme="minorHAnsi" w:eastAsiaTheme="minorHAnsi" w:hAnsiTheme="minorHAnsi" w:cstheme="minorBidi"/>
          <w:i/>
          <w:iCs/>
          <w:sz w:val="22"/>
          <w:szCs w:val="22"/>
        </w:rPr>
      </w:pPr>
      <w:r>
        <w:rPr>
          <w:rFonts w:asciiTheme="minorHAnsi" w:eastAsiaTheme="minorHAnsi" w:hAnsiTheme="minorHAnsi" w:cstheme="minorBidi"/>
          <w:i/>
          <w:iCs/>
          <w:sz w:val="22"/>
          <w:szCs w:val="22"/>
        </w:rPr>
        <w:t>“</w:t>
      </w:r>
      <w:r w:rsidR="000F0267" w:rsidRPr="00CD2A61">
        <w:rPr>
          <w:rFonts w:asciiTheme="minorHAnsi" w:eastAsiaTheme="minorHAnsi" w:hAnsiTheme="minorHAnsi" w:cstheme="minorBidi"/>
          <w:i/>
          <w:iCs/>
          <w:sz w:val="22"/>
          <w:szCs w:val="22"/>
        </w:rPr>
        <w:t>Monitor and support the professional development of female employees</w:t>
      </w:r>
      <w:r w:rsidR="001E345A">
        <w:rPr>
          <w:rFonts w:asciiTheme="minorHAnsi" w:eastAsiaTheme="minorHAnsi" w:hAnsiTheme="minorHAnsi" w:cstheme="minorBidi"/>
          <w:i/>
          <w:iCs/>
          <w:sz w:val="22"/>
          <w:szCs w:val="22"/>
        </w:rPr>
        <w:t>”</w:t>
      </w:r>
      <w:r w:rsidR="000F0267" w:rsidRPr="00CD2A61">
        <w:rPr>
          <w:rFonts w:asciiTheme="minorHAnsi" w:eastAsiaTheme="minorHAnsi" w:hAnsiTheme="minorHAnsi" w:cstheme="minorBidi"/>
          <w:i/>
          <w:iCs/>
          <w:sz w:val="22"/>
          <w:szCs w:val="22"/>
        </w:rPr>
        <w:t>.</w:t>
      </w:r>
    </w:p>
    <w:p w14:paraId="5FC94048" w14:textId="138DEB15" w:rsidR="000F0267" w:rsidRPr="000F0267" w:rsidRDefault="002E456F" w:rsidP="000F0267">
      <w:pPr>
        <w:spacing w:after="160" w:line="259" w:lineRule="auto"/>
        <w:rPr>
          <w:rFonts w:asciiTheme="minorHAnsi" w:eastAsiaTheme="minorHAnsi" w:hAnsiTheme="minorHAnsi" w:cstheme="minorBidi"/>
          <w:sz w:val="22"/>
          <w:szCs w:val="22"/>
        </w:rPr>
      </w:pPr>
      <w:r>
        <w:rPr>
          <w:rFonts w:asciiTheme="minorHAnsi" w:eastAsiaTheme="minorHAnsi" w:hAnsiTheme="minorHAnsi" w:cstheme="minorBidi"/>
          <w:sz w:val="22"/>
          <w:szCs w:val="22"/>
        </w:rPr>
        <w:t xml:space="preserve">For the </w:t>
      </w:r>
      <w:r w:rsidR="000F0267" w:rsidRPr="000F0267">
        <w:rPr>
          <w:rFonts w:asciiTheme="minorHAnsi" w:eastAsiaTheme="minorHAnsi" w:hAnsiTheme="minorHAnsi" w:cstheme="minorBidi"/>
          <w:sz w:val="22"/>
          <w:szCs w:val="22"/>
        </w:rPr>
        <w:t xml:space="preserve">Sectors in </w:t>
      </w:r>
      <w:r w:rsidR="00597B65">
        <w:rPr>
          <w:rFonts w:asciiTheme="minorHAnsi" w:eastAsiaTheme="minorHAnsi" w:hAnsiTheme="minorHAnsi" w:cstheme="minorBidi"/>
          <w:sz w:val="22"/>
          <w:szCs w:val="22"/>
        </w:rPr>
        <w:t xml:space="preserve">general, there are also three important recommendations: </w:t>
      </w:r>
    </w:p>
    <w:p w14:paraId="46B3F89A" w14:textId="0785E8B0" w:rsidR="000F0267" w:rsidRPr="00CD2A61" w:rsidRDefault="00597B65">
      <w:pPr>
        <w:pStyle w:val="ListParagraph"/>
        <w:numPr>
          <w:ilvl w:val="0"/>
          <w:numId w:val="49"/>
        </w:numPr>
        <w:spacing w:after="160" w:line="259" w:lineRule="auto"/>
        <w:rPr>
          <w:rFonts w:asciiTheme="minorHAnsi" w:eastAsiaTheme="minorHAnsi" w:hAnsiTheme="minorHAnsi" w:cstheme="minorBidi"/>
          <w:i/>
          <w:iCs/>
          <w:sz w:val="22"/>
          <w:szCs w:val="22"/>
        </w:rPr>
      </w:pPr>
      <w:r>
        <w:rPr>
          <w:rFonts w:asciiTheme="minorHAnsi" w:eastAsiaTheme="minorHAnsi" w:hAnsiTheme="minorHAnsi" w:cstheme="minorBidi"/>
          <w:sz w:val="22"/>
          <w:szCs w:val="22"/>
        </w:rPr>
        <w:t>“</w:t>
      </w:r>
      <w:r w:rsidR="000F0267" w:rsidRPr="00CD2A61">
        <w:rPr>
          <w:rFonts w:asciiTheme="minorHAnsi" w:eastAsiaTheme="minorHAnsi" w:hAnsiTheme="minorHAnsi" w:cstheme="minorBidi"/>
          <w:i/>
          <w:iCs/>
          <w:sz w:val="22"/>
          <w:szCs w:val="22"/>
        </w:rPr>
        <w:t>Focus more on the education of girls and women in the renewable energy sector, science, technology, engineering, mathematics.</w:t>
      </w:r>
    </w:p>
    <w:p w14:paraId="0154FBC0" w14:textId="77777777" w:rsidR="000F0267" w:rsidRPr="00CD2A61" w:rsidRDefault="000F0267">
      <w:pPr>
        <w:pStyle w:val="ListParagraph"/>
        <w:numPr>
          <w:ilvl w:val="0"/>
          <w:numId w:val="49"/>
        </w:numPr>
        <w:spacing w:after="160" w:line="259" w:lineRule="auto"/>
        <w:rPr>
          <w:rFonts w:asciiTheme="minorHAnsi" w:eastAsiaTheme="minorHAnsi" w:hAnsiTheme="minorHAnsi" w:cstheme="minorBidi"/>
          <w:i/>
          <w:iCs/>
          <w:sz w:val="22"/>
          <w:szCs w:val="22"/>
        </w:rPr>
      </w:pPr>
      <w:r w:rsidRPr="00CD2A61">
        <w:rPr>
          <w:rFonts w:asciiTheme="minorHAnsi" w:eastAsiaTheme="minorHAnsi" w:hAnsiTheme="minorHAnsi" w:cstheme="minorBidi"/>
          <w:i/>
          <w:iCs/>
          <w:sz w:val="22"/>
          <w:szCs w:val="22"/>
        </w:rPr>
        <w:t>Regulate the working hours of female employees in sectors where flexible or remote working opportunities are not available (especially in the health sector).</w:t>
      </w:r>
    </w:p>
    <w:p w14:paraId="6B3A677F" w14:textId="44685FB1" w:rsidR="000F0267" w:rsidRPr="00AC290E" w:rsidRDefault="000F0267">
      <w:pPr>
        <w:pStyle w:val="ListParagraph"/>
        <w:numPr>
          <w:ilvl w:val="0"/>
          <w:numId w:val="49"/>
        </w:numPr>
        <w:spacing w:after="160" w:line="259" w:lineRule="auto"/>
        <w:rPr>
          <w:rFonts w:asciiTheme="minorHAnsi" w:eastAsiaTheme="minorHAnsi" w:hAnsiTheme="minorHAnsi" w:cstheme="minorBidi"/>
          <w:sz w:val="22"/>
          <w:szCs w:val="22"/>
        </w:rPr>
      </w:pPr>
      <w:r w:rsidRPr="00CD2A61">
        <w:rPr>
          <w:rFonts w:asciiTheme="minorHAnsi" w:eastAsiaTheme="minorHAnsi" w:hAnsiTheme="minorHAnsi" w:cstheme="minorBidi"/>
          <w:i/>
          <w:iCs/>
          <w:sz w:val="22"/>
          <w:szCs w:val="22"/>
        </w:rPr>
        <w:t>Increase the involvement of women in the renewable energy sector through improved workplace conditions, mentoring and professional development</w:t>
      </w:r>
      <w:r w:rsidR="00597B65">
        <w:rPr>
          <w:rFonts w:asciiTheme="minorHAnsi" w:eastAsiaTheme="minorHAnsi" w:hAnsiTheme="minorHAnsi" w:cstheme="minorBidi"/>
          <w:i/>
          <w:iCs/>
          <w:sz w:val="22"/>
          <w:szCs w:val="22"/>
        </w:rPr>
        <w:t>”</w:t>
      </w:r>
      <w:r w:rsidRPr="00CD2A61">
        <w:rPr>
          <w:rFonts w:asciiTheme="minorHAnsi" w:eastAsiaTheme="minorHAnsi" w:hAnsiTheme="minorHAnsi" w:cstheme="minorBidi"/>
          <w:sz w:val="22"/>
          <w:szCs w:val="22"/>
        </w:rPr>
        <w:t>.</w:t>
      </w:r>
      <w:r w:rsidR="00AC290E" w:rsidRPr="00AC290E">
        <w:rPr>
          <w:rFonts w:asciiTheme="minorHAnsi" w:eastAsiaTheme="minorHAnsi" w:hAnsiTheme="minorHAnsi" w:cstheme="minorBidi"/>
          <w:sz w:val="22"/>
          <w:szCs w:val="22"/>
        </w:rPr>
        <w:t xml:space="preserve"> (</w:t>
      </w:r>
      <w:r w:rsidRPr="00AC290E">
        <w:rPr>
          <w:rFonts w:asciiTheme="minorHAnsi" w:eastAsiaTheme="minorHAnsi" w:hAnsiTheme="minorHAnsi" w:cstheme="minorBidi"/>
          <w:sz w:val="22"/>
          <w:szCs w:val="22"/>
        </w:rPr>
        <w:t>Pp 161 – 168</w:t>
      </w:r>
      <w:r w:rsidR="00AC290E">
        <w:rPr>
          <w:rFonts w:asciiTheme="minorHAnsi" w:eastAsiaTheme="minorHAnsi" w:hAnsiTheme="minorHAnsi" w:cstheme="minorBidi"/>
          <w:sz w:val="22"/>
          <w:szCs w:val="22"/>
        </w:rPr>
        <w:t>, Sectors Report)</w:t>
      </w:r>
    </w:p>
    <w:p w14:paraId="191477AA" w14:textId="77777777" w:rsidR="000F0267" w:rsidRPr="00DB0C40" w:rsidRDefault="000F0267" w:rsidP="002557B7">
      <w:pPr>
        <w:spacing w:after="160" w:line="259" w:lineRule="auto"/>
        <w:jc w:val="both"/>
        <w:rPr>
          <w:rFonts w:asciiTheme="minorHAnsi" w:eastAsiaTheme="minorHAnsi" w:hAnsiTheme="minorHAnsi" w:cstheme="minorBidi"/>
          <w:sz w:val="22"/>
          <w:szCs w:val="22"/>
        </w:rPr>
      </w:pPr>
    </w:p>
    <w:p w14:paraId="6AD7BD85" w14:textId="77777777" w:rsidR="002557B7" w:rsidRPr="00CD2A61" w:rsidRDefault="002557B7" w:rsidP="002557B7">
      <w:pPr>
        <w:spacing w:after="160" w:line="259" w:lineRule="auto"/>
        <w:rPr>
          <w:rFonts w:asciiTheme="majorHAnsi" w:eastAsiaTheme="majorEastAsia" w:hAnsiTheme="majorHAnsi" w:cstheme="majorBidi"/>
          <w:color w:val="1F3763" w:themeColor="accent1" w:themeShade="7F"/>
        </w:rPr>
      </w:pPr>
      <w:r w:rsidRPr="00CD2A61">
        <w:rPr>
          <w:rFonts w:asciiTheme="majorHAnsi" w:eastAsiaTheme="majorEastAsia" w:hAnsiTheme="majorHAnsi" w:cstheme="majorBidi"/>
          <w:color w:val="1F3763" w:themeColor="accent1" w:themeShade="7F"/>
        </w:rPr>
        <w:lastRenderedPageBreak/>
        <w:t>6.1 Legislation that Promotes More Gender Equality and Avoids Enforcing the Stereotype that Women should have the Main Responsibility for Family Care</w:t>
      </w:r>
    </w:p>
    <w:bookmarkEnd w:id="171"/>
    <w:p w14:paraId="718E84A2" w14:textId="77777777" w:rsidR="002557B7" w:rsidRPr="00DB0C40" w:rsidRDefault="002557B7" w:rsidP="002557B7">
      <w:pPr>
        <w:spacing w:after="160" w:line="259" w:lineRule="auto"/>
        <w:jc w:val="both"/>
        <w:rPr>
          <w:rFonts w:asciiTheme="minorHAnsi" w:eastAsiaTheme="minorHAnsi" w:hAnsiTheme="minorHAnsi" w:cstheme="minorBidi"/>
          <w:sz w:val="22"/>
          <w:szCs w:val="22"/>
        </w:rPr>
      </w:pPr>
      <w:r w:rsidRPr="00DB0C40">
        <w:rPr>
          <w:rFonts w:asciiTheme="minorHAnsi" w:eastAsiaTheme="minorHAnsi" w:hAnsiTheme="minorHAnsi" w:cstheme="minorBidi"/>
          <w:sz w:val="22"/>
          <w:szCs w:val="22"/>
        </w:rPr>
        <w:t>In Türkiye, the new Labour Act enacted in 2003 was an important step towards establishing the principle of anti-discrimination in employment and securing more equal rights between women and men. Article 5, the principle of equal treatment, clearly states that “No discrimination based on language, race, sex, political opinion, philosophical belief, religion and sex or similar reasons is permissible in the employment relationship.” (p.10).</w:t>
      </w:r>
    </w:p>
    <w:p w14:paraId="03833BA8" w14:textId="77777777" w:rsidR="002557B7" w:rsidRPr="00DB0C40" w:rsidRDefault="002557B7" w:rsidP="002557B7">
      <w:pPr>
        <w:spacing w:after="160" w:line="259" w:lineRule="auto"/>
        <w:jc w:val="both"/>
        <w:rPr>
          <w:rFonts w:asciiTheme="minorHAnsi" w:eastAsiaTheme="minorHAnsi" w:hAnsiTheme="minorHAnsi" w:cstheme="minorBidi"/>
          <w:sz w:val="22"/>
          <w:szCs w:val="22"/>
        </w:rPr>
      </w:pPr>
      <w:r w:rsidRPr="00DB0C40">
        <w:rPr>
          <w:rFonts w:asciiTheme="minorHAnsi" w:eastAsiaTheme="minorHAnsi" w:hAnsiTheme="minorHAnsi" w:cstheme="minorBidi"/>
          <w:sz w:val="22"/>
          <w:szCs w:val="22"/>
        </w:rPr>
        <w:t>According to the conclusions of the Pre- Study Workshop, the participants suggested that “the legislation might promote gender equality and avoid reinforcing the idea that women have the main responsibility in taking care of the family. The language of the Labour Law should encourage the principle that women and men have equal responsibilities in their families and maternal and paternal leaves are of equal status.” (pp 21 -23)</w:t>
      </w:r>
    </w:p>
    <w:p w14:paraId="5C9458CC" w14:textId="392E3E6D" w:rsidR="002557B7" w:rsidRDefault="002557B7" w:rsidP="002557B7">
      <w:pPr>
        <w:spacing w:after="160" w:line="259" w:lineRule="auto"/>
        <w:jc w:val="both"/>
        <w:rPr>
          <w:rFonts w:asciiTheme="minorHAnsi" w:eastAsiaTheme="minorHAnsi" w:hAnsiTheme="minorHAnsi" w:cstheme="minorBidi"/>
          <w:sz w:val="22"/>
          <w:szCs w:val="22"/>
        </w:rPr>
      </w:pPr>
      <w:r w:rsidRPr="00DB0C40">
        <w:rPr>
          <w:rFonts w:asciiTheme="minorHAnsi" w:eastAsiaTheme="minorHAnsi" w:hAnsiTheme="minorHAnsi" w:cstheme="minorBidi"/>
          <w:sz w:val="22"/>
          <w:szCs w:val="22"/>
        </w:rPr>
        <w:t xml:space="preserve">According to the Field Study, the majority of the employee participants stated that the current Labour Law is not sufficient/efficient in increasing women’s employment. Section C of the questionnaire was designed to encourage respondents to suggest specific improvements in the Law for increasing women’s employment: the most frequent answer was the duration of maternity leave. Almost 90% of the participants stated that the </w:t>
      </w:r>
      <w:r w:rsidRPr="00DB0C40">
        <w:rPr>
          <w:rFonts w:asciiTheme="minorHAnsi" w:eastAsiaTheme="minorHAnsi" w:hAnsiTheme="minorHAnsi" w:cstheme="minorBidi"/>
          <w:b/>
          <w:sz w:val="22"/>
          <w:szCs w:val="22"/>
        </w:rPr>
        <w:t>duration of maternity</w:t>
      </w:r>
      <w:r w:rsidRPr="00DB0C40">
        <w:rPr>
          <w:rFonts w:asciiTheme="minorHAnsi" w:eastAsiaTheme="minorHAnsi" w:hAnsiTheme="minorHAnsi" w:cstheme="minorBidi"/>
          <w:sz w:val="22"/>
          <w:szCs w:val="22"/>
        </w:rPr>
        <w:t xml:space="preserve"> leave should be longer (equal to government officers). It is also noteworthy that 82.4% indicated that </w:t>
      </w:r>
      <w:r w:rsidRPr="00DB0C40">
        <w:rPr>
          <w:rFonts w:asciiTheme="minorHAnsi" w:eastAsiaTheme="minorHAnsi" w:hAnsiTheme="minorHAnsi" w:cstheme="minorBidi"/>
          <w:b/>
          <w:sz w:val="22"/>
          <w:szCs w:val="22"/>
        </w:rPr>
        <w:t>elderly and patients care</w:t>
      </w:r>
      <w:r w:rsidRPr="00DB0C40">
        <w:rPr>
          <w:rFonts w:asciiTheme="minorHAnsi" w:eastAsiaTheme="minorHAnsi" w:hAnsiTheme="minorHAnsi" w:cstheme="minorBidi"/>
          <w:sz w:val="22"/>
          <w:szCs w:val="22"/>
        </w:rPr>
        <w:t xml:space="preserve"> facilities should be also covered by the Law. The third most frequent answer was “state support for workplace nurseries” with 82.17%. (p.29).</w:t>
      </w:r>
    </w:p>
    <w:p w14:paraId="5E2C5B30" w14:textId="2E846131" w:rsidR="000D0554" w:rsidRPr="000D0554" w:rsidRDefault="00E4703B" w:rsidP="00CD2A61">
      <w:pPr>
        <w:spacing w:after="160" w:line="259" w:lineRule="auto"/>
        <w:jc w:val="both"/>
        <w:rPr>
          <w:rFonts w:asciiTheme="minorHAnsi" w:eastAsiaTheme="minorHAnsi" w:hAnsiTheme="minorHAnsi" w:cstheme="minorBidi"/>
          <w:sz w:val="22"/>
          <w:szCs w:val="22"/>
        </w:rPr>
      </w:pPr>
      <w:r>
        <w:rPr>
          <w:rFonts w:asciiTheme="minorHAnsi" w:eastAsiaTheme="minorHAnsi" w:hAnsiTheme="minorHAnsi" w:cstheme="minorBidi"/>
          <w:sz w:val="22"/>
          <w:szCs w:val="22"/>
        </w:rPr>
        <w:t>One of the main r</w:t>
      </w:r>
      <w:r w:rsidRPr="00E4703B">
        <w:rPr>
          <w:rFonts w:asciiTheme="minorHAnsi" w:eastAsiaTheme="minorHAnsi" w:hAnsiTheme="minorHAnsi" w:cstheme="minorBidi"/>
          <w:sz w:val="22"/>
          <w:szCs w:val="22"/>
        </w:rPr>
        <w:t>ecommendations</w:t>
      </w:r>
      <w:r>
        <w:rPr>
          <w:rFonts w:asciiTheme="minorHAnsi" w:eastAsiaTheme="minorHAnsi" w:hAnsiTheme="minorHAnsi" w:cstheme="minorBidi"/>
          <w:sz w:val="22"/>
          <w:szCs w:val="22"/>
        </w:rPr>
        <w:t xml:space="preserve"> of the Sectors Report is : “</w:t>
      </w:r>
      <w:r w:rsidRPr="00CD2A61">
        <w:rPr>
          <w:rFonts w:asciiTheme="minorHAnsi" w:eastAsiaTheme="minorHAnsi" w:hAnsiTheme="minorHAnsi" w:cstheme="minorBidi"/>
          <w:i/>
          <w:iCs/>
          <w:sz w:val="22"/>
          <w:szCs w:val="22"/>
        </w:rPr>
        <w:t>to continue supporting women’s full and effective participation in the labour market with equal opportunities</w:t>
      </w:r>
      <w:r w:rsidR="000D0554">
        <w:rPr>
          <w:rFonts w:asciiTheme="minorHAnsi" w:eastAsiaTheme="minorHAnsi" w:hAnsiTheme="minorHAnsi" w:cstheme="minorBidi"/>
          <w:sz w:val="22"/>
          <w:szCs w:val="22"/>
        </w:rPr>
        <w:t>”. This recommendation is related to others that look for “</w:t>
      </w:r>
      <w:r w:rsidR="000D0554" w:rsidRPr="00CD2A61">
        <w:rPr>
          <w:rFonts w:asciiTheme="minorHAnsi" w:eastAsiaTheme="minorHAnsi" w:hAnsiTheme="minorHAnsi" w:cstheme="minorBidi"/>
          <w:i/>
          <w:iCs/>
          <w:sz w:val="22"/>
          <w:szCs w:val="22"/>
        </w:rPr>
        <w:t>changing business models and the labour market, to ensure equal opportunity and to promote social cohesion. For this, it is recommended to support skills development for both men and women in the sector</w:t>
      </w:r>
      <w:r w:rsidR="000D0554">
        <w:rPr>
          <w:rFonts w:asciiTheme="minorHAnsi" w:eastAsiaTheme="minorHAnsi" w:hAnsiTheme="minorHAnsi" w:cstheme="minorBidi"/>
          <w:sz w:val="22"/>
          <w:szCs w:val="22"/>
        </w:rPr>
        <w:t xml:space="preserve"> “ and to “</w:t>
      </w:r>
      <w:r w:rsidR="000D0554" w:rsidRPr="000F0267">
        <w:rPr>
          <w:rFonts w:asciiTheme="minorHAnsi" w:eastAsiaTheme="minorHAnsi" w:hAnsiTheme="minorHAnsi" w:cstheme="minorBidi"/>
          <w:sz w:val="22"/>
          <w:szCs w:val="22"/>
        </w:rPr>
        <w:t>Focus more on the education of girls and women in the renewable energy sector, science, technology, engineering, mathematics</w:t>
      </w:r>
      <w:r w:rsidR="00A3796D">
        <w:rPr>
          <w:rFonts w:asciiTheme="minorHAnsi" w:eastAsiaTheme="minorHAnsi" w:hAnsiTheme="minorHAnsi" w:cstheme="minorBidi"/>
          <w:sz w:val="22"/>
          <w:szCs w:val="22"/>
        </w:rPr>
        <w:t xml:space="preserve">” in order to increase </w:t>
      </w:r>
      <w:r w:rsidR="000D0554">
        <w:rPr>
          <w:rFonts w:asciiTheme="minorHAnsi" w:eastAsiaTheme="minorHAnsi" w:hAnsiTheme="minorHAnsi" w:cstheme="minorBidi"/>
          <w:sz w:val="22"/>
          <w:szCs w:val="22"/>
        </w:rPr>
        <w:t xml:space="preserve"> </w:t>
      </w:r>
      <w:r w:rsidR="00A3796D">
        <w:rPr>
          <w:rFonts w:asciiTheme="minorHAnsi" w:eastAsiaTheme="minorHAnsi" w:hAnsiTheme="minorHAnsi" w:cstheme="minorBidi"/>
          <w:sz w:val="22"/>
          <w:szCs w:val="22"/>
        </w:rPr>
        <w:t>“</w:t>
      </w:r>
      <w:r w:rsidR="000D0554" w:rsidRPr="000D0554">
        <w:rPr>
          <w:rFonts w:asciiTheme="minorHAnsi" w:eastAsiaTheme="minorHAnsi" w:hAnsiTheme="minorHAnsi" w:cstheme="minorBidi"/>
          <w:sz w:val="22"/>
          <w:szCs w:val="22"/>
        </w:rPr>
        <w:t xml:space="preserve">the involvement of women in the </w:t>
      </w:r>
      <w:r w:rsidR="00A3796D">
        <w:rPr>
          <w:rFonts w:asciiTheme="minorHAnsi" w:eastAsiaTheme="minorHAnsi" w:hAnsiTheme="minorHAnsi" w:cstheme="minorBidi"/>
          <w:sz w:val="22"/>
          <w:szCs w:val="22"/>
        </w:rPr>
        <w:t xml:space="preserve">all the sectors as </w:t>
      </w:r>
      <w:r w:rsidR="000D0554" w:rsidRPr="000D0554">
        <w:rPr>
          <w:rFonts w:asciiTheme="minorHAnsi" w:eastAsiaTheme="minorHAnsi" w:hAnsiTheme="minorHAnsi" w:cstheme="minorBidi"/>
          <w:sz w:val="22"/>
          <w:szCs w:val="22"/>
        </w:rPr>
        <w:t>renewable energy through improved workplace conditions, mentoring and professional development</w:t>
      </w:r>
      <w:r w:rsidR="00A3796D">
        <w:rPr>
          <w:rFonts w:asciiTheme="minorHAnsi" w:eastAsiaTheme="minorHAnsi" w:hAnsiTheme="minorHAnsi" w:cstheme="minorBidi"/>
          <w:sz w:val="22"/>
          <w:szCs w:val="22"/>
        </w:rPr>
        <w:t>”</w:t>
      </w:r>
      <w:r w:rsidR="000D0554" w:rsidRPr="000D0554">
        <w:rPr>
          <w:rFonts w:asciiTheme="minorHAnsi" w:eastAsiaTheme="minorHAnsi" w:hAnsiTheme="minorHAnsi" w:cstheme="minorBidi"/>
          <w:sz w:val="22"/>
          <w:szCs w:val="22"/>
        </w:rPr>
        <w:t>.</w:t>
      </w:r>
      <w:r w:rsidR="00A3796D">
        <w:rPr>
          <w:rFonts w:asciiTheme="minorHAnsi" w:eastAsiaTheme="minorHAnsi" w:hAnsiTheme="minorHAnsi" w:cstheme="minorBidi"/>
          <w:sz w:val="22"/>
          <w:szCs w:val="22"/>
        </w:rPr>
        <w:t xml:space="preserve"> </w:t>
      </w:r>
      <w:r w:rsidR="000D0554" w:rsidRPr="000D0554">
        <w:rPr>
          <w:rFonts w:asciiTheme="minorHAnsi" w:eastAsiaTheme="minorHAnsi" w:hAnsiTheme="minorHAnsi" w:cstheme="minorBidi"/>
          <w:sz w:val="22"/>
          <w:szCs w:val="22"/>
        </w:rPr>
        <w:t>(p.161</w:t>
      </w:r>
      <w:r w:rsidR="000D0554">
        <w:rPr>
          <w:rFonts w:asciiTheme="minorHAnsi" w:eastAsiaTheme="minorHAnsi" w:hAnsiTheme="minorHAnsi" w:cstheme="minorBidi"/>
          <w:sz w:val="22"/>
          <w:szCs w:val="22"/>
        </w:rPr>
        <w:t xml:space="preserve"> - 168</w:t>
      </w:r>
      <w:r w:rsidR="000D0554" w:rsidRPr="000D0554">
        <w:rPr>
          <w:rFonts w:asciiTheme="minorHAnsi" w:eastAsiaTheme="minorHAnsi" w:hAnsiTheme="minorHAnsi" w:cstheme="minorBidi"/>
          <w:sz w:val="22"/>
          <w:szCs w:val="22"/>
        </w:rPr>
        <w:t>, Sector</w:t>
      </w:r>
      <w:r w:rsidR="000D0554">
        <w:rPr>
          <w:rFonts w:asciiTheme="minorHAnsi" w:eastAsiaTheme="minorHAnsi" w:hAnsiTheme="minorHAnsi" w:cstheme="minorBidi"/>
          <w:sz w:val="22"/>
          <w:szCs w:val="22"/>
        </w:rPr>
        <w:t>s</w:t>
      </w:r>
      <w:r w:rsidR="000D0554" w:rsidRPr="000D0554">
        <w:rPr>
          <w:rFonts w:asciiTheme="minorHAnsi" w:eastAsiaTheme="minorHAnsi" w:hAnsiTheme="minorHAnsi" w:cstheme="minorBidi"/>
          <w:sz w:val="22"/>
          <w:szCs w:val="22"/>
        </w:rPr>
        <w:t xml:space="preserve"> Report).</w:t>
      </w:r>
    </w:p>
    <w:p w14:paraId="0D4059F7" w14:textId="1A632188" w:rsidR="00A3796D" w:rsidRPr="00A3796D" w:rsidRDefault="00A3796D" w:rsidP="00A3796D">
      <w:pPr>
        <w:spacing w:after="160" w:line="259" w:lineRule="auto"/>
        <w:jc w:val="both"/>
        <w:rPr>
          <w:rFonts w:asciiTheme="minorHAnsi" w:eastAsiaTheme="minorHAnsi" w:hAnsiTheme="minorHAnsi" w:cstheme="minorBidi"/>
          <w:sz w:val="22"/>
          <w:szCs w:val="22"/>
        </w:rPr>
      </w:pPr>
      <w:r>
        <w:rPr>
          <w:rFonts w:asciiTheme="minorHAnsi" w:eastAsiaTheme="minorHAnsi" w:hAnsiTheme="minorHAnsi" w:cstheme="minorBidi"/>
          <w:sz w:val="22"/>
          <w:szCs w:val="22"/>
        </w:rPr>
        <w:t xml:space="preserve">Also In the analysis of the conclusions for each sector,  the interviewees </w:t>
      </w:r>
      <w:r w:rsidR="0059761E">
        <w:rPr>
          <w:rFonts w:asciiTheme="minorHAnsi" w:eastAsiaTheme="minorHAnsi" w:hAnsiTheme="minorHAnsi" w:cstheme="minorBidi"/>
          <w:sz w:val="22"/>
          <w:szCs w:val="22"/>
        </w:rPr>
        <w:t>agreed that:</w:t>
      </w:r>
      <w:r w:rsidR="004B2FB8">
        <w:rPr>
          <w:rFonts w:asciiTheme="minorHAnsi" w:eastAsiaTheme="minorHAnsi" w:hAnsiTheme="minorHAnsi" w:cstheme="minorBidi"/>
          <w:sz w:val="22"/>
          <w:szCs w:val="22"/>
        </w:rPr>
        <w:t xml:space="preserve"> </w:t>
      </w:r>
      <w:r w:rsidR="0059761E">
        <w:rPr>
          <w:rFonts w:asciiTheme="minorHAnsi" w:eastAsiaTheme="minorHAnsi" w:hAnsiTheme="minorHAnsi" w:cstheme="minorBidi"/>
          <w:sz w:val="22"/>
          <w:szCs w:val="22"/>
        </w:rPr>
        <w:t xml:space="preserve">In the </w:t>
      </w:r>
      <w:r w:rsidR="0059761E" w:rsidRPr="00CD2A61">
        <w:rPr>
          <w:rFonts w:asciiTheme="minorHAnsi" w:eastAsiaTheme="minorHAnsi" w:hAnsiTheme="minorHAnsi" w:cstheme="minorBidi"/>
          <w:b/>
          <w:bCs/>
          <w:sz w:val="22"/>
          <w:szCs w:val="22"/>
        </w:rPr>
        <w:t>education sector</w:t>
      </w:r>
      <w:r w:rsidR="0059761E">
        <w:rPr>
          <w:rFonts w:asciiTheme="minorHAnsi" w:eastAsiaTheme="minorHAnsi" w:hAnsiTheme="minorHAnsi" w:cstheme="minorBidi"/>
          <w:sz w:val="22"/>
          <w:szCs w:val="22"/>
        </w:rPr>
        <w:t>: Sector experts agreed in a 75% that “</w:t>
      </w:r>
      <w:r w:rsidRPr="00CD2A61">
        <w:rPr>
          <w:rFonts w:asciiTheme="minorHAnsi" w:eastAsiaTheme="minorHAnsi" w:hAnsiTheme="minorHAnsi" w:cstheme="minorBidi"/>
          <w:i/>
          <w:iCs/>
          <w:sz w:val="22"/>
          <w:szCs w:val="22"/>
        </w:rPr>
        <w:t xml:space="preserve">developing and increasing the use of new and digital technologies will facilitate women’s </w:t>
      </w:r>
      <w:r w:rsidR="0059761E" w:rsidRPr="00CD2A61">
        <w:rPr>
          <w:rFonts w:asciiTheme="minorHAnsi" w:eastAsiaTheme="minorHAnsi" w:hAnsiTheme="minorHAnsi" w:cstheme="minorBidi"/>
          <w:i/>
          <w:iCs/>
          <w:sz w:val="22"/>
          <w:szCs w:val="22"/>
        </w:rPr>
        <w:t>employment</w:t>
      </w:r>
      <w:r w:rsidR="0059761E">
        <w:rPr>
          <w:rFonts w:asciiTheme="minorHAnsi" w:eastAsiaTheme="minorHAnsi" w:hAnsiTheme="minorHAnsi" w:cstheme="minorBidi"/>
          <w:sz w:val="22"/>
          <w:szCs w:val="22"/>
        </w:rPr>
        <w:t xml:space="preserve"> “and “</w:t>
      </w:r>
      <w:r w:rsidRPr="00CD2A61">
        <w:rPr>
          <w:rFonts w:asciiTheme="minorHAnsi" w:eastAsiaTheme="minorHAnsi" w:hAnsiTheme="minorHAnsi" w:cstheme="minorBidi"/>
          <w:i/>
          <w:iCs/>
          <w:sz w:val="22"/>
          <w:szCs w:val="22"/>
        </w:rPr>
        <w:t xml:space="preserve">Employees reported a 55.7% probability that a woman could be a manager in the education sector. </w:t>
      </w:r>
      <w:r w:rsidR="0059761E" w:rsidRPr="00CD2A61">
        <w:rPr>
          <w:rFonts w:asciiTheme="minorHAnsi" w:eastAsiaTheme="minorHAnsi" w:hAnsiTheme="minorHAnsi" w:cstheme="minorBidi"/>
          <w:i/>
          <w:iCs/>
          <w:sz w:val="22"/>
          <w:szCs w:val="22"/>
        </w:rPr>
        <w:t>Also a</w:t>
      </w:r>
      <w:r w:rsidRPr="00CD2A61">
        <w:rPr>
          <w:rFonts w:asciiTheme="minorHAnsi" w:eastAsiaTheme="minorHAnsi" w:hAnsiTheme="minorHAnsi" w:cstheme="minorBidi"/>
          <w:i/>
          <w:iCs/>
          <w:sz w:val="22"/>
          <w:szCs w:val="22"/>
        </w:rPr>
        <w:t>ccording to sector experts and decision-makers, male-dominated culture in working life (56.0%), lack of role models (30.0%), long working hours (26.0%) and preference for being with family (22.0%) are the main barriers to a smaller number of women managers in the education sector.</w:t>
      </w:r>
      <w:r w:rsidRPr="00A3796D">
        <w:rPr>
          <w:rFonts w:asciiTheme="minorHAnsi" w:eastAsiaTheme="minorHAnsi" w:hAnsiTheme="minorHAnsi" w:cstheme="minorBidi"/>
          <w:sz w:val="22"/>
          <w:szCs w:val="22"/>
        </w:rPr>
        <w:t xml:space="preserve"> </w:t>
      </w:r>
      <w:r w:rsidR="002A32E5">
        <w:rPr>
          <w:rFonts w:asciiTheme="minorHAnsi" w:eastAsiaTheme="minorHAnsi" w:hAnsiTheme="minorHAnsi" w:cstheme="minorBidi"/>
          <w:sz w:val="22"/>
          <w:szCs w:val="22"/>
        </w:rPr>
        <w:t>(p. 57, Sectors Report)</w:t>
      </w:r>
    </w:p>
    <w:p w14:paraId="034AE9B4" w14:textId="6A68E72D" w:rsidR="00A3796D" w:rsidRPr="00A3796D" w:rsidRDefault="002A32E5" w:rsidP="002A32E5">
      <w:pPr>
        <w:spacing w:after="160" w:line="259" w:lineRule="auto"/>
        <w:jc w:val="both"/>
        <w:rPr>
          <w:rFonts w:asciiTheme="minorHAnsi" w:eastAsiaTheme="minorHAnsi" w:hAnsiTheme="minorHAnsi" w:cstheme="minorBidi"/>
          <w:sz w:val="22"/>
          <w:szCs w:val="22"/>
        </w:rPr>
      </w:pPr>
      <w:r>
        <w:rPr>
          <w:rFonts w:asciiTheme="minorHAnsi" w:eastAsiaTheme="minorHAnsi" w:hAnsiTheme="minorHAnsi" w:cstheme="minorBidi"/>
          <w:sz w:val="22"/>
          <w:szCs w:val="22"/>
        </w:rPr>
        <w:t xml:space="preserve">Also in the </w:t>
      </w:r>
      <w:r w:rsidR="00A3796D" w:rsidRPr="00CD2A61">
        <w:rPr>
          <w:rFonts w:asciiTheme="minorHAnsi" w:eastAsiaTheme="minorHAnsi" w:hAnsiTheme="minorHAnsi" w:cstheme="minorBidi"/>
          <w:b/>
          <w:bCs/>
          <w:sz w:val="22"/>
          <w:szCs w:val="22"/>
        </w:rPr>
        <w:t>Health</w:t>
      </w:r>
      <w:r w:rsidRPr="00CD2A61">
        <w:rPr>
          <w:rFonts w:asciiTheme="minorHAnsi" w:eastAsiaTheme="minorHAnsi" w:hAnsiTheme="minorHAnsi" w:cstheme="minorBidi"/>
          <w:b/>
          <w:bCs/>
          <w:sz w:val="22"/>
          <w:szCs w:val="22"/>
        </w:rPr>
        <w:t xml:space="preserve"> Sector</w:t>
      </w:r>
      <w:r>
        <w:rPr>
          <w:rFonts w:asciiTheme="minorHAnsi" w:eastAsiaTheme="minorHAnsi" w:hAnsiTheme="minorHAnsi" w:cstheme="minorBidi"/>
          <w:sz w:val="22"/>
          <w:szCs w:val="22"/>
        </w:rPr>
        <w:t>, m</w:t>
      </w:r>
      <w:r w:rsidR="00A3796D" w:rsidRPr="00A3796D">
        <w:rPr>
          <w:rFonts w:asciiTheme="minorHAnsi" w:eastAsiaTheme="minorHAnsi" w:hAnsiTheme="minorHAnsi" w:cstheme="minorBidi"/>
          <w:sz w:val="22"/>
          <w:szCs w:val="22"/>
        </w:rPr>
        <w:t xml:space="preserve">ore than one-third of the sector experts and decision (36.1%) makers believe that </w:t>
      </w:r>
      <w:r>
        <w:rPr>
          <w:rFonts w:asciiTheme="minorHAnsi" w:eastAsiaTheme="minorHAnsi" w:hAnsiTheme="minorHAnsi" w:cstheme="minorBidi"/>
          <w:sz w:val="22"/>
          <w:szCs w:val="22"/>
        </w:rPr>
        <w:t>“</w:t>
      </w:r>
      <w:r w:rsidR="00A3796D" w:rsidRPr="00A3796D">
        <w:rPr>
          <w:rFonts w:asciiTheme="minorHAnsi" w:eastAsiaTheme="minorHAnsi" w:hAnsiTheme="minorHAnsi" w:cstheme="minorBidi"/>
          <w:sz w:val="22"/>
          <w:szCs w:val="22"/>
        </w:rPr>
        <w:t>the development and increase of new and digital technologies will facilitate women’s employment in the health sector</w:t>
      </w:r>
      <w:r>
        <w:rPr>
          <w:rFonts w:asciiTheme="minorHAnsi" w:eastAsiaTheme="minorHAnsi" w:hAnsiTheme="minorHAnsi" w:cstheme="minorBidi"/>
          <w:sz w:val="22"/>
          <w:szCs w:val="22"/>
        </w:rPr>
        <w:t>”. (p. 78). Same conclusion</w:t>
      </w:r>
      <w:r w:rsidR="000956A0">
        <w:rPr>
          <w:rFonts w:asciiTheme="minorHAnsi" w:eastAsiaTheme="minorHAnsi" w:hAnsiTheme="minorHAnsi" w:cstheme="minorBidi"/>
          <w:sz w:val="22"/>
          <w:szCs w:val="22"/>
        </w:rPr>
        <w:t xml:space="preserve"> for the </w:t>
      </w:r>
      <w:r w:rsidR="000956A0" w:rsidRPr="00CD2A61">
        <w:rPr>
          <w:rFonts w:asciiTheme="minorHAnsi" w:eastAsiaTheme="minorHAnsi" w:hAnsiTheme="minorHAnsi" w:cstheme="minorBidi"/>
          <w:b/>
          <w:bCs/>
          <w:sz w:val="22"/>
          <w:szCs w:val="22"/>
        </w:rPr>
        <w:t>Energy</w:t>
      </w:r>
      <w:r w:rsidR="000956A0">
        <w:rPr>
          <w:rFonts w:asciiTheme="minorHAnsi" w:eastAsiaTheme="minorHAnsi" w:hAnsiTheme="minorHAnsi" w:cstheme="minorBidi"/>
          <w:sz w:val="22"/>
          <w:szCs w:val="22"/>
        </w:rPr>
        <w:t xml:space="preserve"> (a 48.1% of the respondents), </w:t>
      </w:r>
      <w:r w:rsidR="000956A0" w:rsidRPr="00CD2A61">
        <w:rPr>
          <w:rFonts w:asciiTheme="minorHAnsi" w:eastAsiaTheme="minorHAnsi" w:hAnsiTheme="minorHAnsi" w:cstheme="minorBidi"/>
          <w:b/>
          <w:bCs/>
          <w:sz w:val="22"/>
          <w:szCs w:val="22"/>
        </w:rPr>
        <w:t>ICT</w:t>
      </w:r>
      <w:r w:rsidR="000956A0">
        <w:rPr>
          <w:rFonts w:asciiTheme="minorHAnsi" w:eastAsiaTheme="minorHAnsi" w:hAnsiTheme="minorHAnsi" w:cstheme="minorBidi"/>
          <w:sz w:val="22"/>
          <w:szCs w:val="22"/>
        </w:rPr>
        <w:t xml:space="preserve"> </w:t>
      </w:r>
      <w:r w:rsidR="0002001C">
        <w:rPr>
          <w:rFonts w:asciiTheme="minorHAnsi" w:eastAsiaTheme="minorHAnsi" w:hAnsiTheme="minorHAnsi" w:cstheme="minorBidi"/>
          <w:sz w:val="22"/>
          <w:szCs w:val="22"/>
        </w:rPr>
        <w:t>(no number specified)</w:t>
      </w:r>
      <w:r w:rsidR="000956A0">
        <w:rPr>
          <w:rFonts w:asciiTheme="minorHAnsi" w:eastAsiaTheme="minorHAnsi" w:hAnsiTheme="minorHAnsi" w:cstheme="minorBidi"/>
          <w:sz w:val="22"/>
          <w:szCs w:val="22"/>
        </w:rPr>
        <w:t xml:space="preserve"> and </w:t>
      </w:r>
      <w:r w:rsidR="000956A0" w:rsidRPr="00CD2A61">
        <w:rPr>
          <w:rFonts w:asciiTheme="minorHAnsi" w:eastAsiaTheme="minorHAnsi" w:hAnsiTheme="minorHAnsi" w:cstheme="minorBidi"/>
          <w:b/>
          <w:bCs/>
          <w:sz w:val="22"/>
          <w:szCs w:val="22"/>
        </w:rPr>
        <w:t>Banking and Finance</w:t>
      </w:r>
      <w:r w:rsidR="00711F8A">
        <w:rPr>
          <w:rFonts w:asciiTheme="minorHAnsi" w:eastAsiaTheme="minorHAnsi" w:hAnsiTheme="minorHAnsi" w:cstheme="minorBidi"/>
          <w:b/>
          <w:bCs/>
          <w:sz w:val="22"/>
          <w:szCs w:val="22"/>
        </w:rPr>
        <w:t xml:space="preserve"> </w:t>
      </w:r>
      <w:r w:rsidR="0002001C" w:rsidRPr="0002001C">
        <w:rPr>
          <w:rFonts w:asciiTheme="minorHAnsi" w:eastAsiaTheme="minorHAnsi" w:hAnsiTheme="minorHAnsi" w:cstheme="minorBidi"/>
          <w:sz w:val="22"/>
          <w:szCs w:val="22"/>
        </w:rPr>
        <w:t>(48.6%)</w:t>
      </w:r>
      <w:r w:rsidR="000956A0">
        <w:rPr>
          <w:rFonts w:asciiTheme="minorHAnsi" w:eastAsiaTheme="minorHAnsi" w:hAnsiTheme="minorHAnsi" w:cstheme="minorBidi"/>
          <w:sz w:val="22"/>
          <w:szCs w:val="22"/>
        </w:rPr>
        <w:t xml:space="preserve">. </w:t>
      </w:r>
    </w:p>
    <w:p w14:paraId="378F2929" w14:textId="024111EE" w:rsidR="00A3796D" w:rsidRPr="00A3796D" w:rsidRDefault="004B2FB8" w:rsidP="00A3796D">
      <w:pPr>
        <w:spacing w:after="160" w:line="259" w:lineRule="auto"/>
        <w:jc w:val="both"/>
        <w:rPr>
          <w:rFonts w:asciiTheme="minorHAnsi" w:eastAsiaTheme="minorHAnsi" w:hAnsiTheme="minorHAnsi" w:cstheme="minorBidi"/>
          <w:sz w:val="22"/>
          <w:szCs w:val="22"/>
        </w:rPr>
      </w:pPr>
      <w:r>
        <w:rPr>
          <w:rFonts w:asciiTheme="minorHAnsi" w:eastAsiaTheme="minorHAnsi" w:hAnsiTheme="minorHAnsi" w:cstheme="minorBidi"/>
          <w:sz w:val="22"/>
          <w:szCs w:val="22"/>
        </w:rPr>
        <w:t>In the general conclusions, for all the sectors, “</w:t>
      </w:r>
      <w:r w:rsidRPr="00CD2A61">
        <w:rPr>
          <w:rFonts w:asciiTheme="minorHAnsi" w:eastAsiaTheme="minorHAnsi" w:hAnsiTheme="minorHAnsi" w:cstheme="minorBidi"/>
          <w:i/>
          <w:iCs/>
          <w:sz w:val="22"/>
          <w:szCs w:val="22"/>
        </w:rPr>
        <w:t>a</w:t>
      </w:r>
      <w:r w:rsidR="00A3796D" w:rsidRPr="00CD2A61">
        <w:rPr>
          <w:rFonts w:asciiTheme="minorHAnsi" w:eastAsiaTheme="minorHAnsi" w:hAnsiTheme="minorHAnsi" w:cstheme="minorBidi"/>
          <w:i/>
          <w:iCs/>
          <w:sz w:val="22"/>
          <w:szCs w:val="22"/>
        </w:rPr>
        <w:t xml:space="preserve">ccording to all employees who responded to the survey, the probability of being a female manager in all sectors is 53.9%. The sectors with the highest likelihood of being </w:t>
      </w:r>
      <w:r w:rsidR="00A3796D" w:rsidRPr="00CD2A61">
        <w:rPr>
          <w:rFonts w:asciiTheme="minorHAnsi" w:eastAsiaTheme="minorHAnsi" w:hAnsiTheme="minorHAnsi" w:cstheme="minorBidi"/>
          <w:i/>
          <w:iCs/>
          <w:sz w:val="22"/>
          <w:szCs w:val="22"/>
        </w:rPr>
        <w:lastRenderedPageBreak/>
        <w:t>a manager for women are the health sector (69.5%), the education sector (55.7%), and the finance and banking sector (52.7%), while the ICT sector (42.9%) is the lowest</w:t>
      </w:r>
      <w:r>
        <w:rPr>
          <w:rFonts w:asciiTheme="minorHAnsi" w:eastAsiaTheme="minorHAnsi" w:hAnsiTheme="minorHAnsi" w:cstheme="minorBidi"/>
          <w:i/>
          <w:iCs/>
          <w:sz w:val="22"/>
          <w:szCs w:val="22"/>
        </w:rPr>
        <w:t>”</w:t>
      </w:r>
      <w:r w:rsidR="00A3796D" w:rsidRPr="00CD2A61">
        <w:rPr>
          <w:rFonts w:asciiTheme="minorHAnsi" w:eastAsiaTheme="minorHAnsi" w:hAnsiTheme="minorHAnsi" w:cstheme="minorBidi"/>
          <w:i/>
          <w:iCs/>
          <w:sz w:val="22"/>
          <w:szCs w:val="22"/>
        </w:rPr>
        <w:t>.</w:t>
      </w:r>
      <w:r>
        <w:rPr>
          <w:rFonts w:asciiTheme="minorHAnsi" w:eastAsiaTheme="minorHAnsi" w:hAnsiTheme="minorHAnsi" w:cstheme="minorBidi"/>
          <w:i/>
          <w:iCs/>
          <w:sz w:val="22"/>
          <w:szCs w:val="22"/>
        </w:rPr>
        <w:t xml:space="preserve"> “</w:t>
      </w:r>
      <w:r w:rsidR="00A3796D" w:rsidRPr="00CD2A61">
        <w:rPr>
          <w:rFonts w:asciiTheme="minorHAnsi" w:eastAsiaTheme="minorHAnsi" w:hAnsiTheme="minorHAnsi" w:cstheme="minorBidi"/>
          <w:i/>
          <w:iCs/>
          <w:sz w:val="22"/>
          <w:szCs w:val="22"/>
        </w:rPr>
        <w:t>According to 54.2% of industry experts, the development and increase in the use of new technologies will positively affect the employment of women in the industry</w:t>
      </w:r>
      <w:r w:rsidR="00A3796D" w:rsidRPr="00A3796D">
        <w:rPr>
          <w:rFonts w:asciiTheme="minorHAnsi" w:eastAsiaTheme="minorHAnsi" w:hAnsiTheme="minorHAnsi" w:cstheme="minorBidi"/>
          <w:sz w:val="22"/>
          <w:szCs w:val="22"/>
        </w:rPr>
        <w:t>.</w:t>
      </w:r>
      <w:r w:rsidR="00AC290E">
        <w:rPr>
          <w:rFonts w:asciiTheme="minorHAnsi" w:eastAsiaTheme="minorHAnsi" w:hAnsiTheme="minorHAnsi" w:cstheme="minorBidi"/>
          <w:sz w:val="22"/>
          <w:szCs w:val="22"/>
        </w:rPr>
        <w:t xml:space="preserve"> (</w:t>
      </w:r>
      <w:r w:rsidR="00A3796D" w:rsidRPr="00A3796D">
        <w:rPr>
          <w:rFonts w:asciiTheme="minorHAnsi" w:eastAsiaTheme="minorHAnsi" w:hAnsiTheme="minorHAnsi" w:cstheme="minorBidi"/>
          <w:sz w:val="22"/>
          <w:szCs w:val="22"/>
        </w:rPr>
        <w:t>pp. 157 – 159</w:t>
      </w:r>
      <w:r w:rsidR="00AC290E">
        <w:rPr>
          <w:rFonts w:asciiTheme="minorHAnsi" w:eastAsiaTheme="minorHAnsi" w:hAnsiTheme="minorHAnsi" w:cstheme="minorBidi"/>
          <w:sz w:val="22"/>
          <w:szCs w:val="22"/>
        </w:rPr>
        <w:t>, Sectors Report)</w:t>
      </w:r>
    </w:p>
    <w:p w14:paraId="421F6FDD" w14:textId="77777777" w:rsidR="002557B7" w:rsidRPr="00DB0C40" w:rsidRDefault="002557B7" w:rsidP="002557B7">
      <w:pPr>
        <w:spacing w:after="160" w:line="259" w:lineRule="auto"/>
        <w:jc w:val="both"/>
        <w:rPr>
          <w:rFonts w:asciiTheme="minorHAnsi" w:eastAsiaTheme="minorHAnsi" w:hAnsiTheme="minorHAnsi" w:cstheme="minorBidi"/>
          <w:sz w:val="22"/>
          <w:szCs w:val="22"/>
        </w:rPr>
      </w:pPr>
      <w:r w:rsidRPr="00DB0C40">
        <w:rPr>
          <w:rFonts w:asciiTheme="minorHAnsi" w:eastAsiaTheme="minorHAnsi" w:hAnsiTheme="minorHAnsi" w:cstheme="minorBidi"/>
          <w:sz w:val="22"/>
          <w:szCs w:val="22"/>
        </w:rPr>
        <w:t xml:space="preserve">The </w:t>
      </w:r>
      <w:r w:rsidRPr="00DB0C40">
        <w:rPr>
          <w:rFonts w:asciiTheme="minorHAnsi" w:eastAsiaTheme="minorHAnsi" w:hAnsiTheme="minorHAnsi" w:cstheme="minorBidi"/>
          <w:b/>
          <w:bCs/>
          <w:sz w:val="22"/>
          <w:szCs w:val="22"/>
        </w:rPr>
        <w:t>main recommendations</w:t>
      </w:r>
      <w:r w:rsidRPr="00DB0C40">
        <w:rPr>
          <w:rFonts w:asciiTheme="minorHAnsi" w:eastAsiaTheme="minorHAnsi" w:hAnsiTheme="minorHAnsi" w:cstheme="minorBidi"/>
          <w:sz w:val="22"/>
          <w:szCs w:val="22"/>
        </w:rPr>
        <w:t xml:space="preserve"> are:</w:t>
      </w:r>
    </w:p>
    <w:p w14:paraId="4B133E63" w14:textId="77777777" w:rsidR="002557B7" w:rsidRPr="00DB0C40" w:rsidRDefault="002557B7">
      <w:pPr>
        <w:numPr>
          <w:ilvl w:val="0"/>
          <w:numId w:val="39"/>
        </w:numPr>
        <w:spacing w:after="160" w:line="259" w:lineRule="auto"/>
        <w:contextualSpacing/>
        <w:jc w:val="both"/>
        <w:rPr>
          <w:rFonts w:asciiTheme="minorHAnsi" w:eastAsiaTheme="minorHAnsi" w:hAnsiTheme="minorHAnsi" w:cstheme="minorBidi"/>
          <w:sz w:val="22"/>
          <w:szCs w:val="22"/>
        </w:rPr>
      </w:pPr>
      <w:bookmarkStart w:id="172" w:name="_Hlk106792917"/>
      <w:r w:rsidRPr="00DB0C40">
        <w:rPr>
          <w:rFonts w:asciiTheme="minorHAnsi" w:eastAsiaTheme="minorHAnsi" w:hAnsiTheme="minorHAnsi" w:cstheme="minorBidi"/>
          <w:sz w:val="22"/>
          <w:szCs w:val="22"/>
        </w:rPr>
        <w:t xml:space="preserve">Amend the general framework for equal treatment in employment and occupation needs to ensure the implementation of the principle of equal opportunities and equal treatment of men and women in matters of employment and occupation. (Although equality is included in the Constitution and the law safeguards equal treatment for all, </w:t>
      </w:r>
      <w:r w:rsidRPr="00DB0C40">
        <w:rPr>
          <w:rFonts w:asciiTheme="minorHAnsi" w:eastAsiaTheme="minorHAnsi" w:hAnsiTheme="minorHAnsi" w:cstheme="minorBidi"/>
          <w:i/>
          <w:iCs/>
          <w:sz w:val="22"/>
          <w:szCs w:val="22"/>
        </w:rPr>
        <w:t>de facto</w:t>
      </w:r>
      <w:r w:rsidRPr="00DB0C40">
        <w:rPr>
          <w:rFonts w:asciiTheme="minorHAnsi" w:eastAsiaTheme="minorHAnsi" w:hAnsiTheme="minorHAnsi" w:cstheme="minorBidi"/>
          <w:sz w:val="22"/>
          <w:szCs w:val="22"/>
        </w:rPr>
        <w:t xml:space="preserve"> discrimination in the access to employment, including promotion, and vocational training; working conditions, including pay; occupational social security schemes need additional regulation for effective implementation).  </w:t>
      </w:r>
    </w:p>
    <w:bookmarkEnd w:id="172"/>
    <w:p w14:paraId="3A36383F" w14:textId="77777777" w:rsidR="00A3796D" w:rsidRDefault="00A3796D" w:rsidP="002557B7">
      <w:pPr>
        <w:spacing w:after="160" w:line="259" w:lineRule="auto"/>
        <w:jc w:val="both"/>
        <w:rPr>
          <w:rFonts w:asciiTheme="minorHAnsi" w:eastAsiaTheme="minorHAnsi" w:hAnsiTheme="minorHAnsi" w:cstheme="minorBidi"/>
          <w:sz w:val="22"/>
          <w:szCs w:val="22"/>
        </w:rPr>
      </w:pPr>
    </w:p>
    <w:p w14:paraId="3C4D3248" w14:textId="673D6AC7" w:rsidR="002557B7" w:rsidRPr="00DB0C40" w:rsidRDefault="002557B7" w:rsidP="002557B7">
      <w:pPr>
        <w:spacing w:after="160" w:line="259" w:lineRule="auto"/>
        <w:jc w:val="both"/>
        <w:rPr>
          <w:rFonts w:asciiTheme="minorHAnsi" w:eastAsiaTheme="minorHAnsi" w:hAnsiTheme="minorHAnsi" w:cstheme="minorBidi"/>
          <w:sz w:val="22"/>
          <w:szCs w:val="22"/>
        </w:rPr>
      </w:pPr>
      <w:r w:rsidRPr="00DB0C40">
        <w:rPr>
          <w:rFonts w:asciiTheme="minorHAnsi" w:eastAsiaTheme="minorHAnsi" w:hAnsiTheme="minorHAnsi" w:cstheme="minorBidi"/>
          <w:sz w:val="22"/>
          <w:szCs w:val="22"/>
        </w:rPr>
        <w:t xml:space="preserve">During the Post-Study Workshop, the stakeholders agreed with the recommendation and stated that: </w:t>
      </w:r>
    </w:p>
    <w:p w14:paraId="788ED795" w14:textId="77777777" w:rsidR="002557B7" w:rsidRPr="00DB0C40" w:rsidRDefault="002557B7">
      <w:pPr>
        <w:numPr>
          <w:ilvl w:val="0"/>
          <w:numId w:val="35"/>
        </w:numPr>
        <w:spacing w:after="160" w:line="259" w:lineRule="auto"/>
        <w:jc w:val="both"/>
        <w:rPr>
          <w:rFonts w:asciiTheme="minorHAnsi" w:eastAsiaTheme="minorHAnsi" w:hAnsiTheme="minorHAnsi" w:cstheme="minorBidi"/>
          <w:sz w:val="22"/>
          <w:szCs w:val="22"/>
        </w:rPr>
      </w:pPr>
      <w:r w:rsidRPr="00DB0C40">
        <w:rPr>
          <w:rFonts w:asciiTheme="minorHAnsi" w:eastAsiaTheme="minorHAnsi" w:hAnsiTheme="minorHAnsi" w:cstheme="minorBidi"/>
          <w:sz w:val="22"/>
          <w:szCs w:val="22"/>
        </w:rPr>
        <w:t xml:space="preserve">The Constitution of the Turkish Republic is defining the principles of equality and anti-discrimination between men and women and the basis for all legislative arrangements in this respect. But the question is how it is implemented in practice. Therefore, additional regulation is needed to describe its practical implementation in workplaces. </w:t>
      </w:r>
    </w:p>
    <w:p w14:paraId="1AF170C2" w14:textId="77777777" w:rsidR="002557B7" w:rsidRPr="00DB0C40" w:rsidRDefault="002557B7">
      <w:pPr>
        <w:numPr>
          <w:ilvl w:val="0"/>
          <w:numId w:val="35"/>
        </w:numPr>
        <w:spacing w:after="160" w:line="259" w:lineRule="auto"/>
        <w:contextualSpacing/>
        <w:jc w:val="both"/>
        <w:rPr>
          <w:rFonts w:asciiTheme="minorHAnsi" w:eastAsiaTheme="minorHAnsi" w:hAnsiTheme="minorHAnsi" w:cstheme="minorBidi"/>
          <w:sz w:val="22"/>
          <w:szCs w:val="22"/>
        </w:rPr>
      </w:pPr>
      <w:r w:rsidRPr="00DB0C40">
        <w:rPr>
          <w:rFonts w:asciiTheme="minorHAnsi" w:eastAsiaTheme="minorHAnsi" w:hAnsiTheme="minorHAnsi" w:cstheme="minorBidi"/>
          <w:sz w:val="22"/>
          <w:szCs w:val="22"/>
        </w:rPr>
        <w:t>‘Protective family’ should be added to the legislation as a new parental definition (Recommendations 1-4).</w:t>
      </w:r>
    </w:p>
    <w:p w14:paraId="3B7F7F3E" w14:textId="77777777" w:rsidR="002557B7" w:rsidRPr="00DB0C40" w:rsidRDefault="002557B7" w:rsidP="002557B7">
      <w:pPr>
        <w:spacing w:after="160" w:line="259" w:lineRule="auto"/>
        <w:ind w:left="720"/>
        <w:contextualSpacing/>
        <w:jc w:val="both"/>
        <w:rPr>
          <w:rFonts w:asciiTheme="minorHAnsi" w:eastAsiaTheme="minorHAnsi" w:hAnsiTheme="minorHAnsi" w:cstheme="minorBidi"/>
          <w:sz w:val="22"/>
          <w:szCs w:val="22"/>
        </w:rPr>
      </w:pPr>
    </w:p>
    <w:p w14:paraId="25415347" w14:textId="77C6295B" w:rsidR="002557B7" w:rsidRPr="00DB0C40" w:rsidRDefault="002557B7">
      <w:pPr>
        <w:numPr>
          <w:ilvl w:val="0"/>
          <w:numId w:val="39"/>
        </w:numPr>
        <w:spacing w:after="160" w:line="259" w:lineRule="auto"/>
        <w:contextualSpacing/>
        <w:jc w:val="both"/>
        <w:rPr>
          <w:rFonts w:asciiTheme="minorHAnsi" w:eastAsiaTheme="minorHAnsi" w:hAnsiTheme="minorHAnsi" w:cstheme="minorBidi"/>
          <w:sz w:val="22"/>
          <w:szCs w:val="22"/>
        </w:rPr>
      </w:pPr>
      <w:bookmarkStart w:id="173" w:name="_Hlk106792967"/>
      <w:r w:rsidRPr="00DB0C40">
        <w:rPr>
          <w:rFonts w:asciiTheme="minorHAnsi" w:eastAsiaTheme="minorHAnsi" w:hAnsiTheme="minorHAnsi" w:cstheme="minorBidi"/>
          <w:sz w:val="22"/>
          <w:szCs w:val="22"/>
        </w:rPr>
        <w:t>Reinforce the principle of equal treatment between persons irrespective of religion or belief, disability, or age inside and outside the labour market (including informal workers, etc.). The framework could contain provisions to ensure that such implementation is made more effective by the establishment of appropriate procedures and some examples of discrimination to clearer up the definition. (e.g. Provisions contrary to the principle of equal treatment might include those based on sex, either directly or indirectly, for: determining the persons who may participate in an occupational social security scheme; fixing the compulsory or optional nature of participation in an occupational social security scheme; laying down different rules as regards the age of entry into the scheme or the minimum period of employment or membership of the scheme required to obtain the benefits thereof).</w:t>
      </w:r>
    </w:p>
    <w:p w14:paraId="562497E5" w14:textId="77777777" w:rsidR="002557B7" w:rsidRPr="00DB0C40" w:rsidRDefault="002557B7" w:rsidP="002557B7">
      <w:pPr>
        <w:spacing w:after="160" w:line="259" w:lineRule="auto"/>
        <w:ind w:left="720"/>
        <w:contextualSpacing/>
        <w:jc w:val="both"/>
        <w:rPr>
          <w:rFonts w:asciiTheme="minorHAnsi" w:eastAsiaTheme="minorHAnsi" w:hAnsiTheme="minorHAnsi" w:cstheme="minorBidi"/>
          <w:sz w:val="22"/>
          <w:szCs w:val="22"/>
        </w:rPr>
      </w:pPr>
    </w:p>
    <w:p w14:paraId="54E40282" w14:textId="77777777" w:rsidR="002557B7" w:rsidRPr="00DB0C40" w:rsidRDefault="002557B7">
      <w:pPr>
        <w:numPr>
          <w:ilvl w:val="0"/>
          <w:numId w:val="39"/>
        </w:numPr>
        <w:spacing w:after="160" w:line="259" w:lineRule="auto"/>
        <w:contextualSpacing/>
        <w:jc w:val="both"/>
        <w:rPr>
          <w:rFonts w:asciiTheme="minorHAnsi" w:eastAsiaTheme="minorHAnsi" w:hAnsiTheme="minorHAnsi" w:cstheme="minorBidi"/>
          <w:sz w:val="22"/>
          <w:szCs w:val="22"/>
        </w:rPr>
      </w:pPr>
      <w:r w:rsidRPr="00DB0C40">
        <w:rPr>
          <w:rFonts w:asciiTheme="minorHAnsi" w:eastAsiaTheme="minorHAnsi" w:hAnsiTheme="minorHAnsi" w:cstheme="minorBidi"/>
          <w:sz w:val="22"/>
          <w:szCs w:val="22"/>
        </w:rPr>
        <w:t>Include into the equality framework a clause on the requirement for social dialogue to foster equal treatment, through the monitoring of workplace practices, collective agreements, codes of conduct and through research or exchange of experiences and good practices.  Strengthen the involvement of social partners, without prejudice to their autonomy, in collective bargaining arrangements aimed at establishing anti-discrimination rules.</w:t>
      </w:r>
    </w:p>
    <w:p w14:paraId="4A4118A8" w14:textId="77777777" w:rsidR="002557B7" w:rsidRPr="00DB0C40" w:rsidRDefault="002557B7" w:rsidP="002557B7">
      <w:pPr>
        <w:spacing w:line="259" w:lineRule="auto"/>
        <w:jc w:val="both"/>
        <w:rPr>
          <w:rFonts w:asciiTheme="minorHAnsi" w:eastAsiaTheme="minorHAnsi" w:hAnsiTheme="minorHAnsi" w:cstheme="minorBidi"/>
          <w:sz w:val="22"/>
          <w:szCs w:val="22"/>
        </w:rPr>
      </w:pPr>
    </w:p>
    <w:p w14:paraId="3E5BC04B" w14:textId="77777777" w:rsidR="002557B7" w:rsidRPr="00DB0C40" w:rsidRDefault="002557B7">
      <w:pPr>
        <w:numPr>
          <w:ilvl w:val="0"/>
          <w:numId w:val="39"/>
        </w:numPr>
        <w:spacing w:after="160" w:line="259" w:lineRule="auto"/>
        <w:contextualSpacing/>
        <w:jc w:val="both"/>
        <w:rPr>
          <w:rFonts w:asciiTheme="minorHAnsi" w:eastAsiaTheme="minorHAnsi" w:hAnsiTheme="minorHAnsi" w:cstheme="minorBidi"/>
          <w:sz w:val="22"/>
          <w:szCs w:val="22"/>
        </w:rPr>
      </w:pPr>
      <w:r w:rsidRPr="00DB0C40">
        <w:rPr>
          <w:rFonts w:asciiTheme="minorHAnsi" w:eastAsiaTheme="minorHAnsi" w:hAnsiTheme="minorHAnsi" w:cstheme="minorBidi"/>
          <w:sz w:val="22"/>
          <w:szCs w:val="22"/>
        </w:rPr>
        <w:t>Ensure the application of the principle of equal treatment between men and women engaged in self-employment and home- based working.</w:t>
      </w:r>
    </w:p>
    <w:p w14:paraId="60ECE03A" w14:textId="77777777" w:rsidR="002557B7" w:rsidRPr="00DB0C40" w:rsidRDefault="002557B7" w:rsidP="002557B7">
      <w:pPr>
        <w:spacing w:after="160" w:line="259" w:lineRule="auto"/>
        <w:ind w:left="720"/>
        <w:contextualSpacing/>
        <w:jc w:val="both"/>
        <w:rPr>
          <w:rFonts w:asciiTheme="minorHAnsi" w:eastAsiaTheme="minorHAnsi" w:hAnsiTheme="minorHAnsi" w:cstheme="minorBidi"/>
          <w:sz w:val="22"/>
          <w:szCs w:val="22"/>
        </w:rPr>
      </w:pPr>
    </w:p>
    <w:p w14:paraId="7A62E8E2" w14:textId="77777777" w:rsidR="002557B7" w:rsidRPr="00DB0C40" w:rsidRDefault="002557B7">
      <w:pPr>
        <w:numPr>
          <w:ilvl w:val="0"/>
          <w:numId w:val="39"/>
        </w:numPr>
        <w:spacing w:after="160" w:line="259" w:lineRule="auto"/>
        <w:contextualSpacing/>
        <w:jc w:val="both"/>
        <w:rPr>
          <w:rFonts w:asciiTheme="minorHAnsi" w:eastAsiaTheme="minorHAnsi" w:hAnsiTheme="minorHAnsi" w:cstheme="minorBidi"/>
          <w:sz w:val="22"/>
          <w:szCs w:val="22"/>
        </w:rPr>
      </w:pPr>
      <w:r w:rsidRPr="00DB0C40">
        <w:rPr>
          <w:rFonts w:asciiTheme="minorHAnsi" w:eastAsiaTheme="minorHAnsi" w:hAnsiTheme="minorHAnsi" w:cstheme="minorBidi"/>
          <w:sz w:val="22"/>
          <w:szCs w:val="22"/>
        </w:rPr>
        <w:t>Eliminate differences between the Labour Law and Public Servants Law No: 657</w:t>
      </w:r>
      <w:r w:rsidRPr="00DB0C40">
        <w:rPr>
          <w:rFonts w:asciiTheme="minorHAnsi" w:eastAsiaTheme="minorHAnsi" w:hAnsiTheme="minorHAnsi" w:cstheme="minorBidi"/>
          <w:b/>
          <w:sz w:val="22"/>
          <w:szCs w:val="22"/>
        </w:rPr>
        <w:t xml:space="preserve"> </w:t>
      </w:r>
      <w:r w:rsidRPr="00DB0C40">
        <w:rPr>
          <w:rFonts w:asciiTheme="minorHAnsi" w:eastAsiaTheme="minorHAnsi" w:hAnsiTheme="minorHAnsi" w:cstheme="minorBidi"/>
          <w:sz w:val="22"/>
          <w:szCs w:val="22"/>
        </w:rPr>
        <w:t>in terms of provisions related to women employees mainly breastfeeding and unpaid work leaves. (pp. )</w:t>
      </w:r>
    </w:p>
    <w:bookmarkEnd w:id="173"/>
    <w:p w14:paraId="4EF7B724" w14:textId="77777777" w:rsidR="00E4703B" w:rsidRDefault="00E4703B" w:rsidP="002557B7">
      <w:pPr>
        <w:spacing w:after="160" w:line="259" w:lineRule="auto"/>
        <w:jc w:val="both"/>
        <w:rPr>
          <w:rFonts w:asciiTheme="minorHAnsi" w:eastAsiaTheme="minorHAnsi" w:hAnsiTheme="minorHAnsi" w:cstheme="minorBidi"/>
          <w:sz w:val="22"/>
          <w:szCs w:val="22"/>
        </w:rPr>
      </w:pPr>
    </w:p>
    <w:p w14:paraId="3F8D21CF" w14:textId="0FD08E81" w:rsidR="002557B7" w:rsidRPr="00DB0C40" w:rsidRDefault="002557B7" w:rsidP="002557B7">
      <w:pPr>
        <w:spacing w:after="160" w:line="259" w:lineRule="auto"/>
        <w:jc w:val="both"/>
        <w:rPr>
          <w:rFonts w:asciiTheme="minorHAnsi" w:eastAsiaTheme="minorHAnsi" w:hAnsiTheme="minorHAnsi" w:cstheme="minorBidi"/>
          <w:sz w:val="22"/>
          <w:szCs w:val="22"/>
        </w:rPr>
      </w:pPr>
      <w:r w:rsidRPr="00DB0C40">
        <w:rPr>
          <w:rFonts w:asciiTheme="minorHAnsi" w:eastAsiaTheme="minorHAnsi" w:hAnsiTheme="minorHAnsi" w:cstheme="minorBidi"/>
          <w:sz w:val="22"/>
          <w:szCs w:val="22"/>
        </w:rPr>
        <w:t xml:space="preserve">During the Post-Study Workshop, the stakeholders stated that the elimination of differences between Labour Law No:4857 and Public Servants Law No: 657 may hinder the employment of women in the private sector. Some incentives should be given to enterprises to ensure the full implementation of the provisions of the law. </w:t>
      </w:r>
    </w:p>
    <w:p w14:paraId="2456D7D8" w14:textId="40C24462" w:rsidR="002557B7" w:rsidRPr="00CD2A61" w:rsidRDefault="002557B7" w:rsidP="00CD2A61">
      <w:pPr>
        <w:spacing w:after="160" w:line="259" w:lineRule="auto"/>
        <w:rPr>
          <w:rFonts w:asciiTheme="majorHAnsi" w:eastAsiaTheme="majorEastAsia" w:hAnsiTheme="majorHAnsi" w:cstheme="majorBidi"/>
          <w:color w:val="1F3763" w:themeColor="accent1" w:themeShade="7F"/>
        </w:rPr>
      </w:pPr>
      <w:r w:rsidRPr="00CD2A61">
        <w:rPr>
          <w:rFonts w:asciiTheme="majorHAnsi" w:eastAsiaTheme="majorEastAsia" w:hAnsiTheme="majorHAnsi" w:cstheme="majorBidi"/>
          <w:color w:val="1F3763" w:themeColor="accent1" w:themeShade="7F"/>
        </w:rPr>
        <w:t>6.2</w:t>
      </w:r>
      <w:bookmarkStart w:id="174" w:name="_Hlk107140663"/>
      <w:r w:rsidRPr="00CD2A61">
        <w:rPr>
          <w:rFonts w:asciiTheme="majorHAnsi" w:eastAsiaTheme="majorEastAsia" w:hAnsiTheme="majorHAnsi" w:cstheme="majorBidi"/>
          <w:color w:val="1F3763" w:themeColor="accent1" w:themeShade="7F"/>
        </w:rPr>
        <w:t xml:space="preserve">.       Suggested Improvements </w:t>
      </w:r>
      <w:r w:rsidR="00CD2A61">
        <w:rPr>
          <w:rFonts w:asciiTheme="majorHAnsi" w:eastAsiaTheme="majorEastAsia" w:hAnsiTheme="majorHAnsi" w:cstheme="majorBidi"/>
          <w:color w:val="1F3763" w:themeColor="accent1" w:themeShade="7F"/>
        </w:rPr>
        <w:t>to</w:t>
      </w:r>
      <w:r w:rsidRPr="00CD2A61">
        <w:rPr>
          <w:rFonts w:asciiTheme="majorHAnsi" w:eastAsiaTheme="majorEastAsia" w:hAnsiTheme="majorHAnsi" w:cstheme="majorBidi"/>
          <w:color w:val="1F3763" w:themeColor="accent1" w:themeShade="7F"/>
        </w:rPr>
        <w:t xml:space="preserve"> the Existing Labour Law </w:t>
      </w:r>
    </w:p>
    <w:p w14:paraId="32A3448C" w14:textId="77777777" w:rsidR="002557B7" w:rsidRPr="00CD2A61" w:rsidRDefault="002557B7" w:rsidP="00CD2A61">
      <w:pPr>
        <w:spacing w:after="160" w:line="259" w:lineRule="auto"/>
        <w:rPr>
          <w:rFonts w:asciiTheme="majorHAnsi" w:eastAsiaTheme="majorEastAsia" w:hAnsiTheme="majorHAnsi" w:cstheme="majorBidi"/>
          <w:color w:val="1F3763" w:themeColor="accent1" w:themeShade="7F"/>
        </w:rPr>
      </w:pPr>
      <w:r w:rsidRPr="00CD2A61">
        <w:rPr>
          <w:rFonts w:asciiTheme="majorHAnsi" w:eastAsiaTheme="majorEastAsia" w:hAnsiTheme="majorHAnsi" w:cstheme="majorBidi"/>
          <w:color w:val="1F3763" w:themeColor="accent1" w:themeShade="7F"/>
        </w:rPr>
        <w:t xml:space="preserve">6.2.1.  Paid and Unpaid Maternity Leave </w:t>
      </w:r>
    </w:p>
    <w:bookmarkEnd w:id="174"/>
    <w:p w14:paraId="3C8988D9" w14:textId="027A405E" w:rsidR="002557B7" w:rsidRPr="00DB0C40" w:rsidRDefault="002557B7" w:rsidP="002557B7">
      <w:pPr>
        <w:spacing w:after="160" w:line="259" w:lineRule="auto"/>
        <w:jc w:val="both"/>
        <w:rPr>
          <w:rFonts w:asciiTheme="minorHAnsi" w:eastAsiaTheme="minorHAnsi" w:hAnsiTheme="minorHAnsi" w:cstheme="minorBidi"/>
          <w:sz w:val="22"/>
          <w:szCs w:val="22"/>
        </w:rPr>
      </w:pPr>
      <w:r w:rsidRPr="00DB0C40">
        <w:rPr>
          <w:rFonts w:asciiTheme="minorHAnsi" w:eastAsiaTheme="minorHAnsi" w:hAnsiTheme="minorHAnsi" w:cstheme="minorBidi"/>
          <w:sz w:val="22"/>
          <w:szCs w:val="22"/>
        </w:rPr>
        <w:t>The rights related to childbirth and adoptions under Labour Law No. 4857 underwent significant changes in 2016 and new types of rights and leaves were introduced for mothers, parents and child-adopters</w:t>
      </w:r>
      <w:r w:rsidR="00711F8A">
        <w:rPr>
          <w:rFonts w:asciiTheme="minorHAnsi" w:eastAsiaTheme="minorHAnsi" w:hAnsiTheme="minorHAnsi" w:cstheme="minorBidi"/>
          <w:sz w:val="22"/>
          <w:szCs w:val="22"/>
        </w:rPr>
        <w:t>.</w:t>
      </w:r>
    </w:p>
    <w:p w14:paraId="0353CC72" w14:textId="37EAD205" w:rsidR="002557B7" w:rsidRPr="00DB0C40" w:rsidRDefault="002557B7" w:rsidP="002557B7">
      <w:pPr>
        <w:spacing w:after="160" w:line="259" w:lineRule="auto"/>
        <w:jc w:val="both"/>
        <w:rPr>
          <w:rFonts w:asciiTheme="minorHAnsi" w:eastAsiaTheme="minorHAnsi" w:hAnsiTheme="minorHAnsi" w:cstheme="minorBidi"/>
          <w:sz w:val="22"/>
          <w:szCs w:val="22"/>
        </w:rPr>
      </w:pPr>
      <w:r w:rsidRPr="00DB0C40">
        <w:rPr>
          <w:rFonts w:asciiTheme="minorHAnsi" w:eastAsiaTheme="minorHAnsi" w:hAnsiTheme="minorHAnsi" w:cstheme="minorBidi"/>
          <w:sz w:val="22"/>
          <w:szCs w:val="22"/>
        </w:rPr>
        <w:t>According to participants in the Pre-Study Workshop, the duration of maternal and unpaid work leaves is not sufficient. There is a demand from the employee side to extend the duration of these leaves by giving a right to postpartum leave to both men and women to enable them to look after their children.</w:t>
      </w:r>
    </w:p>
    <w:p w14:paraId="40D6DC33" w14:textId="77777777" w:rsidR="002557B7" w:rsidRPr="00DB0C40" w:rsidRDefault="002557B7" w:rsidP="002557B7">
      <w:pPr>
        <w:spacing w:after="160" w:line="259" w:lineRule="auto"/>
        <w:jc w:val="both"/>
        <w:rPr>
          <w:rFonts w:asciiTheme="minorHAnsi" w:eastAsiaTheme="minorHAnsi" w:hAnsiTheme="minorHAnsi" w:cstheme="minorBidi"/>
          <w:sz w:val="22"/>
          <w:szCs w:val="22"/>
        </w:rPr>
      </w:pPr>
      <w:r w:rsidRPr="00DB0C40">
        <w:rPr>
          <w:rFonts w:asciiTheme="minorHAnsi" w:eastAsiaTheme="minorHAnsi" w:hAnsiTheme="minorHAnsi" w:cstheme="minorBidi"/>
          <w:sz w:val="22"/>
          <w:szCs w:val="22"/>
        </w:rPr>
        <w:t xml:space="preserve">In the Field Study, the most widely-used provision was the maternity leave right  65.9% of the respondents with children had benefited from this right, in parallel to this 89,9% of the respondents mentioned that extension of the maternity leave period and should be equal to that of government officers is necessary to improve the conditions for female employees (ranked 1). </w:t>
      </w:r>
    </w:p>
    <w:p w14:paraId="0DCA5F82" w14:textId="68A69188" w:rsidR="002557B7" w:rsidRPr="00DB0C40" w:rsidRDefault="002557B7" w:rsidP="002557B7">
      <w:pPr>
        <w:spacing w:after="160" w:line="259" w:lineRule="auto"/>
        <w:jc w:val="both"/>
        <w:rPr>
          <w:rFonts w:asciiTheme="minorHAnsi" w:eastAsiaTheme="minorHAnsi" w:hAnsiTheme="minorHAnsi" w:cstheme="minorBidi"/>
          <w:sz w:val="22"/>
          <w:szCs w:val="22"/>
        </w:rPr>
      </w:pPr>
      <w:r w:rsidRPr="00DB0C40">
        <w:rPr>
          <w:rFonts w:asciiTheme="minorHAnsi" w:eastAsiaTheme="minorHAnsi" w:hAnsiTheme="minorHAnsi" w:cstheme="minorBidi"/>
          <w:sz w:val="22"/>
          <w:szCs w:val="22"/>
        </w:rPr>
        <w:t>From the perspectives of employees’ maternity leave, the right to have unpaid maternity leave (71.1%), paternity leave (42.9%) and the prohibition of discrimination by gender in terms of payment (41.6%) were the most effective provisions in practice. On the other hand, the right to have part-time work after maternity (9%), breastfeeding room (18.6%) and nursery obligation (19.9%) were stated as “not effective”</w:t>
      </w:r>
      <w:r w:rsidR="00711F8A">
        <w:rPr>
          <w:rFonts w:asciiTheme="minorHAnsi" w:eastAsiaTheme="minorHAnsi" w:hAnsiTheme="minorHAnsi" w:cstheme="minorBidi"/>
          <w:sz w:val="22"/>
          <w:szCs w:val="22"/>
        </w:rPr>
        <w:t>.</w:t>
      </w:r>
    </w:p>
    <w:p w14:paraId="27BEB394" w14:textId="380BC0D0" w:rsidR="002557B7" w:rsidRPr="00DB0C40" w:rsidRDefault="002557B7" w:rsidP="002557B7">
      <w:pPr>
        <w:spacing w:after="160" w:line="259" w:lineRule="auto"/>
        <w:jc w:val="both"/>
        <w:rPr>
          <w:rFonts w:asciiTheme="minorHAnsi" w:eastAsiaTheme="minorHAnsi" w:hAnsiTheme="minorHAnsi" w:cstheme="minorBidi"/>
          <w:sz w:val="22"/>
          <w:szCs w:val="22"/>
        </w:rPr>
      </w:pPr>
      <w:r w:rsidRPr="00DB0C40">
        <w:rPr>
          <w:rFonts w:asciiTheme="minorHAnsi" w:eastAsiaTheme="minorHAnsi" w:hAnsiTheme="minorHAnsi" w:cstheme="minorBidi"/>
          <w:sz w:val="22"/>
          <w:szCs w:val="22"/>
        </w:rPr>
        <w:t xml:space="preserve">According to employer respondents, 95% stated that their employees benefited from the maternity leave rights, 64% of the respondents selected paternity leave as the third most frequently used labour right by their employees (77%) and paternity leave (64%).  Crèche and breastfeeding room facilities were the least available among other legal provisions (11% and 14%, respectively). </w:t>
      </w:r>
    </w:p>
    <w:p w14:paraId="59FBF4D4" w14:textId="111DD7E7" w:rsidR="002557B7" w:rsidRPr="00DB0C40" w:rsidRDefault="002557B7" w:rsidP="002557B7">
      <w:pPr>
        <w:spacing w:after="160" w:line="259" w:lineRule="auto"/>
        <w:jc w:val="both"/>
        <w:rPr>
          <w:rFonts w:asciiTheme="minorHAnsi" w:eastAsiaTheme="minorHAnsi" w:hAnsiTheme="minorHAnsi" w:cstheme="minorBidi"/>
          <w:sz w:val="22"/>
          <w:szCs w:val="22"/>
        </w:rPr>
      </w:pPr>
      <w:r w:rsidRPr="00DB0C40">
        <w:rPr>
          <w:rFonts w:asciiTheme="minorHAnsi" w:eastAsiaTheme="minorHAnsi" w:hAnsiTheme="minorHAnsi" w:cstheme="minorBidi"/>
          <w:sz w:val="22"/>
          <w:szCs w:val="22"/>
        </w:rPr>
        <w:t>Employer respondents were asked about their level of knowledge regarding the Labour Law, their opinion about its efficiency and their suggestions for improvement. Only 37% of the respondents knew the provisions of Labour Law related with women's employment; regarding their opinion about whether the law and provisions about female workers are understandable and clear only 34% of respondents said “yes” and 66% thought that provisions were not sufficiently clear</w:t>
      </w:r>
      <w:r w:rsidR="00711F8A">
        <w:rPr>
          <w:rFonts w:asciiTheme="minorHAnsi" w:eastAsiaTheme="minorHAnsi" w:hAnsiTheme="minorHAnsi" w:cstheme="minorBidi"/>
          <w:sz w:val="22"/>
          <w:szCs w:val="22"/>
        </w:rPr>
        <w:t>.</w:t>
      </w:r>
    </w:p>
    <w:p w14:paraId="31EC4E78" w14:textId="77777777" w:rsidR="002557B7" w:rsidRPr="00DB0C40" w:rsidRDefault="002557B7" w:rsidP="002557B7">
      <w:pPr>
        <w:spacing w:after="160" w:line="259" w:lineRule="auto"/>
        <w:jc w:val="both"/>
        <w:rPr>
          <w:rFonts w:asciiTheme="minorHAnsi" w:eastAsiaTheme="minorHAnsi" w:hAnsiTheme="minorHAnsi" w:cstheme="minorBidi"/>
          <w:sz w:val="22"/>
          <w:szCs w:val="22"/>
        </w:rPr>
      </w:pPr>
      <w:r w:rsidRPr="00DB0C40">
        <w:rPr>
          <w:rFonts w:asciiTheme="minorHAnsi" w:eastAsiaTheme="minorHAnsi" w:hAnsiTheme="minorHAnsi" w:cstheme="minorBidi"/>
          <w:sz w:val="22"/>
          <w:szCs w:val="22"/>
        </w:rPr>
        <w:t>EU Legislation includes a right to two weeks' paternity leave, introduced in a new directive on work-life balance for parents and carers, which entered into force on 1 August 2019. The right to paternity leave is not subject to a period of work qualification or to a length of service qualification.</w:t>
      </w:r>
    </w:p>
    <w:p w14:paraId="518B292F" w14:textId="77777777" w:rsidR="002557B7" w:rsidRPr="00DB0C40" w:rsidRDefault="002557B7" w:rsidP="002557B7">
      <w:pPr>
        <w:spacing w:after="160" w:line="259" w:lineRule="auto"/>
        <w:jc w:val="both"/>
        <w:rPr>
          <w:rFonts w:asciiTheme="minorHAnsi" w:eastAsiaTheme="minorHAnsi" w:hAnsiTheme="minorHAnsi" w:cstheme="minorBidi"/>
          <w:sz w:val="22"/>
          <w:szCs w:val="22"/>
        </w:rPr>
      </w:pPr>
      <w:r w:rsidRPr="00DB0C40">
        <w:rPr>
          <w:rFonts w:asciiTheme="minorHAnsi" w:eastAsiaTheme="minorHAnsi" w:hAnsiTheme="minorHAnsi" w:cstheme="minorBidi"/>
          <w:sz w:val="22"/>
          <w:szCs w:val="22"/>
        </w:rPr>
        <w:t xml:space="preserve">The </w:t>
      </w:r>
      <w:r w:rsidRPr="00DB0C40">
        <w:rPr>
          <w:rFonts w:asciiTheme="minorHAnsi" w:eastAsiaTheme="minorHAnsi" w:hAnsiTheme="minorHAnsi" w:cstheme="minorBidi"/>
          <w:b/>
          <w:bCs/>
          <w:sz w:val="22"/>
          <w:szCs w:val="22"/>
        </w:rPr>
        <w:t>main recommendations</w:t>
      </w:r>
      <w:r w:rsidRPr="00DB0C40">
        <w:rPr>
          <w:rFonts w:asciiTheme="minorHAnsi" w:eastAsiaTheme="minorHAnsi" w:hAnsiTheme="minorHAnsi" w:cstheme="minorBidi"/>
          <w:sz w:val="22"/>
          <w:szCs w:val="22"/>
        </w:rPr>
        <w:t xml:space="preserve"> are:</w:t>
      </w:r>
    </w:p>
    <w:p w14:paraId="62B7D6E0" w14:textId="77777777" w:rsidR="002557B7" w:rsidRPr="00DB0C40" w:rsidRDefault="002557B7">
      <w:pPr>
        <w:numPr>
          <w:ilvl w:val="0"/>
          <w:numId w:val="39"/>
        </w:numPr>
        <w:spacing w:after="160" w:line="259" w:lineRule="auto"/>
        <w:contextualSpacing/>
        <w:jc w:val="both"/>
        <w:rPr>
          <w:rFonts w:asciiTheme="minorHAnsi" w:eastAsiaTheme="minorHAnsi" w:hAnsiTheme="minorHAnsi" w:cstheme="minorBidi"/>
          <w:sz w:val="22"/>
          <w:szCs w:val="22"/>
        </w:rPr>
      </w:pPr>
      <w:r w:rsidRPr="00DB0C40">
        <w:rPr>
          <w:rFonts w:asciiTheme="minorHAnsi" w:eastAsiaTheme="minorHAnsi" w:hAnsiTheme="minorHAnsi" w:cstheme="minorBidi"/>
          <w:sz w:val="22"/>
          <w:szCs w:val="22"/>
        </w:rPr>
        <w:t xml:space="preserve">Ensure mothers are granted at least 14 weeks of leave paid at a rate of at least two-thirds of previous earnings according to ILO Convention No. 183, or up to 18 weeks at one hundred per cent according to ILO Recommendation No. 191. </w:t>
      </w:r>
    </w:p>
    <w:p w14:paraId="622B5BD5" w14:textId="77777777" w:rsidR="00CD2A61" w:rsidRDefault="00CD2A61" w:rsidP="002557B7">
      <w:pPr>
        <w:spacing w:after="160" w:line="259" w:lineRule="auto"/>
        <w:jc w:val="both"/>
        <w:rPr>
          <w:rFonts w:asciiTheme="minorHAnsi" w:eastAsiaTheme="minorHAnsi" w:hAnsiTheme="minorHAnsi" w:cstheme="minorBidi"/>
          <w:sz w:val="22"/>
          <w:szCs w:val="22"/>
        </w:rPr>
      </w:pPr>
    </w:p>
    <w:p w14:paraId="41BB314E" w14:textId="2659E823" w:rsidR="002557B7" w:rsidRPr="00DB0C40" w:rsidRDefault="002557B7" w:rsidP="002557B7">
      <w:pPr>
        <w:spacing w:after="160" w:line="259" w:lineRule="auto"/>
        <w:jc w:val="both"/>
        <w:rPr>
          <w:rFonts w:asciiTheme="minorHAnsi" w:eastAsiaTheme="minorHAnsi" w:hAnsiTheme="minorHAnsi" w:cstheme="minorBidi"/>
          <w:sz w:val="22"/>
          <w:szCs w:val="22"/>
        </w:rPr>
      </w:pPr>
      <w:r w:rsidRPr="00DB0C40">
        <w:rPr>
          <w:rFonts w:asciiTheme="minorHAnsi" w:eastAsiaTheme="minorHAnsi" w:hAnsiTheme="minorHAnsi" w:cstheme="minorBidi"/>
          <w:sz w:val="22"/>
          <w:szCs w:val="22"/>
        </w:rPr>
        <w:lastRenderedPageBreak/>
        <w:t>In the employee survey 89,9% of the respondents mentioned that extension of the maternity leave period should be equal to that of government officers as the most preferred policy option for the future.</w:t>
      </w:r>
    </w:p>
    <w:p w14:paraId="455F66AF" w14:textId="5C6B95AD" w:rsidR="002557B7" w:rsidRPr="00DB0C40" w:rsidRDefault="002557B7" w:rsidP="002557B7">
      <w:pPr>
        <w:spacing w:after="160" w:line="259" w:lineRule="auto"/>
        <w:jc w:val="both"/>
        <w:rPr>
          <w:rFonts w:asciiTheme="minorHAnsi" w:eastAsiaTheme="minorHAnsi" w:hAnsiTheme="minorHAnsi" w:cstheme="minorBidi"/>
          <w:sz w:val="22"/>
          <w:szCs w:val="22"/>
        </w:rPr>
      </w:pPr>
      <w:r w:rsidRPr="00DB0C40">
        <w:rPr>
          <w:rFonts w:asciiTheme="minorHAnsi" w:eastAsiaTheme="minorHAnsi" w:hAnsiTheme="minorHAnsi" w:cstheme="minorBidi"/>
          <w:sz w:val="22"/>
          <w:szCs w:val="22"/>
        </w:rPr>
        <w:t>The Stakeholders during the Post</w:t>
      </w:r>
      <w:r w:rsidR="00CD2A61">
        <w:rPr>
          <w:rFonts w:asciiTheme="minorHAnsi" w:eastAsiaTheme="minorHAnsi" w:hAnsiTheme="minorHAnsi" w:cstheme="minorBidi"/>
          <w:sz w:val="22"/>
          <w:szCs w:val="22"/>
        </w:rPr>
        <w:t>-</w:t>
      </w:r>
      <w:r w:rsidRPr="00DB0C40">
        <w:rPr>
          <w:rFonts w:asciiTheme="minorHAnsi" w:eastAsiaTheme="minorHAnsi" w:hAnsiTheme="minorHAnsi" w:cstheme="minorBidi"/>
          <w:sz w:val="22"/>
          <w:szCs w:val="22"/>
        </w:rPr>
        <w:t xml:space="preserve">Study Workshop express pointed out two issues: </w:t>
      </w:r>
    </w:p>
    <w:p w14:paraId="77F3303F" w14:textId="77777777" w:rsidR="002557B7" w:rsidRPr="00DB0C40" w:rsidRDefault="002557B7">
      <w:pPr>
        <w:numPr>
          <w:ilvl w:val="0"/>
          <w:numId w:val="32"/>
        </w:numPr>
        <w:spacing w:after="160" w:line="259" w:lineRule="auto"/>
        <w:contextualSpacing/>
        <w:jc w:val="both"/>
        <w:rPr>
          <w:rFonts w:asciiTheme="minorHAnsi" w:eastAsiaTheme="minorHAnsi" w:hAnsiTheme="minorHAnsi" w:cstheme="minorBidi"/>
          <w:sz w:val="22"/>
          <w:szCs w:val="22"/>
        </w:rPr>
      </w:pPr>
      <w:r w:rsidRPr="00DB0C40">
        <w:rPr>
          <w:rFonts w:asciiTheme="minorHAnsi" w:eastAsiaTheme="minorHAnsi" w:hAnsiTheme="minorHAnsi" w:cstheme="minorBidi"/>
          <w:sz w:val="22"/>
          <w:szCs w:val="22"/>
        </w:rPr>
        <w:t>Regulation is also needed for foster families as another parenting situation</w:t>
      </w:r>
    </w:p>
    <w:p w14:paraId="478ED793" w14:textId="77777777" w:rsidR="002557B7" w:rsidRPr="00DB0C40" w:rsidRDefault="002557B7">
      <w:pPr>
        <w:numPr>
          <w:ilvl w:val="0"/>
          <w:numId w:val="32"/>
        </w:numPr>
        <w:spacing w:after="160" w:line="259" w:lineRule="auto"/>
        <w:contextualSpacing/>
        <w:jc w:val="both"/>
        <w:rPr>
          <w:rFonts w:asciiTheme="minorHAnsi" w:eastAsiaTheme="minorHAnsi" w:hAnsiTheme="minorHAnsi" w:cstheme="minorBidi"/>
          <w:sz w:val="22"/>
          <w:szCs w:val="22"/>
        </w:rPr>
      </w:pPr>
      <w:r w:rsidRPr="00DB0C40">
        <w:rPr>
          <w:rFonts w:asciiTheme="minorHAnsi" w:eastAsiaTheme="minorHAnsi" w:hAnsiTheme="minorHAnsi" w:cstheme="minorBidi"/>
          <w:sz w:val="22"/>
          <w:szCs w:val="22"/>
        </w:rPr>
        <w:t xml:space="preserve">Female civil servants cannot benefit from the right to work part time because the necessary sub-regulations are not available. </w:t>
      </w:r>
    </w:p>
    <w:p w14:paraId="4DF0F173" w14:textId="77777777" w:rsidR="002557B7" w:rsidRPr="00DB0C40" w:rsidRDefault="002557B7" w:rsidP="002557B7">
      <w:pPr>
        <w:spacing w:after="160" w:line="259" w:lineRule="auto"/>
        <w:ind w:left="720"/>
        <w:contextualSpacing/>
        <w:jc w:val="both"/>
        <w:rPr>
          <w:rFonts w:asciiTheme="minorHAnsi" w:eastAsiaTheme="minorHAnsi" w:hAnsiTheme="minorHAnsi" w:cstheme="minorBidi"/>
          <w:sz w:val="22"/>
          <w:szCs w:val="22"/>
        </w:rPr>
      </w:pPr>
    </w:p>
    <w:p w14:paraId="2F6BBAD2" w14:textId="77777777" w:rsidR="002557B7" w:rsidRPr="00DB0C40" w:rsidRDefault="002557B7">
      <w:pPr>
        <w:numPr>
          <w:ilvl w:val="0"/>
          <w:numId w:val="39"/>
        </w:numPr>
        <w:spacing w:after="160" w:line="259" w:lineRule="auto"/>
        <w:contextualSpacing/>
        <w:jc w:val="both"/>
        <w:rPr>
          <w:rFonts w:asciiTheme="minorHAnsi" w:eastAsiaTheme="minorHAnsi" w:hAnsiTheme="minorHAnsi" w:cstheme="minorBidi"/>
          <w:sz w:val="22"/>
          <w:szCs w:val="22"/>
        </w:rPr>
      </w:pPr>
      <w:bookmarkStart w:id="175" w:name="_Hlk106793059"/>
      <w:r w:rsidRPr="00DB0C40">
        <w:rPr>
          <w:rFonts w:asciiTheme="minorHAnsi" w:eastAsiaTheme="minorHAnsi" w:hAnsiTheme="minorHAnsi" w:cstheme="minorBidi"/>
          <w:sz w:val="22"/>
          <w:szCs w:val="22"/>
        </w:rPr>
        <w:t>Ensure that fathers have access to compulsory paid parental leave for a meaningful period and that a sizable amount of parental leave is reserved for the father, and cannot be transferred to the mother.</w:t>
      </w:r>
    </w:p>
    <w:p w14:paraId="6DE4091C" w14:textId="77777777" w:rsidR="00CD2A61" w:rsidRDefault="00CD2A61" w:rsidP="002557B7">
      <w:pPr>
        <w:spacing w:after="160" w:line="259" w:lineRule="auto"/>
        <w:jc w:val="both"/>
        <w:rPr>
          <w:rFonts w:asciiTheme="minorHAnsi" w:eastAsiaTheme="minorHAnsi" w:hAnsiTheme="minorHAnsi" w:cstheme="minorBidi"/>
          <w:sz w:val="22"/>
          <w:szCs w:val="22"/>
        </w:rPr>
      </w:pPr>
    </w:p>
    <w:p w14:paraId="52EACF4C" w14:textId="3946D848" w:rsidR="002557B7" w:rsidRPr="00DB0C40" w:rsidRDefault="002557B7" w:rsidP="002557B7">
      <w:pPr>
        <w:spacing w:after="160" w:line="259" w:lineRule="auto"/>
        <w:jc w:val="both"/>
        <w:rPr>
          <w:rFonts w:asciiTheme="minorHAnsi" w:eastAsiaTheme="minorHAnsi" w:hAnsiTheme="minorHAnsi" w:cstheme="minorBidi"/>
          <w:sz w:val="22"/>
          <w:szCs w:val="22"/>
        </w:rPr>
      </w:pPr>
      <w:r w:rsidRPr="00DB0C40">
        <w:rPr>
          <w:rFonts w:asciiTheme="minorHAnsi" w:eastAsiaTheme="minorHAnsi" w:hAnsiTheme="minorHAnsi" w:cstheme="minorBidi"/>
          <w:sz w:val="22"/>
          <w:szCs w:val="22"/>
        </w:rPr>
        <w:t xml:space="preserve">More than 77% of respondents in the employee survey thought that extending paternity leave period is one of the most important measures to increase women’s employment. They also mentioned that taking care of a child is not the responsibility of the mother. Also, during the postpartum period it is very difficult for women if there is no elderly family member to support the mother. Additionally, 83% of respondents of the employer survey found extension of paternal leave will help to promote female employment. </w:t>
      </w:r>
    </w:p>
    <w:p w14:paraId="151F7B9E" w14:textId="77777777" w:rsidR="002557B7" w:rsidRPr="00DB0C40" w:rsidRDefault="002557B7" w:rsidP="002557B7">
      <w:pPr>
        <w:spacing w:after="160" w:line="259" w:lineRule="auto"/>
        <w:jc w:val="both"/>
        <w:rPr>
          <w:rFonts w:asciiTheme="minorHAnsi" w:eastAsiaTheme="minorHAnsi" w:hAnsiTheme="minorHAnsi" w:cstheme="minorBidi"/>
          <w:sz w:val="22"/>
          <w:szCs w:val="22"/>
        </w:rPr>
      </w:pPr>
      <w:r w:rsidRPr="00DB0C40">
        <w:rPr>
          <w:rFonts w:asciiTheme="minorHAnsi" w:eastAsiaTheme="minorHAnsi" w:hAnsiTheme="minorHAnsi" w:cstheme="minorBidi"/>
          <w:sz w:val="22"/>
          <w:szCs w:val="22"/>
        </w:rPr>
        <w:t xml:space="preserve">During the Post- Study Workshop, the stakeholders express that it will be important to have the possibility to choose if the leaves are at the same time or separately. </w:t>
      </w:r>
    </w:p>
    <w:p w14:paraId="73D60A2D" w14:textId="77777777" w:rsidR="002557B7" w:rsidRPr="00DB0C40" w:rsidRDefault="002557B7">
      <w:pPr>
        <w:numPr>
          <w:ilvl w:val="0"/>
          <w:numId w:val="39"/>
        </w:numPr>
        <w:spacing w:after="160" w:line="259" w:lineRule="auto"/>
        <w:contextualSpacing/>
        <w:jc w:val="both"/>
        <w:rPr>
          <w:rFonts w:asciiTheme="minorHAnsi" w:eastAsiaTheme="minorHAnsi" w:hAnsiTheme="minorHAnsi" w:cstheme="minorBidi"/>
          <w:sz w:val="22"/>
          <w:szCs w:val="22"/>
        </w:rPr>
      </w:pPr>
      <w:r w:rsidRPr="00DB0C40">
        <w:rPr>
          <w:rFonts w:asciiTheme="minorHAnsi" w:eastAsiaTheme="minorHAnsi" w:hAnsiTheme="minorHAnsi" w:cstheme="minorBidi"/>
          <w:sz w:val="22"/>
          <w:szCs w:val="22"/>
        </w:rPr>
        <w:t>Ensure that other forms of leave, such as adoption leave or leave to care for disabled or sick children, adult, or older family members, are granted.</w:t>
      </w:r>
    </w:p>
    <w:p w14:paraId="1E0B79A8" w14:textId="77777777" w:rsidR="00CD2A61" w:rsidRDefault="00CD2A61" w:rsidP="002557B7">
      <w:pPr>
        <w:spacing w:after="160" w:line="259" w:lineRule="auto"/>
        <w:jc w:val="both"/>
        <w:rPr>
          <w:rFonts w:asciiTheme="minorHAnsi" w:eastAsiaTheme="minorHAnsi" w:hAnsiTheme="minorHAnsi" w:cstheme="minorBidi"/>
          <w:sz w:val="22"/>
          <w:szCs w:val="22"/>
        </w:rPr>
      </w:pPr>
    </w:p>
    <w:p w14:paraId="75515FDF" w14:textId="2160EA5B" w:rsidR="002557B7" w:rsidRPr="00DB0C40" w:rsidRDefault="002557B7" w:rsidP="002557B7">
      <w:pPr>
        <w:spacing w:after="160" w:line="259" w:lineRule="auto"/>
        <w:jc w:val="both"/>
        <w:rPr>
          <w:rFonts w:asciiTheme="minorHAnsi" w:eastAsiaTheme="minorHAnsi" w:hAnsiTheme="minorHAnsi" w:cstheme="minorBidi"/>
          <w:sz w:val="22"/>
          <w:szCs w:val="22"/>
        </w:rPr>
      </w:pPr>
      <w:r w:rsidRPr="00DB0C40">
        <w:rPr>
          <w:rFonts w:asciiTheme="minorHAnsi" w:eastAsiaTheme="minorHAnsi" w:hAnsiTheme="minorHAnsi" w:cstheme="minorBidi"/>
          <w:sz w:val="22"/>
          <w:szCs w:val="22"/>
        </w:rPr>
        <w:t>Related to this recommendation, respondents in the employee survey commented that</w:t>
      </w:r>
      <w:r w:rsidRPr="00DB0C40">
        <w:rPr>
          <w:rFonts w:asciiTheme="minorHAnsi" w:eastAsiaTheme="minorHAnsi" w:hAnsiTheme="minorHAnsi" w:cstheme="minorBidi"/>
          <w:b/>
          <w:sz w:val="22"/>
          <w:szCs w:val="22"/>
        </w:rPr>
        <w:t xml:space="preserve"> </w:t>
      </w:r>
      <w:r w:rsidRPr="00DB0C40">
        <w:rPr>
          <w:rFonts w:asciiTheme="minorHAnsi" w:eastAsiaTheme="minorHAnsi" w:hAnsiTheme="minorHAnsi" w:cstheme="minorBidi"/>
          <w:sz w:val="22"/>
          <w:szCs w:val="22"/>
        </w:rPr>
        <w:t xml:space="preserve">childcare is not only the responsibility of women and the results of the survey show that there is a demand for extension of paternal leave period (77% of respondents). Stakeholders during the Post-Study Workshop stated: </w:t>
      </w:r>
    </w:p>
    <w:p w14:paraId="4DD7F435" w14:textId="77777777" w:rsidR="002557B7" w:rsidRPr="00DB0C40" w:rsidRDefault="002557B7">
      <w:pPr>
        <w:numPr>
          <w:ilvl w:val="0"/>
          <w:numId w:val="33"/>
        </w:numPr>
        <w:spacing w:after="160" w:line="259" w:lineRule="auto"/>
        <w:contextualSpacing/>
        <w:jc w:val="both"/>
        <w:rPr>
          <w:rFonts w:asciiTheme="minorHAnsi" w:eastAsiaTheme="minorHAnsi" w:hAnsiTheme="minorHAnsi" w:cstheme="minorBidi"/>
          <w:sz w:val="22"/>
          <w:szCs w:val="22"/>
        </w:rPr>
      </w:pPr>
      <w:r w:rsidRPr="00DB0C40">
        <w:rPr>
          <w:rFonts w:asciiTheme="minorHAnsi" w:eastAsiaTheme="minorHAnsi" w:hAnsiTheme="minorHAnsi" w:cstheme="minorBidi"/>
          <w:sz w:val="22"/>
          <w:szCs w:val="22"/>
        </w:rPr>
        <w:t>To have a common language between all the stakeholders on the different types of leaves</w:t>
      </w:r>
    </w:p>
    <w:p w14:paraId="70C07B61" w14:textId="77777777" w:rsidR="002557B7" w:rsidRPr="00DB0C40" w:rsidRDefault="002557B7">
      <w:pPr>
        <w:numPr>
          <w:ilvl w:val="0"/>
          <w:numId w:val="33"/>
        </w:numPr>
        <w:spacing w:after="160" w:line="259" w:lineRule="auto"/>
        <w:contextualSpacing/>
        <w:jc w:val="both"/>
        <w:rPr>
          <w:rFonts w:asciiTheme="minorHAnsi" w:eastAsiaTheme="minorHAnsi" w:hAnsiTheme="minorHAnsi" w:cstheme="minorBidi"/>
          <w:sz w:val="22"/>
          <w:szCs w:val="22"/>
        </w:rPr>
      </w:pPr>
      <w:r w:rsidRPr="00DB0C40">
        <w:rPr>
          <w:rFonts w:asciiTheme="minorHAnsi" w:eastAsiaTheme="minorHAnsi" w:hAnsiTheme="minorHAnsi" w:cstheme="minorBidi"/>
          <w:sz w:val="22"/>
          <w:szCs w:val="22"/>
        </w:rPr>
        <w:t>To include such provisions in the collective bargaining or individual employment contracts between employers and employees</w:t>
      </w:r>
    </w:p>
    <w:p w14:paraId="234A282F" w14:textId="77777777" w:rsidR="002557B7" w:rsidRPr="00DB0C40" w:rsidRDefault="002557B7">
      <w:pPr>
        <w:numPr>
          <w:ilvl w:val="0"/>
          <w:numId w:val="33"/>
        </w:numPr>
        <w:spacing w:after="160" w:line="259" w:lineRule="auto"/>
        <w:contextualSpacing/>
        <w:jc w:val="both"/>
        <w:rPr>
          <w:rFonts w:asciiTheme="minorHAnsi" w:eastAsiaTheme="minorHAnsi" w:hAnsiTheme="minorHAnsi" w:cstheme="minorBidi"/>
          <w:sz w:val="22"/>
          <w:szCs w:val="22"/>
        </w:rPr>
      </w:pPr>
      <w:r w:rsidRPr="00DB0C40">
        <w:rPr>
          <w:rFonts w:asciiTheme="minorHAnsi" w:eastAsiaTheme="minorHAnsi" w:hAnsiTheme="minorHAnsi" w:cstheme="minorBidi"/>
          <w:sz w:val="22"/>
          <w:szCs w:val="22"/>
        </w:rPr>
        <w:t>Leave dates should be increased for parents with disabled children</w:t>
      </w:r>
    </w:p>
    <w:p w14:paraId="6EF454EF" w14:textId="77777777" w:rsidR="002557B7" w:rsidRPr="00DB0C40" w:rsidRDefault="002557B7">
      <w:pPr>
        <w:numPr>
          <w:ilvl w:val="0"/>
          <w:numId w:val="33"/>
        </w:numPr>
        <w:spacing w:after="160" w:line="259" w:lineRule="auto"/>
        <w:contextualSpacing/>
        <w:jc w:val="both"/>
        <w:rPr>
          <w:rFonts w:asciiTheme="minorHAnsi" w:eastAsiaTheme="minorHAnsi" w:hAnsiTheme="minorHAnsi" w:cstheme="minorBidi"/>
          <w:sz w:val="22"/>
          <w:szCs w:val="22"/>
        </w:rPr>
      </w:pPr>
      <w:r w:rsidRPr="00DB0C40">
        <w:rPr>
          <w:rFonts w:asciiTheme="minorHAnsi" w:eastAsiaTheme="minorHAnsi" w:hAnsiTheme="minorHAnsi" w:cstheme="minorBidi"/>
          <w:sz w:val="22"/>
          <w:szCs w:val="22"/>
        </w:rPr>
        <w:t>There is a need to include special provisions for the parents who have disabled children in the legislation in addition to the elderly and patients care facilities; such as early retirement right.</w:t>
      </w:r>
    </w:p>
    <w:p w14:paraId="2E6B4811" w14:textId="77777777" w:rsidR="002557B7" w:rsidRPr="00DB0C40" w:rsidRDefault="002557B7" w:rsidP="002557B7">
      <w:pPr>
        <w:spacing w:after="160" w:line="259" w:lineRule="auto"/>
        <w:ind w:left="720"/>
        <w:contextualSpacing/>
        <w:jc w:val="both"/>
        <w:rPr>
          <w:rFonts w:asciiTheme="minorHAnsi" w:eastAsiaTheme="minorHAnsi" w:hAnsiTheme="minorHAnsi" w:cstheme="minorBidi"/>
          <w:color w:val="4472C4" w:themeColor="accent1"/>
          <w:sz w:val="22"/>
          <w:szCs w:val="22"/>
        </w:rPr>
      </w:pPr>
    </w:p>
    <w:p w14:paraId="64B875BC" w14:textId="77777777" w:rsidR="002557B7" w:rsidRPr="00DB0C40" w:rsidRDefault="002557B7">
      <w:pPr>
        <w:numPr>
          <w:ilvl w:val="0"/>
          <w:numId w:val="39"/>
        </w:numPr>
        <w:spacing w:after="160" w:line="259" w:lineRule="auto"/>
        <w:contextualSpacing/>
        <w:jc w:val="both"/>
        <w:rPr>
          <w:rFonts w:asciiTheme="minorHAnsi" w:eastAsiaTheme="minorHAnsi" w:hAnsiTheme="minorHAnsi" w:cstheme="minorBidi"/>
          <w:sz w:val="22"/>
          <w:szCs w:val="22"/>
        </w:rPr>
      </w:pPr>
      <w:r w:rsidRPr="00DB0C40">
        <w:rPr>
          <w:rFonts w:asciiTheme="minorHAnsi" w:eastAsiaTheme="minorHAnsi" w:hAnsiTheme="minorHAnsi" w:cstheme="minorBidi"/>
          <w:sz w:val="22"/>
          <w:szCs w:val="22"/>
        </w:rPr>
        <w:t>Ensure employment protection during leave and the guarantee of the right to return to the same position.</w:t>
      </w:r>
    </w:p>
    <w:p w14:paraId="4C1D76BC" w14:textId="77777777" w:rsidR="00CD2A61" w:rsidRDefault="00CD2A61" w:rsidP="002557B7">
      <w:pPr>
        <w:spacing w:after="160" w:line="259" w:lineRule="auto"/>
        <w:jc w:val="both"/>
        <w:rPr>
          <w:rFonts w:asciiTheme="minorHAnsi" w:eastAsiaTheme="minorHAnsi" w:hAnsiTheme="minorHAnsi" w:cstheme="minorBidi"/>
          <w:sz w:val="22"/>
          <w:szCs w:val="22"/>
        </w:rPr>
      </w:pPr>
    </w:p>
    <w:p w14:paraId="1389AB08" w14:textId="50118B65" w:rsidR="002557B7" w:rsidRPr="00DB0C40" w:rsidRDefault="002557B7" w:rsidP="002557B7">
      <w:pPr>
        <w:spacing w:after="160" w:line="259" w:lineRule="auto"/>
        <w:jc w:val="both"/>
        <w:rPr>
          <w:rFonts w:asciiTheme="minorHAnsi" w:eastAsiaTheme="minorHAnsi" w:hAnsiTheme="minorHAnsi" w:cstheme="minorBidi"/>
          <w:sz w:val="22"/>
          <w:szCs w:val="22"/>
        </w:rPr>
      </w:pPr>
      <w:r w:rsidRPr="00DB0C40">
        <w:rPr>
          <w:rFonts w:asciiTheme="minorHAnsi" w:eastAsiaTheme="minorHAnsi" w:hAnsiTheme="minorHAnsi" w:cstheme="minorBidi"/>
          <w:sz w:val="22"/>
          <w:szCs w:val="22"/>
        </w:rPr>
        <w:t xml:space="preserve">According to the results from the Field Study, 77% of respondents in the employer survey stated that their workers used unpaid leave after birth upon request. However, according to the results of the employee survey, the right to part-time work after maternity (9%) was the least implemented provision. In addition, some respondents in the Field Study (women employees) stated that they hesitated to use their unpaid maternal leaves for fear of losing their jobs. In addition, unpaid leave means that they would lose a </w:t>
      </w:r>
      <w:r w:rsidRPr="00DB0C40">
        <w:rPr>
          <w:rFonts w:asciiTheme="minorHAnsi" w:eastAsiaTheme="minorHAnsi" w:hAnsiTheme="minorHAnsi" w:cstheme="minorBidi"/>
          <w:sz w:val="22"/>
          <w:szCs w:val="22"/>
        </w:rPr>
        <w:lastRenderedPageBreak/>
        <w:t xml:space="preserve">substantial amount of their income if they take unpaid leave.  (Fig. 6 p. 31 &amp; Fig. 18 p. 39). During the Post-Study Workshop, stakeholders pointed out the following:  </w:t>
      </w:r>
    </w:p>
    <w:p w14:paraId="2372FD71" w14:textId="77777777" w:rsidR="002557B7" w:rsidRPr="00DB0C40" w:rsidRDefault="002557B7">
      <w:pPr>
        <w:numPr>
          <w:ilvl w:val="0"/>
          <w:numId w:val="36"/>
        </w:numPr>
        <w:spacing w:after="160" w:line="259" w:lineRule="auto"/>
        <w:jc w:val="both"/>
        <w:rPr>
          <w:rFonts w:asciiTheme="minorHAnsi" w:eastAsiaTheme="minorHAnsi" w:hAnsiTheme="minorHAnsi" w:cstheme="minorBidi"/>
          <w:sz w:val="22"/>
          <w:szCs w:val="22"/>
        </w:rPr>
      </w:pPr>
      <w:r w:rsidRPr="00DB0C40">
        <w:rPr>
          <w:rFonts w:asciiTheme="minorHAnsi" w:eastAsiaTheme="minorHAnsi" w:hAnsiTheme="minorHAnsi" w:cstheme="minorBidi"/>
          <w:sz w:val="22"/>
          <w:szCs w:val="22"/>
        </w:rPr>
        <w:t xml:space="preserve">The Civil Servants Law No. 657 has more provisions to facilitate women's employment compared to the Labour Law No. 4857. A new employment strategy can be prepared with concrete recommendations aiming to eliminate these differences and help to raise awareness about the difficulties faced by female employees in their workplaces. </w:t>
      </w:r>
    </w:p>
    <w:p w14:paraId="0D719FFC" w14:textId="77777777" w:rsidR="002557B7" w:rsidRPr="00DB0C40" w:rsidRDefault="002557B7">
      <w:pPr>
        <w:numPr>
          <w:ilvl w:val="0"/>
          <w:numId w:val="36"/>
        </w:numPr>
        <w:spacing w:after="160" w:line="259" w:lineRule="auto"/>
        <w:contextualSpacing/>
        <w:jc w:val="both"/>
        <w:rPr>
          <w:rFonts w:asciiTheme="minorHAnsi" w:eastAsiaTheme="minorHAnsi" w:hAnsiTheme="minorHAnsi" w:cstheme="minorBidi"/>
          <w:sz w:val="22"/>
          <w:szCs w:val="22"/>
        </w:rPr>
      </w:pPr>
      <w:r w:rsidRPr="00DB0C40">
        <w:rPr>
          <w:rFonts w:asciiTheme="minorHAnsi" w:eastAsiaTheme="minorHAnsi" w:hAnsiTheme="minorHAnsi" w:cstheme="minorBidi"/>
          <w:sz w:val="22"/>
          <w:szCs w:val="22"/>
        </w:rPr>
        <w:t>Additionally, temporary employment can be a solution for the enterprises which have women employees on unpaid maternity leave to ensure the sustainability of the work and avoid any kind of productivity loss</w:t>
      </w:r>
    </w:p>
    <w:p w14:paraId="5B134868" w14:textId="412E9298" w:rsidR="002557B7" w:rsidRDefault="002557B7">
      <w:pPr>
        <w:numPr>
          <w:ilvl w:val="0"/>
          <w:numId w:val="36"/>
        </w:numPr>
        <w:spacing w:after="160" w:line="259" w:lineRule="auto"/>
        <w:contextualSpacing/>
        <w:jc w:val="both"/>
        <w:rPr>
          <w:rFonts w:asciiTheme="minorHAnsi" w:eastAsiaTheme="minorHAnsi" w:hAnsiTheme="minorHAnsi" w:cstheme="minorBidi"/>
          <w:sz w:val="22"/>
          <w:szCs w:val="22"/>
        </w:rPr>
      </w:pPr>
      <w:r w:rsidRPr="00DB0C40">
        <w:rPr>
          <w:rFonts w:asciiTheme="minorHAnsi" w:eastAsiaTheme="minorHAnsi" w:hAnsiTheme="minorHAnsi" w:cstheme="minorBidi"/>
          <w:sz w:val="22"/>
          <w:szCs w:val="22"/>
        </w:rPr>
        <w:t>Informing and awareness practices should be carried out and increased among employees regarding their legal rights especially unpaid leave and return to work at the same position and with equal rights.</w:t>
      </w:r>
    </w:p>
    <w:p w14:paraId="32BAAF54" w14:textId="77777777" w:rsidR="00E941FF" w:rsidRPr="00DB0C40" w:rsidRDefault="00E941FF" w:rsidP="00CD2A61">
      <w:pPr>
        <w:spacing w:after="160" w:line="259" w:lineRule="auto"/>
        <w:ind w:left="720"/>
        <w:contextualSpacing/>
        <w:jc w:val="both"/>
        <w:rPr>
          <w:rFonts w:asciiTheme="minorHAnsi" w:eastAsiaTheme="minorHAnsi" w:hAnsiTheme="minorHAnsi" w:cstheme="minorBidi"/>
          <w:sz w:val="22"/>
          <w:szCs w:val="22"/>
        </w:rPr>
      </w:pPr>
    </w:p>
    <w:p w14:paraId="0DCDB106" w14:textId="5DB12A98" w:rsidR="002557B7" w:rsidRPr="00CD2A61" w:rsidRDefault="002557B7" w:rsidP="00CD2A61">
      <w:pPr>
        <w:spacing w:after="160" w:line="259" w:lineRule="auto"/>
        <w:rPr>
          <w:rFonts w:asciiTheme="majorHAnsi" w:eastAsiaTheme="majorEastAsia" w:hAnsiTheme="majorHAnsi" w:cstheme="majorBidi"/>
          <w:color w:val="1F3763" w:themeColor="accent1" w:themeShade="7F"/>
        </w:rPr>
      </w:pPr>
      <w:r w:rsidRPr="00CD2A61">
        <w:rPr>
          <w:rFonts w:asciiTheme="majorHAnsi" w:eastAsiaTheme="majorEastAsia" w:hAnsiTheme="majorHAnsi" w:cstheme="majorBidi"/>
          <w:color w:val="1F3763" w:themeColor="accent1" w:themeShade="7F"/>
        </w:rPr>
        <w:t>6.</w:t>
      </w:r>
      <w:bookmarkStart w:id="176" w:name="_Hlk107140776"/>
      <w:r w:rsidR="00E471AD" w:rsidRPr="00CD2A61">
        <w:rPr>
          <w:rFonts w:asciiTheme="majorHAnsi" w:eastAsiaTheme="majorEastAsia" w:hAnsiTheme="majorHAnsi" w:cstheme="majorBidi"/>
          <w:color w:val="1F3763" w:themeColor="accent1" w:themeShade="7F"/>
        </w:rPr>
        <w:t xml:space="preserve">2.2. </w:t>
      </w:r>
      <w:r w:rsidRPr="00CD2A61">
        <w:rPr>
          <w:rFonts w:asciiTheme="majorHAnsi" w:eastAsiaTheme="majorEastAsia" w:hAnsiTheme="majorHAnsi" w:cstheme="majorBidi"/>
          <w:color w:val="1F3763" w:themeColor="accent1" w:themeShade="7F"/>
        </w:rPr>
        <w:t>Nursery Requirement for Workplaces</w:t>
      </w:r>
    </w:p>
    <w:bookmarkEnd w:id="176"/>
    <w:p w14:paraId="270CF498" w14:textId="3C41B83B" w:rsidR="002557B7" w:rsidRDefault="002557B7" w:rsidP="002557B7">
      <w:pPr>
        <w:spacing w:after="160" w:line="259" w:lineRule="auto"/>
        <w:jc w:val="both"/>
        <w:rPr>
          <w:rFonts w:asciiTheme="minorHAnsi" w:eastAsiaTheme="minorHAnsi" w:hAnsiTheme="minorHAnsi" w:cstheme="minorBidi"/>
          <w:sz w:val="22"/>
          <w:szCs w:val="22"/>
        </w:rPr>
      </w:pPr>
      <w:r w:rsidRPr="00DB0C40">
        <w:rPr>
          <w:rFonts w:asciiTheme="minorHAnsi" w:eastAsiaTheme="minorHAnsi" w:hAnsiTheme="minorHAnsi" w:cstheme="minorBidi"/>
          <w:sz w:val="22"/>
          <w:szCs w:val="22"/>
        </w:rPr>
        <w:t xml:space="preserve">According to participants in the Pre-Study Workshop, the sanction for not complying with the nursery provision requirement for workplaces employing 150 and more women was not effective in practice. This sanction might consider the total number of employees, not only women.  In addition, the government might provide different modes of support to those establishments having more than 150 employees to fulfil their responsibilities. (pp 21-23) In the Field Study, the establishment of a nursery with the support of the government’ with 87.4% was the most preferred policy option for the future to promote employment of women in the employer survey. On the employers’ side; 87.4% of the respondents mentioned that more support from the government to establish nurseries and improve the conditions of breastfeeding rooms and nurseries is expected in the future as the first priority (p.38) Regarding employees; 82,1% of the respondents stated that the establishment of a nursery with the support of the government is necessary as one of the top priority areas. This was among the top three priority areas which needed to be developed in the future together with making the duration of maternity leave equal to that of government officers and inclusion of elderly and patient care. </w:t>
      </w:r>
    </w:p>
    <w:p w14:paraId="49A4125A" w14:textId="77777777" w:rsidR="002A32E5" w:rsidRDefault="0059761E" w:rsidP="0059761E">
      <w:pPr>
        <w:spacing w:after="160" w:line="259" w:lineRule="auto"/>
        <w:jc w:val="both"/>
        <w:rPr>
          <w:rFonts w:asciiTheme="minorHAnsi" w:eastAsiaTheme="minorHAnsi" w:hAnsiTheme="minorHAnsi" w:cstheme="minorBidi"/>
          <w:sz w:val="22"/>
          <w:szCs w:val="22"/>
        </w:rPr>
      </w:pPr>
      <w:r>
        <w:rPr>
          <w:rFonts w:asciiTheme="minorHAnsi" w:eastAsiaTheme="minorHAnsi" w:hAnsiTheme="minorHAnsi" w:cstheme="minorBidi"/>
          <w:sz w:val="22"/>
          <w:szCs w:val="22"/>
        </w:rPr>
        <w:t>In the Sectors Reports, there are interesting conclusions in the Field Study</w:t>
      </w:r>
      <w:r w:rsidR="002A32E5">
        <w:rPr>
          <w:rFonts w:asciiTheme="minorHAnsi" w:eastAsiaTheme="minorHAnsi" w:hAnsiTheme="minorHAnsi" w:cstheme="minorBidi"/>
          <w:sz w:val="22"/>
          <w:szCs w:val="22"/>
        </w:rPr>
        <w:t>:</w:t>
      </w:r>
    </w:p>
    <w:p w14:paraId="69617910" w14:textId="7BE2006A" w:rsidR="0059761E" w:rsidRDefault="002A32E5" w:rsidP="0059761E">
      <w:pPr>
        <w:spacing w:after="160" w:line="259" w:lineRule="auto"/>
        <w:jc w:val="both"/>
        <w:rPr>
          <w:rFonts w:asciiTheme="minorHAnsi" w:eastAsiaTheme="minorHAnsi" w:hAnsiTheme="minorHAnsi" w:cstheme="minorBidi"/>
          <w:sz w:val="22"/>
          <w:szCs w:val="22"/>
        </w:rPr>
      </w:pPr>
      <w:r>
        <w:rPr>
          <w:rFonts w:asciiTheme="minorHAnsi" w:eastAsiaTheme="minorHAnsi" w:hAnsiTheme="minorHAnsi" w:cstheme="minorBidi"/>
          <w:sz w:val="22"/>
          <w:szCs w:val="22"/>
        </w:rPr>
        <w:t>In Education sector: “</w:t>
      </w:r>
      <w:r w:rsidR="0059761E" w:rsidRPr="00CD2A61">
        <w:rPr>
          <w:rFonts w:asciiTheme="minorHAnsi" w:eastAsiaTheme="minorHAnsi" w:hAnsiTheme="minorHAnsi" w:cstheme="minorBidi"/>
          <w:i/>
          <w:iCs/>
          <w:sz w:val="22"/>
          <w:szCs w:val="22"/>
        </w:rPr>
        <w:t>In order to increase the number of women managers in the education sector, more than half of the sector experts and decision-makers recommended increasing nursery facilities (59.1%), supporting postpartum part-time work opportunities (51.5%) and introducing role models (51.5%) to increase the number of women managers in the education sector. Provision of gender equality training (43.9%) and supporting female employees for socialization and networking (39.4%) were also recommended.</w:t>
      </w:r>
      <w:r w:rsidR="0059761E" w:rsidRPr="0059761E">
        <w:rPr>
          <w:rFonts w:asciiTheme="minorHAnsi" w:eastAsiaTheme="minorHAnsi" w:hAnsiTheme="minorHAnsi" w:cstheme="minorBidi"/>
          <w:sz w:val="22"/>
          <w:szCs w:val="22"/>
        </w:rPr>
        <w:t xml:space="preserve"> </w:t>
      </w:r>
      <w:r>
        <w:rPr>
          <w:rFonts w:asciiTheme="minorHAnsi" w:eastAsiaTheme="minorHAnsi" w:hAnsiTheme="minorHAnsi" w:cstheme="minorBidi"/>
          <w:sz w:val="22"/>
          <w:szCs w:val="22"/>
        </w:rPr>
        <w:t xml:space="preserve"> </w:t>
      </w:r>
    </w:p>
    <w:p w14:paraId="0F8F94AE" w14:textId="146139BB" w:rsidR="0002001C" w:rsidRPr="00A3796D" w:rsidRDefault="002A32E5" w:rsidP="0002001C">
      <w:pPr>
        <w:spacing w:after="160" w:line="259" w:lineRule="auto"/>
        <w:jc w:val="both"/>
        <w:rPr>
          <w:rFonts w:asciiTheme="minorHAnsi" w:eastAsiaTheme="minorHAnsi" w:hAnsiTheme="minorHAnsi" w:cstheme="minorBidi"/>
          <w:sz w:val="22"/>
          <w:szCs w:val="22"/>
        </w:rPr>
      </w:pPr>
      <w:r w:rsidRPr="00A3796D">
        <w:rPr>
          <w:rFonts w:asciiTheme="minorHAnsi" w:eastAsiaTheme="minorHAnsi" w:hAnsiTheme="minorHAnsi" w:cstheme="minorBidi"/>
          <w:sz w:val="22"/>
          <w:szCs w:val="22"/>
        </w:rPr>
        <w:t>In</w:t>
      </w:r>
      <w:r>
        <w:rPr>
          <w:rFonts w:asciiTheme="minorHAnsi" w:eastAsiaTheme="minorHAnsi" w:hAnsiTheme="minorHAnsi" w:cstheme="minorBidi"/>
          <w:sz w:val="22"/>
          <w:szCs w:val="22"/>
        </w:rPr>
        <w:t xml:space="preserve"> Health Sector, also in </w:t>
      </w:r>
      <w:r w:rsidRPr="00A3796D">
        <w:rPr>
          <w:rFonts w:asciiTheme="minorHAnsi" w:eastAsiaTheme="minorHAnsi" w:hAnsiTheme="minorHAnsi" w:cstheme="minorBidi"/>
          <w:sz w:val="22"/>
          <w:szCs w:val="22"/>
        </w:rPr>
        <w:t xml:space="preserve">order to increase the number of women managers, </w:t>
      </w:r>
      <w:r>
        <w:rPr>
          <w:rFonts w:asciiTheme="minorHAnsi" w:eastAsiaTheme="minorHAnsi" w:hAnsiTheme="minorHAnsi" w:cstheme="minorBidi"/>
          <w:sz w:val="22"/>
          <w:szCs w:val="22"/>
        </w:rPr>
        <w:t>“</w:t>
      </w:r>
      <w:r w:rsidRPr="00CD2A61">
        <w:rPr>
          <w:rFonts w:asciiTheme="minorHAnsi" w:eastAsiaTheme="minorHAnsi" w:hAnsiTheme="minorHAnsi" w:cstheme="minorBidi"/>
          <w:i/>
          <w:iCs/>
          <w:sz w:val="22"/>
          <w:szCs w:val="22"/>
        </w:rPr>
        <w:t>close to half of the sector experts and decision makers recommend provision of gender training in the sector (42.9%) and increasing nursery facilities (40.5%)</w:t>
      </w:r>
      <w:r>
        <w:rPr>
          <w:rFonts w:asciiTheme="minorHAnsi" w:eastAsiaTheme="minorHAnsi" w:hAnsiTheme="minorHAnsi" w:cstheme="minorBidi"/>
          <w:i/>
          <w:iCs/>
          <w:sz w:val="22"/>
          <w:szCs w:val="22"/>
        </w:rPr>
        <w:t>”</w:t>
      </w:r>
      <w:r w:rsidRPr="00CD2A61">
        <w:rPr>
          <w:rFonts w:asciiTheme="minorHAnsi" w:eastAsiaTheme="minorHAnsi" w:hAnsiTheme="minorHAnsi" w:cstheme="minorBidi"/>
          <w:i/>
          <w:iCs/>
          <w:sz w:val="22"/>
          <w:szCs w:val="22"/>
        </w:rPr>
        <w:t>.</w:t>
      </w:r>
      <w:r>
        <w:rPr>
          <w:rFonts w:asciiTheme="minorHAnsi" w:eastAsiaTheme="minorHAnsi" w:hAnsiTheme="minorHAnsi" w:cstheme="minorBidi"/>
          <w:i/>
          <w:iCs/>
          <w:sz w:val="22"/>
          <w:szCs w:val="22"/>
        </w:rPr>
        <w:t xml:space="preserve"> </w:t>
      </w:r>
      <w:r w:rsidR="000956A0">
        <w:rPr>
          <w:rFonts w:asciiTheme="minorHAnsi" w:eastAsiaTheme="minorHAnsi" w:hAnsiTheme="minorHAnsi" w:cstheme="minorBidi"/>
          <w:sz w:val="22"/>
          <w:szCs w:val="22"/>
        </w:rPr>
        <w:t xml:space="preserve">The importance of Nurseries </w:t>
      </w:r>
      <w:r w:rsidR="000956A0" w:rsidRPr="000956A0">
        <w:rPr>
          <w:rFonts w:asciiTheme="minorHAnsi" w:eastAsiaTheme="minorHAnsi" w:hAnsiTheme="minorHAnsi" w:cstheme="minorBidi"/>
          <w:sz w:val="22"/>
          <w:szCs w:val="22"/>
        </w:rPr>
        <w:t>was also highlighted in</w:t>
      </w:r>
      <w:r w:rsidR="000956A0">
        <w:rPr>
          <w:rFonts w:asciiTheme="minorHAnsi" w:eastAsiaTheme="minorHAnsi" w:hAnsiTheme="minorHAnsi" w:cstheme="minorBidi"/>
          <w:sz w:val="22"/>
          <w:szCs w:val="22"/>
        </w:rPr>
        <w:t xml:space="preserve"> the Energy</w:t>
      </w:r>
      <w:r w:rsidR="0002001C">
        <w:rPr>
          <w:rFonts w:asciiTheme="minorHAnsi" w:eastAsiaTheme="minorHAnsi" w:hAnsiTheme="minorHAnsi" w:cstheme="minorBidi"/>
          <w:sz w:val="22"/>
          <w:szCs w:val="22"/>
        </w:rPr>
        <w:t xml:space="preserve"> sector</w:t>
      </w:r>
      <w:r w:rsidR="000956A0">
        <w:rPr>
          <w:rFonts w:asciiTheme="minorHAnsi" w:eastAsiaTheme="minorHAnsi" w:hAnsiTheme="minorHAnsi" w:cstheme="minorBidi"/>
          <w:sz w:val="22"/>
          <w:szCs w:val="22"/>
        </w:rPr>
        <w:t xml:space="preserve"> (35, 5% of the respondents)</w:t>
      </w:r>
      <w:r w:rsidR="0002001C">
        <w:rPr>
          <w:rFonts w:asciiTheme="minorHAnsi" w:eastAsiaTheme="minorHAnsi" w:hAnsiTheme="minorHAnsi" w:cstheme="minorBidi"/>
          <w:sz w:val="22"/>
          <w:szCs w:val="22"/>
        </w:rPr>
        <w:t xml:space="preserve">. </w:t>
      </w:r>
      <w:r w:rsidR="0002001C" w:rsidRPr="00A3796D">
        <w:rPr>
          <w:rFonts w:asciiTheme="minorHAnsi" w:eastAsiaTheme="minorHAnsi" w:hAnsiTheme="minorHAnsi" w:cstheme="minorBidi"/>
          <w:sz w:val="22"/>
          <w:szCs w:val="22"/>
        </w:rPr>
        <w:t xml:space="preserve">In order to increase the number of women managers in the finance and banking sector, </w:t>
      </w:r>
      <w:r w:rsidR="0002001C">
        <w:rPr>
          <w:rFonts w:asciiTheme="minorHAnsi" w:eastAsiaTheme="minorHAnsi" w:hAnsiTheme="minorHAnsi" w:cstheme="minorBidi"/>
          <w:sz w:val="22"/>
          <w:szCs w:val="22"/>
        </w:rPr>
        <w:t>“</w:t>
      </w:r>
      <w:r w:rsidR="0002001C" w:rsidRPr="00A3796D">
        <w:rPr>
          <w:rFonts w:asciiTheme="minorHAnsi" w:eastAsiaTheme="minorHAnsi" w:hAnsiTheme="minorHAnsi" w:cstheme="minorBidi"/>
          <w:sz w:val="22"/>
          <w:szCs w:val="22"/>
        </w:rPr>
        <w:t>more than half of the sector experts and decision makers proposed increasing nursery facilities (55.0%)</w:t>
      </w:r>
      <w:r w:rsidR="0002001C">
        <w:rPr>
          <w:rFonts w:asciiTheme="minorHAnsi" w:eastAsiaTheme="minorHAnsi" w:hAnsiTheme="minorHAnsi" w:cstheme="minorBidi"/>
          <w:sz w:val="22"/>
          <w:szCs w:val="22"/>
        </w:rPr>
        <w:t>”</w:t>
      </w:r>
      <w:r w:rsidR="00711F8A">
        <w:rPr>
          <w:rFonts w:asciiTheme="minorHAnsi" w:eastAsiaTheme="minorHAnsi" w:hAnsiTheme="minorHAnsi" w:cstheme="minorBidi"/>
          <w:sz w:val="22"/>
          <w:szCs w:val="22"/>
        </w:rPr>
        <w:t>.</w:t>
      </w:r>
      <w:r w:rsidR="0002001C" w:rsidRPr="00A3796D">
        <w:rPr>
          <w:rFonts w:asciiTheme="minorHAnsi" w:eastAsiaTheme="minorHAnsi" w:hAnsiTheme="minorHAnsi" w:cstheme="minorBidi"/>
          <w:sz w:val="22"/>
          <w:szCs w:val="22"/>
        </w:rPr>
        <w:t xml:space="preserve"> </w:t>
      </w:r>
    </w:p>
    <w:p w14:paraId="31BAF83B" w14:textId="5633931F" w:rsidR="0002001C" w:rsidRPr="0002001C" w:rsidRDefault="00E279B2" w:rsidP="0002001C">
      <w:pPr>
        <w:spacing w:after="160" w:line="259" w:lineRule="auto"/>
        <w:jc w:val="both"/>
        <w:rPr>
          <w:rFonts w:asciiTheme="minorHAnsi" w:eastAsiaTheme="minorHAnsi" w:hAnsiTheme="minorHAnsi" w:cstheme="minorBidi"/>
          <w:sz w:val="22"/>
          <w:szCs w:val="22"/>
        </w:rPr>
      </w:pPr>
      <w:r>
        <w:rPr>
          <w:rFonts w:asciiTheme="minorHAnsi" w:eastAsiaTheme="minorHAnsi" w:hAnsiTheme="minorHAnsi" w:cstheme="minorBidi"/>
          <w:sz w:val="22"/>
          <w:szCs w:val="22"/>
        </w:rPr>
        <w:lastRenderedPageBreak/>
        <w:t>“</w:t>
      </w:r>
      <w:r w:rsidR="0002001C" w:rsidRPr="00CD2A61">
        <w:rPr>
          <w:rFonts w:asciiTheme="minorHAnsi" w:eastAsiaTheme="minorHAnsi" w:hAnsiTheme="minorHAnsi" w:cstheme="minorBidi"/>
          <w:i/>
          <w:iCs/>
          <w:sz w:val="22"/>
          <w:szCs w:val="22"/>
        </w:rPr>
        <w:t>When the most important reasons for the low number of female managers in all the sectors compared to the number of male managers were reported as the male-dominated culture in working life at 50.3%, the few female role models in the sector at 36.7% and long working hours at 27.6%</w:t>
      </w:r>
      <w:r>
        <w:rPr>
          <w:rFonts w:asciiTheme="minorHAnsi" w:eastAsiaTheme="minorHAnsi" w:hAnsiTheme="minorHAnsi" w:cstheme="minorBidi"/>
          <w:i/>
          <w:iCs/>
          <w:sz w:val="22"/>
          <w:szCs w:val="22"/>
        </w:rPr>
        <w:t>”</w:t>
      </w:r>
      <w:r w:rsidR="0002001C" w:rsidRPr="00CD2A61">
        <w:rPr>
          <w:rFonts w:asciiTheme="minorHAnsi" w:eastAsiaTheme="minorHAnsi" w:hAnsiTheme="minorHAnsi" w:cstheme="minorBidi"/>
          <w:i/>
          <w:iCs/>
          <w:sz w:val="22"/>
          <w:szCs w:val="22"/>
        </w:rPr>
        <w:t>.</w:t>
      </w:r>
      <w:r>
        <w:rPr>
          <w:rFonts w:asciiTheme="minorHAnsi" w:eastAsiaTheme="minorHAnsi" w:hAnsiTheme="minorHAnsi" w:cstheme="minorBidi"/>
          <w:sz w:val="22"/>
          <w:szCs w:val="22"/>
        </w:rPr>
        <w:t xml:space="preserve"> The main conclusion is that “</w:t>
      </w:r>
      <w:r w:rsidR="0002001C" w:rsidRPr="00CD2A61">
        <w:rPr>
          <w:rFonts w:asciiTheme="minorHAnsi" w:eastAsiaTheme="minorHAnsi" w:hAnsiTheme="minorHAnsi" w:cstheme="minorBidi"/>
          <w:i/>
          <w:iCs/>
          <w:sz w:val="22"/>
          <w:szCs w:val="22"/>
        </w:rPr>
        <w:t>In order to increase the number of female managers in the sector, it is necessary to increase nursery opportunities (46.4%), introduce role models (44.4%) and support postpartum part-time work opportunities (37.2%)</w:t>
      </w:r>
      <w:r w:rsidRPr="00CD2A61">
        <w:rPr>
          <w:rFonts w:asciiTheme="minorHAnsi" w:eastAsiaTheme="minorHAnsi" w:hAnsiTheme="minorHAnsi" w:cstheme="minorBidi"/>
          <w:i/>
          <w:iCs/>
          <w:sz w:val="22"/>
          <w:szCs w:val="22"/>
        </w:rPr>
        <w:t>”</w:t>
      </w:r>
      <w:r w:rsidR="0002001C" w:rsidRPr="00CD2A61">
        <w:rPr>
          <w:rFonts w:asciiTheme="minorHAnsi" w:eastAsiaTheme="minorHAnsi" w:hAnsiTheme="minorHAnsi" w:cstheme="minorBidi"/>
          <w:i/>
          <w:iCs/>
          <w:sz w:val="22"/>
          <w:szCs w:val="22"/>
        </w:rPr>
        <w:t>.</w:t>
      </w:r>
    </w:p>
    <w:p w14:paraId="371034A6" w14:textId="77777777" w:rsidR="002557B7" w:rsidRPr="00DB0C40" w:rsidRDefault="002557B7" w:rsidP="002557B7">
      <w:pPr>
        <w:spacing w:after="160" w:line="259" w:lineRule="auto"/>
        <w:jc w:val="both"/>
        <w:rPr>
          <w:rFonts w:asciiTheme="minorHAnsi" w:eastAsiaTheme="minorHAnsi" w:hAnsiTheme="minorHAnsi" w:cstheme="minorBidi"/>
          <w:sz w:val="22"/>
          <w:szCs w:val="22"/>
        </w:rPr>
      </w:pPr>
      <w:r w:rsidRPr="00DB0C40">
        <w:rPr>
          <w:rFonts w:asciiTheme="minorHAnsi" w:eastAsiaTheme="minorHAnsi" w:hAnsiTheme="minorHAnsi" w:cstheme="minorBidi"/>
          <w:sz w:val="22"/>
          <w:szCs w:val="22"/>
        </w:rPr>
        <w:t xml:space="preserve">The </w:t>
      </w:r>
      <w:r w:rsidRPr="00DB0C40">
        <w:rPr>
          <w:rFonts w:asciiTheme="minorHAnsi" w:eastAsiaTheme="minorHAnsi" w:hAnsiTheme="minorHAnsi" w:cstheme="minorBidi"/>
          <w:b/>
          <w:bCs/>
          <w:sz w:val="22"/>
          <w:szCs w:val="22"/>
        </w:rPr>
        <w:t>main recommendations</w:t>
      </w:r>
      <w:r w:rsidRPr="00DB0C40">
        <w:rPr>
          <w:rFonts w:asciiTheme="minorHAnsi" w:eastAsiaTheme="minorHAnsi" w:hAnsiTheme="minorHAnsi" w:cstheme="minorBidi"/>
          <w:sz w:val="22"/>
          <w:szCs w:val="22"/>
        </w:rPr>
        <w:t xml:space="preserve"> are:</w:t>
      </w:r>
    </w:p>
    <w:p w14:paraId="03C09E73" w14:textId="77777777" w:rsidR="002557B7" w:rsidRPr="00DB0C40" w:rsidRDefault="002557B7">
      <w:pPr>
        <w:numPr>
          <w:ilvl w:val="0"/>
          <w:numId w:val="39"/>
        </w:numPr>
        <w:spacing w:after="160" w:line="259" w:lineRule="auto"/>
        <w:contextualSpacing/>
        <w:jc w:val="both"/>
        <w:rPr>
          <w:rFonts w:asciiTheme="minorHAnsi" w:eastAsiaTheme="minorHAnsi" w:hAnsiTheme="minorHAnsi" w:cstheme="minorBidi"/>
          <w:sz w:val="22"/>
          <w:szCs w:val="22"/>
        </w:rPr>
      </w:pPr>
      <w:r w:rsidRPr="00DB0C40">
        <w:rPr>
          <w:rFonts w:asciiTheme="minorHAnsi" w:eastAsiaTheme="minorHAnsi" w:hAnsiTheme="minorHAnsi" w:cstheme="minorBidi"/>
          <w:sz w:val="22"/>
          <w:szCs w:val="22"/>
        </w:rPr>
        <w:t>Provide clarity on the rights of the mothers and breastfeeding mothers with regard to the qualifying period for nursing breaks and/or the reduction of daily hours of work permissible, including their number, the duration of nursing breaks and the procedures for the reduction of daily hours of work. And to ensure that nursing breaks and the reduction of daily hours of work are counted as working time and remunerated accordingly.</w:t>
      </w:r>
    </w:p>
    <w:p w14:paraId="253864E1" w14:textId="77777777" w:rsidR="00CD2A61" w:rsidRDefault="00CD2A61" w:rsidP="002557B7">
      <w:pPr>
        <w:spacing w:after="160" w:line="259" w:lineRule="auto"/>
        <w:jc w:val="both"/>
        <w:rPr>
          <w:rFonts w:asciiTheme="minorHAnsi" w:eastAsiaTheme="minorHAnsi" w:hAnsiTheme="minorHAnsi" w:cstheme="minorBidi"/>
          <w:sz w:val="22"/>
          <w:szCs w:val="22"/>
        </w:rPr>
      </w:pPr>
    </w:p>
    <w:p w14:paraId="6C86B07C" w14:textId="7F82D47D" w:rsidR="002557B7" w:rsidRPr="00DB0C40" w:rsidRDefault="002557B7" w:rsidP="002557B7">
      <w:pPr>
        <w:spacing w:after="160" w:line="259" w:lineRule="auto"/>
        <w:jc w:val="both"/>
        <w:rPr>
          <w:rFonts w:asciiTheme="minorHAnsi" w:eastAsiaTheme="minorHAnsi" w:hAnsiTheme="minorHAnsi" w:cstheme="minorBidi"/>
          <w:sz w:val="22"/>
          <w:szCs w:val="22"/>
        </w:rPr>
      </w:pPr>
      <w:r w:rsidRPr="00DB0C40">
        <w:rPr>
          <w:rFonts w:asciiTheme="minorHAnsi" w:eastAsiaTheme="minorHAnsi" w:hAnsiTheme="minorHAnsi" w:cstheme="minorBidi"/>
          <w:sz w:val="22"/>
          <w:szCs w:val="22"/>
        </w:rPr>
        <w:t>Stakeholders during the Post-Study Workshop stated that there was a problem in the actual implementation of the nursery obligation for those enterprises with more than 150 women employees. It imposed a real burden on the employers and most of the time the number of children who benefited from this service was significantly lower than expected. Instead, childcare payments could be made to parents who have children below age 6, and the government and employers could share this payment. SGK implemented a research project to provide support to the parents for childcare, the results of the project could be considered in formulating the relevant provisions of the law. Another important consideration posited was that employers could make a special agreement with the nurseries to pay for the children of their employees and this payment could be repaid to them by the government as a support to facilitate women's employment.</w:t>
      </w:r>
    </w:p>
    <w:p w14:paraId="75E55E74" w14:textId="695C31E4" w:rsidR="00E279B2" w:rsidRDefault="002557B7">
      <w:pPr>
        <w:numPr>
          <w:ilvl w:val="0"/>
          <w:numId w:val="39"/>
        </w:numPr>
        <w:spacing w:after="160" w:line="259" w:lineRule="auto"/>
        <w:contextualSpacing/>
        <w:jc w:val="both"/>
        <w:rPr>
          <w:rFonts w:asciiTheme="minorHAnsi" w:eastAsiaTheme="minorHAnsi" w:hAnsiTheme="minorHAnsi" w:cstheme="minorBidi"/>
          <w:sz w:val="22"/>
          <w:szCs w:val="22"/>
        </w:rPr>
      </w:pPr>
      <w:r w:rsidRPr="00DB0C40">
        <w:rPr>
          <w:rFonts w:asciiTheme="minorHAnsi" w:eastAsiaTheme="minorHAnsi" w:hAnsiTheme="minorHAnsi" w:cstheme="minorBidi"/>
          <w:sz w:val="22"/>
          <w:szCs w:val="22"/>
        </w:rPr>
        <w:t>Review the effectiveness of the policy requiring establishments with over 150 employees to provide nurseries, taking into account the full workforce and not only the women within it.</w:t>
      </w:r>
    </w:p>
    <w:p w14:paraId="10F2DCE9" w14:textId="77777777" w:rsidR="00CD2A61" w:rsidRPr="00CD2A61" w:rsidRDefault="00CD2A61" w:rsidP="00CD2A61">
      <w:pPr>
        <w:spacing w:after="160" w:line="259" w:lineRule="auto"/>
        <w:ind w:left="720"/>
        <w:contextualSpacing/>
        <w:jc w:val="both"/>
        <w:rPr>
          <w:rFonts w:asciiTheme="minorHAnsi" w:eastAsiaTheme="minorHAnsi" w:hAnsiTheme="minorHAnsi" w:cstheme="minorBidi"/>
          <w:sz w:val="22"/>
          <w:szCs w:val="22"/>
        </w:rPr>
      </w:pPr>
    </w:p>
    <w:p w14:paraId="19D9AB62" w14:textId="42DA1A68" w:rsidR="002557B7" w:rsidRPr="00DB0C40" w:rsidRDefault="002557B7" w:rsidP="002557B7">
      <w:pPr>
        <w:spacing w:after="160" w:line="259" w:lineRule="auto"/>
        <w:jc w:val="both"/>
        <w:rPr>
          <w:rFonts w:asciiTheme="minorHAnsi" w:eastAsiaTheme="minorHAnsi" w:hAnsiTheme="minorHAnsi" w:cstheme="minorBidi"/>
          <w:sz w:val="22"/>
          <w:szCs w:val="22"/>
        </w:rPr>
      </w:pPr>
      <w:r w:rsidRPr="00DB0C40">
        <w:rPr>
          <w:rFonts w:asciiTheme="minorHAnsi" w:eastAsiaTheme="minorHAnsi" w:hAnsiTheme="minorHAnsi" w:cstheme="minorBidi"/>
          <w:sz w:val="22"/>
          <w:szCs w:val="22"/>
        </w:rPr>
        <w:t xml:space="preserve">This is a recommendation from stakeholders during the Pre-Study Workshop. According to the Field Study respondents (which targeted small and medium-sized companies), government might provide different modes of support to those establishments having more than 150 employees to fulfil their responsibilities. (pp 21-23). </w:t>
      </w:r>
      <w:r w:rsidR="001E345A" w:rsidRPr="00CD2A61">
        <w:rPr>
          <w:rFonts w:asciiTheme="minorHAnsi" w:eastAsiaTheme="minorHAnsi" w:hAnsiTheme="minorHAnsi" w:cstheme="minorBidi"/>
          <w:sz w:val="22"/>
          <w:szCs w:val="22"/>
        </w:rPr>
        <w:t>78.8</w:t>
      </w:r>
      <w:r w:rsidRPr="00CD2A61">
        <w:rPr>
          <w:rFonts w:asciiTheme="minorHAnsi" w:eastAsiaTheme="minorHAnsi" w:hAnsiTheme="minorHAnsi" w:cstheme="minorBidi"/>
          <w:sz w:val="22"/>
          <w:szCs w:val="22"/>
        </w:rPr>
        <w:t>.%</w:t>
      </w:r>
      <w:r w:rsidRPr="00DB0C40">
        <w:rPr>
          <w:rFonts w:asciiTheme="minorHAnsi" w:eastAsiaTheme="minorHAnsi" w:hAnsiTheme="minorHAnsi" w:cstheme="minorBidi"/>
          <w:sz w:val="22"/>
          <w:szCs w:val="22"/>
        </w:rPr>
        <w:t xml:space="preserve"> of employees in the survey stated that they had benefited from workplace creche and breastfeeding rooms. This suggests a fairly minimal implementation of this provision in practice since most women are not employed in larger companies with 150 or more women employees but in small and medium-sized companies. </w:t>
      </w:r>
    </w:p>
    <w:p w14:paraId="4E9094E2" w14:textId="675EC05E" w:rsidR="002557B7" w:rsidRPr="00CD2A61" w:rsidRDefault="002557B7" w:rsidP="002557B7">
      <w:pPr>
        <w:spacing w:after="160" w:line="259" w:lineRule="auto"/>
        <w:jc w:val="both"/>
        <w:rPr>
          <w:rFonts w:asciiTheme="majorHAnsi" w:eastAsiaTheme="majorEastAsia" w:hAnsiTheme="majorHAnsi" w:cstheme="majorBidi"/>
          <w:color w:val="1F3763" w:themeColor="accent1" w:themeShade="7F"/>
        </w:rPr>
      </w:pPr>
      <w:bookmarkStart w:id="177" w:name="_Hlk107140821"/>
      <w:r w:rsidRPr="00CD2A61">
        <w:rPr>
          <w:rFonts w:asciiTheme="majorHAnsi" w:eastAsiaTheme="majorEastAsia" w:hAnsiTheme="majorHAnsi" w:cstheme="majorBidi"/>
          <w:color w:val="1F3763" w:themeColor="accent1" w:themeShade="7F"/>
        </w:rPr>
        <w:t>6.</w:t>
      </w:r>
      <w:r w:rsidR="00E471AD" w:rsidRPr="00CD2A61">
        <w:rPr>
          <w:rFonts w:asciiTheme="majorHAnsi" w:eastAsiaTheme="majorEastAsia" w:hAnsiTheme="majorHAnsi" w:cstheme="majorBidi"/>
          <w:color w:val="1F3763" w:themeColor="accent1" w:themeShade="7F"/>
        </w:rPr>
        <w:t xml:space="preserve">2.3. </w:t>
      </w:r>
      <w:r w:rsidRPr="00CD2A61">
        <w:rPr>
          <w:rFonts w:asciiTheme="majorHAnsi" w:eastAsiaTheme="majorEastAsia" w:hAnsiTheme="majorHAnsi" w:cstheme="majorBidi"/>
          <w:color w:val="1F3763" w:themeColor="accent1" w:themeShade="7F"/>
        </w:rPr>
        <w:t xml:space="preserve"> Work after Maternity Leave</w:t>
      </w:r>
    </w:p>
    <w:bookmarkEnd w:id="177"/>
    <w:p w14:paraId="1BAC8A7B" w14:textId="75B86547" w:rsidR="002557B7" w:rsidRPr="00DB0C40" w:rsidRDefault="002557B7" w:rsidP="002557B7">
      <w:pPr>
        <w:spacing w:after="160" w:line="259" w:lineRule="auto"/>
        <w:jc w:val="both"/>
        <w:rPr>
          <w:rFonts w:asciiTheme="minorHAnsi" w:eastAsiaTheme="minorHAnsi" w:hAnsiTheme="minorHAnsi" w:cstheme="minorBidi"/>
          <w:sz w:val="22"/>
          <w:szCs w:val="22"/>
        </w:rPr>
      </w:pPr>
      <w:r w:rsidRPr="00DB0C40">
        <w:rPr>
          <w:rFonts w:asciiTheme="minorHAnsi" w:eastAsiaTheme="minorHAnsi" w:hAnsiTheme="minorHAnsi" w:cstheme="minorBidi"/>
          <w:sz w:val="22"/>
          <w:szCs w:val="22"/>
        </w:rPr>
        <w:t>According to participants in the Pre-Study Workshop, different weekly working hours for women returning from maternity leave should be considered, taking into account the number of children, with the eligibility period for part-time work increased 6 months per child</w:t>
      </w:r>
      <w:r w:rsidR="003A3990">
        <w:rPr>
          <w:rFonts w:asciiTheme="minorHAnsi" w:eastAsiaTheme="minorHAnsi" w:hAnsiTheme="minorHAnsi" w:cstheme="minorBidi"/>
          <w:sz w:val="22"/>
          <w:szCs w:val="22"/>
        </w:rPr>
        <w:t>.</w:t>
      </w:r>
    </w:p>
    <w:p w14:paraId="45494522" w14:textId="631D2604" w:rsidR="002557B7" w:rsidRPr="00DB0C40" w:rsidRDefault="002557B7" w:rsidP="002557B7">
      <w:pPr>
        <w:spacing w:after="160" w:line="259" w:lineRule="auto"/>
        <w:jc w:val="both"/>
        <w:rPr>
          <w:rFonts w:asciiTheme="minorHAnsi" w:eastAsiaTheme="minorHAnsi" w:hAnsiTheme="minorHAnsi" w:cstheme="minorBidi"/>
          <w:sz w:val="22"/>
          <w:szCs w:val="22"/>
        </w:rPr>
      </w:pPr>
      <w:r w:rsidRPr="00DB0C40">
        <w:rPr>
          <w:rFonts w:asciiTheme="minorHAnsi" w:eastAsiaTheme="minorHAnsi" w:hAnsiTheme="minorHAnsi" w:cstheme="minorBidi"/>
          <w:sz w:val="22"/>
          <w:szCs w:val="22"/>
        </w:rPr>
        <w:t xml:space="preserve">In the Field Study, the right to part-time work after maternity leave was among the least effectively applied provisions of the Law, with only 17.9% considering it to be beneficial (p.34). Also in the Field Study, 86% of respondents (employees) stated that ‘government should make some payments during the period of unpaid maternity leave. </w:t>
      </w:r>
    </w:p>
    <w:p w14:paraId="26EE08E3" w14:textId="77777777" w:rsidR="002557B7" w:rsidRPr="00DB0C40" w:rsidRDefault="002557B7" w:rsidP="002557B7">
      <w:pPr>
        <w:spacing w:after="160" w:line="259" w:lineRule="auto"/>
        <w:jc w:val="both"/>
        <w:rPr>
          <w:rFonts w:asciiTheme="minorHAnsi" w:eastAsiaTheme="minorHAnsi" w:hAnsiTheme="minorHAnsi" w:cstheme="minorBidi"/>
          <w:sz w:val="22"/>
          <w:szCs w:val="22"/>
        </w:rPr>
      </w:pPr>
      <w:r w:rsidRPr="00DB0C40">
        <w:rPr>
          <w:rFonts w:asciiTheme="minorHAnsi" w:eastAsiaTheme="minorHAnsi" w:hAnsiTheme="minorHAnsi" w:cstheme="minorBidi"/>
          <w:sz w:val="22"/>
          <w:szCs w:val="22"/>
        </w:rPr>
        <w:lastRenderedPageBreak/>
        <w:t>In the open-ended questions</w:t>
      </w:r>
      <w:r w:rsidRPr="00DB0C40">
        <w:rPr>
          <w:rFonts w:asciiTheme="minorHAnsi" w:eastAsiaTheme="minorHAnsi" w:hAnsiTheme="minorHAnsi" w:cstheme="minorBidi"/>
          <w:b/>
          <w:sz w:val="22"/>
          <w:szCs w:val="22"/>
        </w:rPr>
        <w:t xml:space="preserve"> </w:t>
      </w:r>
      <w:r w:rsidRPr="00DB0C40">
        <w:rPr>
          <w:rFonts w:asciiTheme="minorHAnsi" w:eastAsiaTheme="minorHAnsi" w:hAnsiTheme="minorHAnsi" w:cstheme="minorBidi"/>
          <w:sz w:val="22"/>
          <w:szCs w:val="22"/>
        </w:rPr>
        <w:t xml:space="preserve">some respondents in the employee survey commented that after maternity leave, they did not use the breastfeeding leaves efficiently due to their heavy working conditions. </w:t>
      </w:r>
    </w:p>
    <w:p w14:paraId="14D7B6A6" w14:textId="199CE1EC" w:rsidR="002557B7" w:rsidRPr="00DB0C40" w:rsidRDefault="002557B7" w:rsidP="002557B7">
      <w:pPr>
        <w:spacing w:after="160" w:line="259" w:lineRule="auto"/>
        <w:jc w:val="both"/>
        <w:rPr>
          <w:rFonts w:asciiTheme="minorHAnsi" w:eastAsiaTheme="minorHAnsi" w:hAnsiTheme="minorHAnsi" w:cstheme="minorBidi"/>
          <w:sz w:val="22"/>
          <w:szCs w:val="22"/>
        </w:rPr>
      </w:pPr>
      <w:r w:rsidRPr="00DB0C40">
        <w:rPr>
          <w:rFonts w:asciiTheme="minorHAnsi" w:eastAsiaTheme="minorHAnsi" w:hAnsiTheme="minorHAnsi" w:cstheme="minorBidi"/>
          <w:sz w:val="22"/>
          <w:szCs w:val="22"/>
        </w:rPr>
        <w:t xml:space="preserve">According to the results of the employee survey, the right to part-time work after maternity leave or unpaid leave upon request (32.8%) was one of the least implemented provisions (Figure 2) in their working place. Regarding the provisions from which respondents had benefited related to maternity leave: the right to part-time work after maternity leave or unpaid leave upon request was the least used one with 16.4% (Fig 1). Respondents commented that they hesitated to ask for part-time work after maternity and unpaid leave for fear of losing their jobs. </w:t>
      </w:r>
    </w:p>
    <w:p w14:paraId="3286AB0A" w14:textId="77777777" w:rsidR="002557B7" w:rsidRPr="00DB0C40" w:rsidRDefault="002557B7" w:rsidP="002557B7">
      <w:pPr>
        <w:spacing w:after="160" w:line="259" w:lineRule="auto"/>
        <w:jc w:val="both"/>
        <w:rPr>
          <w:rFonts w:asciiTheme="minorHAnsi" w:eastAsiaTheme="minorHAnsi" w:hAnsiTheme="minorHAnsi" w:cstheme="minorBidi"/>
          <w:sz w:val="22"/>
          <w:szCs w:val="22"/>
        </w:rPr>
      </w:pPr>
      <w:r w:rsidRPr="00DB0C40">
        <w:rPr>
          <w:rFonts w:asciiTheme="minorHAnsi" w:eastAsiaTheme="minorHAnsi" w:hAnsiTheme="minorHAnsi" w:cstheme="minorBidi"/>
          <w:sz w:val="22"/>
          <w:szCs w:val="22"/>
        </w:rPr>
        <w:t xml:space="preserve">The </w:t>
      </w:r>
      <w:r w:rsidRPr="00DB0C40">
        <w:rPr>
          <w:rFonts w:asciiTheme="minorHAnsi" w:eastAsiaTheme="minorHAnsi" w:hAnsiTheme="minorHAnsi" w:cstheme="minorBidi"/>
          <w:b/>
          <w:bCs/>
          <w:sz w:val="22"/>
          <w:szCs w:val="22"/>
        </w:rPr>
        <w:t>main recommendation</w:t>
      </w:r>
      <w:r w:rsidRPr="00DB0C40">
        <w:rPr>
          <w:rFonts w:asciiTheme="minorHAnsi" w:eastAsiaTheme="minorHAnsi" w:hAnsiTheme="minorHAnsi" w:cstheme="minorBidi"/>
          <w:sz w:val="22"/>
          <w:szCs w:val="22"/>
        </w:rPr>
        <w:t xml:space="preserve"> is:</w:t>
      </w:r>
    </w:p>
    <w:p w14:paraId="735C62F7" w14:textId="77777777" w:rsidR="002557B7" w:rsidRPr="00DB0C40" w:rsidRDefault="002557B7">
      <w:pPr>
        <w:numPr>
          <w:ilvl w:val="0"/>
          <w:numId w:val="39"/>
        </w:numPr>
        <w:spacing w:after="160" w:line="259" w:lineRule="auto"/>
        <w:contextualSpacing/>
        <w:jc w:val="both"/>
        <w:rPr>
          <w:rFonts w:asciiTheme="minorHAnsi" w:eastAsiaTheme="minorHAnsi" w:hAnsiTheme="minorHAnsi" w:cstheme="minorBidi"/>
          <w:sz w:val="22"/>
          <w:szCs w:val="22"/>
        </w:rPr>
      </w:pPr>
      <w:r w:rsidRPr="00DB0C40">
        <w:rPr>
          <w:rFonts w:asciiTheme="minorHAnsi" w:eastAsiaTheme="minorHAnsi" w:hAnsiTheme="minorHAnsi" w:cstheme="minorBidi"/>
          <w:sz w:val="22"/>
          <w:szCs w:val="22"/>
        </w:rPr>
        <w:t>Provide the possibility to negotiate for flexible working arrangements after maternity leave.</w:t>
      </w:r>
    </w:p>
    <w:p w14:paraId="3A4D90BF" w14:textId="77777777" w:rsidR="002557B7" w:rsidRPr="00DB0C40" w:rsidRDefault="002557B7" w:rsidP="002557B7">
      <w:pPr>
        <w:spacing w:after="160" w:line="259" w:lineRule="auto"/>
        <w:jc w:val="both"/>
        <w:rPr>
          <w:rFonts w:asciiTheme="minorHAnsi" w:eastAsiaTheme="minorHAnsi" w:hAnsiTheme="minorHAnsi" w:cstheme="minorBidi"/>
          <w:sz w:val="22"/>
          <w:szCs w:val="22"/>
        </w:rPr>
      </w:pPr>
      <w:r w:rsidRPr="00DB0C40">
        <w:rPr>
          <w:rFonts w:asciiTheme="minorHAnsi" w:eastAsiaTheme="minorHAnsi" w:hAnsiTheme="minorHAnsi" w:cstheme="minorBidi"/>
          <w:sz w:val="22"/>
          <w:szCs w:val="22"/>
        </w:rPr>
        <w:t xml:space="preserve">Stakeholders during the Post-Study Workshop stated that flexible/part-time working after maternity leave was included in the Labour Law with the 2016 amendment, but the duration needed to be extended. Additionally, all arrangements in this context should be independent of the number of children and the duration of part-time work should be more for employees having a disabled child. </w:t>
      </w:r>
    </w:p>
    <w:p w14:paraId="4CB6C255" w14:textId="798B2CC1" w:rsidR="002557B7" w:rsidRPr="00CD2A61" w:rsidRDefault="002557B7" w:rsidP="002557B7">
      <w:pPr>
        <w:spacing w:after="160" w:line="259" w:lineRule="auto"/>
        <w:jc w:val="both"/>
        <w:rPr>
          <w:rFonts w:asciiTheme="majorHAnsi" w:eastAsiaTheme="majorEastAsia" w:hAnsiTheme="majorHAnsi" w:cstheme="majorBidi"/>
          <w:color w:val="1F3763" w:themeColor="accent1" w:themeShade="7F"/>
        </w:rPr>
      </w:pPr>
      <w:r w:rsidRPr="00CD2A61">
        <w:rPr>
          <w:rFonts w:asciiTheme="majorHAnsi" w:eastAsiaTheme="majorEastAsia" w:hAnsiTheme="majorHAnsi" w:cstheme="majorBidi"/>
          <w:color w:val="1F3763" w:themeColor="accent1" w:themeShade="7F"/>
        </w:rPr>
        <w:t xml:space="preserve"> 6.</w:t>
      </w:r>
      <w:r w:rsidR="00E471AD" w:rsidRPr="00CD2A61">
        <w:rPr>
          <w:rFonts w:asciiTheme="majorHAnsi" w:eastAsiaTheme="majorEastAsia" w:hAnsiTheme="majorHAnsi" w:cstheme="majorBidi"/>
          <w:color w:val="1F3763" w:themeColor="accent1" w:themeShade="7F"/>
        </w:rPr>
        <w:t xml:space="preserve">2.4. </w:t>
      </w:r>
      <w:r w:rsidRPr="00CD2A61">
        <w:rPr>
          <w:rFonts w:asciiTheme="majorHAnsi" w:eastAsiaTheme="majorEastAsia" w:hAnsiTheme="majorHAnsi" w:cstheme="majorBidi"/>
          <w:color w:val="1F3763" w:themeColor="accent1" w:themeShade="7F"/>
        </w:rPr>
        <w:t xml:space="preserve">  Equal Pay</w:t>
      </w:r>
    </w:p>
    <w:p w14:paraId="1A4A13A5" w14:textId="12E4A9A5" w:rsidR="002557B7" w:rsidRDefault="002557B7" w:rsidP="002557B7">
      <w:pPr>
        <w:spacing w:after="160" w:line="259" w:lineRule="auto"/>
        <w:jc w:val="both"/>
        <w:rPr>
          <w:rFonts w:asciiTheme="minorHAnsi" w:eastAsiaTheme="minorHAnsi" w:hAnsiTheme="minorHAnsi" w:cstheme="minorBidi"/>
          <w:sz w:val="22"/>
          <w:szCs w:val="22"/>
        </w:rPr>
      </w:pPr>
      <w:r w:rsidRPr="00DB0C40">
        <w:rPr>
          <w:rFonts w:asciiTheme="minorHAnsi" w:eastAsiaTheme="minorHAnsi" w:hAnsiTheme="minorHAnsi" w:cstheme="minorBidi"/>
          <w:sz w:val="22"/>
          <w:szCs w:val="22"/>
        </w:rPr>
        <w:t xml:space="preserve"> On the evaluation of the Gender pay in Türkiye, it seems that continued disparities between the wages of women and men underline the importance of equal pay provisions in legislation. Experience has shown that “equal pay for the same work” provides only limited protection as men and women generally do different types of work and female-dominated work is generally undervalued. Current efforts (and international agreements) thus focus on equal pay for work of equal value</w:t>
      </w:r>
      <w:r w:rsidR="003A3990">
        <w:rPr>
          <w:rFonts w:asciiTheme="minorHAnsi" w:eastAsiaTheme="minorHAnsi" w:hAnsiTheme="minorHAnsi" w:cstheme="minorBidi"/>
          <w:sz w:val="22"/>
          <w:szCs w:val="22"/>
        </w:rPr>
        <w:t>.</w:t>
      </w:r>
      <w:r w:rsidR="001E345A">
        <w:rPr>
          <w:rFonts w:asciiTheme="minorHAnsi" w:eastAsiaTheme="minorHAnsi" w:hAnsiTheme="minorHAnsi" w:cstheme="minorBidi"/>
          <w:sz w:val="22"/>
          <w:szCs w:val="22"/>
        </w:rPr>
        <w:t xml:space="preserve"> </w:t>
      </w:r>
    </w:p>
    <w:p w14:paraId="5EEC2BA0" w14:textId="0075A804" w:rsidR="001E345A" w:rsidRPr="00CD2A61" w:rsidRDefault="001E345A" w:rsidP="002557B7">
      <w:pPr>
        <w:spacing w:after="160" w:line="259" w:lineRule="auto"/>
        <w:jc w:val="both"/>
        <w:rPr>
          <w:rFonts w:asciiTheme="minorHAnsi" w:eastAsiaTheme="minorHAnsi" w:hAnsiTheme="minorHAnsi" w:cstheme="minorBidi"/>
          <w:i/>
          <w:iCs/>
          <w:sz w:val="22"/>
          <w:szCs w:val="22"/>
        </w:rPr>
      </w:pPr>
      <w:r>
        <w:rPr>
          <w:rFonts w:asciiTheme="minorHAnsi" w:eastAsiaTheme="minorHAnsi" w:hAnsiTheme="minorHAnsi" w:cstheme="minorBidi"/>
          <w:sz w:val="22"/>
          <w:szCs w:val="22"/>
        </w:rPr>
        <w:t xml:space="preserve">Between the main recommendations </w:t>
      </w:r>
      <w:r w:rsidR="002E456F">
        <w:rPr>
          <w:rFonts w:asciiTheme="minorHAnsi" w:eastAsiaTheme="minorHAnsi" w:hAnsiTheme="minorHAnsi" w:cstheme="minorBidi"/>
          <w:sz w:val="22"/>
          <w:szCs w:val="22"/>
        </w:rPr>
        <w:t>of the Sector Reports, it is mentioned that “</w:t>
      </w:r>
      <w:r w:rsidR="002E456F" w:rsidRPr="00CD2A61">
        <w:rPr>
          <w:rFonts w:asciiTheme="minorHAnsi" w:eastAsiaTheme="minorHAnsi" w:hAnsiTheme="minorHAnsi" w:cstheme="minorBidi"/>
          <w:i/>
          <w:iCs/>
          <w:sz w:val="22"/>
          <w:szCs w:val="22"/>
        </w:rPr>
        <w:t>t</w:t>
      </w:r>
      <w:r w:rsidRPr="00CD2A61">
        <w:rPr>
          <w:rFonts w:asciiTheme="minorHAnsi" w:eastAsiaTheme="minorHAnsi" w:hAnsiTheme="minorHAnsi" w:cstheme="minorBidi"/>
          <w:i/>
          <w:iCs/>
          <w:sz w:val="22"/>
          <w:szCs w:val="22"/>
        </w:rPr>
        <w:t>he issue of “gender pay gap” should continue to be addressed</w:t>
      </w:r>
      <w:r w:rsidR="002E456F">
        <w:rPr>
          <w:rFonts w:asciiTheme="minorHAnsi" w:eastAsiaTheme="minorHAnsi" w:hAnsiTheme="minorHAnsi" w:cstheme="minorBidi"/>
          <w:i/>
          <w:iCs/>
          <w:sz w:val="22"/>
          <w:szCs w:val="22"/>
        </w:rPr>
        <w:t>”</w:t>
      </w:r>
      <w:r w:rsidRPr="00CD2A61">
        <w:rPr>
          <w:rFonts w:asciiTheme="minorHAnsi" w:eastAsiaTheme="minorHAnsi" w:hAnsiTheme="minorHAnsi" w:cstheme="minorBidi"/>
          <w:i/>
          <w:iCs/>
          <w:sz w:val="22"/>
          <w:szCs w:val="22"/>
        </w:rPr>
        <w:t>.</w:t>
      </w:r>
      <w:r w:rsidR="002E456F">
        <w:rPr>
          <w:rFonts w:asciiTheme="minorHAnsi" w:eastAsiaTheme="minorHAnsi" w:hAnsiTheme="minorHAnsi" w:cstheme="minorBidi"/>
          <w:i/>
          <w:iCs/>
          <w:sz w:val="22"/>
          <w:szCs w:val="22"/>
        </w:rPr>
        <w:t xml:space="preserve"> </w:t>
      </w:r>
    </w:p>
    <w:p w14:paraId="26E04F79" w14:textId="77777777" w:rsidR="002557B7" w:rsidRPr="00DB0C40" w:rsidRDefault="002557B7" w:rsidP="002557B7">
      <w:pPr>
        <w:spacing w:after="160" w:line="259" w:lineRule="auto"/>
        <w:jc w:val="both"/>
        <w:rPr>
          <w:rFonts w:asciiTheme="minorHAnsi" w:eastAsiaTheme="minorHAnsi" w:hAnsiTheme="minorHAnsi" w:cstheme="minorBidi"/>
          <w:sz w:val="22"/>
          <w:szCs w:val="22"/>
        </w:rPr>
      </w:pPr>
      <w:r w:rsidRPr="00DB0C40">
        <w:rPr>
          <w:rFonts w:asciiTheme="minorHAnsi" w:eastAsiaTheme="minorHAnsi" w:hAnsiTheme="minorHAnsi" w:cstheme="minorBidi"/>
          <w:sz w:val="22"/>
          <w:szCs w:val="22"/>
        </w:rPr>
        <w:t>The main benefits of closing the gender pay gap are:</w:t>
      </w:r>
    </w:p>
    <w:p w14:paraId="0655A715" w14:textId="77777777" w:rsidR="002557B7" w:rsidRPr="00DB0C40" w:rsidRDefault="002557B7">
      <w:pPr>
        <w:numPr>
          <w:ilvl w:val="0"/>
          <w:numId w:val="40"/>
        </w:numPr>
        <w:spacing w:after="160" w:line="259" w:lineRule="auto"/>
        <w:contextualSpacing/>
        <w:jc w:val="both"/>
        <w:rPr>
          <w:rFonts w:asciiTheme="minorHAnsi" w:eastAsiaTheme="minorHAnsi" w:hAnsiTheme="minorHAnsi" w:cstheme="minorBidi"/>
          <w:sz w:val="22"/>
          <w:szCs w:val="22"/>
        </w:rPr>
      </w:pPr>
      <w:r w:rsidRPr="00DB0C40">
        <w:rPr>
          <w:rFonts w:asciiTheme="minorHAnsi" w:eastAsiaTheme="minorHAnsi" w:hAnsiTheme="minorHAnsi" w:cstheme="minorBidi"/>
          <w:sz w:val="22"/>
          <w:szCs w:val="22"/>
        </w:rPr>
        <w:t>The benefits of women earning the same as men include an increase in their purchasing power which in turn helps stimulate consumer spending and the economy. This is also the case with more contributions to pension schemes and spending of pension incomes.</w:t>
      </w:r>
    </w:p>
    <w:p w14:paraId="1EF7871B" w14:textId="77777777" w:rsidR="002557B7" w:rsidRPr="00DB0C40" w:rsidRDefault="002557B7">
      <w:pPr>
        <w:numPr>
          <w:ilvl w:val="0"/>
          <w:numId w:val="40"/>
        </w:numPr>
        <w:spacing w:after="160" w:line="259" w:lineRule="auto"/>
        <w:contextualSpacing/>
        <w:jc w:val="both"/>
        <w:rPr>
          <w:rFonts w:asciiTheme="minorHAnsi" w:eastAsiaTheme="minorHAnsi" w:hAnsiTheme="minorHAnsi" w:cstheme="minorBidi"/>
          <w:sz w:val="22"/>
          <w:szCs w:val="22"/>
        </w:rPr>
      </w:pPr>
      <w:r w:rsidRPr="00DB0C40">
        <w:rPr>
          <w:rFonts w:asciiTheme="minorHAnsi" w:eastAsiaTheme="minorHAnsi" w:hAnsiTheme="minorHAnsi" w:cstheme="minorBidi"/>
          <w:sz w:val="22"/>
          <w:szCs w:val="22"/>
        </w:rPr>
        <w:t>Eliminating the gender pay gap can provide incentives for more women to be economically active, which would advance gender equality and create a virtuous circle.</w:t>
      </w:r>
    </w:p>
    <w:p w14:paraId="78E9E950" w14:textId="77777777" w:rsidR="003A3990" w:rsidRDefault="003A3990" w:rsidP="002557B7">
      <w:pPr>
        <w:spacing w:after="160" w:line="259" w:lineRule="auto"/>
        <w:jc w:val="both"/>
        <w:rPr>
          <w:rFonts w:asciiTheme="minorHAnsi" w:eastAsiaTheme="minorHAnsi" w:hAnsiTheme="minorHAnsi" w:cstheme="minorBidi"/>
          <w:sz w:val="22"/>
          <w:szCs w:val="22"/>
        </w:rPr>
      </w:pPr>
    </w:p>
    <w:p w14:paraId="1906CC4F" w14:textId="3CBB4F9C" w:rsidR="002557B7" w:rsidRPr="00DB0C40" w:rsidRDefault="002557B7" w:rsidP="002557B7">
      <w:pPr>
        <w:spacing w:after="160" w:line="259" w:lineRule="auto"/>
        <w:jc w:val="both"/>
        <w:rPr>
          <w:rFonts w:asciiTheme="minorHAnsi" w:eastAsiaTheme="minorHAnsi" w:hAnsiTheme="minorHAnsi" w:cstheme="minorBidi"/>
          <w:sz w:val="22"/>
          <w:szCs w:val="22"/>
        </w:rPr>
      </w:pPr>
      <w:r w:rsidRPr="00DB0C40">
        <w:rPr>
          <w:rFonts w:asciiTheme="minorHAnsi" w:eastAsiaTheme="minorHAnsi" w:hAnsiTheme="minorHAnsi" w:cstheme="minorBidi"/>
          <w:sz w:val="22"/>
          <w:szCs w:val="22"/>
        </w:rPr>
        <w:t>In the Field Study, employees and employers were asked to make an assessment about whether women had equal wages, career, and vocational training opportunities with male employees. In the employee survey, 40% of respondents in the employer survey and 25% of respondents in the employee survey mentioned that there is a gap between men and women in terms of wage and career opportunities in their workplaces.</w:t>
      </w:r>
    </w:p>
    <w:p w14:paraId="34D8C0B3" w14:textId="77777777" w:rsidR="002557B7" w:rsidRPr="00DB0C40" w:rsidRDefault="002557B7" w:rsidP="002557B7">
      <w:pPr>
        <w:spacing w:after="160" w:line="259" w:lineRule="auto"/>
        <w:jc w:val="both"/>
        <w:rPr>
          <w:rFonts w:asciiTheme="minorHAnsi" w:eastAsiaTheme="minorHAnsi" w:hAnsiTheme="minorHAnsi" w:cstheme="minorBidi"/>
          <w:sz w:val="22"/>
          <w:szCs w:val="22"/>
        </w:rPr>
      </w:pPr>
      <w:r w:rsidRPr="00DB0C40">
        <w:rPr>
          <w:rFonts w:asciiTheme="minorHAnsi" w:eastAsiaTheme="minorHAnsi" w:hAnsiTheme="minorHAnsi" w:cstheme="minorBidi"/>
          <w:sz w:val="22"/>
          <w:szCs w:val="22"/>
        </w:rPr>
        <w:t xml:space="preserve">The </w:t>
      </w:r>
      <w:r w:rsidRPr="00DB0C40">
        <w:rPr>
          <w:rFonts w:asciiTheme="minorHAnsi" w:eastAsiaTheme="minorHAnsi" w:hAnsiTheme="minorHAnsi" w:cstheme="minorBidi"/>
          <w:b/>
          <w:bCs/>
          <w:sz w:val="22"/>
          <w:szCs w:val="22"/>
        </w:rPr>
        <w:t>main recommendation</w:t>
      </w:r>
      <w:r w:rsidRPr="00DB0C40">
        <w:rPr>
          <w:rFonts w:asciiTheme="minorHAnsi" w:eastAsiaTheme="minorHAnsi" w:hAnsiTheme="minorHAnsi" w:cstheme="minorBidi"/>
          <w:sz w:val="22"/>
          <w:szCs w:val="22"/>
        </w:rPr>
        <w:t xml:space="preserve"> is: </w:t>
      </w:r>
    </w:p>
    <w:p w14:paraId="7A65703C" w14:textId="77777777" w:rsidR="002557B7" w:rsidRPr="00DB0C40" w:rsidRDefault="002557B7">
      <w:pPr>
        <w:numPr>
          <w:ilvl w:val="0"/>
          <w:numId w:val="39"/>
        </w:numPr>
        <w:spacing w:after="160" w:line="259" w:lineRule="auto"/>
        <w:contextualSpacing/>
        <w:jc w:val="both"/>
        <w:rPr>
          <w:rFonts w:asciiTheme="minorHAnsi" w:eastAsiaTheme="minorHAnsi" w:hAnsiTheme="minorHAnsi" w:cstheme="minorBidi"/>
          <w:sz w:val="22"/>
          <w:szCs w:val="22"/>
        </w:rPr>
      </w:pPr>
      <w:r w:rsidRPr="00DB0C40">
        <w:rPr>
          <w:rFonts w:asciiTheme="minorHAnsi" w:eastAsiaTheme="minorHAnsi" w:hAnsiTheme="minorHAnsi" w:cstheme="minorBidi"/>
          <w:sz w:val="22"/>
          <w:szCs w:val="22"/>
        </w:rPr>
        <w:t>Conduct a transparent gender-based pay gap review among public and private structures to assess whether gender pay gap exists and to what extent, and to repeat the exercise on an annual/bi-annual basis.</w:t>
      </w:r>
    </w:p>
    <w:p w14:paraId="208FAC81" w14:textId="77777777" w:rsidR="002557B7" w:rsidRPr="00DB0C40" w:rsidRDefault="002557B7" w:rsidP="002557B7">
      <w:pPr>
        <w:spacing w:after="160" w:line="259" w:lineRule="auto"/>
        <w:jc w:val="both"/>
        <w:rPr>
          <w:rFonts w:asciiTheme="minorHAnsi" w:eastAsiaTheme="minorHAnsi" w:hAnsiTheme="minorHAnsi" w:cstheme="minorBidi"/>
          <w:b/>
          <w:bCs/>
          <w:i/>
          <w:iCs/>
          <w:sz w:val="22"/>
          <w:szCs w:val="22"/>
        </w:rPr>
      </w:pPr>
      <w:r w:rsidRPr="00DB0C40">
        <w:rPr>
          <w:rFonts w:asciiTheme="minorHAnsi" w:eastAsiaTheme="minorHAnsi" w:hAnsiTheme="minorHAnsi" w:cstheme="minorBidi"/>
          <w:sz w:val="22"/>
          <w:szCs w:val="22"/>
        </w:rPr>
        <w:lastRenderedPageBreak/>
        <w:t xml:space="preserve">The main reference for this recommendation is related to the Article 2 of the ILO Convention No. 100: Equal Remuneration Convention (1951), that established that: </w:t>
      </w:r>
    </w:p>
    <w:p w14:paraId="42D98A55" w14:textId="77777777" w:rsidR="002557B7" w:rsidRPr="00DB0C40" w:rsidRDefault="002557B7">
      <w:pPr>
        <w:numPr>
          <w:ilvl w:val="0"/>
          <w:numId w:val="37"/>
        </w:numPr>
        <w:spacing w:after="160" w:line="259" w:lineRule="auto"/>
        <w:jc w:val="both"/>
        <w:rPr>
          <w:rFonts w:asciiTheme="minorHAnsi" w:eastAsiaTheme="minorHAnsi" w:hAnsiTheme="minorHAnsi" w:cstheme="minorBidi"/>
          <w:sz w:val="22"/>
          <w:szCs w:val="22"/>
        </w:rPr>
      </w:pPr>
      <w:bookmarkStart w:id="178" w:name="A2P1"/>
      <w:bookmarkEnd w:id="178"/>
      <w:r w:rsidRPr="00DB0C40">
        <w:rPr>
          <w:rFonts w:asciiTheme="minorHAnsi" w:eastAsiaTheme="minorHAnsi" w:hAnsiTheme="minorHAnsi" w:cstheme="minorBidi"/>
          <w:sz w:val="22"/>
          <w:szCs w:val="22"/>
        </w:rPr>
        <w:t>Each Member shall, by means appropriate to the methods in operation for determining rates of remuneration, promote and, in so far as is consistent with such methods, ensure the application to all workers of the principle of equal remuneration for men and women workers for work of equal value.</w:t>
      </w:r>
    </w:p>
    <w:p w14:paraId="577C009E" w14:textId="4433E345" w:rsidR="00EF7BC1" w:rsidRPr="00DB0C40" w:rsidRDefault="002557B7" w:rsidP="002557B7">
      <w:pPr>
        <w:spacing w:after="160" w:line="259" w:lineRule="auto"/>
        <w:jc w:val="both"/>
        <w:rPr>
          <w:rFonts w:asciiTheme="minorHAnsi" w:eastAsiaTheme="minorHAnsi" w:hAnsiTheme="minorHAnsi" w:cstheme="minorBidi"/>
          <w:b/>
          <w:sz w:val="22"/>
          <w:szCs w:val="22"/>
        </w:rPr>
      </w:pPr>
      <w:r w:rsidRPr="00CD2A61">
        <w:rPr>
          <w:rFonts w:asciiTheme="majorHAnsi" w:eastAsiaTheme="majorEastAsia" w:hAnsiTheme="majorHAnsi" w:cstheme="majorBidi"/>
          <w:color w:val="1F3763" w:themeColor="accent1" w:themeShade="7F"/>
        </w:rPr>
        <w:t>6.</w:t>
      </w:r>
      <w:r w:rsidR="00EF7BC1" w:rsidRPr="00CD2A61">
        <w:rPr>
          <w:rFonts w:asciiTheme="majorHAnsi" w:eastAsiaTheme="majorEastAsia" w:hAnsiTheme="majorHAnsi" w:cstheme="majorBidi"/>
          <w:color w:val="1F3763" w:themeColor="accent1" w:themeShade="7F"/>
        </w:rPr>
        <w:t xml:space="preserve">2.5. </w:t>
      </w:r>
      <w:bookmarkStart w:id="179" w:name="_Hlk107140907"/>
      <w:r w:rsidRPr="00CD2A61">
        <w:rPr>
          <w:rFonts w:asciiTheme="majorHAnsi" w:eastAsiaTheme="majorEastAsia" w:hAnsiTheme="majorHAnsi" w:cstheme="majorBidi"/>
          <w:color w:val="1F3763" w:themeColor="accent1" w:themeShade="7F"/>
        </w:rPr>
        <w:t>Care Work Provisions</w:t>
      </w:r>
      <w:bookmarkEnd w:id="179"/>
    </w:p>
    <w:p w14:paraId="4F3BC76F" w14:textId="77777777" w:rsidR="002557B7" w:rsidRPr="00DB0C40" w:rsidRDefault="002557B7" w:rsidP="002557B7">
      <w:pPr>
        <w:spacing w:after="160" w:line="259" w:lineRule="auto"/>
        <w:jc w:val="both"/>
        <w:rPr>
          <w:rFonts w:asciiTheme="minorHAnsi" w:eastAsiaTheme="minorHAnsi" w:hAnsiTheme="minorHAnsi" w:cstheme="minorBidi"/>
          <w:sz w:val="22"/>
          <w:szCs w:val="22"/>
        </w:rPr>
      </w:pPr>
      <w:r w:rsidRPr="00DB0C40">
        <w:rPr>
          <w:rFonts w:asciiTheme="minorHAnsi" w:eastAsiaTheme="minorHAnsi" w:hAnsiTheme="minorHAnsi" w:cstheme="minorBidi"/>
          <w:sz w:val="22"/>
          <w:szCs w:val="22"/>
        </w:rPr>
        <w:t xml:space="preserve">With longer life expectancies and the challenges posed by the COVID-19 pandemic, the demand for long-term care services for older persons and PwDs has been rising steeply. In-home, community and residential care services provide a spectrum of long-term care solutions, but legal frameworks and service supply seem to remain insufficient and inadequate (not only in Türkiye but globally). This can have a detrimental effect on women’s employment opportunities, but also on individual’s income security, health and wellbeing. The cost of care provision can be prohibitively high for lower earners, and therefore present a major barrier to employment, especially for women who are traditionally seen as the primary provider of care within families. </w:t>
      </w:r>
    </w:p>
    <w:p w14:paraId="435ED985" w14:textId="66776C88" w:rsidR="002557B7" w:rsidRDefault="002557B7" w:rsidP="002557B7">
      <w:pPr>
        <w:spacing w:after="160" w:line="259" w:lineRule="auto"/>
        <w:jc w:val="both"/>
        <w:rPr>
          <w:rFonts w:asciiTheme="minorHAnsi" w:eastAsiaTheme="minorHAnsi" w:hAnsiTheme="minorHAnsi" w:cstheme="minorBidi"/>
          <w:sz w:val="22"/>
          <w:szCs w:val="22"/>
        </w:rPr>
      </w:pPr>
      <w:r w:rsidRPr="00DB0C40">
        <w:rPr>
          <w:rFonts w:asciiTheme="minorHAnsi" w:eastAsiaTheme="minorHAnsi" w:hAnsiTheme="minorHAnsi" w:cstheme="minorBidi"/>
          <w:sz w:val="22"/>
          <w:szCs w:val="22"/>
        </w:rPr>
        <w:t xml:space="preserve">According to participants in the Pre-Study Workshop, care work provisions might cover the care for the elderly, patients, and disabled in addition to childcare (p.21). 82.4% of the employee survey respondents indicated that elderly and patient care facilities should be also covered by the law. </w:t>
      </w:r>
    </w:p>
    <w:p w14:paraId="0E8B93CC" w14:textId="6B17F9F0" w:rsidR="004B2FB8" w:rsidRPr="00CD2A61" w:rsidRDefault="004B2FB8" w:rsidP="002557B7">
      <w:pPr>
        <w:spacing w:after="160" w:line="259" w:lineRule="auto"/>
        <w:jc w:val="both"/>
        <w:rPr>
          <w:rFonts w:asciiTheme="minorHAnsi" w:eastAsiaTheme="minorHAnsi" w:hAnsiTheme="minorHAnsi" w:cstheme="minorBidi"/>
          <w:i/>
          <w:iCs/>
          <w:sz w:val="22"/>
          <w:szCs w:val="22"/>
        </w:rPr>
      </w:pPr>
      <w:r w:rsidRPr="004B2FB8">
        <w:rPr>
          <w:rFonts w:asciiTheme="minorHAnsi" w:eastAsiaTheme="minorHAnsi" w:hAnsiTheme="minorHAnsi" w:cstheme="minorBidi"/>
          <w:sz w:val="22"/>
          <w:szCs w:val="22"/>
        </w:rPr>
        <w:t>One of the main recommendation of th</w:t>
      </w:r>
      <w:r>
        <w:rPr>
          <w:rFonts w:asciiTheme="minorHAnsi" w:eastAsiaTheme="minorHAnsi" w:hAnsiTheme="minorHAnsi" w:cstheme="minorBidi"/>
          <w:sz w:val="22"/>
          <w:szCs w:val="22"/>
        </w:rPr>
        <w:t>e Sector</w:t>
      </w:r>
      <w:r w:rsidRPr="004B2FB8">
        <w:rPr>
          <w:rFonts w:asciiTheme="minorHAnsi" w:eastAsiaTheme="minorHAnsi" w:hAnsiTheme="minorHAnsi" w:cstheme="minorBidi"/>
          <w:sz w:val="22"/>
          <w:szCs w:val="22"/>
        </w:rPr>
        <w:t xml:space="preserve"> Report is to “</w:t>
      </w:r>
      <w:r w:rsidRPr="00CD2A61">
        <w:rPr>
          <w:rFonts w:asciiTheme="minorHAnsi" w:eastAsiaTheme="minorHAnsi" w:hAnsiTheme="minorHAnsi" w:cstheme="minorBidi"/>
          <w:i/>
          <w:iCs/>
          <w:sz w:val="22"/>
          <w:szCs w:val="22"/>
        </w:rPr>
        <w:t>Increase the care services that will facilitate the participation of working women in digital transformation and to facilitate the use of these services by women.</w:t>
      </w:r>
      <w:r>
        <w:rPr>
          <w:rFonts w:asciiTheme="minorHAnsi" w:eastAsiaTheme="minorHAnsi" w:hAnsiTheme="minorHAnsi" w:cstheme="minorBidi"/>
          <w:i/>
          <w:iCs/>
          <w:sz w:val="22"/>
          <w:szCs w:val="22"/>
        </w:rPr>
        <w:t xml:space="preserve">” </w:t>
      </w:r>
    </w:p>
    <w:p w14:paraId="28CBA83F" w14:textId="77777777" w:rsidR="002557B7" w:rsidRPr="00DB0C40" w:rsidRDefault="002557B7" w:rsidP="002557B7">
      <w:pPr>
        <w:spacing w:after="160" w:line="259" w:lineRule="auto"/>
        <w:jc w:val="both"/>
        <w:rPr>
          <w:rFonts w:asciiTheme="minorHAnsi" w:eastAsiaTheme="minorHAnsi" w:hAnsiTheme="minorHAnsi" w:cstheme="minorBidi"/>
          <w:sz w:val="22"/>
          <w:szCs w:val="22"/>
        </w:rPr>
      </w:pPr>
      <w:r w:rsidRPr="00DB0C40">
        <w:rPr>
          <w:rFonts w:asciiTheme="minorHAnsi" w:eastAsiaTheme="minorHAnsi" w:hAnsiTheme="minorHAnsi" w:cstheme="minorBidi"/>
          <w:sz w:val="22"/>
          <w:szCs w:val="22"/>
        </w:rPr>
        <w:t xml:space="preserve">The </w:t>
      </w:r>
      <w:r w:rsidRPr="00DB0C40">
        <w:rPr>
          <w:rFonts w:asciiTheme="minorHAnsi" w:eastAsiaTheme="minorHAnsi" w:hAnsiTheme="minorHAnsi" w:cstheme="minorBidi"/>
          <w:b/>
          <w:bCs/>
          <w:sz w:val="22"/>
          <w:szCs w:val="22"/>
        </w:rPr>
        <w:t>main recommendation</w:t>
      </w:r>
      <w:r w:rsidRPr="00DB0C40">
        <w:rPr>
          <w:rFonts w:asciiTheme="minorHAnsi" w:eastAsiaTheme="minorHAnsi" w:hAnsiTheme="minorHAnsi" w:cstheme="minorBidi"/>
          <w:sz w:val="22"/>
          <w:szCs w:val="22"/>
        </w:rPr>
        <w:t xml:space="preserve"> is:</w:t>
      </w:r>
    </w:p>
    <w:p w14:paraId="28024611" w14:textId="77777777" w:rsidR="002557B7" w:rsidRPr="00DB0C40" w:rsidRDefault="002557B7" w:rsidP="002557B7">
      <w:pPr>
        <w:spacing w:after="160" w:line="259" w:lineRule="auto"/>
        <w:ind w:left="720"/>
        <w:jc w:val="both"/>
        <w:rPr>
          <w:rFonts w:asciiTheme="minorHAnsi" w:eastAsiaTheme="minorHAnsi" w:hAnsiTheme="minorHAnsi" w:cstheme="minorBidi"/>
          <w:sz w:val="22"/>
          <w:szCs w:val="22"/>
        </w:rPr>
      </w:pPr>
      <w:r w:rsidRPr="00DB0C40">
        <w:rPr>
          <w:rFonts w:asciiTheme="minorHAnsi" w:eastAsiaTheme="minorHAnsi" w:hAnsiTheme="minorHAnsi" w:cstheme="minorBidi"/>
          <w:sz w:val="22"/>
          <w:szCs w:val="22"/>
        </w:rPr>
        <w:t>14. Develop approaches to progressively achieve universal access to transformative and nationally-designed care policy packages that include a combination of time (leave), benefits (income security), services, and the right to care and be cared for. And also to establish a statutory universal and free (or substantially subsidised) long-term care policy and service.</w:t>
      </w:r>
    </w:p>
    <w:p w14:paraId="7A46B118" w14:textId="60D25706" w:rsidR="002557B7" w:rsidRPr="00DB0C40" w:rsidRDefault="002557B7" w:rsidP="002557B7">
      <w:pPr>
        <w:spacing w:after="160" w:line="259" w:lineRule="auto"/>
        <w:jc w:val="both"/>
        <w:rPr>
          <w:rFonts w:asciiTheme="minorHAnsi" w:eastAsiaTheme="minorHAnsi" w:hAnsiTheme="minorHAnsi" w:cstheme="minorBidi"/>
          <w:b/>
          <w:sz w:val="22"/>
          <w:szCs w:val="22"/>
        </w:rPr>
      </w:pPr>
      <w:bookmarkStart w:id="180" w:name="_Hlk107140955"/>
      <w:r w:rsidRPr="00DB0C40">
        <w:rPr>
          <w:rFonts w:asciiTheme="minorHAnsi" w:eastAsiaTheme="minorHAnsi" w:hAnsiTheme="minorHAnsi" w:cstheme="minorBidi"/>
          <w:sz w:val="22"/>
          <w:szCs w:val="22"/>
        </w:rPr>
        <w:t xml:space="preserve"> </w:t>
      </w:r>
      <w:r w:rsidRPr="00CD2A61">
        <w:rPr>
          <w:rFonts w:asciiTheme="majorHAnsi" w:eastAsiaTheme="majorEastAsia" w:hAnsiTheme="majorHAnsi" w:cstheme="majorBidi"/>
          <w:color w:val="1F3763" w:themeColor="accent1" w:themeShade="7F"/>
        </w:rPr>
        <w:t>6.</w:t>
      </w:r>
      <w:r w:rsidR="00EF7BC1" w:rsidRPr="00CD2A61">
        <w:rPr>
          <w:rFonts w:asciiTheme="majorHAnsi" w:eastAsiaTheme="majorEastAsia" w:hAnsiTheme="majorHAnsi" w:cstheme="majorBidi"/>
          <w:color w:val="1F3763" w:themeColor="accent1" w:themeShade="7F"/>
        </w:rPr>
        <w:t xml:space="preserve">2.6. </w:t>
      </w:r>
      <w:r w:rsidRPr="00CD2A61">
        <w:rPr>
          <w:rFonts w:asciiTheme="majorHAnsi" w:eastAsiaTheme="majorEastAsia" w:hAnsiTheme="majorHAnsi" w:cstheme="majorBidi"/>
          <w:color w:val="1F3763" w:themeColor="accent1" w:themeShade="7F"/>
        </w:rPr>
        <w:t xml:space="preserve"> Care Incentives for Persons not Covered by the Existing Law</w:t>
      </w:r>
    </w:p>
    <w:bookmarkEnd w:id="180"/>
    <w:p w14:paraId="0504EB65" w14:textId="4ADF9465" w:rsidR="002557B7" w:rsidRPr="00DB0C40" w:rsidRDefault="002557B7" w:rsidP="002557B7">
      <w:pPr>
        <w:spacing w:after="160" w:line="259" w:lineRule="auto"/>
        <w:jc w:val="both"/>
        <w:rPr>
          <w:rFonts w:asciiTheme="minorHAnsi" w:eastAsiaTheme="minorHAnsi" w:hAnsiTheme="minorHAnsi" w:cstheme="minorBidi"/>
          <w:sz w:val="22"/>
          <w:szCs w:val="22"/>
        </w:rPr>
      </w:pPr>
      <w:r w:rsidRPr="00DB0C40">
        <w:rPr>
          <w:rFonts w:asciiTheme="minorHAnsi" w:eastAsiaTheme="minorHAnsi" w:hAnsiTheme="minorHAnsi" w:cstheme="minorBidi"/>
          <w:sz w:val="22"/>
          <w:szCs w:val="22"/>
        </w:rPr>
        <w:t xml:space="preserve">In the Pre-Study Workshop, one suggestion was that care incentives might be extended to include those groups which are not covered by the existing law including platform workers, atypical workers, freelancers etc. </w:t>
      </w:r>
    </w:p>
    <w:p w14:paraId="28C736F8" w14:textId="77777777" w:rsidR="002557B7" w:rsidRPr="00DB0C40" w:rsidRDefault="002557B7" w:rsidP="002557B7">
      <w:pPr>
        <w:spacing w:after="160" w:line="259" w:lineRule="auto"/>
        <w:jc w:val="both"/>
        <w:rPr>
          <w:rFonts w:asciiTheme="minorHAnsi" w:eastAsiaTheme="minorHAnsi" w:hAnsiTheme="minorHAnsi" w:cstheme="minorBidi"/>
          <w:sz w:val="22"/>
          <w:szCs w:val="22"/>
        </w:rPr>
      </w:pPr>
      <w:r w:rsidRPr="00DB0C40">
        <w:rPr>
          <w:rFonts w:asciiTheme="minorHAnsi" w:eastAsiaTheme="minorHAnsi" w:hAnsiTheme="minorHAnsi" w:cstheme="minorBidi"/>
          <w:sz w:val="22"/>
          <w:szCs w:val="22"/>
        </w:rPr>
        <w:t>The development of digital technologies and new business models has contributed to the rise of online platforms and the emergence of platform-mediated work, such as “crowd work”, “gig work”, and other forms of on-demand labour. Most of such work is carried out as some form of non-standard employment or self-employment, and in particular by own-account workers, who also need care incentives.</w:t>
      </w:r>
    </w:p>
    <w:p w14:paraId="7D948130" w14:textId="77777777" w:rsidR="002557B7" w:rsidRPr="00DB0C40" w:rsidRDefault="002557B7" w:rsidP="002557B7">
      <w:pPr>
        <w:spacing w:after="160" w:line="259" w:lineRule="auto"/>
        <w:jc w:val="both"/>
        <w:rPr>
          <w:rFonts w:asciiTheme="minorHAnsi" w:eastAsiaTheme="minorHAnsi" w:hAnsiTheme="minorHAnsi" w:cstheme="minorBidi"/>
          <w:sz w:val="22"/>
          <w:szCs w:val="22"/>
        </w:rPr>
      </w:pPr>
      <w:r w:rsidRPr="00DB0C40">
        <w:rPr>
          <w:rFonts w:asciiTheme="minorHAnsi" w:eastAsiaTheme="minorHAnsi" w:hAnsiTheme="minorHAnsi" w:cstheme="minorBidi"/>
          <w:sz w:val="22"/>
          <w:szCs w:val="22"/>
        </w:rPr>
        <w:t>The main recommendation is:</w:t>
      </w:r>
    </w:p>
    <w:p w14:paraId="452CF803" w14:textId="77777777" w:rsidR="002557B7" w:rsidRPr="00DB0C40" w:rsidRDefault="002557B7">
      <w:pPr>
        <w:numPr>
          <w:ilvl w:val="0"/>
          <w:numId w:val="41"/>
        </w:numPr>
        <w:spacing w:after="160" w:line="259" w:lineRule="auto"/>
        <w:contextualSpacing/>
        <w:jc w:val="both"/>
        <w:rPr>
          <w:rFonts w:asciiTheme="minorHAnsi" w:eastAsiaTheme="minorHAnsi" w:hAnsiTheme="minorHAnsi" w:cstheme="minorBidi"/>
          <w:sz w:val="22"/>
          <w:szCs w:val="22"/>
        </w:rPr>
      </w:pPr>
      <w:r w:rsidRPr="00DB0C40">
        <w:rPr>
          <w:rFonts w:asciiTheme="minorHAnsi" w:eastAsiaTheme="minorHAnsi" w:hAnsiTheme="minorHAnsi" w:cstheme="minorBidi"/>
          <w:sz w:val="22"/>
          <w:szCs w:val="22"/>
        </w:rPr>
        <w:t xml:space="preserve">Review labour standards legislation affecting part-time and temporary workers, platform workers, and particularly domestic and care workers (where women predominate) with a view to improving </w:t>
      </w:r>
      <w:r w:rsidRPr="00DB0C40">
        <w:rPr>
          <w:rFonts w:asciiTheme="minorHAnsi" w:eastAsiaTheme="minorHAnsi" w:hAnsiTheme="minorHAnsi" w:cstheme="minorBidi"/>
          <w:sz w:val="22"/>
          <w:szCs w:val="22"/>
        </w:rPr>
        <w:lastRenderedPageBreak/>
        <w:t xml:space="preserve">terms and conditions of employment including rights to social benefits, including also Care incentives for them.  </w:t>
      </w:r>
    </w:p>
    <w:p w14:paraId="44DD4605" w14:textId="77777777" w:rsidR="00E941FF" w:rsidRDefault="00E941FF" w:rsidP="002557B7">
      <w:pPr>
        <w:spacing w:after="160" w:line="259" w:lineRule="auto"/>
        <w:jc w:val="both"/>
        <w:rPr>
          <w:rFonts w:asciiTheme="minorHAnsi" w:eastAsiaTheme="minorHAnsi" w:hAnsiTheme="minorHAnsi" w:cstheme="minorBidi"/>
          <w:sz w:val="22"/>
          <w:szCs w:val="22"/>
        </w:rPr>
      </w:pPr>
    </w:p>
    <w:p w14:paraId="69336261" w14:textId="108E79A4" w:rsidR="002557B7" w:rsidRPr="00DB0C40" w:rsidRDefault="002557B7" w:rsidP="002557B7">
      <w:pPr>
        <w:spacing w:after="160" w:line="259" w:lineRule="auto"/>
        <w:jc w:val="both"/>
        <w:rPr>
          <w:rFonts w:asciiTheme="minorHAnsi" w:eastAsiaTheme="minorHAnsi" w:hAnsiTheme="minorHAnsi" w:cstheme="minorBidi"/>
          <w:sz w:val="22"/>
          <w:szCs w:val="22"/>
        </w:rPr>
      </w:pPr>
      <w:r w:rsidRPr="00DB0C40">
        <w:rPr>
          <w:rFonts w:asciiTheme="minorHAnsi" w:eastAsiaTheme="minorHAnsi" w:hAnsiTheme="minorHAnsi" w:cstheme="minorBidi"/>
          <w:sz w:val="22"/>
          <w:szCs w:val="22"/>
        </w:rPr>
        <w:t xml:space="preserve">Related to this Recommendation, stakeholders in the Post-Study Workshop stated that: </w:t>
      </w:r>
    </w:p>
    <w:p w14:paraId="73521487" w14:textId="6AE20C86" w:rsidR="002557B7" w:rsidRPr="00DB0C40" w:rsidRDefault="002557B7">
      <w:pPr>
        <w:numPr>
          <w:ilvl w:val="0"/>
          <w:numId w:val="34"/>
        </w:numPr>
        <w:spacing w:after="160" w:line="259" w:lineRule="auto"/>
        <w:contextualSpacing/>
        <w:jc w:val="both"/>
        <w:rPr>
          <w:rFonts w:asciiTheme="minorHAnsi" w:eastAsiaTheme="minorHAnsi" w:hAnsiTheme="minorHAnsi" w:cstheme="minorBidi"/>
          <w:sz w:val="22"/>
          <w:szCs w:val="22"/>
        </w:rPr>
      </w:pPr>
      <w:r w:rsidRPr="00DB0C40">
        <w:rPr>
          <w:rFonts w:asciiTheme="minorHAnsi" w:eastAsiaTheme="minorHAnsi" w:hAnsiTheme="minorHAnsi" w:cstheme="minorBidi"/>
          <w:sz w:val="22"/>
          <w:szCs w:val="22"/>
        </w:rPr>
        <w:t xml:space="preserve">It is important to make a consideration of Informal workers, particularly in some sectors (Gig workers) / differentiate from </w:t>
      </w:r>
      <w:r w:rsidR="004C19E5" w:rsidRPr="00DB0C40">
        <w:rPr>
          <w:rFonts w:asciiTheme="minorHAnsi" w:eastAsiaTheme="minorHAnsi" w:hAnsiTheme="minorHAnsi" w:cstheme="minorBidi"/>
          <w:sz w:val="22"/>
          <w:szCs w:val="22"/>
        </w:rPr>
        <w:t>free-lance</w:t>
      </w:r>
      <w:r w:rsidRPr="00DB0C40">
        <w:rPr>
          <w:rFonts w:asciiTheme="minorHAnsi" w:eastAsiaTheme="minorHAnsi" w:hAnsiTheme="minorHAnsi" w:cstheme="minorBidi"/>
          <w:sz w:val="22"/>
          <w:szCs w:val="22"/>
        </w:rPr>
        <w:t xml:space="preserve"> workers </w:t>
      </w:r>
    </w:p>
    <w:p w14:paraId="2EEA7176" w14:textId="77777777" w:rsidR="002557B7" w:rsidRPr="00DB0C40" w:rsidRDefault="002557B7">
      <w:pPr>
        <w:numPr>
          <w:ilvl w:val="0"/>
          <w:numId w:val="34"/>
        </w:numPr>
        <w:spacing w:after="160" w:line="259" w:lineRule="auto"/>
        <w:contextualSpacing/>
        <w:jc w:val="both"/>
        <w:rPr>
          <w:rFonts w:asciiTheme="minorHAnsi" w:eastAsiaTheme="minorHAnsi" w:hAnsiTheme="minorHAnsi" w:cstheme="minorBidi"/>
          <w:sz w:val="22"/>
          <w:szCs w:val="22"/>
        </w:rPr>
      </w:pPr>
      <w:r w:rsidRPr="00DB0C40">
        <w:rPr>
          <w:rFonts w:asciiTheme="minorHAnsi" w:eastAsiaTheme="minorHAnsi" w:hAnsiTheme="minorHAnsi" w:cstheme="minorBidi"/>
          <w:sz w:val="22"/>
          <w:szCs w:val="22"/>
        </w:rPr>
        <w:t>Platform workers, care workers, domestic workers, and internet marketing are all unregistered and informal workers. There is a need to make special arrangements to make them registered workers</w:t>
      </w:r>
    </w:p>
    <w:p w14:paraId="730F7D6D" w14:textId="7E4CC134" w:rsidR="002557B7" w:rsidRDefault="002557B7">
      <w:pPr>
        <w:numPr>
          <w:ilvl w:val="0"/>
          <w:numId w:val="34"/>
        </w:numPr>
        <w:spacing w:after="160" w:line="259" w:lineRule="auto"/>
        <w:contextualSpacing/>
        <w:jc w:val="both"/>
        <w:rPr>
          <w:rFonts w:asciiTheme="minorHAnsi" w:eastAsiaTheme="minorHAnsi" w:hAnsiTheme="minorHAnsi" w:cstheme="minorBidi"/>
          <w:sz w:val="22"/>
          <w:szCs w:val="22"/>
        </w:rPr>
      </w:pPr>
      <w:r w:rsidRPr="00DB0C40">
        <w:rPr>
          <w:rFonts w:asciiTheme="minorHAnsi" w:eastAsiaTheme="minorHAnsi" w:hAnsiTheme="minorHAnsi" w:cstheme="minorBidi"/>
          <w:sz w:val="22"/>
          <w:szCs w:val="22"/>
        </w:rPr>
        <w:t>Since it is the way of working of the future, it is necessary to set up the working conditions of the platform employees from the beginning, in order not to have problems especially in the integration of women.</w:t>
      </w:r>
    </w:p>
    <w:p w14:paraId="619CD1EA" w14:textId="77777777" w:rsidR="003A3990" w:rsidRPr="00DB0C40" w:rsidRDefault="003A3990" w:rsidP="003A3990">
      <w:pPr>
        <w:spacing w:after="160" w:line="259" w:lineRule="auto"/>
        <w:ind w:left="720"/>
        <w:contextualSpacing/>
        <w:jc w:val="both"/>
        <w:rPr>
          <w:rFonts w:asciiTheme="minorHAnsi" w:eastAsiaTheme="minorHAnsi" w:hAnsiTheme="minorHAnsi" w:cstheme="minorBidi"/>
          <w:sz w:val="22"/>
          <w:szCs w:val="22"/>
        </w:rPr>
      </w:pPr>
    </w:p>
    <w:p w14:paraId="344BBC54" w14:textId="1B945501" w:rsidR="002557B7" w:rsidRPr="00CD2A61" w:rsidRDefault="002557B7" w:rsidP="002557B7">
      <w:pPr>
        <w:spacing w:after="160" w:line="259" w:lineRule="auto"/>
        <w:jc w:val="both"/>
        <w:rPr>
          <w:rFonts w:asciiTheme="majorHAnsi" w:eastAsiaTheme="majorEastAsia" w:hAnsiTheme="majorHAnsi" w:cstheme="majorBidi"/>
          <w:color w:val="1F3763" w:themeColor="accent1" w:themeShade="7F"/>
        </w:rPr>
      </w:pPr>
      <w:r w:rsidRPr="00CD2A61">
        <w:rPr>
          <w:rFonts w:asciiTheme="majorHAnsi" w:eastAsiaTheme="majorEastAsia" w:hAnsiTheme="majorHAnsi" w:cstheme="majorBidi"/>
          <w:color w:val="1F3763" w:themeColor="accent1" w:themeShade="7F"/>
        </w:rPr>
        <w:t>6.</w:t>
      </w:r>
      <w:r w:rsidR="00EF7BC1" w:rsidRPr="00CD2A61">
        <w:rPr>
          <w:rFonts w:asciiTheme="majorHAnsi" w:eastAsiaTheme="majorEastAsia" w:hAnsiTheme="majorHAnsi" w:cstheme="majorBidi"/>
          <w:color w:val="1F3763" w:themeColor="accent1" w:themeShade="7F"/>
        </w:rPr>
        <w:t>2.7</w:t>
      </w:r>
      <w:bookmarkStart w:id="181" w:name="_Hlk107140991"/>
      <w:r w:rsidR="00EF7BC1" w:rsidRPr="00CD2A61">
        <w:rPr>
          <w:rFonts w:asciiTheme="majorHAnsi" w:eastAsiaTheme="majorEastAsia" w:hAnsiTheme="majorHAnsi" w:cstheme="majorBidi"/>
          <w:color w:val="1F3763" w:themeColor="accent1" w:themeShade="7F"/>
        </w:rPr>
        <w:t xml:space="preserve">. </w:t>
      </w:r>
      <w:r w:rsidRPr="00CD2A61">
        <w:rPr>
          <w:rFonts w:asciiTheme="majorHAnsi" w:eastAsiaTheme="majorEastAsia" w:hAnsiTheme="majorHAnsi" w:cstheme="majorBidi"/>
          <w:color w:val="1F3763" w:themeColor="accent1" w:themeShade="7F"/>
        </w:rPr>
        <w:t xml:space="preserve"> Government Support to the Employment of Victims of Domestic Violence</w:t>
      </w:r>
      <w:bookmarkEnd w:id="181"/>
    </w:p>
    <w:p w14:paraId="5884B490" w14:textId="5FAFBE7E" w:rsidR="002557B7" w:rsidRPr="00DB0C40" w:rsidRDefault="002557B7" w:rsidP="002557B7">
      <w:pPr>
        <w:spacing w:after="160" w:line="259" w:lineRule="auto"/>
        <w:jc w:val="both"/>
        <w:rPr>
          <w:rFonts w:asciiTheme="minorHAnsi" w:eastAsiaTheme="minorHAnsi" w:hAnsiTheme="minorHAnsi" w:cstheme="minorBidi"/>
          <w:sz w:val="22"/>
          <w:szCs w:val="22"/>
        </w:rPr>
      </w:pPr>
      <w:r w:rsidRPr="00DB0C40">
        <w:rPr>
          <w:rFonts w:asciiTheme="minorHAnsi" w:eastAsiaTheme="minorHAnsi" w:hAnsiTheme="minorHAnsi" w:cstheme="minorBidi"/>
          <w:sz w:val="22"/>
          <w:szCs w:val="22"/>
        </w:rPr>
        <w:t>Participants in the Pre-Study Workshop suggested that there was a need for women who are under threat of domestic violence to be supported by the government, including the receipt of severance pay, paid/unpaid leave, finding employment, remote work, allowance, and income support, etc. to enable them to better cope with their predicament.</w:t>
      </w:r>
    </w:p>
    <w:p w14:paraId="760FCE2D" w14:textId="77777777" w:rsidR="002557B7" w:rsidRPr="00DB0C40" w:rsidRDefault="002557B7" w:rsidP="002557B7">
      <w:pPr>
        <w:spacing w:after="160" w:line="259" w:lineRule="auto"/>
        <w:jc w:val="both"/>
        <w:rPr>
          <w:rFonts w:asciiTheme="minorHAnsi" w:eastAsiaTheme="minorHAnsi" w:hAnsiTheme="minorHAnsi" w:cstheme="minorBidi"/>
          <w:sz w:val="22"/>
          <w:szCs w:val="22"/>
        </w:rPr>
      </w:pPr>
      <w:r w:rsidRPr="00DB0C40">
        <w:rPr>
          <w:rFonts w:asciiTheme="minorHAnsi" w:eastAsiaTheme="minorHAnsi" w:hAnsiTheme="minorHAnsi" w:cstheme="minorBidi"/>
          <w:sz w:val="22"/>
          <w:szCs w:val="22"/>
        </w:rPr>
        <w:t xml:space="preserve">The </w:t>
      </w:r>
      <w:r w:rsidRPr="00DB0C40">
        <w:rPr>
          <w:rFonts w:asciiTheme="minorHAnsi" w:eastAsiaTheme="minorHAnsi" w:hAnsiTheme="minorHAnsi" w:cstheme="minorBidi"/>
          <w:b/>
          <w:bCs/>
          <w:sz w:val="22"/>
          <w:szCs w:val="22"/>
        </w:rPr>
        <w:t>main recommendations</w:t>
      </w:r>
      <w:r w:rsidRPr="00DB0C40">
        <w:rPr>
          <w:rFonts w:asciiTheme="minorHAnsi" w:eastAsiaTheme="minorHAnsi" w:hAnsiTheme="minorHAnsi" w:cstheme="minorBidi"/>
          <w:sz w:val="22"/>
          <w:szCs w:val="22"/>
        </w:rPr>
        <w:t xml:space="preserve"> are:</w:t>
      </w:r>
    </w:p>
    <w:p w14:paraId="57659AB1" w14:textId="77777777" w:rsidR="002557B7" w:rsidRPr="00DB0C40" w:rsidRDefault="002557B7">
      <w:pPr>
        <w:numPr>
          <w:ilvl w:val="0"/>
          <w:numId w:val="41"/>
        </w:numPr>
        <w:spacing w:after="160" w:line="259" w:lineRule="auto"/>
        <w:contextualSpacing/>
        <w:jc w:val="both"/>
        <w:rPr>
          <w:rFonts w:asciiTheme="minorHAnsi" w:eastAsiaTheme="minorHAnsi" w:hAnsiTheme="minorHAnsi" w:cstheme="minorBidi"/>
          <w:sz w:val="22"/>
          <w:szCs w:val="22"/>
        </w:rPr>
      </w:pPr>
      <w:r w:rsidRPr="00DB0C40">
        <w:rPr>
          <w:rFonts w:asciiTheme="minorHAnsi" w:eastAsiaTheme="minorHAnsi" w:hAnsiTheme="minorHAnsi" w:cstheme="minorBidi"/>
          <w:sz w:val="22"/>
          <w:szCs w:val="22"/>
        </w:rPr>
        <w:t>Adopt an inclusive, integrated and gender-responsive approach to prevent and address violence towards women in the world of work and also to provide support for employment of women who are exposed to violence.</w:t>
      </w:r>
    </w:p>
    <w:p w14:paraId="4F30A460" w14:textId="77777777" w:rsidR="003A3990" w:rsidRDefault="003A3990" w:rsidP="002557B7">
      <w:pPr>
        <w:spacing w:after="160" w:line="259" w:lineRule="auto"/>
        <w:jc w:val="both"/>
        <w:rPr>
          <w:rFonts w:asciiTheme="minorHAnsi" w:eastAsiaTheme="minorHAnsi" w:hAnsiTheme="minorHAnsi" w:cstheme="minorBidi"/>
          <w:sz w:val="22"/>
          <w:szCs w:val="22"/>
        </w:rPr>
      </w:pPr>
    </w:p>
    <w:p w14:paraId="6FEC6C5D" w14:textId="742BCBA6" w:rsidR="002557B7" w:rsidRPr="00DB0C40" w:rsidRDefault="002557B7" w:rsidP="002557B7">
      <w:pPr>
        <w:spacing w:after="160" w:line="259" w:lineRule="auto"/>
        <w:jc w:val="both"/>
        <w:rPr>
          <w:rFonts w:asciiTheme="minorHAnsi" w:eastAsiaTheme="minorHAnsi" w:hAnsiTheme="minorHAnsi" w:cstheme="minorBidi"/>
          <w:sz w:val="22"/>
          <w:szCs w:val="22"/>
        </w:rPr>
      </w:pPr>
      <w:r w:rsidRPr="00DB0C40">
        <w:rPr>
          <w:rFonts w:asciiTheme="minorHAnsi" w:eastAsiaTheme="minorHAnsi" w:hAnsiTheme="minorHAnsi" w:cstheme="minorBidi"/>
          <w:sz w:val="22"/>
          <w:szCs w:val="22"/>
        </w:rPr>
        <w:t xml:space="preserve">During the Post-Study Workshop, the stakeholders stated: </w:t>
      </w:r>
    </w:p>
    <w:p w14:paraId="5C06137C" w14:textId="77777777" w:rsidR="002557B7" w:rsidRPr="00DB0C40" w:rsidRDefault="002557B7">
      <w:pPr>
        <w:numPr>
          <w:ilvl w:val="0"/>
          <w:numId w:val="34"/>
        </w:numPr>
        <w:spacing w:after="160" w:line="259" w:lineRule="auto"/>
        <w:jc w:val="both"/>
        <w:rPr>
          <w:rFonts w:asciiTheme="minorHAnsi" w:eastAsiaTheme="minorHAnsi" w:hAnsiTheme="minorHAnsi" w:cstheme="minorBidi"/>
          <w:color w:val="4472C4" w:themeColor="accent1"/>
          <w:sz w:val="22"/>
          <w:szCs w:val="22"/>
        </w:rPr>
      </w:pPr>
      <w:r w:rsidRPr="00DB0C40">
        <w:rPr>
          <w:rFonts w:asciiTheme="minorHAnsi" w:eastAsiaTheme="minorHAnsi" w:hAnsiTheme="minorHAnsi" w:cstheme="minorBidi"/>
          <w:sz w:val="22"/>
          <w:szCs w:val="22"/>
        </w:rPr>
        <w:t>Government support is needed for women victims of domestic violence in the form of workplace change or job placement for economic empowerment of victims of violence</w:t>
      </w:r>
      <w:r w:rsidRPr="00DB0C40">
        <w:rPr>
          <w:rFonts w:asciiTheme="minorHAnsi" w:eastAsiaTheme="minorHAnsi" w:hAnsiTheme="minorHAnsi" w:cstheme="minorBidi"/>
          <w:color w:val="4472C4" w:themeColor="accent1"/>
          <w:sz w:val="22"/>
          <w:szCs w:val="22"/>
        </w:rPr>
        <w:t xml:space="preserve">. </w:t>
      </w:r>
    </w:p>
    <w:p w14:paraId="702664DE" w14:textId="17504BDA" w:rsidR="002557B7" w:rsidRPr="00CD2A61" w:rsidRDefault="002557B7" w:rsidP="002557B7">
      <w:pPr>
        <w:spacing w:after="160" w:line="259" w:lineRule="auto"/>
        <w:jc w:val="both"/>
        <w:rPr>
          <w:rFonts w:asciiTheme="majorHAnsi" w:eastAsiaTheme="majorEastAsia" w:hAnsiTheme="majorHAnsi" w:cstheme="majorBidi"/>
          <w:color w:val="1F3763" w:themeColor="accent1" w:themeShade="7F"/>
        </w:rPr>
      </w:pPr>
      <w:r w:rsidRPr="00CD2A61">
        <w:rPr>
          <w:rFonts w:asciiTheme="majorHAnsi" w:eastAsiaTheme="majorEastAsia" w:hAnsiTheme="majorHAnsi" w:cstheme="majorBidi"/>
          <w:color w:val="1F3763" w:themeColor="accent1" w:themeShade="7F"/>
        </w:rPr>
        <w:t>6.</w:t>
      </w:r>
      <w:r w:rsidR="00EF7BC1" w:rsidRPr="00CD2A61">
        <w:rPr>
          <w:rFonts w:asciiTheme="majorHAnsi" w:eastAsiaTheme="majorEastAsia" w:hAnsiTheme="majorHAnsi" w:cstheme="majorBidi"/>
          <w:color w:val="1F3763" w:themeColor="accent1" w:themeShade="7F"/>
        </w:rPr>
        <w:t xml:space="preserve">2.8. </w:t>
      </w:r>
      <w:bookmarkStart w:id="182" w:name="_Hlk107141023"/>
      <w:r w:rsidRPr="00CD2A61">
        <w:rPr>
          <w:rFonts w:asciiTheme="majorHAnsi" w:eastAsiaTheme="majorEastAsia" w:hAnsiTheme="majorHAnsi" w:cstheme="majorBidi"/>
          <w:color w:val="1F3763" w:themeColor="accent1" w:themeShade="7F"/>
        </w:rPr>
        <w:t>Other Recommendations</w:t>
      </w:r>
      <w:bookmarkEnd w:id="182"/>
    </w:p>
    <w:p w14:paraId="0BF89D46" w14:textId="77777777" w:rsidR="002557B7" w:rsidRPr="00DB0C40" w:rsidRDefault="002557B7" w:rsidP="002557B7">
      <w:pPr>
        <w:spacing w:after="160" w:line="259" w:lineRule="auto"/>
        <w:jc w:val="both"/>
        <w:rPr>
          <w:rFonts w:asciiTheme="minorHAnsi" w:eastAsiaTheme="minorHAnsi" w:hAnsiTheme="minorHAnsi" w:cstheme="minorBidi"/>
          <w:color w:val="4472C4" w:themeColor="accent1"/>
          <w:sz w:val="22"/>
          <w:szCs w:val="22"/>
        </w:rPr>
      </w:pPr>
      <w:r w:rsidRPr="00DB0C40">
        <w:rPr>
          <w:rFonts w:asciiTheme="minorHAnsi" w:eastAsiaTheme="minorHAnsi" w:hAnsiTheme="minorHAnsi" w:cstheme="minorBidi"/>
          <w:sz w:val="22"/>
          <w:szCs w:val="22"/>
        </w:rPr>
        <w:t xml:space="preserve">Stakeholders in the Post-Study Workshop proposed two further recommendations: </w:t>
      </w:r>
      <w:r w:rsidRPr="00DB0C40">
        <w:rPr>
          <w:rFonts w:asciiTheme="minorHAnsi" w:eastAsiaTheme="minorHAnsi" w:hAnsiTheme="minorHAnsi" w:cstheme="minorBidi"/>
          <w:color w:val="4472C4" w:themeColor="accent1"/>
          <w:sz w:val="22"/>
          <w:szCs w:val="22"/>
        </w:rPr>
        <w:t xml:space="preserve"> </w:t>
      </w:r>
    </w:p>
    <w:p w14:paraId="5BB64D63" w14:textId="77777777" w:rsidR="002557B7" w:rsidRPr="00DB0C40" w:rsidRDefault="002557B7">
      <w:pPr>
        <w:numPr>
          <w:ilvl w:val="0"/>
          <w:numId w:val="41"/>
        </w:numPr>
        <w:spacing w:after="160" w:line="259" w:lineRule="auto"/>
        <w:contextualSpacing/>
        <w:jc w:val="both"/>
        <w:rPr>
          <w:rFonts w:asciiTheme="minorHAnsi" w:eastAsiaTheme="minorHAnsi" w:hAnsiTheme="minorHAnsi" w:cstheme="minorBidi"/>
          <w:sz w:val="22"/>
          <w:szCs w:val="22"/>
        </w:rPr>
      </w:pPr>
      <w:r w:rsidRPr="00DB0C40">
        <w:rPr>
          <w:rFonts w:asciiTheme="minorHAnsi" w:eastAsiaTheme="minorHAnsi" w:hAnsiTheme="minorHAnsi" w:cstheme="minorBidi"/>
          <w:sz w:val="22"/>
          <w:szCs w:val="22"/>
        </w:rPr>
        <w:t xml:space="preserve">Establish an independent inspection/control system/body comprising representatives of government, employees, and employers to ensure self-control of the labour market as well as to monitor the implementation of labour law. </w:t>
      </w:r>
    </w:p>
    <w:p w14:paraId="7BC3A953" w14:textId="77777777" w:rsidR="002557B7" w:rsidRPr="00DB0C40" w:rsidRDefault="002557B7">
      <w:pPr>
        <w:numPr>
          <w:ilvl w:val="0"/>
          <w:numId w:val="41"/>
        </w:numPr>
        <w:spacing w:after="160" w:line="259" w:lineRule="auto"/>
        <w:jc w:val="both"/>
        <w:rPr>
          <w:rFonts w:asciiTheme="minorHAnsi" w:eastAsiaTheme="minorHAnsi" w:hAnsiTheme="minorHAnsi" w:cstheme="minorBidi"/>
          <w:sz w:val="22"/>
          <w:szCs w:val="22"/>
        </w:rPr>
      </w:pPr>
      <w:r w:rsidRPr="00DB0C40">
        <w:rPr>
          <w:rFonts w:asciiTheme="minorHAnsi" w:eastAsiaTheme="minorHAnsi" w:hAnsiTheme="minorHAnsi" w:cstheme="minorBidi"/>
          <w:sz w:val="22"/>
          <w:szCs w:val="22"/>
        </w:rPr>
        <w:t>In order for the worker and the employer not to come face to face, punishment should be avoided, and the method of self-control and incentives should be applied.</w:t>
      </w:r>
    </w:p>
    <w:bookmarkEnd w:id="175"/>
    <w:p w14:paraId="57E9DA43" w14:textId="77777777" w:rsidR="00CD2A61" w:rsidRDefault="00E941FF" w:rsidP="002557B7">
      <w:pPr>
        <w:spacing w:after="160" w:line="259" w:lineRule="auto"/>
        <w:jc w:val="both"/>
        <w:rPr>
          <w:rFonts w:asciiTheme="majorHAnsi" w:eastAsiaTheme="majorEastAsia" w:hAnsiTheme="majorHAnsi" w:cstheme="majorBidi"/>
          <w:color w:val="1F3763" w:themeColor="accent1" w:themeShade="7F"/>
        </w:rPr>
      </w:pPr>
      <w:r>
        <w:rPr>
          <w:rFonts w:asciiTheme="majorHAnsi" w:eastAsiaTheme="majorEastAsia" w:hAnsiTheme="majorHAnsi" w:cstheme="majorBidi"/>
          <w:color w:val="1F3763" w:themeColor="accent1" w:themeShade="7F"/>
        </w:rPr>
        <w:t>6.2.9. Summation of Recommendations</w:t>
      </w:r>
    </w:p>
    <w:p w14:paraId="71B311EC" w14:textId="0361BF05" w:rsidR="002557B7" w:rsidRPr="00DB0C40" w:rsidRDefault="002557B7" w:rsidP="002557B7">
      <w:pPr>
        <w:spacing w:after="160" w:line="259" w:lineRule="auto"/>
        <w:jc w:val="both"/>
        <w:rPr>
          <w:rFonts w:asciiTheme="minorHAnsi" w:eastAsiaTheme="minorHAnsi" w:hAnsiTheme="minorHAnsi" w:cstheme="minorBidi"/>
          <w:sz w:val="22"/>
          <w:szCs w:val="22"/>
        </w:rPr>
      </w:pPr>
      <w:r w:rsidRPr="00DB0C40">
        <w:rPr>
          <w:rFonts w:asciiTheme="minorHAnsi" w:eastAsiaTheme="minorHAnsi" w:hAnsiTheme="minorHAnsi" w:cstheme="minorBidi"/>
          <w:sz w:val="22"/>
          <w:szCs w:val="22"/>
        </w:rPr>
        <w:t>Here we bring together all the Recommendations mentioned above:</w:t>
      </w:r>
    </w:p>
    <w:p w14:paraId="74A3A6D6" w14:textId="77777777" w:rsidR="003A3990" w:rsidRDefault="002557B7">
      <w:pPr>
        <w:numPr>
          <w:ilvl w:val="0"/>
          <w:numId w:val="38"/>
        </w:numPr>
        <w:spacing w:after="160" w:line="259" w:lineRule="auto"/>
        <w:contextualSpacing/>
        <w:jc w:val="both"/>
        <w:rPr>
          <w:rFonts w:asciiTheme="minorHAnsi" w:eastAsiaTheme="minorHAnsi" w:hAnsiTheme="minorHAnsi" w:cstheme="minorBidi"/>
          <w:sz w:val="22"/>
          <w:szCs w:val="22"/>
        </w:rPr>
      </w:pPr>
      <w:r w:rsidRPr="00DB0C40">
        <w:rPr>
          <w:rFonts w:asciiTheme="minorHAnsi" w:eastAsiaTheme="minorHAnsi" w:hAnsiTheme="minorHAnsi" w:cstheme="minorBidi"/>
          <w:sz w:val="22"/>
          <w:szCs w:val="22"/>
        </w:rPr>
        <w:t xml:space="preserve">amend the general framework for equal treatment in employment and occupation needs to ensure the implementation of the principle of equal opportunities and equal treatment of men and women in matters of employment and occupation. (Although equality is included in the Constitution and </w:t>
      </w:r>
      <w:r w:rsidRPr="00DB0C40">
        <w:rPr>
          <w:rFonts w:asciiTheme="minorHAnsi" w:eastAsiaTheme="minorHAnsi" w:hAnsiTheme="minorHAnsi" w:cstheme="minorBidi"/>
          <w:sz w:val="22"/>
          <w:szCs w:val="22"/>
        </w:rPr>
        <w:lastRenderedPageBreak/>
        <w:t>the law safeguards equal treatment for all, de facto discrimination in the access to employment, including promotion, and vocational training; working conditions, including pay; occupational social security schemes need additional regulation for effective implementation).</w:t>
      </w:r>
    </w:p>
    <w:p w14:paraId="7DC388E9" w14:textId="181EE77F" w:rsidR="002557B7" w:rsidRPr="00DB0C40" w:rsidRDefault="002557B7">
      <w:pPr>
        <w:numPr>
          <w:ilvl w:val="0"/>
          <w:numId w:val="38"/>
        </w:numPr>
        <w:spacing w:after="160" w:line="259" w:lineRule="auto"/>
        <w:contextualSpacing/>
        <w:jc w:val="both"/>
        <w:rPr>
          <w:rFonts w:asciiTheme="minorHAnsi" w:eastAsiaTheme="minorHAnsi" w:hAnsiTheme="minorHAnsi" w:cstheme="minorBidi"/>
          <w:sz w:val="22"/>
          <w:szCs w:val="22"/>
        </w:rPr>
      </w:pPr>
      <w:r w:rsidRPr="00DB0C40">
        <w:rPr>
          <w:rFonts w:asciiTheme="minorHAnsi" w:eastAsiaTheme="minorHAnsi" w:hAnsiTheme="minorHAnsi" w:cstheme="minorBidi"/>
          <w:sz w:val="22"/>
          <w:szCs w:val="22"/>
        </w:rPr>
        <w:t xml:space="preserve">  </w:t>
      </w:r>
    </w:p>
    <w:p w14:paraId="51684E5A" w14:textId="77777777" w:rsidR="002557B7" w:rsidRPr="00DB0C40" w:rsidRDefault="002557B7">
      <w:pPr>
        <w:numPr>
          <w:ilvl w:val="0"/>
          <w:numId w:val="38"/>
        </w:numPr>
        <w:spacing w:after="160" w:line="259" w:lineRule="auto"/>
        <w:contextualSpacing/>
        <w:jc w:val="both"/>
        <w:rPr>
          <w:rFonts w:asciiTheme="minorHAnsi" w:eastAsiaTheme="minorHAnsi" w:hAnsiTheme="minorHAnsi" w:cstheme="minorBidi"/>
          <w:sz w:val="22"/>
          <w:szCs w:val="22"/>
        </w:rPr>
      </w:pPr>
      <w:r w:rsidRPr="00DB0C40">
        <w:rPr>
          <w:rFonts w:asciiTheme="minorHAnsi" w:eastAsiaTheme="minorHAnsi" w:hAnsiTheme="minorHAnsi" w:cstheme="minorBidi"/>
          <w:sz w:val="22"/>
          <w:szCs w:val="22"/>
        </w:rPr>
        <w:t>Reinforce the principle of equal treatment between persons irrespective of religion or belief, disability, or age inside and outside the labour market (including informal workers, etc.). The framework could contain provisions to ensure that such implementation is made more effective by the establishment of appropriate procedures and some examples of discrimination to clearer up the definition. (e.g., Provisions contrary to the principle of equal treatment might include those based on sex, either directly or indirectly, for: determining the persons who may participate in an occupational social security scheme; fixing the compulsory or optional nature of participation in an occupational social security scheme; laying down different rules as regards the age of entry into the scheme or the minimum period of employment or membership of the scheme required to obtain the benefits thereof).</w:t>
      </w:r>
    </w:p>
    <w:p w14:paraId="2992A857" w14:textId="77777777" w:rsidR="002557B7" w:rsidRPr="00DB0C40" w:rsidRDefault="002557B7">
      <w:pPr>
        <w:numPr>
          <w:ilvl w:val="0"/>
          <w:numId w:val="38"/>
        </w:numPr>
        <w:spacing w:after="160" w:line="259" w:lineRule="auto"/>
        <w:contextualSpacing/>
        <w:jc w:val="both"/>
        <w:rPr>
          <w:rFonts w:asciiTheme="minorHAnsi" w:eastAsiaTheme="minorHAnsi" w:hAnsiTheme="minorHAnsi" w:cstheme="minorBidi"/>
          <w:sz w:val="22"/>
          <w:szCs w:val="22"/>
        </w:rPr>
      </w:pPr>
      <w:r w:rsidRPr="00DB0C40">
        <w:rPr>
          <w:rFonts w:asciiTheme="minorHAnsi" w:eastAsiaTheme="minorHAnsi" w:hAnsiTheme="minorHAnsi" w:cstheme="minorBidi"/>
          <w:sz w:val="22"/>
          <w:szCs w:val="22"/>
        </w:rPr>
        <w:t>Include into the equality framework a clause on the requirement for social dialogue to foster equal treatment, through the monitoring of workplace practices, collective agreements, codes of conduct and through research or exchange of experiences and good practices.  To strengthen the involvement of social partners, without prejudice to their autonomy, in collective bargaining arrangements aimed at establishing anti-discrimination rules.</w:t>
      </w:r>
    </w:p>
    <w:p w14:paraId="7A50DCAE" w14:textId="77777777" w:rsidR="002557B7" w:rsidRPr="00DB0C40" w:rsidRDefault="002557B7">
      <w:pPr>
        <w:numPr>
          <w:ilvl w:val="0"/>
          <w:numId w:val="38"/>
        </w:numPr>
        <w:spacing w:after="160" w:line="259" w:lineRule="auto"/>
        <w:contextualSpacing/>
        <w:jc w:val="both"/>
        <w:rPr>
          <w:rFonts w:asciiTheme="minorHAnsi" w:eastAsiaTheme="minorHAnsi" w:hAnsiTheme="minorHAnsi" w:cstheme="minorBidi"/>
          <w:sz w:val="22"/>
          <w:szCs w:val="22"/>
        </w:rPr>
      </w:pPr>
      <w:r w:rsidRPr="00DB0C40">
        <w:rPr>
          <w:rFonts w:asciiTheme="minorHAnsi" w:eastAsiaTheme="minorHAnsi" w:hAnsiTheme="minorHAnsi" w:cstheme="minorBidi"/>
          <w:sz w:val="22"/>
          <w:szCs w:val="22"/>
        </w:rPr>
        <w:t>Ensure the application of the principle of equal treatment between men and women engaged in self-employment and home- based working.</w:t>
      </w:r>
    </w:p>
    <w:p w14:paraId="0B2EFF91" w14:textId="77777777" w:rsidR="002557B7" w:rsidRPr="00DB0C40" w:rsidRDefault="002557B7">
      <w:pPr>
        <w:numPr>
          <w:ilvl w:val="0"/>
          <w:numId w:val="38"/>
        </w:numPr>
        <w:spacing w:after="160" w:line="259" w:lineRule="auto"/>
        <w:contextualSpacing/>
        <w:jc w:val="both"/>
        <w:rPr>
          <w:rFonts w:asciiTheme="minorHAnsi" w:eastAsiaTheme="minorHAnsi" w:hAnsiTheme="minorHAnsi" w:cstheme="minorBidi"/>
          <w:sz w:val="22"/>
          <w:szCs w:val="22"/>
        </w:rPr>
      </w:pPr>
      <w:r w:rsidRPr="00DB0C40">
        <w:rPr>
          <w:rFonts w:asciiTheme="minorHAnsi" w:eastAsiaTheme="minorHAnsi" w:hAnsiTheme="minorHAnsi" w:cstheme="minorBidi"/>
          <w:sz w:val="22"/>
          <w:szCs w:val="22"/>
        </w:rPr>
        <w:t xml:space="preserve">Eliminate differences between the Labour Law and Public Servants Law No: 657 in terms of provisions related to women employees mainly breastfeeding and unpaid work leaves. </w:t>
      </w:r>
    </w:p>
    <w:p w14:paraId="250F16FF" w14:textId="77777777" w:rsidR="002557B7" w:rsidRPr="00DB0C40" w:rsidRDefault="002557B7">
      <w:pPr>
        <w:numPr>
          <w:ilvl w:val="0"/>
          <w:numId w:val="38"/>
        </w:numPr>
        <w:spacing w:after="160" w:line="259" w:lineRule="auto"/>
        <w:contextualSpacing/>
        <w:jc w:val="both"/>
        <w:rPr>
          <w:rFonts w:asciiTheme="minorHAnsi" w:eastAsiaTheme="minorHAnsi" w:hAnsiTheme="minorHAnsi" w:cstheme="minorBidi"/>
          <w:sz w:val="22"/>
          <w:szCs w:val="22"/>
        </w:rPr>
      </w:pPr>
      <w:r w:rsidRPr="00DB0C40">
        <w:rPr>
          <w:rFonts w:asciiTheme="minorHAnsi" w:eastAsiaTheme="minorHAnsi" w:hAnsiTheme="minorHAnsi" w:cstheme="minorBidi"/>
          <w:sz w:val="22"/>
          <w:szCs w:val="22"/>
        </w:rPr>
        <w:t>Ensure mothers are granted at least 14 weeks of leave paid at a rate of at least two-thirds of previous earnings according to ILO Convention No. 183, or up to 18 weeks at one hundred per cent according to ILO Recommendation No. 191.</w:t>
      </w:r>
    </w:p>
    <w:p w14:paraId="4EF20CC0" w14:textId="77777777" w:rsidR="002557B7" w:rsidRPr="00DB0C40" w:rsidRDefault="002557B7">
      <w:pPr>
        <w:numPr>
          <w:ilvl w:val="0"/>
          <w:numId w:val="38"/>
        </w:numPr>
        <w:spacing w:after="160" w:line="259" w:lineRule="auto"/>
        <w:contextualSpacing/>
        <w:jc w:val="both"/>
        <w:rPr>
          <w:rFonts w:asciiTheme="minorHAnsi" w:eastAsiaTheme="minorHAnsi" w:hAnsiTheme="minorHAnsi" w:cstheme="minorBidi"/>
          <w:sz w:val="22"/>
          <w:szCs w:val="22"/>
        </w:rPr>
      </w:pPr>
      <w:r w:rsidRPr="00DB0C40">
        <w:rPr>
          <w:rFonts w:asciiTheme="minorHAnsi" w:eastAsiaTheme="minorHAnsi" w:hAnsiTheme="minorHAnsi" w:cstheme="minorBidi"/>
          <w:sz w:val="22"/>
          <w:szCs w:val="22"/>
        </w:rPr>
        <w:t>Ensure that fathers have access to compulsory paid parental leave for a meaningful period and that a sizable amount of parental leave is reserved for the father, and cannot be transferred to the mother.</w:t>
      </w:r>
    </w:p>
    <w:p w14:paraId="36E012F8" w14:textId="77777777" w:rsidR="002557B7" w:rsidRPr="00DB0C40" w:rsidRDefault="002557B7">
      <w:pPr>
        <w:numPr>
          <w:ilvl w:val="0"/>
          <w:numId w:val="38"/>
        </w:numPr>
        <w:spacing w:after="160" w:line="259" w:lineRule="auto"/>
        <w:contextualSpacing/>
        <w:jc w:val="both"/>
        <w:rPr>
          <w:rFonts w:asciiTheme="minorHAnsi" w:eastAsiaTheme="minorHAnsi" w:hAnsiTheme="minorHAnsi" w:cstheme="minorBidi"/>
          <w:sz w:val="22"/>
          <w:szCs w:val="22"/>
        </w:rPr>
      </w:pPr>
      <w:r w:rsidRPr="00DB0C40">
        <w:rPr>
          <w:rFonts w:asciiTheme="minorHAnsi" w:eastAsiaTheme="minorHAnsi" w:hAnsiTheme="minorHAnsi" w:cstheme="minorBidi"/>
          <w:sz w:val="22"/>
          <w:szCs w:val="22"/>
        </w:rPr>
        <w:t>Ensure that other forms of leave, such as adoption leave or leave to care for disabled or sick children, adult, or older family members, are granted.</w:t>
      </w:r>
    </w:p>
    <w:p w14:paraId="4D44792D" w14:textId="77777777" w:rsidR="002557B7" w:rsidRPr="00DB0C40" w:rsidRDefault="002557B7">
      <w:pPr>
        <w:numPr>
          <w:ilvl w:val="0"/>
          <w:numId w:val="38"/>
        </w:numPr>
        <w:spacing w:after="160" w:line="259" w:lineRule="auto"/>
        <w:contextualSpacing/>
        <w:jc w:val="both"/>
        <w:rPr>
          <w:rFonts w:asciiTheme="minorHAnsi" w:eastAsiaTheme="minorHAnsi" w:hAnsiTheme="minorHAnsi" w:cstheme="minorBidi"/>
          <w:sz w:val="22"/>
          <w:szCs w:val="22"/>
        </w:rPr>
      </w:pPr>
      <w:r w:rsidRPr="00DB0C40">
        <w:rPr>
          <w:rFonts w:asciiTheme="minorHAnsi" w:eastAsiaTheme="minorHAnsi" w:hAnsiTheme="minorHAnsi" w:cstheme="minorBidi"/>
          <w:sz w:val="22"/>
          <w:szCs w:val="22"/>
        </w:rPr>
        <w:t>Ensure employment protection during leave and the guarantee of the right to return to the same position.</w:t>
      </w:r>
    </w:p>
    <w:p w14:paraId="56E99F51" w14:textId="77777777" w:rsidR="002557B7" w:rsidRPr="00DB0C40" w:rsidRDefault="002557B7">
      <w:pPr>
        <w:numPr>
          <w:ilvl w:val="0"/>
          <w:numId w:val="38"/>
        </w:numPr>
        <w:spacing w:after="160" w:line="259" w:lineRule="auto"/>
        <w:contextualSpacing/>
        <w:jc w:val="both"/>
        <w:rPr>
          <w:rFonts w:asciiTheme="minorHAnsi" w:eastAsiaTheme="minorHAnsi" w:hAnsiTheme="minorHAnsi" w:cstheme="minorBidi"/>
          <w:sz w:val="22"/>
          <w:szCs w:val="22"/>
        </w:rPr>
      </w:pPr>
      <w:r w:rsidRPr="00DB0C40">
        <w:rPr>
          <w:rFonts w:asciiTheme="minorHAnsi" w:eastAsiaTheme="minorHAnsi" w:hAnsiTheme="minorHAnsi" w:cstheme="minorBidi"/>
          <w:sz w:val="22"/>
          <w:szCs w:val="22"/>
        </w:rPr>
        <w:t>Provide clarity on the rights of the mothers and breastfeeding mothers with regard to the qualifying period for nursing breaks and/or the reduction of daily hours of work permissible, including their number, the duration of nursing breaks and the procedures for the reduction of daily hours of work. And to ensure that nursing breaks and the reduction of daily hours of work are counted as working time and remunerated accordingly.</w:t>
      </w:r>
    </w:p>
    <w:p w14:paraId="5B91DCD0" w14:textId="77777777" w:rsidR="002557B7" w:rsidRPr="00DB0C40" w:rsidRDefault="002557B7">
      <w:pPr>
        <w:numPr>
          <w:ilvl w:val="0"/>
          <w:numId w:val="38"/>
        </w:numPr>
        <w:spacing w:after="160" w:line="259" w:lineRule="auto"/>
        <w:contextualSpacing/>
        <w:jc w:val="both"/>
        <w:rPr>
          <w:rFonts w:asciiTheme="minorHAnsi" w:eastAsiaTheme="minorHAnsi" w:hAnsiTheme="minorHAnsi" w:cstheme="minorBidi"/>
          <w:sz w:val="22"/>
          <w:szCs w:val="22"/>
        </w:rPr>
      </w:pPr>
      <w:r w:rsidRPr="00DB0C40">
        <w:rPr>
          <w:rFonts w:asciiTheme="minorHAnsi" w:eastAsiaTheme="minorHAnsi" w:hAnsiTheme="minorHAnsi" w:cstheme="minorBidi"/>
          <w:sz w:val="22"/>
          <w:szCs w:val="22"/>
        </w:rPr>
        <w:t>Review the effectiveness of the policy requiring establishments with over 150 employees to provide nurseries, taking into account the full workforce and not only the women within it.</w:t>
      </w:r>
    </w:p>
    <w:p w14:paraId="05D0F11B" w14:textId="77777777" w:rsidR="002557B7" w:rsidRPr="00DB0C40" w:rsidRDefault="002557B7">
      <w:pPr>
        <w:numPr>
          <w:ilvl w:val="0"/>
          <w:numId w:val="38"/>
        </w:numPr>
        <w:spacing w:after="160" w:line="259" w:lineRule="auto"/>
        <w:contextualSpacing/>
        <w:jc w:val="both"/>
        <w:rPr>
          <w:rFonts w:asciiTheme="minorHAnsi" w:eastAsiaTheme="minorHAnsi" w:hAnsiTheme="minorHAnsi" w:cstheme="minorBidi"/>
          <w:sz w:val="22"/>
          <w:szCs w:val="22"/>
        </w:rPr>
      </w:pPr>
      <w:r w:rsidRPr="00DB0C40">
        <w:rPr>
          <w:rFonts w:asciiTheme="minorHAnsi" w:eastAsiaTheme="minorHAnsi" w:hAnsiTheme="minorHAnsi" w:cstheme="minorBidi"/>
          <w:sz w:val="22"/>
          <w:szCs w:val="22"/>
        </w:rPr>
        <w:t>Provide the possibility to negotiate for flexible working arrangements after maternity leave.</w:t>
      </w:r>
    </w:p>
    <w:p w14:paraId="3BBE4E9C" w14:textId="77777777" w:rsidR="002557B7" w:rsidRPr="00DB0C40" w:rsidRDefault="002557B7">
      <w:pPr>
        <w:numPr>
          <w:ilvl w:val="0"/>
          <w:numId w:val="38"/>
        </w:numPr>
        <w:spacing w:after="160" w:line="259" w:lineRule="auto"/>
        <w:contextualSpacing/>
        <w:jc w:val="both"/>
        <w:rPr>
          <w:rFonts w:asciiTheme="minorHAnsi" w:eastAsiaTheme="minorHAnsi" w:hAnsiTheme="minorHAnsi" w:cstheme="minorBidi"/>
          <w:sz w:val="22"/>
          <w:szCs w:val="22"/>
        </w:rPr>
      </w:pPr>
      <w:r w:rsidRPr="00DB0C40">
        <w:rPr>
          <w:rFonts w:asciiTheme="minorHAnsi" w:eastAsiaTheme="minorHAnsi" w:hAnsiTheme="minorHAnsi" w:cstheme="minorBidi"/>
          <w:sz w:val="22"/>
          <w:szCs w:val="22"/>
        </w:rPr>
        <w:t>Conduct a transparent gender-based pay gap review among public and private structures to assess whether gender pay gap exists and to what extent, and to repeat the exercise on an annual/bi-annual basis.</w:t>
      </w:r>
    </w:p>
    <w:p w14:paraId="0EDA7A30" w14:textId="77777777" w:rsidR="002557B7" w:rsidRPr="00DB0C40" w:rsidRDefault="002557B7">
      <w:pPr>
        <w:numPr>
          <w:ilvl w:val="0"/>
          <w:numId w:val="38"/>
        </w:numPr>
        <w:spacing w:after="160" w:line="259" w:lineRule="auto"/>
        <w:contextualSpacing/>
        <w:jc w:val="both"/>
        <w:rPr>
          <w:rFonts w:asciiTheme="minorHAnsi" w:eastAsiaTheme="minorHAnsi" w:hAnsiTheme="minorHAnsi" w:cstheme="minorBidi"/>
          <w:sz w:val="22"/>
          <w:szCs w:val="22"/>
        </w:rPr>
      </w:pPr>
      <w:r w:rsidRPr="00DB0C40">
        <w:rPr>
          <w:rFonts w:asciiTheme="minorHAnsi" w:eastAsiaTheme="minorHAnsi" w:hAnsiTheme="minorHAnsi" w:cstheme="minorBidi"/>
          <w:sz w:val="22"/>
          <w:szCs w:val="22"/>
        </w:rPr>
        <w:lastRenderedPageBreak/>
        <w:t>Develop approaches to progressively achieve universal access to transformative and nationally-designed care policy packages that include a combination of time (leave), benefits (income security), services, and the right to care and be cared for. And also to establish a statutory universal and free (or substantially subsidised) long-term care policy and service.</w:t>
      </w:r>
    </w:p>
    <w:p w14:paraId="6E8E29CC" w14:textId="77777777" w:rsidR="002557B7" w:rsidRPr="00DB0C40" w:rsidRDefault="002557B7">
      <w:pPr>
        <w:numPr>
          <w:ilvl w:val="0"/>
          <w:numId w:val="38"/>
        </w:numPr>
        <w:spacing w:after="160" w:line="259" w:lineRule="auto"/>
        <w:contextualSpacing/>
        <w:jc w:val="both"/>
        <w:rPr>
          <w:rFonts w:asciiTheme="minorHAnsi" w:eastAsiaTheme="minorHAnsi" w:hAnsiTheme="minorHAnsi" w:cstheme="minorBidi"/>
          <w:sz w:val="22"/>
          <w:szCs w:val="22"/>
        </w:rPr>
      </w:pPr>
      <w:r w:rsidRPr="00DB0C40">
        <w:rPr>
          <w:rFonts w:asciiTheme="minorHAnsi" w:eastAsiaTheme="minorHAnsi" w:hAnsiTheme="minorHAnsi" w:cstheme="minorBidi"/>
          <w:sz w:val="22"/>
          <w:szCs w:val="22"/>
        </w:rPr>
        <w:t xml:space="preserve">Review labour standards legislation affecting part-time and temporary workers, platform workers, and particularly domestic and care workers (where women predominate) with a view to improving terms and conditions of employment including rights to social benefits, including also Care incentives for them.  </w:t>
      </w:r>
    </w:p>
    <w:p w14:paraId="5EE6774F" w14:textId="77777777" w:rsidR="002557B7" w:rsidRPr="00DB0C40" w:rsidRDefault="002557B7">
      <w:pPr>
        <w:numPr>
          <w:ilvl w:val="0"/>
          <w:numId w:val="38"/>
        </w:numPr>
        <w:spacing w:after="160" w:line="259" w:lineRule="auto"/>
        <w:contextualSpacing/>
        <w:jc w:val="both"/>
        <w:rPr>
          <w:rFonts w:asciiTheme="minorHAnsi" w:eastAsiaTheme="minorHAnsi" w:hAnsiTheme="minorHAnsi" w:cstheme="minorBidi"/>
          <w:sz w:val="22"/>
          <w:szCs w:val="22"/>
        </w:rPr>
      </w:pPr>
      <w:r w:rsidRPr="00DB0C40">
        <w:rPr>
          <w:rFonts w:asciiTheme="minorHAnsi" w:eastAsiaTheme="minorHAnsi" w:hAnsiTheme="minorHAnsi" w:cstheme="minorBidi"/>
          <w:sz w:val="22"/>
          <w:szCs w:val="22"/>
        </w:rPr>
        <w:t>Adopt an inclusive, integrated and gender-responsive approach to prevent and address violence towards women in the world of work and also to provide support for employment of women who are exposed to violence.</w:t>
      </w:r>
    </w:p>
    <w:p w14:paraId="4A7C09CF" w14:textId="77777777" w:rsidR="002557B7" w:rsidRPr="00DB0C40" w:rsidRDefault="002557B7">
      <w:pPr>
        <w:numPr>
          <w:ilvl w:val="0"/>
          <w:numId w:val="38"/>
        </w:numPr>
        <w:spacing w:after="160" w:line="259" w:lineRule="auto"/>
        <w:contextualSpacing/>
        <w:jc w:val="both"/>
        <w:rPr>
          <w:rFonts w:asciiTheme="minorHAnsi" w:eastAsiaTheme="minorHAnsi" w:hAnsiTheme="minorHAnsi" w:cstheme="minorBidi"/>
          <w:sz w:val="22"/>
          <w:szCs w:val="22"/>
        </w:rPr>
      </w:pPr>
      <w:r w:rsidRPr="00DB0C40">
        <w:rPr>
          <w:rFonts w:asciiTheme="minorHAnsi" w:eastAsiaTheme="minorHAnsi" w:hAnsiTheme="minorHAnsi" w:cstheme="minorBidi"/>
          <w:sz w:val="22"/>
          <w:szCs w:val="22"/>
        </w:rPr>
        <w:t xml:space="preserve">Establish an independent inspection/control system/body comprising representatives of government, employees, and employers to ensure self-control of the labour market as well as monitor the implementation of labour law. </w:t>
      </w:r>
    </w:p>
    <w:p w14:paraId="13912A8F" w14:textId="77777777" w:rsidR="002557B7" w:rsidRPr="00DB0C40" w:rsidRDefault="002557B7">
      <w:pPr>
        <w:numPr>
          <w:ilvl w:val="0"/>
          <w:numId w:val="38"/>
        </w:numPr>
        <w:spacing w:after="160" w:line="259" w:lineRule="auto"/>
        <w:contextualSpacing/>
        <w:jc w:val="both"/>
        <w:rPr>
          <w:rFonts w:asciiTheme="minorHAnsi" w:eastAsiaTheme="minorHAnsi" w:hAnsiTheme="minorHAnsi" w:cstheme="minorBidi"/>
          <w:sz w:val="22"/>
          <w:szCs w:val="22"/>
        </w:rPr>
      </w:pPr>
      <w:r w:rsidRPr="00DB0C40">
        <w:rPr>
          <w:rFonts w:asciiTheme="minorHAnsi" w:eastAsiaTheme="minorHAnsi" w:hAnsiTheme="minorHAnsi" w:cstheme="minorBidi"/>
          <w:sz w:val="22"/>
          <w:szCs w:val="22"/>
        </w:rPr>
        <w:t>In order for the worker and the employer not to come face to face, punishment should be avoided, and the method of self-control and incentives should be applied.</w:t>
      </w:r>
    </w:p>
    <w:p w14:paraId="431A7A0E" w14:textId="77777777" w:rsidR="002557B7" w:rsidRPr="00DB0C40" w:rsidRDefault="002557B7" w:rsidP="002557B7">
      <w:pPr>
        <w:spacing w:after="160" w:line="259" w:lineRule="auto"/>
        <w:ind w:left="360"/>
        <w:jc w:val="both"/>
        <w:rPr>
          <w:rFonts w:asciiTheme="minorHAnsi" w:eastAsiaTheme="minorHAnsi" w:hAnsiTheme="minorHAnsi" w:cstheme="minorBidi"/>
          <w:sz w:val="22"/>
          <w:szCs w:val="22"/>
        </w:rPr>
      </w:pPr>
    </w:p>
    <w:p w14:paraId="165127B9" w14:textId="3EF7EA80" w:rsidR="00BB44E1" w:rsidRPr="00CD2A61" w:rsidRDefault="004C19E5" w:rsidP="007037F9">
      <w:pPr>
        <w:spacing w:before="240" w:after="240"/>
        <w:rPr>
          <w:rFonts w:asciiTheme="majorHAnsi" w:eastAsiaTheme="majorEastAsia" w:hAnsiTheme="majorHAnsi" w:cstheme="majorBidi"/>
          <w:color w:val="1F3763" w:themeColor="accent1" w:themeShade="7F"/>
        </w:rPr>
      </w:pPr>
      <w:r w:rsidRPr="00CD2A61">
        <w:rPr>
          <w:rFonts w:asciiTheme="majorHAnsi" w:eastAsiaTheme="majorEastAsia" w:hAnsiTheme="majorHAnsi" w:cstheme="majorBidi"/>
          <w:color w:val="1F3763" w:themeColor="accent1" w:themeShade="7F"/>
        </w:rPr>
        <w:t>7.</w:t>
      </w:r>
      <w:r w:rsidR="00230B49" w:rsidRPr="00CD2A61">
        <w:rPr>
          <w:rFonts w:asciiTheme="majorHAnsi" w:eastAsiaTheme="majorEastAsia" w:hAnsiTheme="majorHAnsi" w:cstheme="majorBidi"/>
          <w:color w:val="1F3763" w:themeColor="accent1" w:themeShade="7F"/>
        </w:rPr>
        <w:t xml:space="preserve"> CONCLUSIONS </w:t>
      </w:r>
    </w:p>
    <w:p w14:paraId="00C5AD3C" w14:textId="45505DDC" w:rsidR="00BB44E1" w:rsidRPr="00DB0C40" w:rsidRDefault="00AC20EA">
      <w:pPr>
        <w:pStyle w:val="ListParagraph"/>
        <w:numPr>
          <w:ilvl w:val="0"/>
          <w:numId w:val="16"/>
        </w:numPr>
        <w:spacing w:before="240" w:after="240"/>
        <w:jc w:val="both"/>
        <w:rPr>
          <w:sz w:val="22"/>
          <w:szCs w:val="22"/>
        </w:rPr>
      </w:pPr>
      <w:r>
        <w:rPr>
          <w:sz w:val="22"/>
          <w:szCs w:val="22"/>
        </w:rPr>
        <w:t>Türkiye</w:t>
      </w:r>
      <w:r w:rsidR="00230B49" w:rsidRPr="00DB0C40">
        <w:rPr>
          <w:sz w:val="22"/>
          <w:szCs w:val="22"/>
        </w:rPr>
        <w:t xml:space="preserve"> has the goal of increasing women's employment included in all </w:t>
      </w:r>
      <w:r>
        <w:rPr>
          <w:sz w:val="22"/>
          <w:szCs w:val="22"/>
        </w:rPr>
        <w:t>Türkiye</w:t>
      </w:r>
      <w:r w:rsidR="00230B49" w:rsidRPr="00DB0C40">
        <w:rPr>
          <w:sz w:val="22"/>
          <w:szCs w:val="22"/>
        </w:rPr>
        <w:t xml:space="preserve"> Development Plans (particularly in 10</w:t>
      </w:r>
      <w:r w:rsidR="00230B49" w:rsidRPr="00DB0C40">
        <w:rPr>
          <w:sz w:val="22"/>
          <w:szCs w:val="22"/>
          <w:vertAlign w:val="superscript"/>
        </w:rPr>
        <w:t>th</w:t>
      </w:r>
      <w:r w:rsidR="00230B49" w:rsidRPr="00DB0C40">
        <w:rPr>
          <w:sz w:val="22"/>
          <w:szCs w:val="22"/>
        </w:rPr>
        <w:t xml:space="preserve"> Development Plan 2014 – 2018 and 11</w:t>
      </w:r>
      <w:r w:rsidR="00230B49" w:rsidRPr="00DB0C40">
        <w:rPr>
          <w:sz w:val="22"/>
          <w:szCs w:val="22"/>
          <w:vertAlign w:val="superscript"/>
        </w:rPr>
        <w:t>th</w:t>
      </w:r>
      <w:r w:rsidR="00230B49" w:rsidRPr="00DB0C40">
        <w:rPr>
          <w:sz w:val="22"/>
          <w:szCs w:val="22"/>
        </w:rPr>
        <w:t xml:space="preserve"> Development Plan 2019 – 2023), National Employment Strategies and National Plans for Gender Equality. At the same time, in the negotiations in the EU membership process, the female employment rate is constantly emphasised as one of the macro indicators that </w:t>
      </w:r>
      <w:r>
        <w:rPr>
          <w:sz w:val="22"/>
          <w:szCs w:val="22"/>
        </w:rPr>
        <w:t>Türkiye</w:t>
      </w:r>
      <w:r w:rsidR="00230B49" w:rsidRPr="00DB0C40">
        <w:rPr>
          <w:sz w:val="22"/>
          <w:szCs w:val="22"/>
        </w:rPr>
        <w:t xml:space="preserve"> should make progress on. In this context, there have been considerable legislative amendments and also some regulations were introduced in </w:t>
      </w:r>
      <w:r>
        <w:rPr>
          <w:sz w:val="22"/>
          <w:szCs w:val="22"/>
        </w:rPr>
        <w:t>Türkiye</w:t>
      </w:r>
      <w:r w:rsidR="00230B49" w:rsidRPr="00DB0C40">
        <w:rPr>
          <w:sz w:val="22"/>
          <w:szCs w:val="22"/>
        </w:rPr>
        <w:t xml:space="preserve"> in the last two decades, particularly on gender equality at work.</w:t>
      </w:r>
    </w:p>
    <w:p w14:paraId="3A93822E" w14:textId="4B4A220E" w:rsidR="00BB44E1" w:rsidRPr="00DB0C40" w:rsidRDefault="00230B49">
      <w:pPr>
        <w:pStyle w:val="ListParagraph"/>
        <w:numPr>
          <w:ilvl w:val="0"/>
          <w:numId w:val="16"/>
        </w:numPr>
        <w:spacing w:before="240" w:after="240"/>
        <w:jc w:val="both"/>
        <w:rPr>
          <w:sz w:val="22"/>
          <w:szCs w:val="22"/>
        </w:rPr>
      </w:pPr>
      <w:r w:rsidRPr="00DB0C40">
        <w:rPr>
          <w:sz w:val="22"/>
          <w:szCs w:val="22"/>
        </w:rPr>
        <w:t>During the Interviews done, the interviewees agreed that the most influential provisions of the Labour Law are Articles 5, 72, 73, 74, and 104 which specifically refers to anti-discrimination, working leaves, maternity leaves, maternal insurance for women workers. They also pointed out an existing need to have more support from the State to the employers to fulfil the responsibilities given to them like the day care centre and breastfeeding room obligation. They also pointed out that existing legislation needs to be actualised to cover non-standard work and care facilities.</w:t>
      </w:r>
    </w:p>
    <w:p w14:paraId="47F5FF12" w14:textId="4D279EB1" w:rsidR="00BB44E1" w:rsidRPr="00DB0C40" w:rsidRDefault="00230B49">
      <w:pPr>
        <w:pStyle w:val="ListParagraph"/>
        <w:numPr>
          <w:ilvl w:val="0"/>
          <w:numId w:val="16"/>
        </w:numPr>
        <w:spacing w:before="240" w:after="240"/>
        <w:jc w:val="both"/>
        <w:rPr>
          <w:sz w:val="22"/>
          <w:szCs w:val="22"/>
        </w:rPr>
      </w:pPr>
      <w:r w:rsidRPr="00DB0C40">
        <w:rPr>
          <w:sz w:val="22"/>
          <w:szCs w:val="22"/>
        </w:rPr>
        <w:t>The main conclusions of the Pre – Study Workshop to promote women’s employment were  categorised in three different groups) a) general structure of the legislation b) suggested areas that need improvement in the existing labour law, and c) suggested new areas of action. On the first, the changes on legislation to increase the promotion of gender equality was the more relevant with an equalisation between the Labour law and Public Servants Law No: 657 in terms of provisions related to women employees mainly breastfeeding and unpaid work leaves. In the second category, it appears duration of maternity and unpaid work leave, the sanction of a nursery requirement for workplaces employing 150 and more women, and different weekly working times after maternity leaves by considering the number of children. On the third category, the stakeholders consider care work, care incentives, violence at work, new conditions for home-based working conditions (remote working)</w:t>
      </w:r>
    </w:p>
    <w:p w14:paraId="43472B1B" w14:textId="70050151" w:rsidR="00BB44E1" w:rsidRPr="00DB0C40" w:rsidRDefault="00230B49">
      <w:pPr>
        <w:pStyle w:val="ListParagraph"/>
        <w:numPr>
          <w:ilvl w:val="0"/>
          <w:numId w:val="16"/>
        </w:numPr>
        <w:spacing w:before="240" w:after="240"/>
        <w:jc w:val="both"/>
        <w:rPr>
          <w:sz w:val="22"/>
          <w:szCs w:val="22"/>
        </w:rPr>
      </w:pPr>
      <w:r w:rsidRPr="00DB0C40">
        <w:rPr>
          <w:sz w:val="22"/>
          <w:szCs w:val="22"/>
        </w:rPr>
        <w:t xml:space="preserve">The findings from the field study on employee´s answers indicate that “maternity leave”, “breastfeeding leave”, and “anti-discrimination” provisions of the law are the most effective and widely used at the enterprises. However, the findings also suggest that there is room for </w:t>
      </w:r>
      <w:r w:rsidRPr="00DB0C40">
        <w:rPr>
          <w:sz w:val="22"/>
          <w:szCs w:val="22"/>
        </w:rPr>
        <w:lastRenderedPageBreak/>
        <w:t>improvement for the law by including elderly and patient care within the scope of the law and by levelling up the duration of maternity in the private sector. In addition, state support for more and better crèches/nurseries are widely suggested by the respondents in the study.</w:t>
      </w:r>
    </w:p>
    <w:p w14:paraId="1C4D9549" w14:textId="77777777" w:rsidR="00BB44E1" w:rsidRPr="00DB0C40" w:rsidRDefault="00BB44E1">
      <w:pPr>
        <w:spacing w:before="240" w:after="240"/>
        <w:jc w:val="both"/>
        <w:rPr>
          <w:sz w:val="22"/>
          <w:szCs w:val="22"/>
        </w:rPr>
      </w:pPr>
    </w:p>
    <w:p w14:paraId="104D8A6B" w14:textId="77777777" w:rsidR="004C19E5" w:rsidRPr="00DB0C40" w:rsidRDefault="00230B49" w:rsidP="004C19E5">
      <w:pPr>
        <w:spacing w:before="240" w:after="240"/>
        <w:rPr>
          <w:b/>
          <w:sz w:val="22"/>
          <w:szCs w:val="22"/>
        </w:rPr>
      </w:pPr>
      <w:r w:rsidRPr="00DB0C40">
        <w:rPr>
          <w:sz w:val="22"/>
          <w:szCs w:val="22"/>
        </w:rPr>
        <w:t xml:space="preserve"> </w:t>
      </w:r>
      <w:r w:rsidR="004C19E5" w:rsidRPr="00DB0C40">
        <w:rPr>
          <w:b/>
          <w:sz w:val="22"/>
          <w:szCs w:val="22"/>
        </w:rPr>
        <w:t>FoW TAT</w:t>
      </w:r>
    </w:p>
    <w:p w14:paraId="09C3F1E8" w14:textId="0B047EB1" w:rsidR="004C19E5" w:rsidRDefault="004C19E5" w:rsidP="004C19E5">
      <w:pPr>
        <w:spacing w:before="240" w:after="240"/>
        <w:rPr>
          <w:b/>
          <w:sz w:val="22"/>
          <w:szCs w:val="22"/>
        </w:rPr>
      </w:pPr>
      <w:r w:rsidRPr="00DB0C40">
        <w:rPr>
          <w:b/>
          <w:sz w:val="22"/>
          <w:szCs w:val="22"/>
        </w:rPr>
        <w:t>Ju</w:t>
      </w:r>
      <w:r w:rsidR="00E941FF">
        <w:rPr>
          <w:b/>
          <w:sz w:val="22"/>
          <w:szCs w:val="22"/>
        </w:rPr>
        <w:t>ly</w:t>
      </w:r>
      <w:r w:rsidRPr="00DB0C40">
        <w:rPr>
          <w:b/>
          <w:sz w:val="22"/>
          <w:szCs w:val="22"/>
        </w:rPr>
        <w:t xml:space="preserve"> 2022</w:t>
      </w:r>
    </w:p>
    <w:p w14:paraId="467CF403" w14:textId="42A9FB45" w:rsidR="00E07BEB" w:rsidRDefault="00E07BEB">
      <w:pPr>
        <w:rPr>
          <w:b/>
          <w:sz w:val="22"/>
          <w:szCs w:val="22"/>
        </w:rPr>
      </w:pPr>
      <w:r>
        <w:rPr>
          <w:b/>
          <w:sz w:val="22"/>
          <w:szCs w:val="22"/>
        </w:rPr>
        <w:br w:type="page"/>
      </w:r>
    </w:p>
    <w:p w14:paraId="0E195A4A" w14:textId="6471816A" w:rsidR="00E07BEB" w:rsidRPr="00E07BEB" w:rsidRDefault="00E07BEB" w:rsidP="00E07BEB">
      <w:pPr>
        <w:pStyle w:val="ListParagraph"/>
        <w:numPr>
          <w:ilvl w:val="0"/>
          <w:numId w:val="9"/>
        </w:numPr>
        <w:jc w:val="both"/>
        <w:rPr>
          <w:rFonts w:asciiTheme="majorHAnsi" w:eastAsiaTheme="majorEastAsia" w:hAnsiTheme="majorHAnsi" w:cstheme="majorBidi"/>
          <w:color w:val="1F3763" w:themeColor="accent1" w:themeShade="7F"/>
        </w:rPr>
      </w:pPr>
      <w:r w:rsidRPr="00E07BEB">
        <w:rPr>
          <w:rFonts w:asciiTheme="majorHAnsi" w:eastAsiaTheme="majorEastAsia" w:hAnsiTheme="majorHAnsi" w:cstheme="majorBidi"/>
          <w:color w:val="1F3763" w:themeColor="accent1" w:themeShade="7F"/>
        </w:rPr>
        <w:lastRenderedPageBreak/>
        <w:t>RESOURCES</w:t>
      </w:r>
    </w:p>
    <w:p w14:paraId="717EA6FB" w14:textId="77777777" w:rsidR="00E07BEB" w:rsidRPr="00E07BEB" w:rsidRDefault="00E07BEB" w:rsidP="00E07BEB">
      <w:pPr>
        <w:pStyle w:val="ListParagraph"/>
        <w:jc w:val="both"/>
        <w:rPr>
          <w:b/>
          <w:sz w:val="22"/>
          <w:szCs w:val="22"/>
        </w:rPr>
      </w:pPr>
    </w:p>
    <w:p w14:paraId="4802FCB0" w14:textId="77777777" w:rsidR="00E07BEB" w:rsidRPr="00E07BEB" w:rsidRDefault="00E07BEB">
      <w:pPr>
        <w:numPr>
          <w:ilvl w:val="0"/>
          <w:numId w:val="51"/>
        </w:numPr>
        <w:spacing w:after="160" w:line="259" w:lineRule="auto"/>
        <w:contextualSpacing/>
        <w:jc w:val="both"/>
        <w:rPr>
          <w:rFonts w:asciiTheme="minorHAnsi" w:eastAsiaTheme="minorHAnsi" w:hAnsiTheme="minorHAnsi" w:cstheme="minorBidi"/>
          <w:sz w:val="22"/>
          <w:szCs w:val="22"/>
        </w:rPr>
      </w:pPr>
      <w:r w:rsidRPr="00E07BEB">
        <w:rPr>
          <w:rFonts w:asciiTheme="minorHAnsi" w:eastAsiaTheme="minorHAnsi" w:hAnsiTheme="minorHAnsi" w:cstheme="minorBidi"/>
          <w:sz w:val="22"/>
          <w:szCs w:val="22"/>
        </w:rPr>
        <w:t xml:space="preserve">Arenas-Arroyo, E.; Fernandez-Kranz, D.; Nollenberger, N., ‘Can’t Leave You Now! Intimate Partner Violence under Forced Coexistence and Economic Uncertainty,’ IZA Institute of Labour Economics, Discussion Paper Series No.13570, 2020. Available at </w:t>
      </w:r>
      <w:hyperlink r:id="rId73" w:history="1">
        <w:r w:rsidRPr="00E07BEB">
          <w:rPr>
            <w:rFonts w:asciiTheme="minorHAnsi" w:eastAsiaTheme="minorHAnsi" w:hAnsiTheme="minorHAnsi" w:cstheme="minorBidi"/>
            <w:color w:val="0563C1" w:themeColor="hyperlink"/>
            <w:sz w:val="22"/>
            <w:szCs w:val="22"/>
            <w:u w:val="single"/>
          </w:rPr>
          <w:t>https://covid-19.iza.org/publications/dp13570/</w:t>
        </w:r>
      </w:hyperlink>
    </w:p>
    <w:p w14:paraId="35A4C554" w14:textId="77777777" w:rsidR="00E07BEB" w:rsidRPr="00E07BEB" w:rsidRDefault="00E07BEB">
      <w:pPr>
        <w:numPr>
          <w:ilvl w:val="0"/>
          <w:numId w:val="51"/>
        </w:numPr>
        <w:spacing w:after="160" w:line="259" w:lineRule="auto"/>
        <w:contextualSpacing/>
        <w:jc w:val="both"/>
        <w:rPr>
          <w:rFonts w:asciiTheme="minorHAnsi" w:eastAsiaTheme="minorHAnsi" w:hAnsiTheme="minorHAnsi" w:cstheme="minorBidi"/>
          <w:sz w:val="22"/>
          <w:szCs w:val="22"/>
        </w:rPr>
      </w:pPr>
      <w:r w:rsidRPr="00E07BEB">
        <w:rPr>
          <w:rFonts w:asciiTheme="minorHAnsi" w:eastAsiaTheme="minorHAnsi" w:hAnsiTheme="minorHAnsi" w:cstheme="minorBidi"/>
          <w:sz w:val="22"/>
          <w:szCs w:val="22"/>
        </w:rPr>
        <w:t>Deloitte Global Centre for Corporate Governance (2017) Women in the boardroom: A global perspective, 5</w:t>
      </w:r>
      <w:r w:rsidRPr="00E07BEB">
        <w:rPr>
          <w:rFonts w:asciiTheme="minorHAnsi" w:eastAsiaTheme="minorHAnsi" w:hAnsiTheme="minorHAnsi" w:cstheme="minorBidi"/>
          <w:sz w:val="22"/>
          <w:szCs w:val="22"/>
          <w:vertAlign w:val="superscript"/>
        </w:rPr>
        <w:t>th</w:t>
      </w:r>
      <w:r w:rsidRPr="00E07BEB">
        <w:rPr>
          <w:rFonts w:asciiTheme="minorHAnsi" w:eastAsiaTheme="minorHAnsi" w:hAnsiTheme="minorHAnsi" w:cstheme="minorBidi"/>
          <w:sz w:val="22"/>
          <w:szCs w:val="22"/>
        </w:rPr>
        <w:t xml:space="preserve"> Edition, available at: </w:t>
      </w:r>
      <w:hyperlink r:id="rId74" w:history="1">
        <w:r w:rsidRPr="00E07BEB">
          <w:rPr>
            <w:rFonts w:asciiTheme="minorHAnsi" w:eastAsiaTheme="minorHAnsi" w:hAnsiTheme="minorHAnsi" w:cstheme="minorBidi"/>
            <w:color w:val="0563C1" w:themeColor="hyperlink"/>
            <w:sz w:val="22"/>
            <w:szCs w:val="22"/>
            <w:u w:val="single"/>
          </w:rPr>
          <w:t>https://www2.deloitte.com/content/dam/Deloitte/cz/Documents/about-deloitte/cz-women-in-the-boardroom-5th-edition.pdf</w:t>
        </w:r>
      </w:hyperlink>
    </w:p>
    <w:p w14:paraId="0D32F5BF" w14:textId="77777777" w:rsidR="00E07BEB" w:rsidRPr="00E07BEB" w:rsidRDefault="00E07BEB">
      <w:pPr>
        <w:numPr>
          <w:ilvl w:val="0"/>
          <w:numId w:val="51"/>
        </w:numPr>
        <w:spacing w:after="160" w:line="259" w:lineRule="auto"/>
        <w:contextualSpacing/>
        <w:jc w:val="both"/>
        <w:rPr>
          <w:rFonts w:asciiTheme="minorHAnsi" w:eastAsiaTheme="minorHAnsi" w:hAnsiTheme="minorHAnsi" w:cstheme="minorBidi"/>
          <w:sz w:val="22"/>
          <w:szCs w:val="22"/>
          <w:lang w:val="en-US"/>
        </w:rPr>
      </w:pPr>
      <w:r w:rsidRPr="00E07BEB">
        <w:rPr>
          <w:rFonts w:asciiTheme="minorHAnsi" w:eastAsiaTheme="minorHAnsi" w:hAnsiTheme="minorHAnsi" w:cstheme="minorBidi"/>
          <w:sz w:val="22"/>
          <w:szCs w:val="22"/>
        </w:rPr>
        <w:t>Edin, P., and M. Gustavsson (2008) “Time out of Work and Skill Depreciation.” Industrial and Labour Relations Review  61 (2): 163–80.</w:t>
      </w:r>
    </w:p>
    <w:p w14:paraId="770A45C6" w14:textId="77777777" w:rsidR="00E07BEB" w:rsidRPr="00E07BEB" w:rsidRDefault="00E07BEB">
      <w:pPr>
        <w:numPr>
          <w:ilvl w:val="0"/>
          <w:numId w:val="51"/>
        </w:numPr>
        <w:spacing w:after="160" w:line="259" w:lineRule="auto"/>
        <w:contextualSpacing/>
        <w:jc w:val="both"/>
        <w:rPr>
          <w:rFonts w:asciiTheme="minorHAnsi" w:eastAsiaTheme="minorHAnsi" w:hAnsiTheme="minorHAnsi" w:cstheme="minorBidi"/>
          <w:sz w:val="22"/>
          <w:szCs w:val="22"/>
          <w:lang w:val="en-US"/>
        </w:rPr>
      </w:pPr>
      <w:r w:rsidRPr="00E07BEB">
        <w:rPr>
          <w:rFonts w:asciiTheme="minorHAnsi" w:eastAsiaTheme="minorHAnsi" w:hAnsiTheme="minorHAnsi" w:cstheme="minorBidi"/>
          <w:sz w:val="22"/>
          <w:szCs w:val="22"/>
          <w:lang w:val="en-US"/>
        </w:rPr>
        <w:t xml:space="preserve">European Commission (2019) 2019 Report on equality between women and men in the EU, Brussels available at: </w:t>
      </w:r>
      <w:hyperlink r:id="rId75" w:tgtFrame="_blank" w:history="1">
        <w:r w:rsidRPr="00E07BEB">
          <w:rPr>
            <w:rFonts w:asciiTheme="minorHAnsi" w:eastAsiaTheme="minorHAnsi" w:hAnsiTheme="minorHAnsi" w:cstheme="minorBidi"/>
            <w:color w:val="0563C1" w:themeColor="hyperlink"/>
            <w:sz w:val="22"/>
            <w:szCs w:val="22"/>
            <w:u w:val="single"/>
          </w:rPr>
          <w:t>https://op.europa.eu/en/publication-detail/-/publication/f3dd1274-7788-11e9-9f05-01aa75ed71a1/</w:t>
        </w:r>
      </w:hyperlink>
    </w:p>
    <w:p w14:paraId="6023AF45" w14:textId="77777777" w:rsidR="00E07BEB" w:rsidRPr="00E07BEB" w:rsidRDefault="00E07BEB">
      <w:pPr>
        <w:numPr>
          <w:ilvl w:val="0"/>
          <w:numId w:val="51"/>
        </w:numPr>
        <w:spacing w:after="160" w:line="259" w:lineRule="auto"/>
        <w:contextualSpacing/>
        <w:jc w:val="both"/>
        <w:rPr>
          <w:rFonts w:asciiTheme="minorHAnsi" w:eastAsiaTheme="minorHAnsi" w:hAnsiTheme="minorHAnsi" w:cstheme="minorBidi"/>
          <w:sz w:val="22"/>
          <w:szCs w:val="22"/>
        </w:rPr>
      </w:pPr>
      <w:r w:rsidRPr="00E07BEB">
        <w:rPr>
          <w:rFonts w:asciiTheme="minorHAnsi" w:eastAsiaTheme="minorHAnsi" w:hAnsiTheme="minorHAnsi" w:cstheme="minorBidi"/>
          <w:sz w:val="22"/>
          <w:szCs w:val="22"/>
        </w:rPr>
        <w:t xml:space="preserve">European Commission (2021) 2021 report on gender equality in the EU, available at: </w:t>
      </w:r>
      <w:hyperlink r:id="rId76" w:tgtFrame="_blank" w:history="1">
        <w:r w:rsidRPr="00E07BEB">
          <w:rPr>
            <w:rFonts w:asciiTheme="minorHAnsi" w:eastAsiaTheme="minorHAnsi" w:hAnsiTheme="minorHAnsi" w:cstheme="minorBidi"/>
            <w:color w:val="0563C1" w:themeColor="hyperlink"/>
            <w:sz w:val="22"/>
            <w:szCs w:val="22"/>
            <w:u w:val="single"/>
          </w:rPr>
          <w:t>https://op.europa.eu/en/publication-detail/-/publication/11d9cab1-fa52-11eb-b520-01aa75ed71a1</w:t>
        </w:r>
      </w:hyperlink>
    </w:p>
    <w:p w14:paraId="5407CB19" w14:textId="71E3812C" w:rsidR="00E07BEB" w:rsidRPr="00E07BEB" w:rsidRDefault="00E07BEB">
      <w:pPr>
        <w:numPr>
          <w:ilvl w:val="0"/>
          <w:numId w:val="51"/>
        </w:numPr>
        <w:spacing w:after="160" w:line="259" w:lineRule="auto"/>
        <w:contextualSpacing/>
        <w:jc w:val="both"/>
        <w:rPr>
          <w:rFonts w:asciiTheme="minorHAnsi" w:eastAsiaTheme="minorHAnsi" w:hAnsiTheme="minorHAnsi" w:cstheme="minorBidi"/>
          <w:sz w:val="22"/>
          <w:szCs w:val="22"/>
        </w:rPr>
      </w:pPr>
      <w:r w:rsidRPr="00E07BEB">
        <w:rPr>
          <w:rFonts w:asciiTheme="minorHAnsi" w:eastAsiaTheme="minorHAnsi" w:hAnsiTheme="minorHAnsi" w:cstheme="minorBidi"/>
          <w:sz w:val="22"/>
          <w:szCs w:val="22"/>
        </w:rPr>
        <w:t xml:space="preserve">European Parliament (2012) Gender equality in </w:t>
      </w:r>
      <w:r w:rsidR="00AC20EA">
        <w:rPr>
          <w:rFonts w:asciiTheme="minorHAnsi" w:eastAsiaTheme="minorHAnsi" w:hAnsiTheme="minorHAnsi" w:cstheme="minorBidi"/>
          <w:sz w:val="22"/>
          <w:szCs w:val="22"/>
        </w:rPr>
        <w:t>Türkiye</w:t>
      </w:r>
      <w:r w:rsidRPr="00E07BEB">
        <w:rPr>
          <w:rFonts w:asciiTheme="minorHAnsi" w:eastAsiaTheme="minorHAnsi" w:hAnsiTheme="minorHAnsi" w:cstheme="minorBidi"/>
          <w:sz w:val="22"/>
          <w:szCs w:val="22"/>
        </w:rPr>
        <w:t xml:space="preserve">, available in </w:t>
      </w:r>
      <w:hyperlink r:id="rId77" w:history="1">
        <w:r w:rsidRPr="00E07BEB">
          <w:rPr>
            <w:rFonts w:asciiTheme="minorHAnsi" w:eastAsiaTheme="minorHAnsi" w:hAnsiTheme="minorHAnsi" w:cstheme="minorBidi"/>
            <w:color w:val="0563C1" w:themeColor="hyperlink"/>
            <w:sz w:val="22"/>
            <w:szCs w:val="22"/>
            <w:u w:val="single"/>
          </w:rPr>
          <w:t>https://www.europarl.europa.eu/RegData/etudes/note/join/2012/462428/IPOL-FEMM_NT(2012)462428_EN.pdf</w:t>
        </w:r>
      </w:hyperlink>
    </w:p>
    <w:p w14:paraId="4A07608A" w14:textId="73742CD2" w:rsidR="00E07BEB" w:rsidRPr="00E07BEB" w:rsidRDefault="00E07BEB">
      <w:pPr>
        <w:numPr>
          <w:ilvl w:val="0"/>
          <w:numId w:val="51"/>
        </w:numPr>
        <w:spacing w:after="160" w:line="259" w:lineRule="auto"/>
        <w:contextualSpacing/>
        <w:jc w:val="both"/>
        <w:rPr>
          <w:rFonts w:asciiTheme="minorHAnsi" w:eastAsiaTheme="minorHAnsi" w:hAnsiTheme="minorHAnsi" w:cstheme="minorBidi"/>
          <w:sz w:val="22"/>
          <w:szCs w:val="22"/>
          <w:lang w:val="en-US"/>
        </w:rPr>
      </w:pPr>
      <w:r w:rsidRPr="00E07BEB">
        <w:rPr>
          <w:rFonts w:asciiTheme="minorHAnsi" w:eastAsiaTheme="minorHAnsi" w:hAnsiTheme="minorHAnsi" w:cstheme="minorBidi"/>
          <w:sz w:val="22"/>
          <w:szCs w:val="22"/>
        </w:rPr>
        <w:t>Ghani, E., W. Kerr, and S. O’Connell (2013) “Promoting Women’s Economic Participation in India.” Economic Premise No. 107</w:t>
      </w:r>
    </w:p>
    <w:p w14:paraId="180F5B89" w14:textId="77777777" w:rsidR="00E07BEB" w:rsidRPr="00E07BEB" w:rsidRDefault="00E07BEB">
      <w:pPr>
        <w:numPr>
          <w:ilvl w:val="0"/>
          <w:numId w:val="51"/>
        </w:numPr>
        <w:spacing w:after="160" w:line="259" w:lineRule="auto"/>
        <w:contextualSpacing/>
        <w:jc w:val="both"/>
        <w:rPr>
          <w:rFonts w:asciiTheme="minorHAnsi" w:eastAsiaTheme="minorHAnsi" w:hAnsiTheme="minorHAnsi" w:cstheme="minorBidi"/>
          <w:sz w:val="22"/>
          <w:szCs w:val="22"/>
          <w:lang w:val="en-US"/>
        </w:rPr>
      </w:pPr>
      <w:r w:rsidRPr="00E07BEB">
        <w:rPr>
          <w:rFonts w:asciiTheme="minorHAnsi" w:eastAsiaTheme="minorHAnsi" w:hAnsiTheme="minorHAnsi" w:cstheme="minorBidi"/>
          <w:sz w:val="22"/>
          <w:szCs w:val="22"/>
        </w:rPr>
        <w:t>Gong, X., R. Breunig, and A. King  (2010) “How Responsive is Female Labour Supply to Child Care Costs? New Australian Estimates.” IZA Discussion Paper No. 5119, Institute for the Study of Labour, Bonn.</w:t>
      </w:r>
    </w:p>
    <w:p w14:paraId="20376299" w14:textId="77777777" w:rsidR="00E07BEB" w:rsidRPr="00E07BEB" w:rsidRDefault="00E07BEB">
      <w:pPr>
        <w:numPr>
          <w:ilvl w:val="0"/>
          <w:numId w:val="51"/>
        </w:numPr>
        <w:spacing w:after="160" w:line="259" w:lineRule="auto"/>
        <w:contextualSpacing/>
        <w:jc w:val="both"/>
        <w:rPr>
          <w:rFonts w:asciiTheme="minorHAnsi" w:eastAsiaTheme="minorHAnsi" w:hAnsiTheme="minorHAnsi" w:cstheme="minorBidi"/>
          <w:sz w:val="22"/>
          <w:szCs w:val="22"/>
          <w:lang w:val="en-US"/>
        </w:rPr>
      </w:pPr>
      <w:r w:rsidRPr="00E07BEB">
        <w:rPr>
          <w:rFonts w:asciiTheme="minorHAnsi" w:eastAsiaTheme="minorHAnsi" w:hAnsiTheme="minorHAnsi" w:cstheme="minorBidi"/>
          <w:sz w:val="22"/>
          <w:szCs w:val="22"/>
          <w:lang w:val="en-US"/>
        </w:rPr>
        <w:t xml:space="preserve">ILO (2016) Women at work: Trends 2016 (Geneva), available at: </w:t>
      </w:r>
      <w:hyperlink r:id="rId78" w:tgtFrame="_blank" w:history="1">
        <w:r w:rsidRPr="00E07BEB">
          <w:rPr>
            <w:rFonts w:asciiTheme="minorHAnsi" w:eastAsiaTheme="minorHAnsi" w:hAnsiTheme="minorHAnsi" w:cstheme="minorBidi"/>
            <w:color w:val="0563C1" w:themeColor="hyperlink"/>
            <w:sz w:val="22"/>
            <w:szCs w:val="22"/>
            <w:u w:val="single"/>
          </w:rPr>
          <w:t>https://www.ilo.org/gender/Informationresources/Publications/WCMS_457317/lang--en/index.htm</w:t>
        </w:r>
      </w:hyperlink>
    </w:p>
    <w:p w14:paraId="07CE5A88" w14:textId="77777777" w:rsidR="00E07BEB" w:rsidRPr="00E07BEB" w:rsidRDefault="00E07BEB">
      <w:pPr>
        <w:numPr>
          <w:ilvl w:val="0"/>
          <w:numId w:val="51"/>
        </w:numPr>
        <w:spacing w:after="160" w:line="259" w:lineRule="auto"/>
        <w:contextualSpacing/>
        <w:jc w:val="both"/>
        <w:rPr>
          <w:rFonts w:asciiTheme="minorHAnsi" w:eastAsiaTheme="minorHAnsi" w:hAnsiTheme="minorHAnsi" w:cstheme="minorBidi"/>
          <w:sz w:val="22"/>
          <w:szCs w:val="22"/>
        </w:rPr>
      </w:pPr>
      <w:r w:rsidRPr="00E07BEB">
        <w:rPr>
          <w:rFonts w:asciiTheme="minorHAnsi" w:eastAsiaTheme="minorHAnsi" w:hAnsiTheme="minorHAnsi" w:cstheme="minorBidi"/>
          <w:sz w:val="22"/>
          <w:szCs w:val="22"/>
        </w:rPr>
        <w:t xml:space="preserve">ILO (2019) A quantum leap for gender equality: For a better future of work for all, Geneva, available at: </w:t>
      </w:r>
      <w:hyperlink r:id="rId79" w:tgtFrame="_blank" w:history="1">
        <w:r w:rsidRPr="00E07BEB">
          <w:rPr>
            <w:rFonts w:asciiTheme="minorHAnsi" w:eastAsiaTheme="minorHAnsi" w:hAnsiTheme="minorHAnsi" w:cstheme="minorBidi"/>
            <w:color w:val="0563C1" w:themeColor="hyperlink"/>
            <w:sz w:val="22"/>
            <w:szCs w:val="22"/>
            <w:u w:val="single"/>
          </w:rPr>
          <w:t>https://www.ilo.org/global/publications/books/WCMS_674831/lang--en/index.htm</w:t>
        </w:r>
      </w:hyperlink>
    </w:p>
    <w:p w14:paraId="1273C9CF" w14:textId="77777777" w:rsidR="00E07BEB" w:rsidRPr="00E07BEB" w:rsidRDefault="00E07BEB">
      <w:pPr>
        <w:numPr>
          <w:ilvl w:val="0"/>
          <w:numId w:val="51"/>
        </w:numPr>
        <w:spacing w:after="160" w:line="259" w:lineRule="auto"/>
        <w:contextualSpacing/>
        <w:jc w:val="both"/>
        <w:rPr>
          <w:rFonts w:asciiTheme="minorHAnsi" w:eastAsiaTheme="minorHAnsi" w:hAnsiTheme="minorHAnsi" w:cstheme="minorBidi"/>
          <w:sz w:val="22"/>
          <w:szCs w:val="22"/>
          <w:lang w:val="en-US"/>
        </w:rPr>
      </w:pPr>
      <w:r w:rsidRPr="00E07BEB">
        <w:rPr>
          <w:rFonts w:asciiTheme="minorHAnsi" w:eastAsiaTheme="minorHAnsi" w:hAnsiTheme="minorHAnsi" w:cstheme="minorBidi"/>
          <w:sz w:val="22"/>
          <w:szCs w:val="22"/>
          <w:lang w:val="en-US"/>
        </w:rPr>
        <w:t xml:space="preserve">ILO (2019) Understanding the Gender Pay Gap, available at:  </w:t>
      </w:r>
      <w:hyperlink r:id="rId80" w:history="1">
        <w:r w:rsidRPr="00E07BEB">
          <w:rPr>
            <w:rFonts w:asciiTheme="minorHAnsi" w:eastAsiaTheme="minorHAnsi" w:hAnsiTheme="minorHAnsi" w:cstheme="minorBidi"/>
            <w:color w:val="0563C1" w:themeColor="hyperlink"/>
            <w:sz w:val="22"/>
            <w:szCs w:val="22"/>
            <w:u w:val="single"/>
            <w:lang w:val="en-US"/>
          </w:rPr>
          <w:t>https://www.ilo.org/wcmsp5/groups/public/---europe/---ro-geneva/---ilo-ankara/documents/publication/wcms_707580.pdf</w:t>
        </w:r>
      </w:hyperlink>
    </w:p>
    <w:p w14:paraId="7F11B8BA" w14:textId="77777777" w:rsidR="00E07BEB" w:rsidRPr="00E07BEB" w:rsidRDefault="00E07BEB">
      <w:pPr>
        <w:numPr>
          <w:ilvl w:val="0"/>
          <w:numId w:val="51"/>
        </w:numPr>
        <w:spacing w:after="160" w:line="259" w:lineRule="auto"/>
        <w:contextualSpacing/>
        <w:jc w:val="both"/>
        <w:rPr>
          <w:rFonts w:asciiTheme="minorHAnsi" w:eastAsiaTheme="minorHAnsi" w:hAnsiTheme="minorHAnsi" w:cstheme="minorBidi"/>
          <w:sz w:val="22"/>
          <w:szCs w:val="22"/>
          <w:lang w:val="en-US"/>
        </w:rPr>
      </w:pPr>
      <w:r w:rsidRPr="00E07BEB">
        <w:rPr>
          <w:rFonts w:asciiTheme="minorHAnsi" w:eastAsiaTheme="minorHAnsi" w:hAnsiTheme="minorHAnsi" w:cstheme="minorBidi"/>
          <w:sz w:val="22"/>
          <w:szCs w:val="22"/>
          <w:lang w:val="en-US"/>
        </w:rPr>
        <w:t xml:space="preserve">ILO (2019) Women in Business and Management: The business case for change, Geneva available at: </w:t>
      </w:r>
      <w:hyperlink r:id="rId81" w:tgtFrame="_blank" w:history="1">
        <w:r w:rsidRPr="00E07BEB">
          <w:rPr>
            <w:rFonts w:asciiTheme="minorHAnsi" w:eastAsiaTheme="minorHAnsi" w:hAnsiTheme="minorHAnsi" w:cstheme="minorBidi"/>
            <w:color w:val="0563C1" w:themeColor="hyperlink"/>
            <w:sz w:val="22"/>
            <w:szCs w:val="22"/>
            <w:u w:val="single"/>
          </w:rPr>
          <w:t>https://www.ilo.org/wcmsp5/groups/public/---dgreports/---dcomm/---publ/documents/publication/wcms_700953.pdf</w:t>
        </w:r>
      </w:hyperlink>
    </w:p>
    <w:p w14:paraId="65E8B00E" w14:textId="77777777" w:rsidR="00E07BEB" w:rsidRPr="00E07BEB" w:rsidRDefault="00E07BEB">
      <w:pPr>
        <w:numPr>
          <w:ilvl w:val="0"/>
          <w:numId w:val="51"/>
        </w:numPr>
        <w:spacing w:after="160" w:line="259" w:lineRule="auto"/>
        <w:contextualSpacing/>
        <w:jc w:val="both"/>
        <w:rPr>
          <w:rFonts w:asciiTheme="minorHAnsi" w:eastAsiaTheme="minorHAnsi" w:hAnsiTheme="minorHAnsi" w:cstheme="minorBidi"/>
          <w:sz w:val="22"/>
          <w:szCs w:val="22"/>
          <w:lang w:val="en-US"/>
        </w:rPr>
      </w:pPr>
      <w:r w:rsidRPr="00E07BEB">
        <w:rPr>
          <w:rFonts w:asciiTheme="minorHAnsi" w:eastAsiaTheme="minorHAnsi" w:hAnsiTheme="minorHAnsi" w:cstheme="minorBidi"/>
          <w:sz w:val="22"/>
          <w:szCs w:val="22"/>
        </w:rPr>
        <w:t>ILO and Eurofound (2019) Working conditions in a global perspective, available at: https://www.ilo.org/wcmsp5/groups/public/---dgreports/---dcomm/---publ/documents/publication/wcms_696174.pdf</w:t>
      </w:r>
    </w:p>
    <w:p w14:paraId="2AB6E5EC" w14:textId="77777777" w:rsidR="00E07BEB" w:rsidRPr="00E07BEB" w:rsidRDefault="00E07BEB">
      <w:pPr>
        <w:numPr>
          <w:ilvl w:val="0"/>
          <w:numId w:val="51"/>
        </w:numPr>
        <w:spacing w:after="160" w:line="259" w:lineRule="auto"/>
        <w:contextualSpacing/>
        <w:jc w:val="both"/>
        <w:rPr>
          <w:rFonts w:asciiTheme="minorHAnsi" w:eastAsiaTheme="minorHAnsi" w:hAnsiTheme="minorHAnsi" w:cstheme="minorBidi"/>
          <w:sz w:val="22"/>
          <w:szCs w:val="22"/>
          <w:lang w:val="en-US"/>
        </w:rPr>
      </w:pPr>
      <w:r w:rsidRPr="00E07BEB">
        <w:rPr>
          <w:rFonts w:asciiTheme="minorHAnsi" w:eastAsiaTheme="minorHAnsi" w:hAnsiTheme="minorHAnsi" w:cstheme="minorBidi"/>
          <w:sz w:val="22"/>
          <w:szCs w:val="22"/>
          <w:lang w:val="en-US"/>
        </w:rPr>
        <w:t xml:space="preserve">ILO and UN Women (2021) Rethinking gender-responsive procurement: Enabling an ecosystem for women’s economic empowerment, available at: </w:t>
      </w:r>
      <w:hyperlink r:id="rId82" w:history="1">
        <w:r w:rsidRPr="00E07BEB">
          <w:rPr>
            <w:rFonts w:asciiTheme="minorHAnsi" w:eastAsiaTheme="minorHAnsi" w:hAnsiTheme="minorHAnsi" w:cstheme="minorBidi"/>
            <w:color w:val="0563C1" w:themeColor="hyperlink"/>
            <w:sz w:val="22"/>
            <w:szCs w:val="22"/>
            <w:u w:val="single"/>
            <w:lang w:val="en-US"/>
          </w:rPr>
          <w:t>https://www.unwomen.org/en/digital-library/publications/2021/07/rethinking-gender-responsive-procurement</w:t>
        </w:r>
      </w:hyperlink>
    </w:p>
    <w:p w14:paraId="459F6A99" w14:textId="77777777" w:rsidR="00E07BEB" w:rsidRPr="00E07BEB" w:rsidRDefault="00E07BEB">
      <w:pPr>
        <w:numPr>
          <w:ilvl w:val="0"/>
          <w:numId w:val="51"/>
        </w:numPr>
        <w:spacing w:after="160" w:line="259" w:lineRule="auto"/>
        <w:contextualSpacing/>
        <w:jc w:val="both"/>
        <w:rPr>
          <w:rFonts w:asciiTheme="minorHAnsi" w:eastAsiaTheme="minorHAnsi" w:hAnsiTheme="minorHAnsi" w:cstheme="minorBidi"/>
          <w:sz w:val="22"/>
          <w:szCs w:val="22"/>
        </w:rPr>
      </w:pPr>
      <w:r w:rsidRPr="00E07BEB">
        <w:rPr>
          <w:rFonts w:asciiTheme="minorHAnsi" w:eastAsiaTheme="minorHAnsi" w:hAnsiTheme="minorHAnsi" w:cstheme="minorBidi"/>
          <w:sz w:val="22"/>
          <w:szCs w:val="22"/>
        </w:rPr>
        <w:t xml:space="preserve">ILO, Measuring the gender wage gap. Türkiye case, available at: </w:t>
      </w:r>
      <w:hyperlink r:id="rId83" w:history="1">
        <w:r w:rsidRPr="00E07BEB">
          <w:rPr>
            <w:rFonts w:asciiTheme="minorHAnsi" w:eastAsiaTheme="minorHAnsi" w:hAnsiTheme="minorHAnsi" w:cstheme="minorBidi"/>
            <w:color w:val="0563C1" w:themeColor="hyperlink"/>
            <w:sz w:val="22"/>
            <w:szCs w:val="22"/>
            <w:u w:val="single"/>
          </w:rPr>
          <w:t>https://www.ilo.org/ankara/publications/WCMS_756660/lang--en/index.htm</w:t>
        </w:r>
      </w:hyperlink>
    </w:p>
    <w:p w14:paraId="0FC93D96" w14:textId="77777777" w:rsidR="00E07BEB" w:rsidRPr="00E07BEB" w:rsidRDefault="00E07BEB">
      <w:pPr>
        <w:numPr>
          <w:ilvl w:val="0"/>
          <w:numId w:val="51"/>
        </w:numPr>
        <w:spacing w:after="160" w:line="259" w:lineRule="auto"/>
        <w:contextualSpacing/>
        <w:jc w:val="both"/>
        <w:rPr>
          <w:rFonts w:asciiTheme="minorHAnsi" w:eastAsiaTheme="minorHAnsi" w:hAnsiTheme="minorHAnsi" w:cstheme="minorBidi"/>
          <w:sz w:val="22"/>
          <w:szCs w:val="22"/>
          <w:u w:val="single"/>
        </w:rPr>
      </w:pPr>
      <w:r w:rsidRPr="00E07BEB">
        <w:rPr>
          <w:rFonts w:asciiTheme="minorHAnsi" w:eastAsiaTheme="minorHAnsi" w:hAnsiTheme="minorHAnsi" w:cstheme="minorBidi"/>
          <w:sz w:val="22"/>
          <w:szCs w:val="22"/>
          <w:lang w:val="en-US"/>
        </w:rPr>
        <w:lastRenderedPageBreak/>
        <w:t xml:space="preserve">ILO, undated. Fact Sheet: Sexual Harassment at Work, Geneva, available at: </w:t>
      </w:r>
      <w:r w:rsidRPr="00E07BEB">
        <w:rPr>
          <w:rFonts w:asciiTheme="minorHAnsi" w:eastAsiaTheme="minorHAnsi" w:hAnsiTheme="minorHAnsi" w:cstheme="minorBidi"/>
          <w:sz w:val="22"/>
          <w:szCs w:val="22"/>
        </w:rPr>
        <w:br/>
      </w:r>
      <w:hyperlink r:id="rId84" w:history="1">
        <w:r w:rsidRPr="00E07BEB">
          <w:rPr>
            <w:rFonts w:asciiTheme="minorHAnsi" w:eastAsiaTheme="minorHAnsi" w:hAnsiTheme="minorHAnsi" w:cstheme="minorBidi"/>
            <w:color w:val="0563C1" w:themeColor="hyperlink"/>
            <w:sz w:val="22"/>
            <w:szCs w:val="22"/>
            <w:u w:val="single"/>
          </w:rPr>
          <w:t>https://www.ilo.org/wcmsp5/groups/public/---ed_norm/---declaration/documents/publication/wcms_decl_fs_96_en.pdf</w:t>
        </w:r>
      </w:hyperlink>
    </w:p>
    <w:p w14:paraId="364C5A57" w14:textId="77777777" w:rsidR="00E07BEB" w:rsidRPr="00E07BEB" w:rsidRDefault="00E07BEB">
      <w:pPr>
        <w:numPr>
          <w:ilvl w:val="0"/>
          <w:numId w:val="51"/>
        </w:numPr>
        <w:spacing w:after="160" w:line="259" w:lineRule="auto"/>
        <w:contextualSpacing/>
        <w:jc w:val="both"/>
        <w:rPr>
          <w:rFonts w:asciiTheme="minorHAnsi" w:eastAsiaTheme="minorHAnsi" w:hAnsiTheme="minorHAnsi" w:cstheme="minorBidi"/>
          <w:sz w:val="22"/>
          <w:szCs w:val="22"/>
          <w:lang w:val="en-US"/>
        </w:rPr>
      </w:pPr>
      <w:r w:rsidRPr="00E07BEB">
        <w:rPr>
          <w:rFonts w:asciiTheme="minorHAnsi" w:eastAsiaTheme="minorHAnsi" w:hAnsiTheme="minorHAnsi" w:cstheme="minorBidi"/>
          <w:sz w:val="22"/>
          <w:szCs w:val="22"/>
        </w:rPr>
        <w:t>IMF (2013) “Women, Work, and the Economy: Macroeconomic Gains from Gender Equity,” IMF Staff Discussion Note, SDN/13/10.</w:t>
      </w:r>
    </w:p>
    <w:p w14:paraId="2A3293F3" w14:textId="77777777" w:rsidR="00E07BEB" w:rsidRPr="00E07BEB" w:rsidRDefault="00E07BEB">
      <w:pPr>
        <w:numPr>
          <w:ilvl w:val="0"/>
          <w:numId w:val="51"/>
        </w:numPr>
        <w:spacing w:after="160" w:line="259" w:lineRule="auto"/>
        <w:contextualSpacing/>
        <w:jc w:val="both"/>
        <w:rPr>
          <w:rFonts w:asciiTheme="minorHAnsi" w:eastAsiaTheme="minorHAnsi" w:hAnsiTheme="minorHAnsi" w:cstheme="minorBidi"/>
          <w:sz w:val="22"/>
          <w:szCs w:val="22"/>
          <w:lang w:val="en-US"/>
        </w:rPr>
      </w:pPr>
      <w:r w:rsidRPr="00E07BEB">
        <w:rPr>
          <w:rFonts w:asciiTheme="minorHAnsi" w:eastAsiaTheme="minorHAnsi" w:hAnsiTheme="minorHAnsi" w:cstheme="minorBidi"/>
          <w:sz w:val="22"/>
          <w:szCs w:val="22"/>
        </w:rPr>
        <w:t xml:space="preserve">IMF, Fair Play: More Equal Laws Boost Female Labour Force Participation, available at: </w:t>
      </w:r>
      <w:hyperlink r:id="rId85" w:tgtFrame="_blank" w:history="1">
        <w:r w:rsidRPr="00E07BEB">
          <w:rPr>
            <w:rFonts w:asciiTheme="minorHAnsi" w:eastAsiaTheme="minorHAnsi" w:hAnsiTheme="minorHAnsi" w:cstheme="minorBidi"/>
            <w:color w:val="0563C1" w:themeColor="hyperlink"/>
            <w:sz w:val="22"/>
            <w:szCs w:val="22"/>
            <w:u w:val="single"/>
          </w:rPr>
          <w:t>https://www.imf.org/en/Publications/Staff-Discussion-Notes/Issues/2016/12/31/Fair-Play-More-Equal-Laws-Boost-Female-Labor-Force-Participation-42721</w:t>
        </w:r>
      </w:hyperlink>
    </w:p>
    <w:p w14:paraId="71628AAB" w14:textId="77777777" w:rsidR="00E07BEB" w:rsidRPr="00E07BEB" w:rsidRDefault="00E07BEB">
      <w:pPr>
        <w:numPr>
          <w:ilvl w:val="0"/>
          <w:numId w:val="51"/>
        </w:numPr>
        <w:spacing w:after="160" w:line="259" w:lineRule="auto"/>
        <w:contextualSpacing/>
        <w:jc w:val="both"/>
        <w:rPr>
          <w:rFonts w:asciiTheme="minorHAnsi" w:eastAsiaTheme="minorHAnsi" w:hAnsiTheme="minorHAnsi" w:cstheme="minorBidi"/>
          <w:sz w:val="22"/>
          <w:szCs w:val="22"/>
        </w:rPr>
      </w:pPr>
      <w:r w:rsidRPr="00E07BEB">
        <w:rPr>
          <w:rFonts w:asciiTheme="minorHAnsi" w:eastAsiaTheme="minorHAnsi" w:hAnsiTheme="minorHAnsi" w:cstheme="minorBidi"/>
          <w:sz w:val="22"/>
          <w:szCs w:val="22"/>
        </w:rPr>
        <w:t>Klugman, J., and S. Twigg (2012) “The Role of Laws and Institutions in Expanding Women’s Voice, Agency, and Empowerment.” In The World Bank Legal Review: Legal Innovation and Empowerment for Development, edited by Cisse H., S. Muller, C. Thomas, and W. Chenguang. Washington: World Bank</w:t>
      </w:r>
    </w:p>
    <w:p w14:paraId="6C6EC791" w14:textId="77777777" w:rsidR="00E07BEB" w:rsidRPr="00E07BEB" w:rsidRDefault="00E07BEB">
      <w:pPr>
        <w:numPr>
          <w:ilvl w:val="0"/>
          <w:numId w:val="51"/>
        </w:numPr>
        <w:spacing w:after="160" w:line="259" w:lineRule="auto"/>
        <w:contextualSpacing/>
        <w:jc w:val="both"/>
        <w:rPr>
          <w:rFonts w:asciiTheme="minorHAnsi" w:eastAsiaTheme="minorHAnsi" w:hAnsiTheme="minorHAnsi" w:cstheme="minorBidi"/>
          <w:sz w:val="22"/>
          <w:szCs w:val="22"/>
          <w:lang w:val="en-US"/>
        </w:rPr>
      </w:pPr>
      <w:r w:rsidRPr="00E07BEB">
        <w:rPr>
          <w:rFonts w:asciiTheme="minorHAnsi" w:eastAsiaTheme="minorHAnsi" w:hAnsiTheme="minorHAnsi" w:cstheme="minorBidi"/>
          <w:sz w:val="22"/>
          <w:szCs w:val="22"/>
          <w:lang w:val="en-US"/>
        </w:rPr>
        <w:t>Lee, S.; McCann, D.M. and Messenger, J.C. (2007) Working time around the world: Trends in working hours, laws and policies in a global comparative perspective, Routledge Studies in the Modern World Economy (Geneva, ILO).</w:t>
      </w:r>
    </w:p>
    <w:p w14:paraId="70EAF2D8" w14:textId="77777777" w:rsidR="00E07BEB" w:rsidRPr="00E07BEB" w:rsidRDefault="00E07BEB">
      <w:pPr>
        <w:numPr>
          <w:ilvl w:val="0"/>
          <w:numId w:val="51"/>
        </w:numPr>
        <w:spacing w:after="160" w:line="259" w:lineRule="auto"/>
        <w:contextualSpacing/>
        <w:jc w:val="both"/>
        <w:rPr>
          <w:rFonts w:asciiTheme="minorHAnsi" w:eastAsiaTheme="minorHAnsi" w:hAnsiTheme="minorHAnsi" w:cstheme="minorBidi"/>
          <w:sz w:val="22"/>
          <w:szCs w:val="22"/>
          <w:lang w:val="en-US"/>
        </w:rPr>
      </w:pPr>
      <w:r w:rsidRPr="00E07BEB">
        <w:rPr>
          <w:rFonts w:asciiTheme="minorHAnsi" w:eastAsiaTheme="minorHAnsi" w:hAnsiTheme="minorHAnsi" w:cstheme="minorBidi"/>
          <w:sz w:val="22"/>
          <w:szCs w:val="22"/>
        </w:rPr>
        <w:t>OECD (2016), ‘Women entrepreneurship Key findings: Türkiye Who wants to be an entrepreneur?’, March 2016, http://www.oecd.org/sdd/business-stats/EaG-Türkiye-Eng.pdf</w:t>
      </w:r>
    </w:p>
    <w:p w14:paraId="00733B57" w14:textId="77777777" w:rsidR="00E07BEB" w:rsidRPr="00E07BEB" w:rsidRDefault="00E07BEB">
      <w:pPr>
        <w:numPr>
          <w:ilvl w:val="0"/>
          <w:numId w:val="51"/>
        </w:numPr>
        <w:spacing w:after="160" w:line="259" w:lineRule="auto"/>
        <w:contextualSpacing/>
        <w:jc w:val="both"/>
        <w:rPr>
          <w:rFonts w:asciiTheme="minorHAnsi" w:eastAsiaTheme="minorHAnsi" w:hAnsiTheme="minorHAnsi" w:cstheme="minorBidi"/>
          <w:sz w:val="22"/>
          <w:szCs w:val="22"/>
          <w:lang w:val="en-US"/>
        </w:rPr>
      </w:pPr>
      <w:r w:rsidRPr="00E07BEB">
        <w:rPr>
          <w:rFonts w:asciiTheme="minorHAnsi" w:eastAsiaTheme="minorHAnsi" w:hAnsiTheme="minorHAnsi" w:cstheme="minorBidi"/>
          <w:sz w:val="22"/>
          <w:szCs w:val="22"/>
        </w:rPr>
        <w:t xml:space="preserve">OECD and ILO (2019) </w:t>
      </w:r>
      <w:r w:rsidRPr="00E07BEB">
        <w:rPr>
          <w:rFonts w:asciiTheme="minorHAnsi" w:eastAsiaTheme="minorHAnsi" w:hAnsiTheme="minorHAnsi" w:cstheme="minorBidi"/>
          <w:bCs/>
          <w:sz w:val="22"/>
          <w:szCs w:val="22"/>
          <w:lang w:val="en-US"/>
        </w:rPr>
        <w:t xml:space="preserve">Women at Work in G20 countries: Progress and policy action, available at: </w:t>
      </w:r>
      <w:hyperlink r:id="rId86" w:tgtFrame="_blank" w:history="1">
        <w:r w:rsidRPr="00E07BEB">
          <w:rPr>
            <w:rFonts w:asciiTheme="minorHAnsi" w:eastAsiaTheme="minorHAnsi" w:hAnsiTheme="minorHAnsi" w:cstheme="minorBidi"/>
            <w:bCs/>
            <w:color w:val="0563C1" w:themeColor="hyperlink"/>
            <w:sz w:val="22"/>
            <w:szCs w:val="22"/>
            <w:u w:val="single"/>
          </w:rPr>
          <w:t>https://www.ilo.org/wcmsp5/groups/public/---dgreports/---cabinet/documents/publication/wcms_756334.pdf</w:t>
        </w:r>
      </w:hyperlink>
    </w:p>
    <w:p w14:paraId="5FB81740" w14:textId="77777777" w:rsidR="00E07BEB" w:rsidRPr="00E07BEB" w:rsidRDefault="00E07BEB">
      <w:pPr>
        <w:numPr>
          <w:ilvl w:val="0"/>
          <w:numId w:val="51"/>
        </w:numPr>
        <w:spacing w:after="160" w:line="259" w:lineRule="auto"/>
        <w:contextualSpacing/>
        <w:jc w:val="both"/>
        <w:rPr>
          <w:rFonts w:asciiTheme="minorHAnsi" w:eastAsiaTheme="minorHAnsi" w:hAnsiTheme="minorHAnsi" w:cstheme="minorBidi"/>
          <w:sz w:val="22"/>
          <w:szCs w:val="22"/>
        </w:rPr>
      </w:pPr>
      <w:r w:rsidRPr="00E07BEB">
        <w:rPr>
          <w:rFonts w:asciiTheme="minorHAnsi" w:eastAsiaTheme="minorHAnsi" w:hAnsiTheme="minorHAnsi" w:cstheme="minorBidi"/>
          <w:sz w:val="22"/>
          <w:szCs w:val="22"/>
        </w:rPr>
        <w:t>Ozar, S. (2016), ‘Women Entrepreneurs in Türkiye: Obstacles, Potentials, and Prospects’ in Chamlou, N. and Karshenas, M. (eds.) Women, Work and Welfare in the Middle East and North Africa, World Scientific</w:t>
      </w:r>
    </w:p>
    <w:p w14:paraId="3460D741" w14:textId="77777777" w:rsidR="00E07BEB" w:rsidRPr="00E07BEB" w:rsidRDefault="00E07BEB">
      <w:pPr>
        <w:numPr>
          <w:ilvl w:val="0"/>
          <w:numId w:val="51"/>
        </w:numPr>
        <w:spacing w:after="160" w:line="259" w:lineRule="auto"/>
        <w:contextualSpacing/>
        <w:jc w:val="both"/>
        <w:rPr>
          <w:rFonts w:asciiTheme="minorHAnsi" w:eastAsiaTheme="minorHAnsi" w:hAnsiTheme="minorHAnsi" w:cstheme="minorBidi"/>
          <w:sz w:val="22"/>
          <w:szCs w:val="22"/>
          <w:lang w:val="en-US"/>
        </w:rPr>
      </w:pPr>
      <w:r w:rsidRPr="00E07BEB">
        <w:rPr>
          <w:rFonts w:asciiTheme="minorHAnsi" w:eastAsiaTheme="minorHAnsi" w:hAnsiTheme="minorHAnsi" w:cstheme="minorBidi"/>
          <w:sz w:val="22"/>
          <w:szCs w:val="22"/>
        </w:rPr>
        <w:t xml:space="preserve">Sen, A. (2001) “Many Faces of Gender Inequality.” </w:t>
      </w:r>
      <w:r w:rsidRPr="00E07BEB">
        <w:rPr>
          <w:rFonts w:asciiTheme="minorHAnsi" w:eastAsiaTheme="minorHAnsi" w:hAnsiTheme="minorHAnsi" w:cstheme="minorBidi"/>
          <w:sz w:val="22"/>
          <w:szCs w:val="22"/>
          <w:lang w:val="en-US"/>
        </w:rPr>
        <w:t xml:space="preserve">Frontline 18 (22) available at:  http://www.frontline.in/static/html/fl1822/18220040.htm </w:t>
      </w:r>
    </w:p>
    <w:p w14:paraId="022EB83A" w14:textId="77777777" w:rsidR="00E07BEB" w:rsidRPr="00E07BEB" w:rsidRDefault="00E07BEB">
      <w:pPr>
        <w:numPr>
          <w:ilvl w:val="0"/>
          <w:numId w:val="51"/>
        </w:numPr>
        <w:spacing w:after="160" w:line="259" w:lineRule="auto"/>
        <w:contextualSpacing/>
        <w:jc w:val="both"/>
        <w:rPr>
          <w:rFonts w:asciiTheme="minorHAnsi" w:eastAsiaTheme="minorHAnsi" w:hAnsiTheme="minorHAnsi" w:cstheme="minorBidi"/>
          <w:sz w:val="22"/>
          <w:szCs w:val="22"/>
          <w:lang w:val="en-US"/>
        </w:rPr>
      </w:pPr>
      <w:r w:rsidRPr="00E07BEB">
        <w:rPr>
          <w:rFonts w:asciiTheme="minorHAnsi" w:eastAsiaTheme="minorHAnsi" w:hAnsiTheme="minorHAnsi" w:cstheme="minorBidi"/>
          <w:sz w:val="22"/>
          <w:szCs w:val="22"/>
        </w:rPr>
        <w:t xml:space="preserve">Thévenon and Solaz. 2013. “Labour Market Effect of Parental Leave Policies in OECD Countries.” OECD Social, Employment and Migration Working Paper No. 141. OECD Publishing, Paris.  </w:t>
      </w:r>
    </w:p>
    <w:p w14:paraId="555E33DA" w14:textId="77777777" w:rsidR="00E07BEB" w:rsidRPr="00E07BEB" w:rsidRDefault="00E07BEB">
      <w:pPr>
        <w:numPr>
          <w:ilvl w:val="0"/>
          <w:numId w:val="51"/>
        </w:numPr>
        <w:spacing w:after="160" w:line="259" w:lineRule="auto"/>
        <w:contextualSpacing/>
        <w:jc w:val="both"/>
        <w:rPr>
          <w:rFonts w:asciiTheme="minorHAnsi" w:eastAsiaTheme="minorHAnsi" w:hAnsiTheme="minorHAnsi" w:cstheme="minorBidi"/>
          <w:sz w:val="22"/>
          <w:szCs w:val="22"/>
        </w:rPr>
      </w:pPr>
      <w:r w:rsidRPr="00E07BEB">
        <w:rPr>
          <w:rFonts w:asciiTheme="minorHAnsi" w:eastAsiaTheme="minorHAnsi" w:hAnsiTheme="minorHAnsi" w:cstheme="minorBidi"/>
          <w:sz w:val="22"/>
          <w:szCs w:val="22"/>
          <w:lang w:val="en-US"/>
        </w:rPr>
        <w:t xml:space="preserve">Thévenon, Olivier. </w:t>
      </w:r>
      <w:r w:rsidRPr="00E07BEB">
        <w:rPr>
          <w:rFonts w:asciiTheme="minorHAnsi" w:eastAsiaTheme="minorHAnsi" w:hAnsiTheme="minorHAnsi" w:cstheme="minorBidi"/>
          <w:sz w:val="22"/>
          <w:szCs w:val="22"/>
        </w:rPr>
        <w:t xml:space="preserve">2013. “Drivers of Female Labour Force Participation in the OECD.” OECD Social, Employment and Migration Working Paper No. 145. OECD Publishing, Paris. http://dx.doi.org/10.1787/5k46cvrgnms6-en . </w:t>
      </w:r>
    </w:p>
    <w:p w14:paraId="19F8278A" w14:textId="77777777" w:rsidR="00E07BEB" w:rsidRPr="00E07BEB" w:rsidRDefault="00E07BEB">
      <w:pPr>
        <w:numPr>
          <w:ilvl w:val="0"/>
          <w:numId w:val="51"/>
        </w:numPr>
        <w:spacing w:after="160" w:line="259" w:lineRule="auto"/>
        <w:contextualSpacing/>
        <w:jc w:val="both"/>
        <w:rPr>
          <w:rFonts w:asciiTheme="minorHAnsi" w:eastAsiaTheme="minorHAnsi" w:hAnsiTheme="minorHAnsi" w:cstheme="minorBidi"/>
          <w:sz w:val="22"/>
          <w:szCs w:val="22"/>
          <w:lang w:val="en-US"/>
        </w:rPr>
      </w:pPr>
      <w:r w:rsidRPr="00E07BEB">
        <w:rPr>
          <w:rFonts w:asciiTheme="minorHAnsi" w:eastAsiaTheme="minorHAnsi" w:hAnsiTheme="minorHAnsi" w:cstheme="minorBidi"/>
          <w:sz w:val="22"/>
          <w:szCs w:val="22"/>
          <w:lang w:val="en-US"/>
        </w:rPr>
        <w:t xml:space="preserve">UNDP (2020)  COVID-19 will widen poverty gap between women and men, new UN Women and UNDP data shows, New York, available at: </w:t>
      </w:r>
      <w:hyperlink r:id="rId87" w:tgtFrame="_blank" w:history="1">
        <w:r w:rsidRPr="00E07BEB">
          <w:rPr>
            <w:rFonts w:asciiTheme="minorHAnsi" w:eastAsiaTheme="minorHAnsi" w:hAnsiTheme="minorHAnsi" w:cstheme="minorBidi"/>
            <w:color w:val="0563C1" w:themeColor="hyperlink"/>
            <w:sz w:val="22"/>
            <w:szCs w:val="22"/>
            <w:u w:val="single"/>
          </w:rPr>
          <w:t>https://www.undp.org/press-releases/covid-19-will-widen-poverty-gap-between-women-and-men-new-un-women-and-undp-data</w:t>
        </w:r>
      </w:hyperlink>
    </w:p>
    <w:p w14:paraId="60118E7B" w14:textId="77777777" w:rsidR="00E07BEB" w:rsidRPr="00E07BEB" w:rsidRDefault="00E07BEB">
      <w:pPr>
        <w:numPr>
          <w:ilvl w:val="0"/>
          <w:numId w:val="51"/>
        </w:numPr>
        <w:spacing w:after="160" w:line="259" w:lineRule="auto"/>
        <w:contextualSpacing/>
        <w:jc w:val="both"/>
        <w:rPr>
          <w:rFonts w:asciiTheme="minorHAnsi" w:eastAsiaTheme="minorHAnsi" w:hAnsiTheme="minorHAnsi" w:cstheme="minorBidi"/>
          <w:sz w:val="22"/>
          <w:szCs w:val="22"/>
        </w:rPr>
      </w:pPr>
      <w:r w:rsidRPr="00E07BEB">
        <w:rPr>
          <w:rFonts w:asciiTheme="minorHAnsi" w:eastAsiaTheme="minorHAnsi" w:hAnsiTheme="minorHAnsi" w:cstheme="minorBidi"/>
          <w:sz w:val="22"/>
          <w:szCs w:val="22"/>
        </w:rPr>
        <w:t xml:space="preserve">United Nations (2020) WHO warns of surge of domestic violence as COVID-19 cases decrease in Europe, UN Regional Informational Centre for Western Europe, available at: </w:t>
      </w:r>
      <w:hyperlink r:id="rId88" w:history="1">
        <w:r w:rsidRPr="00E07BEB">
          <w:rPr>
            <w:rFonts w:asciiTheme="minorHAnsi" w:eastAsiaTheme="minorHAnsi" w:hAnsiTheme="minorHAnsi" w:cstheme="minorBidi"/>
            <w:color w:val="0563C1" w:themeColor="hyperlink"/>
            <w:sz w:val="22"/>
            <w:szCs w:val="22"/>
            <w:u w:val="single"/>
          </w:rPr>
          <w:t>https://unric.org/en/who-warns-of-surge-ofdomestic-violence-as-covid-19-cases-decrease-in-europe/</w:t>
        </w:r>
      </w:hyperlink>
    </w:p>
    <w:p w14:paraId="1C93EB1D" w14:textId="77777777" w:rsidR="00E07BEB" w:rsidRPr="00E07BEB" w:rsidRDefault="00E07BEB">
      <w:pPr>
        <w:numPr>
          <w:ilvl w:val="0"/>
          <w:numId w:val="51"/>
        </w:numPr>
        <w:spacing w:after="160" w:line="259" w:lineRule="auto"/>
        <w:contextualSpacing/>
        <w:jc w:val="both"/>
        <w:rPr>
          <w:rFonts w:asciiTheme="minorHAnsi" w:eastAsiaTheme="minorHAnsi" w:hAnsiTheme="minorHAnsi" w:cstheme="minorBidi"/>
          <w:sz w:val="22"/>
          <w:szCs w:val="22"/>
          <w:u w:val="single"/>
        </w:rPr>
      </w:pPr>
      <w:r w:rsidRPr="00E07BEB">
        <w:rPr>
          <w:rFonts w:asciiTheme="minorHAnsi" w:eastAsiaTheme="minorHAnsi" w:hAnsiTheme="minorHAnsi" w:cstheme="minorBidi"/>
          <w:sz w:val="22"/>
          <w:szCs w:val="22"/>
        </w:rPr>
        <w:t xml:space="preserve">World Bank. World Development Report 2013:  Jobs. Washington: World Bank, available at: </w:t>
      </w:r>
      <w:r w:rsidRPr="00E07BEB">
        <w:rPr>
          <w:rFonts w:asciiTheme="minorHAnsi" w:eastAsiaTheme="minorHAnsi" w:hAnsiTheme="minorHAnsi" w:cstheme="minorBidi"/>
          <w:sz w:val="22"/>
          <w:szCs w:val="22"/>
        </w:rPr>
        <w:br/>
      </w:r>
      <w:hyperlink r:id="rId89" w:history="1">
        <w:r w:rsidRPr="00E07BEB">
          <w:rPr>
            <w:rFonts w:asciiTheme="minorHAnsi" w:eastAsiaTheme="minorHAnsi" w:hAnsiTheme="minorHAnsi" w:cstheme="minorBidi"/>
            <w:color w:val="0563C1" w:themeColor="hyperlink"/>
            <w:sz w:val="22"/>
            <w:szCs w:val="22"/>
            <w:u w:val="single"/>
          </w:rPr>
          <w:t>https://openknowledge.worldbank.org/handle/10986/11843</w:t>
        </w:r>
      </w:hyperlink>
    </w:p>
    <w:p w14:paraId="71AF769F" w14:textId="77777777" w:rsidR="00E07BEB" w:rsidRPr="00E07BEB" w:rsidRDefault="00E07BEB">
      <w:pPr>
        <w:numPr>
          <w:ilvl w:val="0"/>
          <w:numId w:val="51"/>
        </w:numPr>
        <w:spacing w:after="160" w:line="259" w:lineRule="auto"/>
        <w:contextualSpacing/>
        <w:jc w:val="both"/>
        <w:rPr>
          <w:rFonts w:asciiTheme="minorHAnsi" w:eastAsiaTheme="minorHAnsi" w:hAnsiTheme="minorHAnsi" w:cstheme="minorBidi"/>
          <w:sz w:val="22"/>
          <w:szCs w:val="22"/>
        </w:rPr>
      </w:pPr>
      <w:r w:rsidRPr="00E07BEB">
        <w:rPr>
          <w:rFonts w:asciiTheme="minorHAnsi" w:eastAsiaTheme="minorHAnsi" w:hAnsiTheme="minorHAnsi" w:cstheme="minorBidi"/>
          <w:sz w:val="22"/>
          <w:szCs w:val="22"/>
        </w:rPr>
        <w:t xml:space="preserve">World Health Organization (2020) the rise and rise of interpersonal violence – an unintended impact of the COVID-19 response on families. Available at: </w:t>
      </w:r>
      <w:hyperlink r:id="rId90" w:history="1">
        <w:r w:rsidRPr="00E07BEB">
          <w:rPr>
            <w:rFonts w:asciiTheme="minorHAnsi" w:eastAsiaTheme="minorHAnsi" w:hAnsiTheme="minorHAnsi" w:cstheme="minorBidi"/>
            <w:color w:val="0563C1" w:themeColor="hyperlink"/>
            <w:sz w:val="22"/>
            <w:szCs w:val="22"/>
            <w:u w:val="single"/>
          </w:rPr>
          <w:t>https://www.euro.who.int/en/health-topics/diseaseprevention/violence-and-injuries/news/news/2020/6/the-rise-and-rise-of-interpersonal-violence-anunintended-impact-of-the-covid-19-response-on-families</w:t>
        </w:r>
      </w:hyperlink>
      <w:r w:rsidRPr="00E07BEB">
        <w:rPr>
          <w:rFonts w:asciiTheme="minorHAnsi" w:eastAsiaTheme="minorHAnsi" w:hAnsiTheme="minorHAnsi" w:cstheme="minorBidi"/>
          <w:sz w:val="22"/>
          <w:szCs w:val="22"/>
        </w:rPr>
        <w:t>.</w:t>
      </w:r>
    </w:p>
    <w:p w14:paraId="7366AFB7" w14:textId="77777777" w:rsidR="00E07BEB" w:rsidRPr="00E07BEB" w:rsidRDefault="00E07BEB" w:rsidP="00E07BEB">
      <w:pPr>
        <w:spacing w:after="160" w:line="259" w:lineRule="auto"/>
        <w:jc w:val="both"/>
        <w:rPr>
          <w:rFonts w:asciiTheme="minorHAnsi" w:eastAsiaTheme="minorHAnsi" w:hAnsiTheme="minorHAnsi" w:cstheme="minorBidi"/>
          <w:sz w:val="22"/>
          <w:szCs w:val="22"/>
        </w:rPr>
      </w:pPr>
    </w:p>
    <w:p w14:paraId="456FE65B" w14:textId="77777777" w:rsidR="00E07BEB" w:rsidRPr="00E07BEB" w:rsidRDefault="00E07BEB" w:rsidP="00E07BEB">
      <w:pPr>
        <w:spacing w:after="160" w:line="259" w:lineRule="auto"/>
        <w:jc w:val="both"/>
        <w:rPr>
          <w:rFonts w:asciiTheme="minorHAnsi" w:eastAsiaTheme="minorHAnsi" w:hAnsiTheme="minorHAnsi" w:cstheme="minorBidi"/>
          <w:sz w:val="22"/>
          <w:szCs w:val="22"/>
        </w:rPr>
      </w:pPr>
      <w:r w:rsidRPr="00E07BEB">
        <w:rPr>
          <w:rFonts w:asciiTheme="minorHAnsi" w:eastAsiaTheme="minorHAnsi" w:hAnsiTheme="minorHAnsi" w:cstheme="minorBidi"/>
          <w:sz w:val="22"/>
          <w:szCs w:val="22"/>
        </w:rPr>
        <w:lastRenderedPageBreak/>
        <w:t xml:space="preserve">Links: </w:t>
      </w:r>
    </w:p>
    <w:p w14:paraId="70E51A08" w14:textId="77777777" w:rsidR="00E07BEB" w:rsidRPr="00E07BEB" w:rsidRDefault="00E07BEB">
      <w:pPr>
        <w:numPr>
          <w:ilvl w:val="0"/>
          <w:numId w:val="52"/>
        </w:numPr>
        <w:spacing w:after="160" w:line="259" w:lineRule="auto"/>
        <w:contextualSpacing/>
        <w:jc w:val="both"/>
        <w:rPr>
          <w:rFonts w:asciiTheme="minorHAnsi" w:eastAsiaTheme="minorHAnsi" w:hAnsiTheme="minorHAnsi" w:cstheme="minorBidi"/>
          <w:sz w:val="22"/>
          <w:szCs w:val="22"/>
        </w:rPr>
      </w:pPr>
      <w:r w:rsidRPr="00E07BEB">
        <w:rPr>
          <w:rFonts w:asciiTheme="minorHAnsi" w:eastAsiaTheme="minorHAnsi" w:hAnsiTheme="minorHAnsi" w:cstheme="minorBidi"/>
          <w:sz w:val="22"/>
          <w:szCs w:val="22"/>
        </w:rPr>
        <w:t xml:space="preserve">Council of Europe, Istanbul Convention: </w:t>
      </w:r>
      <w:hyperlink r:id="rId91" w:history="1">
        <w:r w:rsidRPr="00E07BEB">
          <w:rPr>
            <w:rFonts w:asciiTheme="minorHAnsi" w:eastAsiaTheme="minorHAnsi" w:hAnsiTheme="minorHAnsi" w:cstheme="minorBidi"/>
            <w:color w:val="0563C1" w:themeColor="hyperlink"/>
            <w:sz w:val="22"/>
            <w:szCs w:val="22"/>
            <w:u w:val="single"/>
          </w:rPr>
          <w:t>https://www.coe.int/en/web/istanbul-convention/text-of-the-convention</w:t>
        </w:r>
      </w:hyperlink>
    </w:p>
    <w:p w14:paraId="2024911B" w14:textId="77777777" w:rsidR="00E07BEB" w:rsidRPr="00E07BEB" w:rsidRDefault="00E07BEB">
      <w:pPr>
        <w:numPr>
          <w:ilvl w:val="0"/>
          <w:numId w:val="52"/>
        </w:numPr>
        <w:spacing w:after="160" w:line="259" w:lineRule="auto"/>
        <w:contextualSpacing/>
        <w:jc w:val="both"/>
        <w:rPr>
          <w:rFonts w:asciiTheme="minorHAnsi" w:eastAsiaTheme="minorHAnsi" w:hAnsiTheme="minorHAnsi" w:cstheme="minorBidi"/>
          <w:sz w:val="22"/>
          <w:szCs w:val="22"/>
          <w:lang w:val="es-AR"/>
        </w:rPr>
      </w:pPr>
      <w:r w:rsidRPr="00E07BEB">
        <w:rPr>
          <w:rFonts w:asciiTheme="minorHAnsi" w:eastAsiaTheme="minorHAnsi" w:hAnsiTheme="minorHAnsi" w:cstheme="minorBidi"/>
          <w:sz w:val="22"/>
          <w:szCs w:val="22"/>
          <w:lang w:val="es-AR"/>
        </w:rPr>
        <w:t xml:space="preserve">Gobierno de España, 2020. Real Decreto Legislativo 2/2015, de 23 de octubre, available at: </w:t>
      </w:r>
      <w:hyperlink r:id="rId92" w:tgtFrame="_blank" w:history="1">
        <w:r w:rsidRPr="00E07BEB">
          <w:rPr>
            <w:rFonts w:asciiTheme="minorHAnsi" w:eastAsiaTheme="minorHAnsi" w:hAnsiTheme="minorHAnsi" w:cstheme="minorBidi"/>
            <w:color w:val="0563C1" w:themeColor="hyperlink"/>
            <w:sz w:val="22"/>
            <w:szCs w:val="22"/>
            <w:u w:val="single"/>
            <w:lang w:val="es-AR"/>
          </w:rPr>
          <w:t>https://www.boe.es/buscar/act.php?id=BOE-A-2015-11430</w:t>
        </w:r>
      </w:hyperlink>
    </w:p>
    <w:p w14:paraId="35DF7760" w14:textId="77777777" w:rsidR="00E07BEB" w:rsidRPr="00E07BEB" w:rsidRDefault="00932204">
      <w:pPr>
        <w:numPr>
          <w:ilvl w:val="0"/>
          <w:numId w:val="52"/>
        </w:numPr>
        <w:spacing w:after="160" w:line="259" w:lineRule="auto"/>
        <w:contextualSpacing/>
        <w:jc w:val="both"/>
        <w:rPr>
          <w:rFonts w:asciiTheme="minorHAnsi" w:eastAsiaTheme="minorHAnsi" w:hAnsiTheme="minorHAnsi" w:cstheme="minorBidi"/>
          <w:sz w:val="22"/>
          <w:szCs w:val="22"/>
          <w:lang w:val="es-AR"/>
        </w:rPr>
      </w:pPr>
      <w:hyperlink r:id="rId93" w:history="1">
        <w:r w:rsidR="00E07BEB" w:rsidRPr="00E07BEB">
          <w:rPr>
            <w:rFonts w:asciiTheme="minorHAnsi" w:eastAsiaTheme="minorHAnsi" w:hAnsiTheme="minorHAnsi" w:cstheme="minorBidi"/>
            <w:color w:val="0563C1" w:themeColor="hyperlink"/>
            <w:sz w:val="22"/>
            <w:szCs w:val="22"/>
            <w:u w:val="single"/>
            <w:lang w:val="es-AR"/>
          </w:rPr>
          <w:t>https://wbl.worldbank.org/en/wbl</w:t>
        </w:r>
      </w:hyperlink>
    </w:p>
    <w:p w14:paraId="58F36B0D" w14:textId="77777777" w:rsidR="00E07BEB" w:rsidRPr="00E07BEB" w:rsidRDefault="00932204">
      <w:pPr>
        <w:numPr>
          <w:ilvl w:val="0"/>
          <w:numId w:val="52"/>
        </w:numPr>
        <w:spacing w:after="160" w:line="259" w:lineRule="auto"/>
        <w:contextualSpacing/>
        <w:jc w:val="both"/>
        <w:rPr>
          <w:rFonts w:asciiTheme="minorHAnsi" w:eastAsiaTheme="minorHAnsi" w:hAnsiTheme="minorHAnsi" w:cstheme="minorBidi"/>
          <w:sz w:val="22"/>
          <w:szCs w:val="22"/>
          <w:lang w:val="es-AR"/>
        </w:rPr>
      </w:pPr>
      <w:hyperlink r:id="rId94" w:history="1">
        <w:r w:rsidR="00E07BEB" w:rsidRPr="00E07BEB">
          <w:rPr>
            <w:rFonts w:asciiTheme="minorHAnsi" w:eastAsiaTheme="minorHAnsi" w:hAnsiTheme="minorHAnsi" w:cstheme="minorBidi"/>
            <w:color w:val="0563C1" w:themeColor="hyperlink"/>
            <w:sz w:val="22"/>
            <w:szCs w:val="22"/>
            <w:u w:val="single"/>
            <w:lang w:val="es-AR"/>
          </w:rPr>
          <w:t>https://www.aile.gov.tr/ksgm</w:t>
        </w:r>
      </w:hyperlink>
    </w:p>
    <w:p w14:paraId="0D5EAF03" w14:textId="77777777" w:rsidR="00E07BEB" w:rsidRPr="00E07BEB" w:rsidRDefault="00E07BEB">
      <w:pPr>
        <w:numPr>
          <w:ilvl w:val="0"/>
          <w:numId w:val="52"/>
        </w:numPr>
        <w:spacing w:after="160" w:line="259" w:lineRule="auto"/>
        <w:contextualSpacing/>
        <w:jc w:val="both"/>
        <w:rPr>
          <w:rFonts w:asciiTheme="minorHAnsi" w:eastAsiaTheme="minorHAnsi" w:hAnsiTheme="minorHAnsi" w:cstheme="minorBidi"/>
          <w:sz w:val="22"/>
          <w:szCs w:val="22"/>
        </w:rPr>
      </w:pPr>
      <w:r w:rsidRPr="00E07BEB">
        <w:rPr>
          <w:rFonts w:asciiTheme="minorHAnsi" w:eastAsiaTheme="minorHAnsi" w:hAnsiTheme="minorHAnsi" w:cstheme="minorBidi"/>
          <w:sz w:val="22"/>
          <w:szCs w:val="22"/>
        </w:rPr>
        <w:t xml:space="preserve">National Employment Strategy (2014 – 2023); </w:t>
      </w:r>
      <w:hyperlink r:id="rId95">
        <w:r w:rsidRPr="00E07BEB">
          <w:rPr>
            <w:rFonts w:asciiTheme="minorHAnsi" w:eastAsiaTheme="minorHAnsi" w:hAnsiTheme="minorHAnsi" w:cstheme="minorBidi"/>
            <w:color w:val="0563C1" w:themeColor="hyperlink"/>
            <w:sz w:val="22"/>
            <w:szCs w:val="22"/>
            <w:u w:val="single"/>
          </w:rPr>
          <w:t>http://extwprlegs</w:t>
        </w:r>
      </w:hyperlink>
      <w:r w:rsidRPr="00E07BEB">
        <w:rPr>
          <w:rFonts w:asciiTheme="minorHAnsi" w:eastAsiaTheme="minorHAnsi" w:hAnsiTheme="minorHAnsi" w:cstheme="minorBidi"/>
          <w:sz w:val="22"/>
          <w:szCs w:val="22"/>
        </w:rPr>
        <w:t>1.fao.org/docs/pdf/tur175309.pdf</w:t>
      </w:r>
    </w:p>
    <w:p w14:paraId="046CBF0A" w14:textId="77777777" w:rsidR="00E07BEB" w:rsidRPr="00E07BEB" w:rsidRDefault="00E07BEB">
      <w:pPr>
        <w:numPr>
          <w:ilvl w:val="0"/>
          <w:numId w:val="52"/>
        </w:numPr>
        <w:spacing w:after="160" w:line="259" w:lineRule="auto"/>
        <w:contextualSpacing/>
        <w:jc w:val="both"/>
        <w:rPr>
          <w:rFonts w:asciiTheme="minorHAnsi" w:eastAsiaTheme="minorHAnsi" w:hAnsiTheme="minorHAnsi" w:cstheme="minorBidi"/>
          <w:sz w:val="22"/>
          <w:szCs w:val="22"/>
        </w:rPr>
      </w:pPr>
      <w:r w:rsidRPr="00E07BEB">
        <w:rPr>
          <w:rFonts w:asciiTheme="minorHAnsi" w:eastAsiaTheme="minorHAnsi" w:hAnsiTheme="minorHAnsi" w:cstheme="minorBidi"/>
          <w:sz w:val="22"/>
          <w:szCs w:val="22"/>
        </w:rPr>
        <w:t>The 11</w:t>
      </w:r>
      <w:r w:rsidRPr="00E07BEB">
        <w:rPr>
          <w:rFonts w:asciiTheme="minorHAnsi" w:eastAsiaTheme="minorHAnsi" w:hAnsiTheme="minorHAnsi" w:cstheme="minorBidi"/>
          <w:sz w:val="22"/>
          <w:szCs w:val="22"/>
          <w:vertAlign w:val="superscript"/>
        </w:rPr>
        <w:t>th</w:t>
      </w:r>
      <w:r w:rsidRPr="00E07BEB">
        <w:rPr>
          <w:rFonts w:asciiTheme="minorHAnsi" w:eastAsiaTheme="minorHAnsi" w:hAnsiTheme="minorHAnsi" w:cstheme="minorBidi"/>
          <w:sz w:val="22"/>
          <w:szCs w:val="22"/>
        </w:rPr>
        <w:t xml:space="preserve"> Development Plan: </w:t>
      </w:r>
      <w:hyperlink r:id="rId96" w:history="1">
        <w:r w:rsidRPr="00E07BEB">
          <w:rPr>
            <w:rFonts w:asciiTheme="minorHAnsi" w:eastAsiaTheme="minorHAnsi" w:hAnsiTheme="minorHAnsi" w:cstheme="minorBidi"/>
            <w:color w:val="0563C1" w:themeColor="hyperlink"/>
            <w:sz w:val="22"/>
            <w:szCs w:val="22"/>
            <w:u w:val="single"/>
          </w:rPr>
          <w:t>https://www.sbb.gov.tr/wp-content/uploads/2021/12/Eleventh_Development_Plan_2019-2023.pdf</w:t>
        </w:r>
      </w:hyperlink>
    </w:p>
    <w:p w14:paraId="5AE997E8" w14:textId="66C992DC" w:rsidR="00E07BEB" w:rsidRPr="00E07BEB" w:rsidRDefault="00A45334">
      <w:pPr>
        <w:numPr>
          <w:ilvl w:val="0"/>
          <w:numId w:val="52"/>
        </w:numPr>
        <w:spacing w:after="160" w:line="259" w:lineRule="auto"/>
        <w:contextualSpacing/>
        <w:jc w:val="both"/>
        <w:rPr>
          <w:rFonts w:asciiTheme="minorHAnsi" w:eastAsiaTheme="minorHAnsi" w:hAnsiTheme="minorHAnsi" w:cstheme="minorBidi"/>
          <w:sz w:val="22"/>
          <w:szCs w:val="22"/>
        </w:rPr>
      </w:pPr>
      <w:r>
        <w:rPr>
          <w:rFonts w:asciiTheme="minorHAnsi" w:eastAsiaTheme="minorHAnsi" w:hAnsiTheme="minorHAnsi" w:cstheme="minorBidi"/>
          <w:sz w:val="22"/>
          <w:szCs w:val="22"/>
        </w:rPr>
        <w:t>TurkStat</w:t>
      </w:r>
      <w:r w:rsidR="00E07BEB" w:rsidRPr="00E07BEB">
        <w:rPr>
          <w:rFonts w:asciiTheme="minorHAnsi" w:eastAsiaTheme="minorHAnsi" w:hAnsiTheme="minorHAnsi" w:cstheme="minorBidi"/>
          <w:sz w:val="22"/>
          <w:szCs w:val="22"/>
        </w:rPr>
        <w:t xml:space="preserve"> (2020) ‘Women in Statistics 2019’, press release 6 March 2020, available at: https://tuikweb.tuik.gov.tr/PreHaberBultenleri.do?id=33732#:~:text=T%C3%BCrkiye%20%C4%B0statisti k%20Kurumu%2C%20%C4%B0statistiklerle%20Kad%C4%B1n%2C%202019&amp;text=Adrese%20Dayal%C4 %B1%20N%C3%BCfus%20Kay%C4%B1t%20Sistemi,2'sini%20ise%20erkekler%20olu%C5%9Fturdu</w:t>
      </w:r>
    </w:p>
    <w:p w14:paraId="4E757EBD" w14:textId="3C9785DB" w:rsidR="00E07BEB" w:rsidRPr="00E07BEB" w:rsidRDefault="00A45334">
      <w:pPr>
        <w:numPr>
          <w:ilvl w:val="0"/>
          <w:numId w:val="52"/>
        </w:numPr>
        <w:spacing w:after="160" w:line="259" w:lineRule="auto"/>
        <w:contextualSpacing/>
        <w:jc w:val="both"/>
        <w:rPr>
          <w:rFonts w:asciiTheme="minorHAnsi" w:eastAsiaTheme="minorHAnsi" w:hAnsiTheme="minorHAnsi" w:cstheme="minorBidi"/>
          <w:sz w:val="22"/>
          <w:szCs w:val="22"/>
        </w:rPr>
      </w:pPr>
      <w:r>
        <w:rPr>
          <w:rFonts w:asciiTheme="minorHAnsi" w:eastAsiaTheme="minorHAnsi" w:hAnsiTheme="minorHAnsi" w:cstheme="minorBidi"/>
          <w:sz w:val="22"/>
          <w:szCs w:val="22"/>
        </w:rPr>
        <w:t>TurkStat</w:t>
      </w:r>
      <w:r w:rsidR="00E07BEB" w:rsidRPr="00E07BEB">
        <w:rPr>
          <w:rFonts w:asciiTheme="minorHAnsi" w:eastAsiaTheme="minorHAnsi" w:hAnsiTheme="minorHAnsi" w:cstheme="minorBidi"/>
          <w:sz w:val="22"/>
          <w:szCs w:val="22"/>
        </w:rPr>
        <w:t xml:space="preserve"> (2021) Women in Statistics, available at: </w:t>
      </w:r>
      <w:hyperlink r:id="rId97" w:anchor=":~:text=The%20rate%20of%20women%20working,females%20and%209.3%25%20for%20males" w:history="1">
        <w:r w:rsidR="00E07BEB" w:rsidRPr="00E07BEB">
          <w:rPr>
            <w:rFonts w:asciiTheme="minorHAnsi" w:eastAsiaTheme="minorHAnsi" w:hAnsiTheme="minorHAnsi" w:cstheme="minorBidi"/>
            <w:color w:val="0563C1" w:themeColor="hyperlink"/>
            <w:sz w:val="22"/>
            <w:szCs w:val="22"/>
            <w:u w:val="single"/>
          </w:rPr>
          <w:t>https://data.tuik.gov.tr/Bulten/Index?p=Istatistiklerle-Kadin-2021-45635&amp;dil=2#:~:text=The%20rate%20of%20women%20working,females%20and%209.3%25%20for%20males</w:t>
        </w:r>
      </w:hyperlink>
    </w:p>
    <w:p w14:paraId="0C8C023D" w14:textId="77777777" w:rsidR="00E07BEB" w:rsidRPr="00E07BEB" w:rsidRDefault="00932204">
      <w:pPr>
        <w:numPr>
          <w:ilvl w:val="0"/>
          <w:numId w:val="52"/>
        </w:numPr>
        <w:spacing w:after="160" w:line="259" w:lineRule="auto"/>
        <w:contextualSpacing/>
        <w:jc w:val="both"/>
        <w:rPr>
          <w:rFonts w:asciiTheme="minorHAnsi" w:eastAsiaTheme="minorHAnsi" w:hAnsiTheme="minorHAnsi" w:cstheme="minorBidi"/>
          <w:sz w:val="22"/>
          <w:szCs w:val="22"/>
        </w:rPr>
      </w:pPr>
      <w:hyperlink r:id="rId98" w:history="1">
        <w:r w:rsidR="00E07BEB" w:rsidRPr="00E07BEB">
          <w:rPr>
            <w:rFonts w:asciiTheme="minorHAnsi" w:eastAsiaTheme="minorHAnsi" w:hAnsiTheme="minorHAnsi" w:cstheme="minorBidi"/>
            <w:color w:val="0563C1" w:themeColor="hyperlink"/>
            <w:sz w:val="22"/>
            <w:szCs w:val="22"/>
            <w:u w:val="single"/>
          </w:rPr>
          <w:t>www.data.tuik.gov.tr</w:t>
        </w:r>
      </w:hyperlink>
    </w:p>
    <w:p w14:paraId="723E8F03" w14:textId="77777777" w:rsidR="00E07BEB" w:rsidRPr="00E07BEB" w:rsidRDefault="00E07BEB" w:rsidP="00E07BEB">
      <w:pPr>
        <w:spacing w:after="160" w:line="259" w:lineRule="auto"/>
        <w:jc w:val="both"/>
        <w:rPr>
          <w:rFonts w:asciiTheme="minorHAnsi" w:eastAsiaTheme="minorHAnsi" w:hAnsiTheme="minorHAnsi" w:cstheme="minorBidi"/>
          <w:sz w:val="22"/>
          <w:szCs w:val="22"/>
        </w:rPr>
      </w:pPr>
    </w:p>
    <w:p w14:paraId="3D240C40" w14:textId="77777777" w:rsidR="004C19E5" w:rsidRPr="00DB0C40" w:rsidRDefault="004C19E5" w:rsidP="004C19E5">
      <w:pPr>
        <w:spacing w:before="240" w:after="240"/>
        <w:rPr>
          <w:sz w:val="22"/>
          <w:szCs w:val="22"/>
        </w:rPr>
      </w:pPr>
    </w:p>
    <w:p w14:paraId="6764C944" w14:textId="2AF6CB38" w:rsidR="00BB44E1" w:rsidRPr="00DB0C40" w:rsidRDefault="00BB44E1">
      <w:pPr>
        <w:spacing w:before="240" w:after="240"/>
        <w:rPr>
          <w:sz w:val="22"/>
          <w:szCs w:val="22"/>
        </w:rPr>
      </w:pPr>
    </w:p>
    <w:p w14:paraId="208A14F0" w14:textId="77777777" w:rsidR="00BB44E1" w:rsidRPr="00DB0C40" w:rsidRDefault="00230B49">
      <w:pPr>
        <w:spacing w:before="240" w:after="240"/>
        <w:rPr>
          <w:sz w:val="22"/>
          <w:szCs w:val="22"/>
        </w:rPr>
      </w:pPr>
      <w:r w:rsidRPr="00DB0C40">
        <w:rPr>
          <w:sz w:val="22"/>
          <w:szCs w:val="22"/>
        </w:rPr>
        <w:t xml:space="preserve"> </w:t>
      </w:r>
    </w:p>
    <w:p w14:paraId="6C520FDB" w14:textId="77777777" w:rsidR="00BB44E1" w:rsidRPr="00DB0C40" w:rsidRDefault="00230B49">
      <w:pPr>
        <w:spacing w:before="240" w:after="240"/>
        <w:rPr>
          <w:sz w:val="22"/>
          <w:szCs w:val="22"/>
        </w:rPr>
      </w:pPr>
      <w:r w:rsidRPr="00DB0C40">
        <w:rPr>
          <w:sz w:val="22"/>
          <w:szCs w:val="22"/>
        </w:rPr>
        <w:t xml:space="preserve"> </w:t>
      </w:r>
    </w:p>
    <w:p w14:paraId="42D14A37" w14:textId="77777777" w:rsidR="007037F9" w:rsidRPr="00C51E07" w:rsidRDefault="007037F9">
      <w:pPr>
        <w:jc w:val="both"/>
        <w:rPr>
          <w:b/>
          <w:sz w:val="22"/>
          <w:szCs w:val="22"/>
          <w:lang w:val="en-US"/>
        </w:rPr>
      </w:pPr>
    </w:p>
    <w:p w14:paraId="40F8B8B2" w14:textId="77777777" w:rsidR="007037F9" w:rsidRPr="00C51E07" w:rsidRDefault="007037F9">
      <w:pPr>
        <w:jc w:val="both"/>
        <w:rPr>
          <w:b/>
          <w:sz w:val="22"/>
          <w:szCs w:val="22"/>
          <w:lang w:val="en-US"/>
        </w:rPr>
      </w:pPr>
    </w:p>
    <w:p w14:paraId="3E266163" w14:textId="77777777" w:rsidR="00BB44E1" w:rsidRPr="00C51E07" w:rsidRDefault="00BB44E1">
      <w:pPr>
        <w:rPr>
          <w:sz w:val="22"/>
          <w:szCs w:val="22"/>
          <w:lang w:val="en-US"/>
        </w:rPr>
      </w:pPr>
    </w:p>
    <w:p w14:paraId="6172E456" w14:textId="77777777" w:rsidR="00BB44E1" w:rsidRPr="00C51E07" w:rsidRDefault="00BB44E1">
      <w:pPr>
        <w:rPr>
          <w:sz w:val="22"/>
          <w:szCs w:val="22"/>
          <w:lang w:val="en-US"/>
        </w:rPr>
      </w:pPr>
    </w:p>
    <w:p w14:paraId="0FAE9B20" w14:textId="77777777" w:rsidR="00BB44E1" w:rsidRPr="00C51E07" w:rsidRDefault="00BB44E1">
      <w:pPr>
        <w:rPr>
          <w:sz w:val="22"/>
          <w:szCs w:val="22"/>
          <w:lang w:val="en-US"/>
        </w:rPr>
      </w:pPr>
    </w:p>
    <w:p w14:paraId="3881D2F9" w14:textId="77777777" w:rsidR="00BB44E1" w:rsidRPr="00C51E07" w:rsidRDefault="00230B49">
      <w:pPr>
        <w:tabs>
          <w:tab w:val="left" w:pos="1470"/>
        </w:tabs>
        <w:rPr>
          <w:sz w:val="22"/>
          <w:szCs w:val="22"/>
          <w:lang w:val="en-US"/>
        </w:rPr>
      </w:pPr>
      <w:r w:rsidRPr="00C51E07">
        <w:rPr>
          <w:sz w:val="22"/>
          <w:szCs w:val="22"/>
          <w:lang w:val="en-US"/>
        </w:rPr>
        <w:tab/>
      </w:r>
    </w:p>
    <w:p w14:paraId="678764B5" w14:textId="77777777" w:rsidR="00BB44E1" w:rsidRPr="00C51E07" w:rsidRDefault="00230B49">
      <w:pPr>
        <w:tabs>
          <w:tab w:val="left" w:pos="3870"/>
        </w:tabs>
        <w:rPr>
          <w:sz w:val="22"/>
          <w:szCs w:val="22"/>
          <w:lang w:val="en-US"/>
        </w:rPr>
      </w:pPr>
      <w:r w:rsidRPr="00C51E07">
        <w:rPr>
          <w:sz w:val="22"/>
          <w:szCs w:val="22"/>
          <w:lang w:val="en-US"/>
        </w:rPr>
        <w:tab/>
      </w:r>
    </w:p>
    <w:p w14:paraId="502F742E" w14:textId="5C9D0C46" w:rsidR="00BB44E1" w:rsidRDefault="00230B49">
      <w:pPr>
        <w:rPr>
          <w:sz w:val="22"/>
          <w:szCs w:val="22"/>
        </w:rPr>
      </w:pPr>
      <w:r w:rsidRPr="00C51E07">
        <w:rPr>
          <w:lang w:val="en-US"/>
        </w:rPr>
        <w:br w:type="page"/>
      </w:r>
      <w:r w:rsidR="00BE4A60">
        <w:rPr>
          <w:noProof/>
          <w:lang w:eastAsia="en-GB"/>
        </w:rPr>
        <w:lastRenderedPageBreak/>
        <mc:AlternateContent>
          <mc:Choice Requires="wps">
            <w:drawing>
              <wp:anchor distT="0" distB="0" distL="114300" distR="114300" simplePos="0" relativeHeight="251664384" behindDoc="0" locked="0" layoutInCell="1" hidden="0" allowOverlap="1" wp14:anchorId="13C52B8A" wp14:editId="0FFC7E39">
                <wp:simplePos x="0" y="0"/>
                <wp:positionH relativeFrom="page">
                  <wp:align>center</wp:align>
                </wp:positionH>
                <wp:positionV relativeFrom="paragraph">
                  <wp:posOffset>8386618</wp:posOffset>
                </wp:positionV>
                <wp:extent cx="7179945" cy="611505"/>
                <wp:effectExtent l="0" t="0" r="1905" b="17145"/>
                <wp:wrapNone/>
                <wp:docPr id="41" name="Rectangle 41"/>
                <wp:cNvGraphicFramePr/>
                <a:graphic xmlns:a="http://schemas.openxmlformats.org/drawingml/2006/main">
                  <a:graphicData uri="http://schemas.microsoft.com/office/word/2010/wordprocessingShape">
                    <wps:wsp>
                      <wps:cNvSpPr/>
                      <wps:spPr>
                        <a:xfrm>
                          <a:off x="0" y="0"/>
                          <a:ext cx="7179945" cy="611505"/>
                        </a:xfrm>
                        <a:prstGeom prst="rect">
                          <a:avLst/>
                        </a:prstGeom>
                        <a:noFill/>
                        <a:ln>
                          <a:noFill/>
                        </a:ln>
                      </wps:spPr>
                      <wps:txbx>
                        <w:txbxContent>
                          <w:p w14:paraId="48A1E421" w14:textId="604E75D3" w:rsidR="00F23644" w:rsidRDefault="00F23644">
                            <w:pPr>
                              <w:spacing w:line="288" w:lineRule="auto"/>
                              <w:jc w:val="both"/>
                              <w:textDirection w:val="btLr"/>
                            </w:pPr>
                            <w:bookmarkStart w:id="183" w:name="_GoBack"/>
                            <w:r>
                              <w:rPr>
                                <w:color w:val="002060"/>
                                <w:sz w:val="20"/>
                              </w:rPr>
                              <w:t>This publication was produced with the financial support of the European Union and the Republic of Türkiye. Its contents are the sole responsibility of the consortium led by WEglobal A.Ş. in consortium with WEglobal Italy, Archidata Srl, and Federation of Trentina Cooperatives (FTC) and do not necessarily reflect the views of the European Union and the Republic of Türkiye.</w:t>
                            </w:r>
                            <w:bookmarkEnd w:id="183"/>
                          </w:p>
                        </w:txbxContent>
                      </wps:txbx>
                      <wps:bodyPr spcFirstLastPara="1" wrap="square" lIns="0" tIns="0" rIns="0" bIns="0" anchor="t" anchorCtr="0">
                        <a:noAutofit/>
                      </wps:bodyPr>
                    </wps:wsp>
                  </a:graphicData>
                </a:graphic>
              </wp:anchor>
            </w:drawing>
          </mc:Choice>
          <mc:Fallback>
            <w:pict>
              <v:rect w14:anchorId="13C52B8A" id="Rectangle 41" o:spid="_x0000_s1034" style="position:absolute;margin-left:0;margin-top:660.35pt;width:565.35pt;height:48.15pt;z-index:251664384;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" filled="f" stroked="f">
                <v:textbox inset="0,0,0,0">
                  <w:txbxContent>
                    <w:p w14:paraId="48A1E421" w14:textId="604E75D3" w:rsidR="00F23644" w:rsidRDefault="00F23644">
                      <w:pPr>
                        <w:spacing w:line="288" w:lineRule="auto"/>
                        <w:jc w:val="both"/>
                        <w:textDirection w:val="btLr"/>
                      </w:pPr>
                      <w:bookmarkStart w:id="184" w:name="_GoBack"/>
                      <w:r>
                        <w:rPr>
                          <w:color w:val="002060"/>
                          <w:sz w:val="20"/>
                        </w:rPr>
                        <w:t>This publication was produced with the financial support of the European Union and the Republic of Türkiye. Its contents are the sole responsibility of the consortium led by WEglobal A.Ş. in consortium with WEglobal Italy, Archidata Srl, and Federation of Trentina Cooperatives (FTC) and do not necessarily reflect the views of the European Union and the Republic of Türkiye.</w:t>
                      </w:r>
                      <w:bookmarkEnd w:id="184"/>
                    </w:p>
                  </w:txbxContent>
                </v:textbox>
                <w10:wrap anchorx="page"/>
              </v:rect>
            </w:pict>
          </mc:Fallback>
        </mc:AlternateContent>
      </w:r>
      <w:r>
        <w:rPr>
          <w:noProof/>
          <w:sz w:val="22"/>
          <w:szCs w:val="22"/>
          <w:lang w:eastAsia="en-GB"/>
        </w:rPr>
        <w:drawing>
          <wp:anchor distT="0" distB="0" distL="0" distR="0" simplePos="0" relativeHeight="251663360" behindDoc="1" locked="0" layoutInCell="1" hidden="0" allowOverlap="1" wp14:anchorId="11999DAD" wp14:editId="5152D63C">
            <wp:simplePos x="0" y="0"/>
            <wp:positionH relativeFrom="margin">
              <wp:posOffset>-934084</wp:posOffset>
            </wp:positionH>
            <wp:positionV relativeFrom="page">
              <wp:align>center</wp:align>
            </wp:positionV>
            <wp:extent cx="7560000" cy="10699200"/>
            <wp:effectExtent l="0" t="0" r="0" b="0"/>
            <wp:wrapNone/>
            <wp:docPr id="4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9"/>
                    <a:srcRect/>
                    <a:stretch>
                      <a:fillRect/>
                    </a:stretch>
                  </pic:blipFill>
                  <pic:spPr>
                    <a:xfrm>
                      <a:off x="0" y="0"/>
                      <a:ext cx="7560000" cy="10699200"/>
                    </a:xfrm>
                    <a:prstGeom prst="rect">
                      <a:avLst/>
                    </a:prstGeom>
                    <a:ln/>
                  </pic:spPr>
                </pic:pic>
              </a:graphicData>
            </a:graphic>
          </wp:anchor>
        </w:drawing>
      </w:r>
    </w:p>
    <w:sectPr w:rsidR="00BB44E1">
      <w:headerReference w:type="default" r:id="rId100"/>
      <w:footerReference w:type="default" r:id="rId101"/>
      <w:pgSz w:w="11900" w:h="16840"/>
      <w:pgMar w:top="1985" w:right="985" w:bottom="1843" w:left="1418" w:header="709" w:footer="987" w:gutter="0"/>
      <w:pgNumType w:start="1"/>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C6FC7A" w16cex:dateUtc="2023-03-23T13:27:00Z"/>
  <w16cex:commentExtensible w16cex:durableId="26A4D9FA" w16cex:dateUtc="2022-08-15T11:43:00Z"/>
  <w16cex:commentExtensible w16cex:durableId="27C6FD1F" w16cex:dateUtc="2023-03-23T13:30:00Z"/>
  <w16cex:commentExtensible w16cex:durableId="27C70261" w16cex:dateUtc="2023-03-23T13:52:00Z"/>
  <w16cex:commentExtensible w16cex:durableId="27C6FD8F" w16cex:dateUtc="2023-03-23T13:32:00Z"/>
  <w16cex:commentExtensible w16cex:durableId="27C6FE17" w16cex:dateUtc="2023-03-23T13:34:00Z"/>
  <w16cex:commentExtensible w16cex:durableId="27C6FED9" w16cex:dateUtc="2023-03-23T13:37:00Z"/>
  <w16cex:commentExtensible w16cex:durableId="27C6FF25" w16cex:dateUtc="2023-03-23T13:3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278C3A5" w16cid:durableId="26A4D9FA"/>
  <w16cid:commentId w16cid:paraId="0D15AA96" w16cid:durableId="27B57D4E"/>
  <w16cid:commentId w16cid:paraId="6E68FCA5" w16cid:durableId="2818A4C3"/>
  <w16cid:commentId w16cid:paraId="54B2193B" w16cid:durableId="2818A4C4"/>
  <w16cid:commentId w16cid:paraId="3820443A" w16cid:durableId="2818A9E6"/>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86D736" w14:textId="77777777" w:rsidR="00932204" w:rsidRDefault="00932204">
      <w:r>
        <w:separator/>
      </w:r>
    </w:p>
  </w:endnote>
  <w:endnote w:type="continuationSeparator" w:id="0">
    <w:p w14:paraId="52084B71" w14:textId="77777777" w:rsidR="00932204" w:rsidRDefault="009322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NewRomanPS">
    <w:altName w:val="Times New Roman"/>
    <w:panose1 w:val="00000000000000000000"/>
    <w:charset w:val="00"/>
    <w:family w:val="roman"/>
    <w:notTrueType/>
    <w:pitch w:val="default"/>
    <w:sig w:usb0="00000003" w:usb1="00000000" w:usb2="00000000" w:usb3="00000000" w:csb0="00000001" w:csb1="00000000"/>
  </w:font>
  <w:font w:name="Segoe UI">
    <w:altName w:val="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Times">
    <w:panose1 w:val="02020603050405020304"/>
    <w:charset w:val="00"/>
    <w:family w:val="roman"/>
    <w:pitch w:val="variable"/>
    <w:sig w:usb0="00000003" w:usb1="00000000" w:usb2="00000000" w:usb3="00000000" w:csb0="00000001" w:csb1="00000000"/>
  </w:font>
  <w:font w:name="Roboto">
    <w:altName w:val="Arial"/>
    <w:charset w:val="00"/>
    <w:family w:val="auto"/>
    <w:pitch w:val="variable"/>
    <w:sig w:usb0="E0000AFF" w:usb1="5000217F" w:usb2="00000021" w:usb3="00000000" w:csb0="0000019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Quattrocento Sans">
    <w:altName w:val="Times New Roman"/>
    <w:charset w:val="00"/>
    <w:family w:val="swiss"/>
    <w:pitch w:val="variable"/>
    <w:sig w:usb0="800000BF" w:usb1="4000005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29496829"/>
      <w:docPartObj>
        <w:docPartGallery w:val="Page Numbers (Bottom of Page)"/>
        <w:docPartUnique/>
      </w:docPartObj>
    </w:sdtPr>
    <w:sdtEndPr>
      <w:rPr>
        <w:noProof/>
      </w:rPr>
    </w:sdtEndPr>
    <w:sdtContent>
      <w:p w14:paraId="478CCE79" w14:textId="37A870B6" w:rsidR="00F23644" w:rsidRDefault="00F23644">
        <w:pPr>
          <w:pStyle w:val="Footer"/>
          <w:jc w:val="center"/>
        </w:pPr>
        <w:r>
          <w:fldChar w:fldCharType="begin"/>
        </w:r>
        <w:r>
          <w:instrText xml:space="preserve"> PAGE   \* MERGEFORMAT </w:instrText>
        </w:r>
        <w:r>
          <w:fldChar w:fldCharType="separate"/>
        </w:r>
        <w:r w:rsidR="00BE4A60">
          <w:rPr>
            <w:noProof/>
          </w:rPr>
          <w:t>60</w:t>
        </w:r>
        <w:r>
          <w:rPr>
            <w:noProof/>
          </w:rPr>
          <w:fldChar w:fldCharType="end"/>
        </w:r>
      </w:p>
    </w:sdtContent>
  </w:sdt>
  <w:p w14:paraId="73E34328" w14:textId="77777777" w:rsidR="00F23644" w:rsidRDefault="00F2364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294268686"/>
      <w:docPartObj>
        <w:docPartGallery w:val="Page Numbers (Bottom of Page)"/>
        <w:docPartUnique/>
      </w:docPartObj>
    </w:sdtPr>
    <w:sdtEndPr>
      <w:rPr>
        <w:rStyle w:val="PageNumber"/>
      </w:rPr>
    </w:sdtEndPr>
    <w:sdtContent>
      <w:p w14:paraId="19EECA87" w14:textId="77777777" w:rsidR="00F23644" w:rsidRDefault="00F23644" w:rsidP="00EA37BB">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8DC6D83" w14:textId="77777777" w:rsidR="00F23644" w:rsidRDefault="00F23644">
    <w:pPr>
      <w:pStyle w:val="Footer"/>
    </w:pPr>
  </w:p>
  <w:p w14:paraId="3B623DF1" w14:textId="77777777" w:rsidR="00F23644" w:rsidRDefault="00F23644"/>
  <w:p w14:paraId="42EF0A10" w14:textId="77777777" w:rsidR="00F23644" w:rsidRDefault="00F23644"/>
  <w:p w14:paraId="6761D489" w14:textId="77777777" w:rsidR="00F23644" w:rsidRDefault="00F23644"/>
  <w:p w14:paraId="2F238BF9" w14:textId="77777777" w:rsidR="00F23644" w:rsidRDefault="00F23644"/>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DB4860" w14:textId="77777777" w:rsidR="00F23644" w:rsidRDefault="00F2364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5DAA28" w14:textId="49AF5F72" w:rsidR="00F23644" w:rsidRDefault="00F23644">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separate"/>
    </w:r>
    <w:r w:rsidR="00BE4A60">
      <w:rPr>
        <w:noProof/>
        <w:color w:val="000000"/>
      </w:rPr>
      <w:t>47</w:t>
    </w:r>
    <w:r>
      <w:rPr>
        <w:color w:val="000000"/>
      </w:rPr>
      <w:fldChar w:fldCharType="end"/>
    </w:r>
    <w:r>
      <w:rPr>
        <w:noProof/>
        <w:lang w:eastAsia="en-GB"/>
      </w:rPr>
      <w:drawing>
        <wp:anchor distT="0" distB="0" distL="0" distR="0" simplePos="0" relativeHeight="251659264" behindDoc="1" locked="0" layoutInCell="1" hidden="0" allowOverlap="1" wp14:anchorId="538CBEDE" wp14:editId="598328E8">
          <wp:simplePos x="0" y="0"/>
          <wp:positionH relativeFrom="column">
            <wp:posOffset>-900429</wp:posOffset>
          </wp:positionH>
          <wp:positionV relativeFrom="paragraph">
            <wp:posOffset>0</wp:posOffset>
          </wp:positionV>
          <wp:extent cx="7556400" cy="896400"/>
          <wp:effectExtent l="0" t="0" r="0" b="0"/>
          <wp:wrapNone/>
          <wp:docPr id="4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
                  <a:srcRect/>
                  <a:stretch>
                    <a:fillRect/>
                  </a:stretch>
                </pic:blipFill>
                <pic:spPr>
                  <a:xfrm>
                    <a:off x="0" y="0"/>
                    <a:ext cx="7556400" cy="896400"/>
                  </a:xfrm>
                  <a:prstGeom prst="rect">
                    <a:avLst/>
                  </a:prstGeom>
                  <a:ln/>
                </pic:spPr>
              </pic:pic>
            </a:graphicData>
          </a:graphic>
        </wp:anchor>
      </w:drawing>
    </w:r>
  </w:p>
  <w:p w14:paraId="5A557D26" w14:textId="77777777" w:rsidR="00F23644" w:rsidRDefault="00F23644">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120ECE" w14:textId="77777777" w:rsidR="00932204" w:rsidRDefault="00932204">
      <w:r>
        <w:separator/>
      </w:r>
    </w:p>
  </w:footnote>
  <w:footnote w:type="continuationSeparator" w:id="0">
    <w:p w14:paraId="7BC20CB3" w14:textId="77777777" w:rsidR="00932204" w:rsidRDefault="00932204">
      <w:r>
        <w:continuationSeparator/>
      </w:r>
    </w:p>
  </w:footnote>
  <w:footnote w:id="1">
    <w:p w14:paraId="0535A268" w14:textId="77777777" w:rsidR="00F23644" w:rsidRPr="00604DAD" w:rsidRDefault="00F23644" w:rsidP="005758B6">
      <w:pPr>
        <w:pStyle w:val="FootnoteText"/>
        <w:rPr>
          <w:rFonts w:ascii="Times New Roman" w:hAnsi="Times New Roman"/>
          <w:sz w:val="18"/>
          <w:szCs w:val="18"/>
        </w:rPr>
      </w:pPr>
      <w:r>
        <w:rPr>
          <w:rStyle w:val="FootnoteReference"/>
        </w:rPr>
        <w:footnoteRef/>
      </w:r>
      <w:r>
        <w:t xml:space="preserve"> </w:t>
      </w:r>
      <w:bookmarkStart w:id="6" w:name="_Hlk82594576"/>
      <w:bookmarkStart w:id="7" w:name="_Hlk82594577"/>
      <w:r w:rsidRPr="00604DAD">
        <w:rPr>
          <w:rFonts w:ascii="Times New Roman" w:hAnsi="Times New Roman"/>
          <w:sz w:val="18"/>
          <w:szCs w:val="18"/>
        </w:rPr>
        <w:t>ILO &amp; UN Women (2021) Empowering Women at Work Government Laws and Policies for Gender Equality</w:t>
      </w:r>
      <w:bookmarkEnd w:id="6"/>
      <w:bookmarkEnd w:id="7"/>
    </w:p>
  </w:footnote>
  <w:footnote w:id="2">
    <w:p w14:paraId="75A422BB" w14:textId="77777777" w:rsidR="00F23644" w:rsidRPr="00604DAD" w:rsidRDefault="00F23644" w:rsidP="005758B6">
      <w:pPr>
        <w:pStyle w:val="FootnoteText"/>
        <w:rPr>
          <w:rFonts w:ascii="Times New Roman" w:hAnsi="Times New Roman"/>
          <w:sz w:val="18"/>
          <w:szCs w:val="18"/>
        </w:rPr>
      </w:pPr>
      <w:r w:rsidRPr="00604DAD">
        <w:rPr>
          <w:rStyle w:val="FootnoteReference"/>
          <w:rFonts w:ascii="Times New Roman" w:hAnsi="Times New Roman"/>
          <w:sz w:val="18"/>
          <w:szCs w:val="18"/>
        </w:rPr>
        <w:footnoteRef/>
      </w:r>
      <w:r w:rsidRPr="00604DAD">
        <w:rPr>
          <w:rFonts w:ascii="Times New Roman" w:hAnsi="Times New Roman"/>
          <w:sz w:val="18"/>
          <w:szCs w:val="18"/>
        </w:rPr>
        <w:t xml:space="preserve"> Conventions are international treaties, open for ratification by Member States, which then have the obligation of translating them into national law and putting themselves under international supervision to ensure that they are applying the provisions of the ratified conventions in law and practice.</w:t>
      </w:r>
    </w:p>
  </w:footnote>
  <w:footnote w:id="3">
    <w:p w14:paraId="34D54D8E" w14:textId="6E36AD36" w:rsidR="00F23644" w:rsidRPr="00F26CD0" w:rsidRDefault="00F23644" w:rsidP="005758B6">
      <w:pPr>
        <w:pStyle w:val="FootnoteText"/>
      </w:pPr>
      <w:r>
        <w:rPr>
          <w:rStyle w:val="FootnoteReference"/>
        </w:rPr>
        <w:footnoteRef/>
      </w:r>
      <w:r>
        <w:t xml:space="preserve"> </w:t>
      </w:r>
      <w:r w:rsidRPr="00F24FEE">
        <w:rPr>
          <w:rFonts w:ascii="Times New Roman" w:hAnsi="Times New Roman"/>
          <w:sz w:val="18"/>
          <w:szCs w:val="18"/>
        </w:rPr>
        <w:t xml:space="preserve">The ratification of the ILO Conventions is checked in the Government of </w:t>
      </w:r>
      <w:r>
        <w:rPr>
          <w:rFonts w:ascii="Times New Roman" w:hAnsi="Times New Roman"/>
          <w:sz w:val="18"/>
          <w:szCs w:val="18"/>
        </w:rPr>
        <w:t>Türkiye</w:t>
      </w:r>
      <w:r w:rsidRPr="00F24FEE">
        <w:rPr>
          <w:rFonts w:ascii="Times New Roman" w:hAnsi="Times New Roman"/>
          <w:sz w:val="18"/>
          <w:szCs w:val="18"/>
        </w:rPr>
        <w:t xml:space="preserve"> and ILO Ankara websites</w:t>
      </w:r>
      <w:r>
        <w:t xml:space="preserve">. </w:t>
      </w:r>
    </w:p>
  </w:footnote>
  <w:footnote w:id="4">
    <w:p w14:paraId="760D1088" w14:textId="77777777" w:rsidR="00F23644" w:rsidRPr="00604DAD" w:rsidRDefault="00F23644" w:rsidP="005758B6">
      <w:pPr>
        <w:pStyle w:val="FootnoteText"/>
        <w:rPr>
          <w:rFonts w:ascii="Times New Roman" w:hAnsi="Times New Roman"/>
          <w:sz w:val="18"/>
          <w:szCs w:val="18"/>
        </w:rPr>
      </w:pPr>
      <w:r w:rsidRPr="00604DAD">
        <w:rPr>
          <w:rStyle w:val="FootnoteReference"/>
          <w:rFonts w:ascii="Times New Roman" w:hAnsi="Times New Roman"/>
          <w:sz w:val="18"/>
          <w:szCs w:val="18"/>
        </w:rPr>
        <w:footnoteRef/>
      </w:r>
      <w:r w:rsidRPr="00604DAD">
        <w:rPr>
          <w:rFonts w:ascii="Times New Roman" w:hAnsi="Times New Roman"/>
          <w:sz w:val="18"/>
          <w:szCs w:val="18"/>
        </w:rPr>
        <w:t xml:space="preserve"> The classification in these three issues follows some publications of ILO, UN Women and EU.</w:t>
      </w:r>
    </w:p>
  </w:footnote>
  <w:footnote w:id="5">
    <w:p w14:paraId="6E402A57" w14:textId="77777777" w:rsidR="00F23644" w:rsidRPr="00604DAD" w:rsidRDefault="00F23644" w:rsidP="005758B6">
      <w:pPr>
        <w:pStyle w:val="FootnoteText"/>
        <w:rPr>
          <w:rFonts w:ascii="Times New Roman" w:hAnsi="Times New Roman"/>
          <w:sz w:val="18"/>
          <w:szCs w:val="18"/>
        </w:rPr>
      </w:pPr>
      <w:r w:rsidRPr="00604DAD">
        <w:rPr>
          <w:rStyle w:val="FootnoteReference"/>
          <w:rFonts w:ascii="Times New Roman" w:hAnsi="Times New Roman"/>
          <w:sz w:val="18"/>
          <w:szCs w:val="18"/>
        </w:rPr>
        <w:footnoteRef/>
      </w:r>
      <w:r w:rsidRPr="00604DAD">
        <w:rPr>
          <w:rFonts w:ascii="Times New Roman" w:hAnsi="Times New Roman"/>
          <w:sz w:val="18"/>
          <w:szCs w:val="18"/>
        </w:rPr>
        <w:t xml:space="preserve"> World Economic Forum (2021) Global Gender Gap Report 2020</w:t>
      </w:r>
    </w:p>
  </w:footnote>
  <w:footnote w:id="6">
    <w:p w14:paraId="11974CC9" w14:textId="6D45FB46" w:rsidR="00F23644" w:rsidRPr="00604DAD" w:rsidRDefault="00F23644" w:rsidP="005758B6">
      <w:pPr>
        <w:pStyle w:val="FootnoteText"/>
        <w:rPr>
          <w:rFonts w:ascii="Times New Roman" w:hAnsi="Times New Roman"/>
          <w:sz w:val="18"/>
          <w:szCs w:val="18"/>
          <w:lang w:val="en-US"/>
        </w:rPr>
      </w:pPr>
      <w:r w:rsidRPr="00604DAD">
        <w:rPr>
          <w:rStyle w:val="FootnoteReference"/>
          <w:rFonts w:ascii="Times New Roman" w:hAnsi="Times New Roman"/>
          <w:sz w:val="18"/>
          <w:szCs w:val="18"/>
        </w:rPr>
        <w:footnoteRef/>
      </w:r>
      <w:r w:rsidRPr="00604DAD">
        <w:rPr>
          <w:rFonts w:ascii="Times New Roman" w:hAnsi="Times New Roman"/>
          <w:sz w:val="18"/>
          <w:szCs w:val="18"/>
        </w:rPr>
        <w:t xml:space="preserve"> </w:t>
      </w:r>
      <w:r w:rsidRPr="00604DAD">
        <w:rPr>
          <w:rFonts w:ascii="Times New Roman" w:hAnsi="Times New Roman"/>
          <w:sz w:val="18"/>
          <w:szCs w:val="18"/>
          <w:lang w:val="en-US"/>
        </w:rPr>
        <w:t xml:space="preserve"> ILO, 2019. </w:t>
      </w:r>
      <w:hyperlink r:id="rId1">
        <w:r w:rsidRPr="00604DAD">
          <w:rPr>
            <w:rStyle w:val="Hyperlink"/>
            <w:rFonts w:ascii="Times New Roman" w:hAnsi="Times New Roman"/>
            <w:sz w:val="18"/>
            <w:szCs w:val="18"/>
            <w:lang w:val="en-US"/>
          </w:rPr>
          <w:t xml:space="preserve">Women in Business and Management: The </w:t>
        </w:r>
      </w:hyperlink>
      <w:r w:rsidRPr="00604DAD">
        <w:rPr>
          <w:rFonts w:ascii="Times New Roman" w:hAnsi="Times New Roman"/>
          <w:sz w:val="18"/>
          <w:szCs w:val="18"/>
          <w:lang w:val="en-US"/>
        </w:rPr>
        <w:t>business case for change, Geneva.</w:t>
      </w:r>
    </w:p>
  </w:footnote>
  <w:footnote w:id="7">
    <w:p w14:paraId="746963A1" w14:textId="77777777" w:rsidR="00F23644" w:rsidRPr="00136AFF" w:rsidRDefault="00F23644" w:rsidP="005758B6">
      <w:pPr>
        <w:pStyle w:val="FootnoteText"/>
        <w:rPr>
          <w:rFonts w:ascii="Times New Roman" w:hAnsi="Times New Roman"/>
          <w:sz w:val="18"/>
          <w:szCs w:val="18"/>
        </w:rPr>
      </w:pPr>
      <w:r w:rsidRPr="00604DAD">
        <w:rPr>
          <w:rStyle w:val="FootnoteReference"/>
          <w:rFonts w:ascii="Times New Roman" w:hAnsi="Times New Roman"/>
          <w:sz w:val="18"/>
          <w:szCs w:val="18"/>
        </w:rPr>
        <w:footnoteRef/>
      </w:r>
      <w:r w:rsidRPr="00604DAD">
        <w:rPr>
          <w:rFonts w:ascii="Times New Roman" w:hAnsi="Times New Roman"/>
          <w:sz w:val="18"/>
          <w:szCs w:val="18"/>
        </w:rPr>
        <w:t xml:space="preserve"> </w:t>
      </w:r>
      <w:bookmarkStart w:id="29" w:name="_Hlk88652531"/>
      <w:r w:rsidRPr="00604DAD">
        <w:rPr>
          <w:rFonts w:ascii="Times New Roman" w:hAnsi="Times New Roman"/>
          <w:sz w:val="18"/>
          <w:szCs w:val="18"/>
        </w:rPr>
        <w:t xml:space="preserve">These good practices in European countries, both included in ILO and UN Women (2021) </w:t>
      </w:r>
      <w:bookmarkEnd w:id="29"/>
      <w:r w:rsidRPr="00136AFF">
        <w:rPr>
          <w:rFonts w:ascii="Times New Roman" w:hAnsi="Times New Roman"/>
          <w:sz w:val="18"/>
          <w:szCs w:val="18"/>
        </w:rPr>
        <w:t>and the websites of the governments</w:t>
      </w:r>
    </w:p>
    <w:p w14:paraId="0A200290" w14:textId="77777777" w:rsidR="00F23644" w:rsidRPr="00604DAD" w:rsidRDefault="00F23644" w:rsidP="005758B6">
      <w:pPr>
        <w:pStyle w:val="FootnoteText"/>
        <w:rPr>
          <w:rFonts w:ascii="Times New Roman" w:hAnsi="Times New Roman"/>
          <w:sz w:val="18"/>
          <w:szCs w:val="18"/>
        </w:rPr>
      </w:pPr>
    </w:p>
  </w:footnote>
  <w:footnote w:id="8">
    <w:p w14:paraId="090F1785" w14:textId="77777777" w:rsidR="00F23644" w:rsidRPr="00604DAD" w:rsidRDefault="00F23644" w:rsidP="005758B6">
      <w:pPr>
        <w:pStyle w:val="FootnoteText"/>
        <w:rPr>
          <w:rFonts w:ascii="Times New Roman" w:hAnsi="Times New Roman"/>
          <w:sz w:val="18"/>
          <w:szCs w:val="18"/>
          <w:lang w:val="es-AR"/>
        </w:rPr>
      </w:pPr>
      <w:r w:rsidRPr="00604DAD">
        <w:rPr>
          <w:rStyle w:val="FootnoteReference"/>
          <w:rFonts w:ascii="Times New Roman" w:hAnsi="Times New Roman"/>
          <w:sz w:val="18"/>
          <w:szCs w:val="18"/>
        </w:rPr>
        <w:footnoteRef/>
      </w:r>
      <w:r w:rsidRPr="00604DAD">
        <w:rPr>
          <w:rFonts w:ascii="Times New Roman" w:hAnsi="Times New Roman"/>
          <w:sz w:val="18"/>
          <w:szCs w:val="18"/>
          <w:lang w:val="es-AR"/>
        </w:rPr>
        <w:t xml:space="preserve"> Gobierno de España, 2020. Real Decreto Legislativo 2/2015, de 23 de octubre, por el que se aprueba el texto refundido de la Ley del Estatuto de los Trabajadores and ILO NATLEX, Real Decreto Legislativo núm. 1/1994, de 20 de junio, por el que se aprueba el texto refundido de la ley general de la seguridad social.</w:t>
      </w:r>
    </w:p>
  </w:footnote>
  <w:footnote w:id="9">
    <w:p w14:paraId="23060E8D" w14:textId="77777777" w:rsidR="00F23644" w:rsidRPr="00604DAD" w:rsidRDefault="00F23644" w:rsidP="005758B6">
      <w:pPr>
        <w:pStyle w:val="FootnoteText"/>
        <w:rPr>
          <w:rFonts w:ascii="Times New Roman" w:hAnsi="Times New Roman"/>
          <w:sz w:val="18"/>
          <w:szCs w:val="18"/>
          <w:lang w:val="en-US"/>
        </w:rPr>
      </w:pPr>
      <w:r w:rsidRPr="00604DAD">
        <w:rPr>
          <w:rStyle w:val="FootnoteReference"/>
          <w:rFonts w:ascii="Times New Roman" w:hAnsi="Times New Roman"/>
          <w:sz w:val="18"/>
          <w:szCs w:val="18"/>
        </w:rPr>
        <w:footnoteRef/>
      </w:r>
      <w:r w:rsidRPr="00604DAD">
        <w:rPr>
          <w:rFonts w:ascii="Times New Roman" w:hAnsi="Times New Roman"/>
          <w:sz w:val="18"/>
          <w:szCs w:val="18"/>
        </w:rPr>
        <w:t xml:space="preserve"> </w:t>
      </w:r>
      <w:r w:rsidRPr="00604DAD">
        <w:rPr>
          <w:rFonts w:ascii="Times New Roman" w:hAnsi="Times New Roman"/>
          <w:sz w:val="18"/>
          <w:szCs w:val="18"/>
          <w:lang w:val="en-US"/>
        </w:rPr>
        <w:t xml:space="preserve">UNDP, 2020. </w:t>
      </w:r>
      <w:hyperlink r:id="rId2">
        <w:r w:rsidRPr="00604DAD">
          <w:rPr>
            <w:rStyle w:val="Hyperlink"/>
            <w:rFonts w:ascii="Times New Roman" w:hAnsi="Times New Roman"/>
            <w:sz w:val="18"/>
            <w:szCs w:val="18"/>
            <w:lang w:val="en-US"/>
          </w:rPr>
          <w:t>COVID-19 will widen poverty gap between women and men, new UN Women and UNDP data</w:t>
        </w:r>
      </w:hyperlink>
      <w:r w:rsidRPr="00604DAD">
        <w:rPr>
          <w:rFonts w:ascii="Times New Roman" w:hAnsi="Times New Roman"/>
          <w:sz w:val="18"/>
          <w:szCs w:val="18"/>
          <w:lang w:val="en-US"/>
        </w:rPr>
        <w:t xml:space="preserve"> </w:t>
      </w:r>
      <w:hyperlink r:id="rId3">
        <w:r w:rsidRPr="00604DAD">
          <w:rPr>
            <w:rStyle w:val="Hyperlink"/>
            <w:rFonts w:ascii="Times New Roman" w:hAnsi="Times New Roman"/>
            <w:sz w:val="18"/>
            <w:szCs w:val="18"/>
            <w:lang w:val="en-US"/>
          </w:rPr>
          <w:t>shows</w:t>
        </w:r>
      </w:hyperlink>
      <w:r w:rsidRPr="00604DAD">
        <w:rPr>
          <w:rFonts w:ascii="Times New Roman" w:hAnsi="Times New Roman"/>
          <w:sz w:val="18"/>
          <w:szCs w:val="18"/>
          <w:lang w:val="en-US"/>
        </w:rPr>
        <w:t>, New York.</w:t>
      </w:r>
    </w:p>
    <w:p w14:paraId="3A690AC5" w14:textId="77777777" w:rsidR="00F23644" w:rsidRPr="00604DAD" w:rsidRDefault="00F23644" w:rsidP="005758B6">
      <w:pPr>
        <w:pStyle w:val="FootnoteText"/>
        <w:rPr>
          <w:rFonts w:ascii="Times New Roman" w:hAnsi="Times New Roman"/>
          <w:sz w:val="18"/>
          <w:szCs w:val="18"/>
          <w:lang w:val="en-US"/>
        </w:rPr>
      </w:pPr>
    </w:p>
  </w:footnote>
  <w:footnote w:id="10">
    <w:p w14:paraId="6ACEEF58" w14:textId="77777777" w:rsidR="00F23644" w:rsidRPr="00604DAD" w:rsidRDefault="00F23644" w:rsidP="005758B6">
      <w:pPr>
        <w:pStyle w:val="FootnoteText"/>
        <w:rPr>
          <w:rFonts w:ascii="Times New Roman" w:hAnsi="Times New Roman"/>
          <w:sz w:val="18"/>
          <w:szCs w:val="18"/>
        </w:rPr>
      </w:pPr>
      <w:r w:rsidRPr="00604DAD">
        <w:rPr>
          <w:rStyle w:val="FootnoteReference"/>
          <w:rFonts w:ascii="Times New Roman" w:hAnsi="Times New Roman"/>
          <w:sz w:val="18"/>
          <w:szCs w:val="18"/>
        </w:rPr>
        <w:footnoteRef/>
      </w:r>
      <w:r w:rsidRPr="00604DAD">
        <w:rPr>
          <w:rFonts w:ascii="Times New Roman" w:hAnsi="Times New Roman"/>
          <w:sz w:val="18"/>
          <w:szCs w:val="18"/>
        </w:rPr>
        <w:t xml:space="preserve"> This information is included in the Report 2021 – ILO &amp; UN Women </w:t>
      </w:r>
    </w:p>
  </w:footnote>
  <w:footnote w:id="11">
    <w:p w14:paraId="4AB4BFF4" w14:textId="461BED82" w:rsidR="00F23644" w:rsidRPr="00604DAD" w:rsidRDefault="00F23644" w:rsidP="005758B6">
      <w:pPr>
        <w:pStyle w:val="FootnoteText"/>
        <w:rPr>
          <w:rFonts w:ascii="Times New Roman" w:hAnsi="Times New Roman"/>
          <w:sz w:val="18"/>
          <w:szCs w:val="18"/>
          <w:lang w:val="en-US"/>
        </w:rPr>
      </w:pPr>
      <w:r w:rsidRPr="00604DAD">
        <w:rPr>
          <w:rStyle w:val="FootnoteReference"/>
          <w:rFonts w:ascii="Times New Roman" w:hAnsi="Times New Roman"/>
          <w:sz w:val="18"/>
          <w:szCs w:val="18"/>
        </w:rPr>
        <w:footnoteRef/>
      </w:r>
      <w:r w:rsidRPr="00604DAD">
        <w:rPr>
          <w:rFonts w:ascii="Times New Roman" w:hAnsi="Times New Roman"/>
          <w:sz w:val="18"/>
          <w:szCs w:val="18"/>
        </w:rPr>
        <w:t xml:space="preserve"> </w:t>
      </w:r>
      <w:r w:rsidRPr="0024145A">
        <w:rPr>
          <w:rFonts w:ascii="Times New Roman" w:hAnsi="Times New Roman"/>
          <w:sz w:val="18"/>
          <w:szCs w:val="18"/>
          <w:lang w:val="en-US"/>
        </w:rPr>
        <w:t xml:space="preserve">European Commission, 2019. </w:t>
      </w:r>
      <w:hyperlink r:id="rId4">
        <w:r w:rsidRPr="0024145A">
          <w:rPr>
            <w:rStyle w:val="Hyperlink"/>
            <w:rFonts w:ascii="Times New Roman" w:hAnsi="Times New Roman"/>
            <w:sz w:val="18"/>
            <w:szCs w:val="18"/>
            <w:lang w:val="en-US"/>
          </w:rPr>
          <w:t>2019 Report on equality between women and men in the EU</w:t>
        </w:r>
      </w:hyperlink>
      <w:r w:rsidRPr="0024145A">
        <w:rPr>
          <w:rFonts w:ascii="Times New Roman" w:hAnsi="Times New Roman"/>
          <w:sz w:val="18"/>
          <w:szCs w:val="18"/>
          <w:lang w:val="en-US"/>
        </w:rPr>
        <w:t>, Brussels</w:t>
      </w:r>
      <w:r w:rsidRPr="00604DAD">
        <w:rPr>
          <w:rFonts w:ascii="Times New Roman" w:hAnsi="Times New Roman"/>
          <w:sz w:val="18"/>
          <w:szCs w:val="18"/>
          <w:lang w:val="en-US"/>
        </w:rPr>
        <w:t xml:space="preserve"> and </w:t>
      </w:r>
      <w:r w:rsidRPr="0024145A">
        <w:rPr>
          <w:rFonts w:ascii="Times New Roman" w:hAnsi="Times New Roman"/>
          <w:sz w:val="18"/>
          <w:szCs w:val="18"/>
          <w:lang w:val="en-US"/>
        </w:rPr>
        <w:t xml:space="preserve">ILO, undated. </w:t>
      </w:r>
      <w:hyperlink r:id="rId5">
        <w:r w:rsidRPr="0024145A">
          <w:rPr>
            <w:rStyle w:val="Hyperlink"/>
            <w:rFonts w:ascii="Times New Roman" w:hAnsi="Times New Roman"/>
            <w:sz w:val="18"/>
            <w:szCs w:val="18"/>
            <w:lang w:val="en-US"/>
          </w:rPr>
          <w:t>Fact Sheet: Sexual Harassment at Work</w:t>
        </w:r>
      </w:hyperlink>
      <w:r w:rsidRPr="0024145A">
        <w:rPr>
          <w:rFonts w:ascii="Times New Roman" w:hAnsi="Times New Roman"/>
          <w:sz w:val="18"/>
          <w:szCs w:val="18"/>
          <w:lang w:val="en-US"/>
        </w:rPr>
        <w:t>, Geneva.</w:t>
      </w:r>
    </w:p>
  </w:footnote>
  <w:footnote w:id="12">
    <w:p w14:paraId="1334E1A3" w14:textId="77777777" w:rsidR="00F23644" w:rsidRPr="00E46F31" w:rsidRDefault="00F23644" w:rsidP="005758B6">
      <w:pPr>
        <w:pStyle w:val="FootnoteText"/>
        <w:rPr>
          <w:rFonts w:ascii="Times New Roman" w:hAnsi="Times New Roman"/>
          <w:sz w:val="18"/>
          <w:szCs w:val="18"/>
        </w:rPr>
      </w:pPr>
      <w:r w:rsidRPr="00604DAD">
        <w:rPr>
          <w:rStyle w:val="FootnoteReference"/>
          <w:rFonts w:ascii="Times New Roman" w:hAnsi="Times New Roman"/>
          <w:sz w:val="18"/>
          <w:szCs w:val="18"/>
        </w:rPr>
        <w:footnoteRef/>
      </w:r>
      <w:r w:rsidRPr="00604DAD">
        <w:rPr>
          <w:rFonts w:ascii="Times New Roman" w:hAnsi="Times New Roman"/>
          <w:sz w:val="18"/>
          <w:szCs w:val="18"/>
        </w:rPr>
        <w:t xml:space="preserve"> </w:t>
      </w:r>
      <w:r w:rsidRPr="00E46F31">
        <w:rPr>
          <w:rFonts w:ascii="Times New Roman" w:hAnsi="Times New Roman"/>
          <w:sz w:val="18"/>
          <w:szCs w:val="18"/>
        </w:rPr>
        <w:t>The concept of “violence and harassment” is defined as “unacceptable behaviours and practices, or threats thereof, whether a single occurrence or repeated, that aim at, result in, or are likely to result in physical, psychological, sexual or economic harm, and includes gender-based violence and harassment, including sexual harassment.”</w:t>
      </w:r>
    </w:p>
  </w:footnote>
  <w:footnote w:id="13">
    <w:p w14:paraId="6EC0F690" w14:textId="77777777" w:rsidR="00F23644" w:rsidRPr="00E46F31" w:rsidRDefault="00F23644" w:rsidP="005758B6">
      <w:pPr>
        <w:pStyle w:val="FootnoteText"/>
        <w:rPr>
          <w:rFonts w:ascii="Times New Roman" w:hAnsi="Times New Roman"/>
          <w:sz w:val="18"/>
          <w:szCs w:val="18"/>
        </w:rPr>
      </w:pPr>
      <w:r w:rsidRPr="00E46F31">
        <w:rPr>
          <w:rStyle w:val="FootnoteReference"/>
          <w:rFonts w:ascii="Times New Roman" w:hAnsi="Times New Roman"/>
          <w:sz w:val="18"/>
          <w:szCs w:val="18"/>
        </w:rPr>
        <w:footnoteRef/>
      </w:r>
      <w:r w:rsidRPr="00E46F31">
        <w:rPr>
          <w:rFonts w:ascii="Times New Roman" w:hAnsi="Times New Roman"/>
          <w:sz w:val="18"/>
          <w:szCs w:val="18"/>
        </w:rPr>
        <w:t xml:space="preserve"> Council of Europe, Istanbul Convention, available at: https://www.coe.int/en/web/istanbul-convention/text-of-the-convention</w:t>
      </w:r>
    </w:p>
    <w:p w14:paraId="7BBFF608" w14:textId="77777777" w:rsidR="00F23644" w:rsidRPr="00EC655C" w:rsidRDefault="00F23644" w:rsidP="005758B6">
      <w:pPr>
        <w:pStyle w:val="FootnoteText"/>
      </w:pPr>
    </w:p>
  </w:footnote>
  <w:footnote w:id="14">
    <w:p w14:paraId="0E4E9DB3" w14:textId="77777777" w:rsidR="00F23644" w:rsidRPr="00604DAD" w:rsidRDefault="00F23644" w:rsidP="005758B6">
      <w:pPr>
        <w:pStyle w:val="FootnoteText"/>
        <w:rPr>
          <w:rFonts w:ascii="Times New Roman" w:hAnsi="Times New Roman"/>
          <w:sz w:val="18"/>
          <w:szCs w:val="18"/>
        </w:rPr>
      </w:pPr>
      <w:r w:rsidRPr="00604DAD">
        <w:rPr>
          <w:rStyle w:val="FootnoteReference"/>
          <w:rFonts w:ascii="Times New Roman" w:hAnsi="Times New Roman"/>
          <w:sz w:val="18"/>
          <w:szCs w:val="18"/>
        </w:rPr>
        <w:footnoteRef/>
      </w:r>
      <w:r w:rsidRPr="00604DAD">
        <w:rPr>
          <w:rFonts w:ascii="Times New Roman" w:hAnsi="Times New Roman"/>
          <w:sz w:val="18"/>
          <w:szCs w:val="18"/>
        </w:rPr>
        <w:t xml:space="preserve"> European Commission (2021) 2021 report on gender equality in the EU</w:t>
      </w:r>
    </w:p>
  </w:footnote>
  <w:footnote w:id="15">
    <w:p w14:paraId="79049B30" w14:textId="77777777" w:rsidR="00F23644" w:rsidRPr="000216A4" w:rsidRDefault="00F23644" w:rsidP="005758B6">
      <w:pPr>
        <w:pStyle w:val="FootnoteText"/>
        <w:rPr>
          <w:rFonts w:ascii="Times New Roman" w:hAnsi="Times New Roman"/>
          <w:sz w:val="18"/>
          <w:szCs w:val="18"/>
        </w:rPr>
      </w:pPr>
      <w:r>
        <w:rPr>
          <w:rStyle w:val="FootnoteReference"/>
        </w:rPr>
        <w:footnoteRef/>
      </w:r>
      <w:r>
        <w:t xml:space="preserve"> </w:t>
      </w:r>
      <w:r w:rsidRPr="000216A4">
        <w:rPr>
          <w:rFonts w:ascii="Times New Roman" w:hAnsi="Times New Roman"/>
          <w:sz w:val="18"/>
          <w:szCs w:val="18"/>
        </w:rPr>
        <w:t>These good practices in European countries, both included in ILO and UN Women (2021)</w:t>
      </w:r>
    </w:p>
  </w:footnote>
  <w:footnote w:id="16">
    <w:p w14:paraId="40C2855C" w14:textId="77777777" w:rsidR="00F23644" w:rsidRPr="00604DAD" w:rsidRDefault="00F23644" w:rsidP="005758B6">
      <w:pPr>
        <w:pStyle w:val="FootnoteText"/>
        <w:rPr>
          <w:rFonts w:ascii="Times New Roman" w:hAnsi="Times New Roman"/>
          <w:sz w:val="18"/>
          <w:szCs w:val="18"/>
        </w:rPr>
      </w:pPr>
      <w:r w:rsidRPr="00604DAD">
        <w:rPr>
          <w:rStyle w:val="FootnoteReference"/>
          <w:rFonts w:ascii="Times New Roman" w:hAnsi="Times New Roman"/>
          <w:sz w:val="18"/>
          <w:szCs w:val="18"/>
        </w:rPr>
        <w:footnoteRef/>
      </w:r>
      <w:r w:rsidRPr="00604DAD">
        <w:rPr>
          <w:rFonts w:ascii="Times New Roman" w:hAnsi="Times New Roman"/>
          <w:sz w:val="18"/>
          <w:szCs w:val="18"/>
        </w:rPr>
        <w:t xml:space="preserve"> World Health Organization, the rise and rise of interpersonal violence – an unintended impact of the COVID-19 response on families, 2020. Available at: https://www.euro.who.int/en/health-topics/diseaseprevention/violence-and-injuries/news/news/2020/6/the-rise-and-rise-of-interpersonal-violence-anunintended-impact-of-the-covid-19-response-on-families.</w:t>
      </w:r>
    </w:p>
    <w:p w14:paraId="0182FD42" w14:textId="77777777" w:rsidR="00F23644" w:rsidRPr="00604DAD" w:rsidRDefault="00F23644" w:rsidP="005758B6">
      <w:pPr>
        <w:pStyle w:val="FootnoteText"/>
        <w:rPr>
          <w:rFonts w:ascii="Times New Roman" w:hAnsi="Times New Roman"/>
          <w:sz w:val="18"/>
          <w:szCs w:val="18"/>
        </w:rPr>
      </w:pPr>
      <w:r w:rsidRPr="00604DAD">
        <w:rPr>
          <w:rFonts w:ascii="Times New Roman" w:hAnsi="Times New Roman"/>
          <w:sz w:val="18"/>
          <w:szCs w:val="18"/>
        </w:rPr>
        <w:t xml:space="preserve"> United Nations, WHO warns of surge of domestic violence as COVID-19 cases decrease in Europe, UN Regional Informational Centre for Western Europe, 2020, available at: https://unric.org/en/who-warns-of-surge-ofdomestic-violence-as-covid-19-cases-decrease-in-europe/. </w:t>
      </w:r>
    </w:p>
    <w:p w14:paraId="193A707F" w14:textId="77777777" w:rsidR="00F23644" w:rsidRPr="00BC6F80" w:rsidRDefault="00F23644" w:rsidP="005758B6">
      <w:pPr>
        <w:pStyle w:val="FootnoteText"/>
        <w:rPr>
          <w:rFonts w:ascii="Times New Roman" w:hAnsi="Times New Roman"/>
          <w:sz w:val="18"/>
          <w:szCs w:val="18"/>
        </w:rPr>
      </w:pPr>
      <w:r w:rsidRPr="00604DAD">
        <w:rPr>
          <w:rFonts w:ascii="Times New Roman" w:hAnsi="Times New Roman"/>
          <w:sz w:val="18"/>
          <w:szCs w:val="18"/>
        </w:rPr>
        <w:t>Arenas-Arroyo, E.; Fernandez-Kranz, D.; Nollenberger, N., ‘Can’t Leave You Now! Intimate Partner Violence under Forced Coexistence and Economic Uncertainty,’ IZA Institute of Labour Economics, Discussion Paper Series No.13570, 2020. Available at https://covid-19.iza.org/publications/dp13570/.</w:t>
      </w:r>
    </w:p>
  </w:footnote>
  <w:footnote w:id="17">
    <w:p w14:paraId="71FA6F5B" w14:textId="77777777" w:rsidR="00F23644" w:rsidRPr="00BC6F80" w:rsidRDefault="00F23644" w:rsidP="005758B6">
      <w:pPr>
        <w:pStyle w:val="FootnoteText"/>
        <w:rPr>
          <w:rFonts w:ascii="Times New Roman" w:hAnsi="Times New Roman"/>
          <w:sz w:val="18"/>
          <w:szCs w:val="18"/>
        </w:rPr>
      </w:pPr>
      <w:r w:rsidRPr="00604DAD">
        <w:rPr>
          <w:rStyle w:val="FootnoteReference"/>
          <w:rFonts w:ascii="Times New Roman" w:hAnsi="Times New Roman"/>
          <w:sz w:val="18"/>
          <w:szCs w:val="18"/>
        </w:rPr>
        <w:footnoteRef/>
      </w:r>
      <w:r w:rsidRPr="00604DAD">
        <w:rPr>
          <w:rFonts w:ascii="Times New Roman" w:hAnsi="Times New Roman"/>
          <w:sz w:val="18"/>
          <w:szCs w:val="18"/>
        </w:rPr>
        <w:t xml:space="preserve"> </w:t>
      </w:r>
      <w:r w:rsidRPr="00BC6F80">
        <w:rPr>
          <w:rFonts w:ascii="Times New Roman" w:hAnsi="Times New Roman"/>
          <w:sz w:val="18"/>
          <w:szCs w:val="18"/>
        </w:rPr>
        <w:t>ILO and UN Women (2021)</w:t>
      </w:r>
    </w:p>
  </w:footnote>
  <w:footnote w:id="18">
    <w:p w14:paraId="2F8EFCBE" w14:textId="77777777" w:rsidR="00F23644" w:rsidRPr="000216A4" w:rsidRDefault="00F23644" w:rsidP="005758B6">
      <w:pPr>
        <w:pStyle w:val="FootnoteText"/>
        <w:rPr>
          <w:rFonts w:ascii="Times New Roman" w:hAnsi="Times New Roman"/>
          <w:sz w:val="18"/>
          <w:szCs w:val="18"/>
        </w:rPr>
      </w:pPr>
      <w:r>
        <w:rPr>
          <w:rStyle w:val="FootnoteReference"/>
        </w:rPr>
        <w:footnoteRef/>
      </w:r>
      <w:r w:rsidRPr="000216A4">
        <w:rPr>
          <w:rFonts w:ascii="Times New Roman" w:hAnsi="Times New Roman"/>
          <w:sz w:val="18"/>
          <w:szCs w:val="18"/>
        </w:rPr>
        <w:t>These good practices in European countries, both included in ILO and UN Women (2021) and the websites of the governments</w:t>
      </w:r>
    </w:p>
    <w:p w14:paraId="1B82DEDD" w14:textId="77777777" w:rsidR="00F23644" w:rsidRPr="000216A4" w:rsidRDefault="00F23644" w:rsidP="005758B6">
      <w:pPr>
        <w:pStyle w:val="FootnoteText"/>
        <w:rPr>
          <w:rFonts w:ascii="Times New Roman" w:hAnsi="Times New Roman"/>
          <w:sz w:val="18"/>
          <w:szCs w:val="18"/>
        </w:rPr>
      </w:pPr>
    </w:p>
  </w:footnote>
  <w:footnote w:id="19">
    <w:p w14:paraId="06AC95F6" w14:textId="77777777" w:rsidR="00F23644" w:rsidRPr="00BC6F80" w:rsidRDefault="00F23644" w:rsidP="005758B6">
      <w:pPr>
        <w:pStyle w:val="FootnoteText"/>
        <w:rPr>
          <w:rFonts w:ascii="Times New Roman" w:hAnsi="Times New Roman"/>
          <w:sz w:val="18"/>
          <w:szCs w:val="18"/>
        </w:rPr>
      </w:pPr>
      <w:r w:rsidRPr="00604DAD">
        <w:rPr>
          <w:rStyle w:val="FootnoteReference"/>
          <w:rFonts w:ascii="Times New Roman" w:hAnsi="Times New Roman"/>
          <w:sz w:val="18"/>
          <w:szCs w:val="18"/>
        </w:rPr>
        <w:footnoteRef/>
      </w:r>
      <w:r w:rsidRPr="00604DAD">
        <w:rPr>
          <w:rFonts w:ascii="Times New Roman" w:hAnsi="Times New Roman"/>
          <w:sz w:val="18"/>
          <w:szCs w:val="18"/>
        </w:rPr>
        <w:t xml:space="preserve"> ILO, 2019.A quantum leap for gender equality: For a better future of work for all, Geneva. Deloitte Global Centre for Corporate Governance, 2017. Women in the boardroom: A global perspective, 5</w:t>
      </w:r>
      <w:r w:rsidRPr="00604DAD">
        <w:rPr>
          <w:rFonts w:ascii="Times New Roman" w:hAnsi="Times New Roman"/>
          <w:sz w:val="18"/>
          <w:szCs w:val="18"/>
          <w:vertAlign w:val="superscript"/>
        </w:rPr>
        <w:t>th</w:t>
      </w:r>
      <w:r w:rsidRPr="00604DAD">
        <w:rPr>
          <w:rFonts w:ascii="Times New Roman" w:hAnsi="Times New Roman"/>
          <w:sz w:val="18"/>
          <w:szCs w:val="18"/>
        </w:rPr>
        <w:t xml:space="preserve"> Edition.</w:t>
      </w:r>
    </w:p>
  </w:footnote>
  <w:footnote w:id="20">
    <w:p w14:paraId="2601B165" w14:textId="77777777" w:rsidR="00F23644" w:rsidRPr="000216A4" w:rsidRDefault="00F23644" w:rsidP="005758B6">
      <w:pPr>
        <w:pStyle w:val="FootnoteText"/>
        <w:rPr>
          <w:rFonts w:ascii="Times New Roman" w:hAnsi="Times New Roman"/>
          <w:sz w:val="18"/>
          <w:szCs w:val="18"/>
        </w:rPr>
      </w:pPr>
      <w:r>
        <w:rPr>
          <w:rStyle w:val="FootnoteReference"/>
        </w:rPr>
        <w:footnoteRef/>
      </w:r>
      <w:r>
        <w:t xml:space="preserve"> </w:t>
      </w:r>
      <w:r w:rsidRPr="000216A4">
        <w:rPr>
          <w:rFonts w:ascii="Times New Roman" w:hAnsi="Times New Roman"/>
          <w:sz w:val="18"/>
          <w:szCs w:val="18"/>
        </w:rPr>
        <w:t>These good practices in European countries, both included in ILO and UN Women (2021) and the websites of the governments</w:t>
      </w:r>
    </w:p>
    <w:p w14:paraId="29FF3DEB" w14:textId="77777777" w:rsidR="00F23644" w:rsidRPr="000216A4" w:rsidRDefault="00F23644" w:rsidP="005758B6">
      <w:pPr>
        <w:pStyle w:val="FootnoteText"/>
        <w:rPr>
          <w:rFonts w:ascii="Times New Roman" w:hAnsi="Times New Roman"/>
          <w:sz w:val="18"/>
          <w:szCs w:val="18"/>
        </w:rPr>
      </w:pPr>
    </w:p>
  </w:footnote>
  <w:footnote w:id="21">
    <w:p w14:paraId="3FF72C20" w14:textId="77777777" w:rsidR="00F23644" w:rsidRPr="000216A4" w:rsidRDefault="00F23644" w:rsidP="00A45334">
      <w:pPr>
        <w:pStyle w:val="FootnoteText"/>
        <w:jc w:val="both"/>
        <w:rPr>
          <w:rFonts w:ascii="Times New Roman" w:hAnsi="Times New Roman"/>
          <w:sz w:val="18"/>
          <w:szCs w:val="18"/>
        </w:rPr>
      </w:pPr>
      <w:r>
        <w:rPr>
          <w:rStyle w:val="FootnoteReference"/>
        </w:rPr>
        <w:footnoteRef/>
      </w:r>
      <w:r>
        <w:t xml:space="preserve"> </w:t>
      </w:r>
      <w:r w:rsidRPr="000216A4">
        <w:rPr>
          <w:rFonts w:ascii="Times New Roman" w:hAnsi="Times New Roman"/>
          <w:sz w:val="18"/>
          <w:szCs w:val="18"/>
        </w:rPr>
        <w:t>These good practices in European countries, both included in ILO and UN Women (2021)</w:t>
      </w:r>
      <w:r>
        <w:rPr>
          <w:rFonts w:ascii="Times New Roman" w:hAnsi="Times New Roman"/>
          <w:sz w:val="18"/>
          <w:szCs w:val="18"/>
        </w:rPr>
        <w:t xml:space="preserve"> </w:t>
      </w:r>
      <w:bookmarkStart w:id="61" w:name="_Hlk88652728"/>
      <w:r>
        <w:rPr>
          <w:rFonts w:ascii="Times New Roman" w:hAnsi="Times New Roman"/>
          <w:sz w:val="18"/>
          <w:szCs w:val="18"/>
        </w:rPr>
        <w:t>and the websites of the governments</w:t>
      </w:r>
      <w:bookmarkEnd w:id="61"/>
    </w:p>
  </w:footnote>
  <w:footnote w:id="22">
    <w:p w14:paraId="17C53974" w14:textId="77777777" w:rsidR="00F23644" w:rsidRDefault="00F23644">
      <w:pPr>
        <w:pBdr>
          <w:top w:val="nil"/>
          <w:left w:val="nil"/>
          <w:bottom w:val="nil"/>
          <w:right w:val="nil"/>
          <w:between w:val="nil"/>
        </w:pBdr>
        <w:rPr>
          <w:color w:val="000000"/>
          <w:sz w:val="20"/>
          <w:szCs w:val="20"/>
        </w:rPr>
      </w:pPr>
      <w:r>
        <w:rPr>
          <w:rStyle w:val="FootnoteReference"/>
          <w:vertAlign w:val="superscript"/>
        </w:rPr>
        <w:footnoteRef/>
      </w:r>
      <w:r>
        <w:rPr>
          <w:color w:val="000000"/>
          <w:sz w:val="20"/>
          <w:szCs w:val="20"/>
        </w:rPr>
        <w:t xml:space="preserve"> </w:t>
      </w:r>
      <w:r>
        <w:rPr>
          <w:rFonts w:ascii="Times New Roman" w:eastAsia="Times New Roman" w:hAnsi="Times New Roman" w:cs="Times New Roman"/>
          <w:color w:val="000000"/>
          <w:sz w:val="20"/>
          <w:szCs w:val="20"/>
        </w:rPr>
        <w:t>The 11</w:t>
      </w:r>
      <w:r>
        <w:rPr>
          <w:rFonts w:ascii="Times New Roman" w:eastAsia="Times New Roman" w:hAnsi="Times New Roman" w:cs="Times New Roman"/>
          <w:color w:val="000000"/>
          <w:sz w:val="20"/>
          <w:szCs w:val="20"/>
          <w:vertAlign w:val="superscript"/>
        </w:rPr>
        <w:t>th</w:t>
      </w:r>
      <w:r>
        <w:rPr>
          <w:rFonts w:ascii="Times New Roman" w:eastAsia="Times New Roman" w:hAnsi="Times New Roman" w:cs="Times New Roman"/>
          <w:color w:val="000000"/>
          <w:sz w:val="20"/>
          <w:szCs w:val="20"/>
        </w:rPr>
        <w:t xml:space="preserve"> Development Plan is available on this link: https://www.sbb.gov.tr/wp-content/uploads/2021/12/Eleventh_Development_Plan_2019-2023.pdf</w:t>
      </w:r>
    </w:p>
  </w:footnote>
  <w:footnote w:id="23">
    <w:p w14:paraId="0439E392" w14:textId="77777777" w:rsidR="00F23644" w:rsidRDefault="00F23644">
      <w:pPr>
        <w:pBdr>
          <w:top w:val="nil"/>
          <w:left w:val="nil"/>
          <w:bottom w:val="nil"/>
          <w:right w:val="nil"/>
          <w:between w:val="nil"/>
        </w:pBdr>
        <w:rPr>
          <w:rFonts w:ascii="Times New Roman" w:eastAsia="Times New Roman" w:hAnsi="Times New Roman" w:cs="Times New Roman"/>
          <w:color w:val="000000"/>
          <w:sz w:val="20"/>
          <w:szCs w:val="20"/>
        </w:rPr>
      </w:pPr>
      <w:r>
        <w:rPr>
          <w:rStyle w:val="FootnoteReference"/>
          <w:vertAlign w:val="superscript"/>
        </w:rPr>
        <w:footnoteRef/>
      </w:r>
      <w:r>
        <w:rPr>
          <w:rFonts w:ascii="Times New Roman" w:eastAsia="Times New Roman" w:hAnsi="Times New Roman" w:cs="Times New Roman"/>
          <w:color w:val="000000"/>
          <w:sz w:val="20"/>
          <w:szCs w:val="20"/>
        </w:rPr>
        <w:t xml:space="preserve"> National Employment Strategy (2014 – 2023) available at </w:t>
      </w:r>
      <w:hyperlink r:id="rId6">
        <w:r>
          <w:rPr>
            <w:rFonts w:ascii="Times New Roman" w:eastAsia="Times New Roman" w:hAnsi="Times New Roman" w:cs="Times New Roman"/>
            <w:color w:val="0563C1"/>
            <w:sz w:val="20"/>
            <w:szCs w:val="20"/>
            <w:u w:val="single"/>
          </w:rPr>
          <w:t>http://extwprlegs</w:t>
        </w:r>
      </w:hyperlink>
      <w:r>
        <w:rPr>
          <w:rFonts w:ascii="Times New Roman" w:eastAsia="Times New Roman" w:hAnsi="Times New Roman" w:cs="Times New Roman"/>
          <w:color w:val="000000"/>
          <w:sz w:val="20"/>
          <w:szCs w:val="20"/>
        </w:rPr>
        <w:t>1.fao.org/docs/pdf/tur175309.pdf</w:t>
      </w:r>
    </w:p>
    <w:p w14:paraId="3BDC1601" w14:textId="77777777" w:rsidR="00F23644" w:rsidRDefault="00F23644">
      <w:pPr>
        <w:pBdr>
          <w:top w:val="nil"/>
          <w:left w:val="nil"/>
          <w:bottom w:val="nil"/>
          <w:right w:val="nil"/>
          <w:between w:val="nil"/>
        </w:pBdr>
        <w:rPr>
          <w:color w:val="000000"/>
          <w:sz w:val="20"/>
          <w:szCs w:val="20"/>
        </w:rPr>
      </w:pPr>
    </w:p>
  </w:footnote>
  <w:footnote w:id="24">
    <w:p w14:paraId="05450686" w14:textId="0BB00802" w:rsidR="00F23644" w:rsidRDefault="00F23644">
      <w:pPr>
        <w:pBdr>
          <w:top w:val="nil"/>
          <w:left w:val="nil"/>
          <w:bottom w:val="nil"/>
          <w:right w:val="nil"/>
          <w:between w:val="nil"/>
        </w:pBdr>
        <w:rPr>
          <w:rFonts w:ascii="Times New Roman" w:eastAsia="Times New Roman" w:hAnsi="Times New Roman" w:cs="Times New Roman"/>
          <w:color w:val="000000"/>
          <w:sz w:val="20"/>
          <w:szCs w:val="20"/>
        </w:rPr>
      </w:pPr>
      <w:r>
        <w:rPr>
          <w:rStyle w:val="FootnoteReference"/>
          <w:vertAlign w:val="superscript"/>
        </w:rPr>
        <w:footnoteRef/>
      </w:r>
      <w:r>
        <w:rPr>
          <w:rFonts w:ascii="Times New Roman" w:eastAsia="Times New Roman" w:hAnsi="Times New Roman" w:cs="Times New Roman"/>
          <w:color w:val="000000"/>
          <w:sz w:val="20"/>
          <w:szCs w:val="20"/>
        </w:rPr>
        <w:t>Gender equality in Türkiye (2012), European Parliament, available in https://www.europarl.europa.eu/RegData/etudes/note/join/2012/462428/IPOL-FEMM_NT(2012)462428_EN.pdf</w:t>
      </w:r>
    </w:p>
  </w:footnote>
  <w:footnote w:id="25">
    <w:p w14:paraId="4417F435" w14:textId="77777777" w:rsidR="00F23644" w:rsidRDefault="00F23644">
      <w:pPr>
        <w:pBdr>
          <w:top w:val="nil"/>
          <w:left w:val="nil"/>
          <w:bottom w:val="nil"/>
          <w:right w:val="nil"/>
          <w:between w:val="nil"/>
        </w:pBdr>
        <w:rPr>
          <w:rFonts w:ascii="Times New Roman" w:eastAsia="Times New Roman" w:hAnsi="Times New Roman" w:cs="Times New Roman"/>
          <w:color w:val="000000"/>
          <w:sz w:val="20"/>
          <w:szCs w:val="20"/>
        </w:rPr>
      </w:pPr>
      <w:r>
        <w:rPr>
          <w:rStyle w:val="FootnoteReference"/>
          <w:vertAlign w:val="superscript"/>
        </w:rPr>
        <w:footnoteRef/>
      </w:r>
      <w:r>
        <w:rPr>
          <w:rFonts w:ascii="Times New Roman" w:eastAsia="Times New Roman" w:hAnsi="Times New Roman" w:cs="Times New Roman"/>
          <w:color w:val="000000"/>
          <w:sz w:val="20"/>
          <w:szCs w:val="20"/>
        </w:rPr>
        <w:t xml:space="preserve">  More information is available on the link of the Directorate: https://www.aile.gov.tr/ksgm</w:t>
      </w:r>
    </w:p>
  </w:footnote>
  <w:footnote w:id="26">
    <w:p w14:paraId="01C025AE" w14:textId="77777777" w:rsidR="00F23644" w:rsidRPr="00C74B29" w:rsidRDefault="00F23644" w:rsidP="002557B7">
      <w:pPr>
        <w:pStyle w:val="FootnoteText"/>
        <w:jc w:val="both"/>
        <w:rPr>
          <w:lang w:val="en-US"/>
        </w:rPr>
      </w:pPr>
      <w:r>
        <w:rPr>
          <w:rStyle w:val="FootnoteReference"/>
        </w:rPr>
        <w:footnoteRef/>
      </w:r>
      <w:r>
        <w:t xml:space="preserve"> </w:t>
      </w:r>
      <w:r w:rsidRPr="00C74B29">
        <w:t>Klugman, J., and S. Twigg. 2012. “The Role of Laws and Institutions in Expanding Women’s Voice, Agency, and Empowerment.” In The World Bank Legal Review: Legal Innovation and Empowerment for Development, edited by Cisse H., S. Muller, C. Thomas, and W. Chenguang. Washington: World Bank</w:t>
      </w:r>
      <w:r>
        <w:t xml:space="preserve">; </w:t>
      </w:r>
      <w:r w:rsidRPr="00C74B29">
        <w:t xml:space="preserve">Sen, A. 2001. “Many Faces of Gender Inequality.” Frontline 18 (22). http://www.frontline.in/static/html/fl1822/18220040.htm </w:t>
      </w:r>
      <w:r>
        <w:t xml:space="preserve">; </w:t>
      </w:r>
      <w:r w:rsidRPr="00C74B29">
        <w:t xml:space="preserve">Thévenon, Olivier. 2013. “Drivers of Female </w:t>
      </w:r>
      <w:r>
        <w:t>Labour</w:t>
      </w:r>
      <w:r w:rsidRPr="00C74B29">
        <w:t xml:space="preserve"> Force Participation in the OECD.” OECD Social, Employment and Migration Working Paper No. 145. OECD Publishing, Paris. http://dx.doi.org/10.1787/5k46cvrgnms6-en . </w:t>
      </w:r>
      <w:r>
        <w:t>Thévenon</w:t>
      </w:r>
      <w:r w:rsidRPr="00C74B29">
        <w:t xml:space="preserve"> and Solaz. 2013. “</w:t>
      </w:r>
      <w:r>
        <w:t>Labour</w:t>
      </w:r>
      <w:r w:rsidRPr="00C74B29">
        <w:t xml:space="preserve"> Market Effect of Parental Leave Policies in OECD Countries.” OECD Social, Employment and Migration Working Paper No. 141. OECD Publishing, Paris.  </w:t>
      </w:r>
    </w:p>
  </w:footnote>
  <w:footnote w:id="27">
    <w:p w14:paraId="4372325E" w14:textId="77777777" w:rsidR="00F23644" w:rsidRPr="00C74B29" w:rsidRDefault="00F23644" w:rsidP="002557B7">
      <w:pPr>
        <w:pStyle w:val="FootnoteText"/>
        <w:rPr>
          <w:lang w:val="en-US"/>
        </w:rPr>
      </w:pPr>
      <w:r>
        <w:rPr>
          <w:rStyle w:val="FootnoteReference"/>
        </w:rPr>
        <w:footnoteRef/>
      </w:r>
      <w:r>
        <w:t xml:space="preserve"> </w:t>
      </w:r>
      <w:hyperlink r:id="rId7" w:history="1">
        <w:r w:rsidRPr="00447DEF">
          <w:rPr>
            <w:rStyle w:val="Hyperlink"/>
          </w:rPr>
          <w:t>https://wbl.worldbank.org/en/wbl</w:t>
        </w:r>
      </w:hyperlink>
    </w:p>
  </w:footnote>
  <w:footnote w:id="28">
    <w:p w14:paraId="0F0315CC" w14:textId="77777777" w:rsidR="00F23644" w:rsidRPr="00EE070F" w:rsidRDefault="00F23644" w:rsidP="002557B7">
      <w:pPr>
        <w:pStyle w:val="FootnoteText"/>
        <w:rPr>
          <w:lang w:val="en-US"/>
        </w:rPr>
      </w:pPr>
      <w:r>
        <w:rPr>
          <w:rStyle w:val="FootnoteReference"/>
        </w:rPr>
        <w:footnoteRef/>
      </w:r>
      <w:r>
        <w:t xml:space="preserve"> IMF, Fair Play: </w:t>
      </w:r>
      <w:r w:rsidRPr="00EE070F">
        <w:t xml:space="preserve">More Equal Laws Boost Female </w:t>
      </w:r>
      <w:r>
        <w:t>Labour</w:t>
      </w:r>
      <w:r w:rsidRPr="00EE070F">
        <w:t xml:space="preserve"> Force Participation</w:t>
      </w:r>
    </w:p>
  </w:footnote>
  <w:footnote w:id="29">
    <w:p w14:paraId="0467EED5" w14:textId="77777777" w:rsidR="00F23644" w:rsidRPr="0069233A" w:rsidRDefault="00F23644" w:rsidP="002557B7">
      <w:pPr>
        <w:pStyle w:val="FootnoteText"/>
        <w:jc w:val="both"/>
        <w:rPr>
          <w:lang w:val="en-US"/>
        </w:rPr>
      </w:pPr>
      <w:r>
        <w:rPr>
          <w:rStyle w:val="FootnoteReference"/>
        </w:rPr>
        <w:footnoteRef/>
      </w:r>
      <w:r>
        <w:t xml:space="preserve"> </w:t>
      </w:r>
      <w:r w:rsidRPr="0069233A">
        <w:t xml:space="preserve">Gong, X., R. Breunig, and A. King. 2010. “How Responsive is Female Labour Supply to Child Care Costs? New Australian Estimates.” IZA Discussion Paper No. 5119, Institute for the Study of </w:t>
      </w:r>
      <w:r>
        <w:t>Labour</w:t>
      </w:r>
      <w:r w:rsidRPr="0069233A">
        <w:t>, Bonn.</w:t>
      </w:r>
    </w:p>
  </w:footnote>
  <w:footnote w:id="30">
    <w:p w14:paraId="22420BF1" w14:textId="77777777" w:rsidR="00F23644" w:rsidRPr="0069233A" w:rsidRDefault="00F23644" w:rsidP="002557B7">
      <w:pPr>
        <w:pStyle w:val="FootnoteText"/>
        <w:jc w:val="both"/>
        <w:rPr>
          <w:lang w:val="en-US"/>
        </w:rPr>
      </w:pPr>
      <w:r>
        <w:rPr>
          <w:rStyle w:val="FootnoteReference"/>
        </w:rPr>
        <w:footnoteRef/>
      </w:r>
      <w:r>
        <w:t xml:space="preserve"> </w:t>
      </w:r>
      <w:r w:rsidRPr="0069233A">
        <w:t>Ghani, E., W. Kerr, and S. O’Connell. 2013. “Promoting Women’s Economic Participation in India.” Economic Premise No. 107, World Bank, Washington</w:t>
      </w:r>
      <w:r>
        <w:t xml:space="preserve"> in IFM, Fair Play: </w:t>
      </w:r>
      <w:r w:rsidRPr="0069233A">
        <w:t xml:space="preserve">More Equal Laws Boost Female </w:t>
      </w:r>
      <w:r>
        <w:t>Labour</w:t>
      </w:r>
      <w:r w:rsidRPr="0069233A">
        <w:t xml:space="preserve"> Force Participation</w:t>
      </w:r>
    </w:p>
  </w:footnote>
  <w:footnote w:id="31">
    <w:p w14:paraId="5AD0D69E" w14:textId="77777777" w:rsidR="00F23644" w:rsidRPr="00E34364" w:rsidRDefault="00F23644" w:rsidP="002557B7">
      <w:pPr>
        <w:pStyle w:val="FootnoteText"/>
        <w:jc w:val="both"/>
        <w:rPr>
          <w:lang w:val="en-US"/>
        </w:rPr>
      </w:pPr>
      <w:r>
        <w:rPr>
          <w:rStyle w:val="FootnoteReference"/>
        </w:rPr>
        <w:footnoteRef/>
      </w:r>
      <w:r>
        <w:t xml:space="preserve"> </w:t>
      </w:r>
      <w:r w:rsidRPr="00D23D6F">
        <w:t xml:space="preserve">Edin, P., and M. Gustavsson. 2008. “Time out of Work and Skill Depreciation.” Industrial and </w:t>
      </w:r>
      <w:r>
        <w:t>Labour</w:t>
      </w:r>
      <w:r w:rsidRPr="00D23D6F">
        <w:t xml:space="preserve"> Relations Review  61 (2): 163–80.</w:t>
      </w:r>
    </w:p>
  </w:footnote>
  <w:footnote w:id="32">
    <w:p w14:paraId="18C662D6" w14:textId="77777777" w:rsidR="00F23644" w:rsidRPr="00D23D6F" w:rsidRDefault="00F23644" w:rsidP="002557B7">
      <w:pPr>
        <w:pStyle w:val="FootnoteText"/>
        <w:rPr>
          <w:lang w:val="en-US"/>
        </w:rPr>
      </w:pPr>
      <w:r>
        <w:rPr>
          <w:rStyle w:val="FootnoteReference"/>
        </w:rPr>
        <w:footnoteRef/>
      </w:r>
      <w:r>
        <w:t xml:space="preserve"> World Bank</w:t>
      </w:r>
      <w:r w:rsidRPr="00D23D6F">
        <w:t>. World Development Report 2013:  Jobs. Washington: World Bank.</w:t>
      </w:r>
    </w:p>
  </w:footnote>
  <w:footnote w:id="33">
    <w:p w14:paraId="0DCA73C0" w14:textId="77777777" w:rsidR="00F23644" w:rsidRPr="00D23D6F" w:rsidRDefault="00F23644" w:rsidP="002557B7">
      <w:pPr>
        <w:pStyle w:val="FootnoteText"/>
        <w:rPr>
          <w:lang w:val="en-US"/>
        </w:rPr>
      </w:pPr>
      <w:r>
        <w:rPr>
          <w:rStyle w:val="FootnoteReference"/>
        </w:rPr>
        <w:footnoteRef/>
      </w:r>
      <w:r>
        <w:t xml:space="preserve"> </w:t>
      </w:r>
      <w:r w:rsidRPr="00D23D6F">
        <w:t>IMF, 2013, “Women, Work, and the Economy: Macroeconomic Gains from Gender Equity,” IMF Staff Discussion Note, SDN/13/10.</w:t>
      </w:r>
    </w:p>
  </w:footnote>
  <w:footnote w:id="34">
    <w:p w14:paraId="2AC75595" w14:textId="77777777" w:rsidR="00F23644" w:rsidRPr="006076ED" w:rsidRDefault="00F23644" w:rsidP="002557B7">
      <w:pPr>
        <w:pStyle w:val="FootnoteText"/>
        <w:rPr>
          <w:lang w:val="en-US"/>
        </w:rPr>
      </w:pPr>
      <w:r>
        <w:rPr>
          <w:rStyle w:val="FootnoteReference"/>
        </w:rPr>
        <w:footnoteRef/>
      </w:r>
      <w:r>
        <w:t xml:space="preserve"> OECD and ILO (2019) </w:t>
      </w:r>
      <w:r w:rsidRPr="00E61B88">
        <w:rPr>
          <w:bCs/>
          <w:lang w:val="en-US"/>
        </w:rPr>
        <w:t>Women at Work in G20 countries: Progress and policy action</w:t>
      </w:r>
    </w:p>
  </w:footnote>
  <w:footnote w:id="35">
    <w:p w14:paraId="3C2AFDE3" w14:textId="77777777" w:rsidR="00F23644" w:rsidRPr="00AD5178" w:rsidRDefault="00F23644" w:rsidP="002557B7">
      <w:pPr>
        <w:pStyle w:val="FootnoteText"/>
        <w:rPr>
          <w:lang w:val="en-US"/>
        </w:rPr>
      </w:pPr>
      <w:r w:rsidRPr="00AD5178">
        <w:rPr>
          <w:rStyle w:val="FootnoteReference"/>
        </w:rPr>
        <w:footnoteRef/>
      </w:r>
      <w:r w:rsidRPr="00AD5178">
        <w:t xml:space="preserve"> </w:t>
      </w:r>
      <w:r w:rsidRPr="00AD5178">
        <w:rPr>
          <w:lang w:val="en-US"/>
        </w:rPr>
        <w:t>ILO. 2016. Women at work: Trends 2016 (Geneva) and Lee, S.; McCann, D.M. and Messenger, J.C. 2007. Working time around the world: Trends in working hours, laws and policies in a global comparative perspective, Routledge Studies in the Modern World Economy (Geneva, ILO).</w:t>
      </w:r>
    </w:p>
    <w:p w14:paraId="585AAF40" w14:textId="77777777" w:rsidR="00F23644" w:rsidRPr="00AD5178" w:rsidRDefault="00F23644" w:rsidP="002557B7">
      <w:pPr>
        <w:pStyle w:val="FootnoteText"/>
        <w:rPr>
          <w:lang w:val="en-US"/>
        </w:rPr>
      </w:pPr>
    </w:p>
  </w:footnote>
  <w:footnote w:id="36">
    <w:p w14:paraId="2A021686" w14:textId="77777777" w:rsidR="00F23644" w:rsidRPr="00D47E87" w:rsidRDefault="00F23644" w:rsidP="002557B7">
      <w:pPr>
        <w:pStyle w:val="FootnoteText"/>
      </w:pPr>
      <w:r>
        <w:rPr>
          <w:rStyle w:val="FootnoteReference"/>
          <w:rFonts w:eastAsiaTheme="majorEastAsia"/>
        </w:rPr>
        <w:footnoteRef/>
      </w:r>
      <w:r>
        <w:t xml:space="preserve"> </w:t>
      </w:r>
      <w:r w:rsidRPr="00891747">
        <w:rPr>
          <w:rFonts w:ascii="Times New Roman" w:hAnsi="Times New Roman"/>
          <w:sz w:val="18"/>
          <w:szCs w:val="18"/>
        </w:rPr>
        <w:t>www.data.tuik.gov.tr</w:t>
      </w:r>
    </w:p>
  </w:footnote>
  <w:footnote w:id="37">
    <w:p w14:paraId="2D26D837" w14:textId="77777777" w:rsidR="00F23644" w:rsidRPr="00FE177A" w:rsidRDefault="00F23644" w:rsidP="002557B7">
      <w:pPr>
        <w:pStyle w:val="FootnoteText"/>
        <w:rPr>
          <w:rFonts w:ascii="Times New Roman" w:hAnsi="Times New Roman"/>
          <w:sz w:val="18"/>
          <w:szCs w:val="18"/>
          <w:lang w:val="en-US"/>
        </w:rPr>
      </w:pPr>
      <w:r w:rsidRPr="00FE177A">
        <w:rPr>
          <w:rStyle w:val="FootnoteReference"/>
          <w:rFonts w:ascii="Times New Roman" w:eastAsiaTheme="majorEastAsia" w:hAnsi="Times New Roman"/>
          <w:sz w:val="18"/>
          <w:szCs w:val="18"/>
        </w:rPr>
        <w:footnoteRef/>
      </w:r>
      <w:r w:rsidRPr="00FE177A">
        <w:rPr>
          <w:rFonts w:ascii="Times New Roman" w:hAnsi="Times New Roman"/>
          <w:sz w:val="18"/>
          <w:szCs w:val="18"/>
        </w:rPr>
        <w:t xml:space="preserve"> According to ILO, the difference in average wages between women and men who are engaged in paid employment. </w:t>
      </w:r>
    </w:p>
  </w:footnote>
  <w:footnote w:id="38">
    <w:p w14:paraId="46417F09" w14:textId="77777777" w:rsidR="00F23644" w:rsidRPr="00FE177A" w:rsidRDefault="00F23644" w:rsidP="002557B7">
      <w:pPr>
        <w:pStyle w:val="FootnoteText"/>
        <w:rPr>
          <w:rFonts w:ascii="Times New Roman" w:hAnsi="Times New Roman"/>
          <w:sz w:val="18"/>
          <w:szCs w:val="18"/>
        </w:rPr>
      </w:pPr>
      <w:r w:rsidRPr="00FE177A">
        <w:rPr>
          <w:rStyle w:val="FootnoteReference"/>
          <w:rFonts w:ascii="Times New Roman" w:eastAsiaTheme="majorEastAsia" w:hAnsi="Times New Roman"/>
          <w:sz w:val="18"/>
          <w:szCs w:val="18"/>
        </w:rPr>
        <w:footnoteRef/>
      </w:r>
      <w:r w:rsidRPr="00FE177A">
        <w:rPr>
          <w:rFonts w:ascii="Times New Roman" w:hAnsi="Times New Roman"/>
          <w:sz w:val="18"/>
          <w:szCs w:val="18"/>
        </w:rPr>
        <w:t xml:space="preserve"> The calculations in this section were made using data from the Income and Living Conditions Survey as of 2015-2018</w:t>
      </w:r>
    </w:p>
  </w:footnote>
  <w:footnote w:id="39">
    <w:p w14:paraId="59B359EE" w14:textId="77777777" w:rsidR="00F23644" w:rsidRPr="00FE177A" w:rsidRDefault="00F23644" w:rsidP="002557B7">
      <w:pPr>
        <w:pStyle w:val="FootnoteText"/>
        <w:rPr>
          <w:rFonts w:ascii="Times New Roman" w:hAnsi="Times New Roman"/>
          <w:sz w:val="18"/>
          <w:szCs w:val="18"/>
        </w:rPr>
      </w:pPr>
      <w:r w:rsidRPr="00FE177A">
        <w:rPr>
          <w:rStyle w:val="FootnoteReference"/>
          <w:rFonts w:ascii="Times New Roman" w:eastAsiaTheme="majorEastAsia" w:hAnsi="Times New Roman"/>
          <w:sz w:val="18"/>
          <w:szCs w:val="18"/>
        </w:rPr>
        <w:footnoteRef/>
      </w:r>
      <w:r w:rsidRPr="00FE177A">
        <w:rPr>
          <w:rFonts w:ascii="Times New Roman" w:hAnsi="Times New Roman"/>
          <w:sz w:val="18"/>
          <w:szCs w:val="18"/>
        </w:rPr>
        <w:t xml:space="preserve"> ILO, Measuring the gender wage gap. </w:t>
      </w:r>
      <w:r>
        <w:rPr>
          <w:rFonts w:ascii="Times New Roman" w:hAnsi="Times New Roman"/>
          <w:sz w:val="18"/>
          <w:szCs w:val="18"/>
        </w:rPr>
        <w:t>Türkiye</w:t>
      </w:r>
      <w:r w:rsidRPr="00FE177A">
        <w:rPr>
          <w:rFonts w:ascii="Times New Roman" w:hAnsi="Times New Roman"/>
          <w:sz w:val="18"/>
          <w:szCs w:val="18"/>
        </w:rPr>
        <w:t xml:space="preserve"> case. </w:t>
      </w:r>
    </w:p>
  </w:footnote>
  <w:footnote w:id="40">
    <w:p w14:paraId="508DDB3F" w14:textId="77777777" w:rsidR="00F23644" w:rsidRPr="00FE177A" w:rsidRDefault="00F23644" w:rsidP="002557B7">
      <w:pPr>
        <w:pStyle w:val="FootnoteText"/>
        <w:rPr>
          <w:rFonts w:ascii="Times New Roman" w:hAnsi="Times New Roman"/>
          <w:sz w:val="18"/>
          <w:szCs w:val="18"/>
          <w:lang w:val="en-US"/>
        </w:rPr>
      </w:pPr>
      <w:r w:rsidRPr="00FE177A">
        <w:rPr>
          <w:rStyle w:val="FootnoteReference"/>
          <w:rFonts w:ascii="Times New Roman" w:eastAsiaTheme="majorEastAsia" w:hAnsi="Times New Roman"/>
          <w:sz w:val="18"/>
          <w:szCs w:val="18"/>
        </w:rPr>
        <w:footnoteRef/>
      </w:r>
      <w:r w:rsidRPr="00FE177A">
        <w:rPr>
          <w:rFonts w:ascii="Times New Roman" w:hAnsi="Times New Roman"/>
          <w:sz w:val="18"/>
          <w:szCs w:val="18"/>
        </w:rPr>
        <w:t xml:space="preserve"> The motherhood pay gap measures the pay gap between mothers and non-mothers, aged 25-50, the latter defined as women without dependent children.</w:t>
      </w:r>
    </w:p>
  </w:footnote>
  <w:footnote w:id="41">
    <w:p w14:paraId="6D20ED48" w14:textId="77777777" w:rsidR="00F23644" w:rsidRPr="000748EB" w:rsidRDefault="00F23644" w:rsidP="002557B7">
      <w:pPr>
        <w:pStyle w:val="FootnoteText"/>
        <w:rPr>
          <w:rFonts w:ascii="Times New Roman" w:hAnsi="Times New Roman"/>
          <w:sz w:val="18"/>
          <w:szCs w:val="18"/>
          <w:lang w:val="it-IT"/>
        </w:rPr>
      </w:pPr>
      <w:r w:rsidRPr="00FE177A">
        <w:rPr>
          <w:rStyle w:val="FootnoteReference"/>
          <w:rFonts w:ascii="Times New Roman" w:eastAsiaTheme="majorEastAsia" w:hAnsi="Times New Roman"/>
          <w:sz w:val="18"/>
          <w:szCs w:val="18"/>
        </w:rPr>
        <w:footnoteRef/>
      </w:r>
      <w:r w:rsidRPr="000748EB">
        <w:rPr>
          <w:rFonts w:ascii="Times New Roman" w:hAnsi="Times New Roman"/>
          <w:sz w:val="18"/>
          <w:szCs w:val="18"/>
          <w:lang w:val="it-IT"/>
        </w:rPr>
        <w:t xml:space="preserve"> ILO, 2019, </w:t>
      </w:r>
      <w:hyperlink r:id="rId8" w:history="1">
        <w:r w:rsidRPr="000748EB">
          <w:rPr>
            <w:rStyle w:val="Hyperlink"/>
            <w:rFonts w:ascii="Times New Roman" w:hAnsi="Times New Roman"/>
            <w:sz w:val="18"/>
            <w:szCs w:val="18"/>
            <w:lang w:val="it-IT"/>
          </w:rPr>
          <w:t>https://www.ilo.org/wcmsp5/groups/public/---europe/---ro-geneva/---ilo-ankara/documents/publication/wcms_707580.pdf</w:t>
        </w:r>
      </w:hyperlink>
    </w:p>
  </w:footnote>
  <w:footnote w:id="42">
    <w:p w14:paraId="233BC47D" w14:textId="77777777" w:rsidR="00F23644" w:rsidRPr="00260BC9" w:rsidRDefault="00F23644" w:rsidP="002557B7">
      <w:pPr>
        <w:pStyle w:val="FootnoteText"/>
      </w:pPr>
      <w:r>
        <w:rPr>
          <w:rStyle w:val="FootnoteReference"/>
        </w:rPr>
        <w:footnoteRef/>
      </w:r>
      <w:r>
        <w:t xml:space="preserve"> TUKSTAT (2020) Women in Statistics</w:t>
      </w:r>
    </w:p>
  </w:footnote>
  <w:footnote w:id="43">
    <w:p w14:paraId="46EDC773" w14:textId="77777777" w:rsidR="00F23644" w:rsidRPr="008675C3" w:rsidRDefault="00F23644" w:rsidP="002557B7">
      <w:pPr>
        <w:pStyle w:val="FootnoteText"/>
        <w:rPr>
          <w:lang w:val="en-US"/>
        </w:rPr>
      </w:pPr>
      <w:r>
        <w:rPr>
          <w:rStyle w:val="FootnoteReference"/>
        </w:rPr>
        <w:footnoteRef/>
      </w:r>
      <w:r>
        <w:t xml:space="preserve"> ILO and Eurofound (2019) </w:t>
      </w:r>
      <w:r w:rsidRPr="008675C3">
        <w:t>Working conditions in a global perspective</w:t>
      </w:r>
      <w:r>
        <w:t xml:space="preserve">, available at: </w:t>
      </w:r>
      <w:r w:rsidRPr="008675C3">
        <w:t>https://www.ilo.org/wcmsp5/groups/public/---dgreports/---dcomm/---publ/documents/publication/wcms_696174.pdf</w:t>
      </w:r>
    </w:p>
  </w:footnote>
  <w:footnote w:id="44">
    <w:p w14:paraId="2B097107" w14:textId="4E7A5779" w:rsidR="00F23644" w:rsidRPr="00582041" w:rsidRDefault="00F23644" w:rsidP="002557B7">
      <w:pPr>
        <w:pStyle w:val="FootnoteText"/>
        <w:jc w:val="both"/>
        <w:rPr>
          <w:rFonts w:cstheme="minorHAnsi"/>
          <w:lang w:val="en-US"/>
        </w:rPr>
      </w:pPr>
      <w:r>
        <w:rPr>
          <w:rStyle w:val="FootnoteReference"/>
        </w:rPr>
        <w:footnoteRef/>
      </w:r>
      <w:r>
        <w:t xml:space="preserve"> </w:t>
      </w:r>
      <w:r>
        <w:rPr>
          <w:rFonts w:cstheme="minorHAnsi"/>
        </w:rPr>
        <w:t>TurkStat</w:t>
      </w:r>
      <w:r w:rsidRPr="00582041">
        <w:rPr>
          <w:rFonts w:cstheme="minorHAnsi"/>
        </w:rPr>
        <w:t xml:space="preserve"> (2020) ‘Women in Statistics 2019’, press release 6 March 2020, available at: https://tuikweb.tuik.gov.tr/PreHaberBultenleri.do?id=33732#:~:text=T%C3%BCrkiye%20%C4%B0statisti k%20Kurumu%2C%20%C4%B0statistiklerle%20Kad%C4%B1n%2C%202019&amp;text=Adrese%20Dayal%C4 %B1%20N%C3%BCfus%20Kay%C4%B1t%20Sistemi,2'sini%20ise%20erkekler%20olu%C5%9Fturdu.</w:t>
      </w:r>
    </w:p>
  </w:footnote>
  <w:footnote w:id="45">
    <w:p w14:paraId="2441E2C0" w14:textId="77777777" w:rsidR="00F23644" w:rsidRPr="0062463C" w:rsidRDefault="00F23644" w:rsidP="002557B7">
      <w:pPr>
        <w:pStyle w:val="FootnoteText"/>
        <w:jc w:val="both"/>
        <w:rPr>
          <w:lang w:val="en-US"/>
        </w:rPr>
      </w:pPr>
      <w:r>
        <w:rPr>
          <w:rStyle w:val="FootnoteReference"/>
        </w:rPr>
        <w:footnoteRef/>
      </w:r>
      <w:r>
        <w:t xml:space="preserve"> </w:t>
      </w:r>
      <w:r w:rsidRPr="00582041">
        <w:rPr>
          <w:rFonts w:cstheme="minorHAnsi"/>
        </w:rPr>
        <w:t xml:space="preserve">Ozar, S. (2016), ‘Women Entrepreneurs in </w:t>
      </w:r>
      <w:r>
        <w:rPr>
          <w:rFonts w:cstheme="minorHAnsi"/>
        </w:rPr>
        <w:t>Türkiye</w:t>
      </w:r>
      <w:r w:rsidRPr="00582041">
        <w:rPr>
          <w:rFonts w:cstheme="minorHAnsi"/>
        </w:rPr>
        <w:t xml:space="preserve">: Obstacles, Potentials, and Prospects’ in Chamlou, N. and Karshenas, M. (eds.) Women, Work and Welfare in the Middle East and North Africa, World Scientific; OECD (2016), ‘Women entrepreneurship Key findings: </w:t>
      </w:r>
      <w:r>
        <w:rPr>
          <w:rFonts w:cstheme="minorHAnsi"/>
        </w:rPr>
        <w:t>Türkiye</w:t>
      </w:r>
      <w:r w:rsidRPr="00582041">
        <w:rPr>
          <w:rFonts w:cstheme="minorHAnsi"/>
        </w:rPr>
        <w:t xml:space="preserve"> Who wants to be an entrepreneur?’, March 2016, http://www.oecd.org/sdd/business-stats/EaG-</w:t>
      </w:r>
      <w:r>
        <w:rPr>
          <w:rFonts w:cstheme="minorHAnsi"/>
        </w:rPr>
        <w:t>Türkiye</w:t>
      </w:r>
      <w:r w:rsidRPr="00582041">
        <w:rPr>
          <w:rFonts w:cstheme="minorHAnsi"/>
        </w:rPr>
        <w:t>-Eng.pdf</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A4A4FD" w14:textId="77777777" w:rsidR="00F23644" w:rsidRDefault="00F23644" w:rsidP="00EA37BB">
    <w:pPr>
      <w:pStyle w:val="Header"/>
    </w:pPr>
  </w:p>
  <w:p w14:paraId="5D5A2B17" w14:textId="77777777" w:rsidR="00F23644" w:rsidRDefault="00F23644"/>
  <w:p w14:paraId="6733FF7F" w14:textId="77777777" w:rsidR="00F23644" w:rsidRDefault="00F23644"/>
  <w:p w14:paraId="50DDABCA" w14:textId="77777777" w:rsidR="00F23644" w:rsidRDefault="00F23644"/>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BA5B7E" w14:textId="77777777" w:rsidR="00F23644" w:rsidRDefault="00F23644">
    <w:pPr>
      <w:pBdr>
        <w:top w:val="nil"/>
        <w:left w:val="nil"/>
        <w:bottom w:val="nil"/>
        <w:right w:val="nil"/>
        <w:between w:val="nil"/>
      </w:pBdr>
      <w:tabs>
        <w:tab w:val="center" w:pos="4680"/>
        <w:tab w:val="right" w:pos="9360"/>
      </w:tabs>
      <w:rPr>
        <w:color w:val="000000"/>
      </w:rPr>
    </w:pPr>
    <w:r>
      <w:rPr>
        <w:noProof/>
        <w:color w:val="000000"/>
        <w:lang w:eastAsia="en-GB"/>
      </w:rPr>
      <w:drawing>
        <wp:anchor distT="0" distB="0" distL="0" distR="0" simplePos="0" relativeHeight="251658240" behindDoc="1" locked="0" layoutInCell="1" hidden="0" allowOverlap="1" wp14:anchorId="43B556A9" wp14:editId="1ECA5788">
          <wp:simplePos x="0" y="0"/>
          <wp:positionH relativeFrom="page">
            <wp:align>center</wp:align>
          </wp:positionH>
          <wp:positionV relativeFrom="page">
            <wp:align>top</wp:align>
          </wp:positionV>
          <wp:extent cx="6480000" cy="1256400"/>
          <wp:effectExtent l="0" t="0" r="0" b="0"/>
          <wp:wrapNone/>
          <wp:docPr id="52" name="image7.png" descr="A picture containing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png" descr="A picture containing application&#10;&#10;Description automatically generated"/>
                  <pic:cNvPicPr preferRelativeResize="0"/>
                </pic:nvPicPr>
                <pic:blipFill>
                  <a:blip r:embed="rId1"/>
                  <a:srcRect/>
                  <a:stretch>
                    <a:fillRect/>
                  </a:stretch>
                </pic:blipFill>
                <pic:spPr>
                  <a:xfrm>
                    <a:off x="0" y="0"/>
                    <a:ext cx="6480000" cy="12564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FC0E66"/>
    <w:multiLevelType w:val="hybridMultilevel"/>
    <w:tmpl w:val="1F50BF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C525E6"/>
    <w:multiLevelType w:val="multilevel"/>
    <w:tmpl w:val="3E7A4EC4"/>
    <w:lvl w:ilvl="0">
      <w:start w:val="1"/>
      <w:numFmt w:val="bullet"/>
      <w:lvlText w:val="●"/>
      <w:lvlJc w:val="left"/>
      <w:pPr>
        <w:ind w:left="590" w:hanging="360"/>
      </w:pPr>
      <w:rPr>
        <w:rFonts w:ascii="Noto Sans Symbols" w:eastAsia="Noto Sans Symbols" w:hAnsi="Noto Sans Symbols" w:cs="Noto Sans Symbols"/>
      </w:rPr>
    </w:lvl>
    <w:lvl w:ilvl="1">
      <w:start w:val="1"/>
      <w:numFmt w:val="bullet"/>
      <w:lvlText w:val="o"/>
      <w:lvlJc w:val="left"/>
      <w:pPr>
        <w:ind w:left="1310" w:hanging="360"/>
      </w:pPr>
      <w:rPr>
        <w:rFonts w:ascii="Courier New" w:eastAsia="Courier New" w:hAnsi="Courier New" w:cs="Courier New"/>
      </w:rPr>
    </w:lvl>
    <w:lvl w:ilvl="2">
      <w:start w:val="1"/>
      <w:numFmt w:val="bullet"/>
      <w:lvlText w:val="▪"/>
      <w:lvlJc w:val="left"/>
      <w:pPr>
        <w:ind w:left="2030" w:hanging="360"/>
      </w:pPr>
      <w:rPr>
        <w:rFonts w:ascii="Noto Sans Symbols" w:eastAsia="Noto Sans Symbols" w:hAnsi="Noto Sans Symbols" w:cs="Noto Sans Symbols"/>
      </w:rPr>
    </w:lvl>
    <w:lvl w:ilvl="3">
      <w:start w:val="1"/>
      <w:numFmt w:val="bullet"/>
      <w:lvlText w:val="●"/>
      <w:lvlJc w:val="left"/>
      <w:pPr>
        <w:ind w:left="2750" w:hanging="360"/>
      </w:pPr>
      <w:rPr>
        <w:rFonts w:ascii="Noto Sans Symbols" w:eastAsia="Noto Sans Symbols" w:hAnsi="Noto Sans Symbols" w:cs="Noto Sans Symbols"/>
      </w:rPr>
    </w:lvl>
    <w:lvl w:ilvl="4">
      <w:start w:val="1"/>
      <w:numFmt w:val="bullet"/>
      <w:lvlText w:val="o"/>
      <w:lvlJc w:val="left"/>
      <w:pPr>
        <w:ind w:left="3470" w:hanging="360"/>
      </w:pPr>
      <w:rPr>
        <w:rFonts w:ascii="Courier New" w:eastAsia="Courier New" w:hAnsi="Courier New" w:cs="Courier New"/>
      </w:rPr>
    </w:lvl>
    <w:lvl w:ilvl="5">
      <w:start w:val="1"/>
      <w:numFmt w:val="bullet"/>
      <w:lvlText w:val="▪"/>
      <w:lvlJc w:val="left"/>
      <w:pPr>
        <w:ind w:left="4190" w:hanging="360"/>
      </w:pPr>
      <w:rPr>
        <w:rFonts w:ascii="Noto Sans Symbols" w:eastAsia="Noto Sans Symbols" w:hAnsi="Noto Sans Symbols" w:cs="Noto Sans Symbols"/>
      </w:rPr>
    </w:lvl>
    <w:lvl w:ilvl="6">
      <w:start w:val="1"/>
      <w:numFmt w:val="bullet"/>
      <w:lvlText w:val="●"/>
      <w:lvlJc w:val="left"/>
      <w:pPr>
        <w:ind w:left="4910" w:hanging="360"/>
      </w:pPr>
      <w:rPr>
        <w:rFonts w:ascii="Noto Sans Symbols" w:eastAsia="Noto Sans Symbols" w:hAnsi="Noto Sans Symbols" w:cs="Noto Sans Symbols"/>
      </w:rPr>
    </w:lvl>
    <w:lvl w:ilvl="7">
      <w:start w:val="1"/>
      <w:numFmt w:val="bullet"/>
      <w:lvlText w:val="o"/>
      <w:lvlJc w:val="left"/>
      <w:pPr>
        <w:ind w:left="5630" w:hanging="360"/>
      </w:pPr>
      <w:rPr>
        <w:rFonts w:ascii="Courier New" w:eastAsia="Courier New" w:hAnsi="Courier New" w:cs="Courier New"/>
      </w:rPr>
    </w:lvl>
    <w:lvl w:ilvl="8">
      <w:start w:val="1"/>
      <w:numFmt w:val="bullet"/>
      <w:lvlText w:val="▪"/>
      <w:lvlJc w:val="left"/>
      <w:pPr>
        <w:ind w:left="6350" w:hanging="360"/>
      </w:pPr>
      <w:rPr>
        <w:rFonts w:ascii="Noto Sans Symbols" w:eastAsia="Noto Sans Symbols" w:hAnsi="Noto Sans Symbols" w:cs="Noto Sans Symbols"/>
      </w:rPr>
    </w:lvl>
  </w:abstractNum>
  <w:abstractNum w:abstractNumId="2" w15:restartNumberingAfterBreak="0">
    <w:nsid w:val="13C65809"/>
    <w:multiLevelType w:val="hybridMultilevel"/>
    <w:tmpl w:val="943AEC50"/>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3F544F5"/>
    <w:multiLevelType w:val="multilevel"/>
    <w:tmpl w:val="601A345E"/>
    <w:lvl w:ilvl="0">
      <w:start w:val="3"/>
      <w:numFmt w:val="decimal"/>
      <w:lvlText w:val="%1."/>
      <w:lvlJc w:val="left"/>
      <w:pPr>
        <w:ind w:left="570" w:hanging="570"/>
      </w:pPr>
      <w:rPr>
        <w:rFonts w:hint="default"/>
      </w:rPr>
    </w:lvl>
    <w:lvl w:ilvl="1">
      <w:start w:val="4"/>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46B0404"/>
    <w:multiLevelType w:val="hybridMultilevel"/>
    <w:tmpl w:val="5CC456D6"/>
    <w:lvl w:ilvl="0" w:tplc="4BA091AA">
      <w:start w:val="1"/>
      <w:numFmt w:val="bullet"/>
      <w:lvlText w:val="-"/>
      <w:lvlJc w:val="left"/>
      <w:pPr>
        <w:ind w:left="720" w:hanging="360"/>
      </w:pPr>
      <w:rPr>
        <w:rFonts w:ascii="Calibri" w:eastAsiaTheme="minorHAnsi" w:hAnsi="Calibri" w:cs="Calibri"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 w15:restartNumberingAfterBreak="0">
    <w:nsid w:val="1AF440C8"/>
    <w:multiLevelType w:val="multilevel"/>
    <w:tmpl w:val="D2B28E70"/>
    <w:lvl w:ilvl="0">
      <w:start w:val="1"/>
      <w:numFmt w:val="bullet"/>
      <w:lvlText w:val="●"/>
      <w:lvlJc w:val="center"/>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C2F72FE"/>
    <w:multiLevelType w:val="hybridMultilevel"/>
    <w:tmpl w:val="A88479A4"/>
    <w:lvl w:ilvl="0" w:tplc="4BA091AA">
      <w:start w:val="1"/>
      <w:numFmt w:val="bullet"/>
      <w:lvlText w:val="-"/>
      <w:lvlJc w:val="left"/>
      <w:pPr>
        <w:ind w:left="720" w:hanging="360"/>
      </w:pPr>
      <w:rPr>
        <w:rFonts w:ascii="Calibri" w:eastAsiaTheme="minorHAnsi" w:hAnsi="Calibri" w:cs="Calibr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 w15:restartNumberingAfterBreak="0">
    <w:nsid w:val="1D1A37A3"/>
    <w:multiLevelType w:val="multilevel"/>
    <w:tmpl w:val="660A243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F036E86"/>
    <w:multiLevelType w:val="hybridMultilevel"/>
    <w:tmpl w:val="2340BC3C"/>
    <w:lvl w:ilvl="0" w:tplc="C03407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31F17C9"/>
    <w:multiLevelType w:val="hybridMultilevel"/>
    <w:tmpl w:val="434E9B3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3872E7F"/>
    <w:multiLevelType w:val="hybridMultilevel"/>
    <w:tmpl w:val="FA74D4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4F50B6"/>
    <w:multiLevelType w:val="multilevel"/>
    <w:tmpl w:val="53788298"/>
    <w:lvl w:ilvl="0">
      <w:start w:val="3"/>
      <w:numFmt w:val="decimal"/>
      <w:lvlText w:val="%1."/>
      <w:lvlJc w:val="left"/>
      <w:pPr>
        <w:ind w:left="380" w:hanging="38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77607B8"/>
    <w:multiLevelType w:val="multilevel"/>
    <w:tmpl w:val="7BEA3C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8230B0F"/>
    <w:multiLevelType w:val="hybridMultilevel"/>
    <w:tmpl w:val="94A85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84E669C"/>
    <w:multiLevelType w:val="multilevel"/>
    <w:tmpl w:val="819E21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286D179F"/>
    <w:multiLevelType w:val="hybridMultilevel"/>
    <w:tmpl w:val="C31A49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9071F35"/>
    <w:multiLevelType w:val="hybridMultilevel"/>
    <w:tmpl w:val="BDDC3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B257465"/>
    <w:multiLevelType w:val="multilevel"/>
    <w:tmpl w:val="51E2CE96"/>
    <w:lvl w:ilvl="0">
      <w:start w:val="1"/>
      <w:numFmt w:val="decimal"/>
      <w:lvlText w:val="%1."/>
      <w:lvlJc w:val="left"/>
      <w:pPr>
        <w:ind w:left="1080" w:hanging="720"/>
      </w:pPr>
    </w:lvl>
    <w:lvl w:ilvl="1">
      <w:start w:val="1"/>
      <w:numFmt w:val="decimal"/>
      <w:lvlText w:val="%1.%2."/>
      <w:lvlJc w:val="left"/>
      <w:pPr>
        <w:ind w:left="1440" w:hanging="360"/>
      </w:pPr>
    </w:lvl>
    <w:lvl w:ilvl="2">
      <w:start w:val="1"/>
      <w:numFmt w:val="decimal"/>
      <w:lvlText w:val="%1.%2.%3."/>
      <w:lvlJc w:val="left"/>
      <w:pPr>
        <w:ind w:left="2520" w:hanging="720"/>
      </w:pPr>
    </w:lvl>
    <w:lvl w:ilvl="3">
      <w:start w:val="1"/>
      <w:numFmt w:val="decimal"/>
      <w:lvlText w:val="%1.%2.%3.%4."/>
      <w:lvlJc w:val="left"/>
      <w:pPr>
        <w:ind w:left="3240" w:hanging="720"/>
      </w:pPr>
    </w:lvl>
    <w:lvl w:ilvl="4">
      <w:start w:val="1"/>
      <w:numFmt w:val="decimal"/>
      <w:lvlText w:val="%1.%2.%3.%4.%5."/>
      <w:lvlJc w:val="left"/>
      <w:pPr>
        <w:ind w:left="4320" w:hanging="1080"/>
      </w:pPr>
    </w:lvl>
    <w:lvl w:ilvl="5">
      <w:start w:val="1"/>
      <w:numFmt w:val="decimal"/>
      <w:lvlText w:val="%1.%2.%3.%4.%5.%6."/>
      <w:lvlJc w:val="left"/>
      <w:pPr>
        <w:ind w:left="5040" w:hanging="1080"/>
      </w:pPr>
    </w:lvl>
    <w:lvl w:ilvl="6">
      <w:start w:val="1"/>
      <w:numFmt w:val="decimal"/>
      <w:lvlText w:val="%1.%2.%3.%4.%5.%6.%7."/>
      <w:lvlJc w:val="left"/>
      <w:pPr>
        <w:ind w:left="6120" w:hanging="1440"/>
      </w:pPr>
    </w:lvl>
    <w:lvl w:ilvl="7">
      <w:start w:val="1"/>
      <w:numFmt w:val="decimal"/>
      <w:lvlText w:val="%1.%2.%3.%4.%5.%6.%7.%8."/>
      <w:lvlJc w:val="left"/>
      <w:pPr>
        <w:ind w:left="6840" w:hanging="1440"/>
      </w:pPr>
    </w:lvl>
    <w:lvl w:ilvl="8">
      <w:start w:val="1"/>
      <w:numFmt w:val="decimal"/>
      <w:lvlText w:val="%1.%2.%3.%4.%5.%6.%7.%8.%9."/>
      <w:lvlJc w:val="left"/>
      <w:pPr>
        <w:ind w:left="7920" w:hanging="1800"/>
      </w:pPr>
    </w:lvl>
  </w:abstractNum>
  <w:abstractNum w:abstractNumId="18" w15:restartNumberingAfterBreak="0">
    <w:nsid w:val="2B5C3053"/>
    <w:multiLevelType w:val="hybridMultilevel"/>
    <w:tmpl w:val="48E6F2B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3019703F"/>
    <w:multiLevelType w:val="multilevel"/>
    <w:tmpl w:val="E22E86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31610F28"/>
    <w:multiLevelType w:val="hybridMultilevel"/>
    <w:tmpl w:val="52641F5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1" w15:restartNumberingAfterBreak="0">
    <w:nsid w:val="3B3F174E"/>
    <w:multiLevelType w:val="hybridMultilevel"/>
    <w:tmpl w:val="9F1CA4AE"/>
    <w:lvl w:ilvl="0" w:tplc="2C0A0001">
      <w:start w:val="1"/>
      <w:numFmt w:val="bullet"/>
      <w:lvlText w:val=""/>
      <w:lvlJc w:val="left"/>
      <w:pPr>
        <w:ind w:left="1440" w:hanging="360"/>
      </w:pPr>
      <w:rPr>
        <w:rFonts w:ascii="Symbol" w:hAnsi="Symbol" w:hint="default"/>
      </w:rPr>
    </w:lvl>
    <w:lvl w:ilvl="1" w:tplc="2C0A0003" w:tentative="1">
      <w:start w:val="1"/>
      <w:numFmt w:val="bullet"/>
      <w:lvlText w:val="o"/>
      <w:lvlJc w:val="left"/>
      <w:pPr>
        <w:ind w:left="2160" w:hanging="360"/>
      </w:pPr>
      <w:rPr>
        <w:rFonts w:ascii="Courier New" w:hAnsi="Courier New" w:cs="Courier New" w:hint="default"/>
      </w:rPr>
    </w:lvl>
    <w:lvl w:ilvl="2" w:tplc="2C0A0005" w:tentative="1">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cs="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cs="Courier New" w:hint="default"/>
      </w:rPr>
    </w:lvl>
    <w:lvl w:ilvl="8" w:tplc="2C0A0005" w:tentative="1">
      <w:start w:val="1"/>
      <w:numFmt w:val="bullet"/>
      <w:lvlText w:val=""/>
      <w:lvlJc w:val="left"/>
      <w:pPr>
        <w:ind w:left="7200" w:hanging="360"/>
      </w:pPr>
      <w:rPr>
        <w:rFonts w:ascii="Wingdings" w:hAnsi="Wingdings" w:hint="default"/>
      </w:rPr>
    </w:lvl>
  </w:abstractNum>
  <w:abstractNum w:abstractNumId="22" w15:restartNumberingAfterBreak="0">
    <w:nsid w:val="3CAC49E5"/>
    <w:multiLevelType w:val="hybridMultilevel"/>
    <w:tmpl w:val="E2380150"/>
    <w:lvl w:ilvl="0" w:tplc="97D68F04">
      <w:start w:val="5"/>
      <w:numFmt w:val="bullet"/>
      <w:lvlText w:val="-"/>
      <w:lvlJc w:val="left"/>
      <w:pPr>
        <w:ind w:left="720" w:hanging="360"/>
      </w:pPr>
      <w:rPr>
        <w:rFonts w:ascii="Calibri" w:eastAsiaTheme="minorHAns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3CB35E45"/>
    <w:multiLevelType w:val="multilevel"/>
    <w:tmpl w:val="76C0345E"/>
    <w:lvl w:ilvl="0">
      <w:start w:val="1"/>
      <w:numFmt w:val="bullet"/>
      <w:lvlText w:val="●"/>
      <w:lvlJc w:val="center"/>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3CCC3182"/>
    <w:multiLevelType w:val="hybridMultilevel"/>
    <w:tmpl w:val="2C40F6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DFA72B9"/>
    <w:multiLevelType w:val="hybridMultilevel"/>
    <w:tmpl w:val="56E4C978"/>
    <w:lvl w:ilvl="0" w:tplc="2C0A0003">
      <w:start w:val="1"/>
      <w:numFmt w:val="bullet"/>
      <w:lvlText w:val="o"/>
      <w:lvlJc w:val="left"/>
      <w:pPr>
        <w:ind w:left="1080" w:hanging="360"/>
      </w:pPr>
      <w:rPr>
        <w:rFonts w:ascii="Courier New" w:hAnsi="Courier New" w:cs="Courier New" w:hint="default"/>
      </w:rPr>
    </w:lvl>
    <w:lvl w:ilvl="1" w:tplc="2C0A0003" w:tentative="1">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26" w15:restartNumberingAfterBreak="0">
    <w:nsid w:val="41784A1A"/>
    <w:multiLevelType w:val="multilevel"/>
    <w:tmpl w:val="32AC61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43C51637"/>
    <w:multiLevelType w:val="hybridMultilevel"/>
    <w:tmpl w:val="EEFA9A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68511E8"/>
    <w:multiLevelType w:val="multilevel"/>
    <w:tmpl w:val="507C1076"/>
    <w:lvl w:ilvl="0">
      <w:start w:val="3"/>
      <w:numFmt w:val="decimal"/>
      <w:lvlText w:val="%1."/>
      <w:lvlJc w:val="left"/>
      <w:pPr>
        <w:ind w:left="720" w:hanging="720"/>
      </w:pPr>
      <w:rPr>
        <w:rFonts w:hint="default"/>
      </w:rPr>
    </w:lvl>
    <w:lvl w:ilvl="1">
      <w:start w:val="4"/>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2"/>
      <w:numFmt w:val="decimal"/>
      <w:lvlText w:val="%1.%2.%3.%4."/>
      <w:lvlJc w:val="left"/>
      <w:pPr>
        <w:ind w:left="81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4A0553BF"/>
    <w:multiLevelType w:val="hybridMultilevel"/>
    <w:tmpl w:val="21643994"/>
    <w:lvl w:ilvl="0" w:tplc="4460A85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D5D21C6"/>
    <w:multiLevelType w:val="hybridMultilevel"/>
    <w:tmpl w:val="175220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F540861"/>
    <w:multiLevelType w:val="multilevel"/>
    <w:tmpl w:val="64385196"/>
    <w:lvl w:ilvl="0">
      <w:start w:val="1"/>
      <w:numFmt w:val="bullet"/>
      <w:lvlText w:val="●"/>
      <w:lvlJc w:val="center"/>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51090F15"/>
    <w:multiLevelType w:val="hybridMultilevel"/>
    <w:tmpl w:val="95046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15F6FC1"/>
    <w:multiLevelType w:val="hybridMultilevel"/>
    <w:tmpl w:val="41BAE0D6"/>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34" w15:restartNumberingAfterBreak="0">
    <w:nsid w:val="52804D22"/>
    <w:multiLevelType w:val="multilevel"/>
    <w:tmpl w:val="9196CBF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2C64F14"/>
    <w:multiLevelType w:val="hybridMultilevel"/>
    <w:tmpl w:val="FA2C2B68"/>
    <w:lvl w:ilvl="0" w:tplc="4BA091AA">
      <w:start w:val="1"/>
      <w:numFmt w:val="bullet"/>
      <w:lvlText w:val="-"/>
      <w:lvlJc w:val="left"/>
      <w:pPr>
        <w:ind w:left="720" w:hanging="360"/>
      </w:pPr>
      <w:rPr>
        <w:rFonts w:ascii="Calibri" w:eastAsiaTheme="minorHAnsi" w:hAnsi="Calibri" w:cs="Calibr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6" w15:restartNumberingAfterBreak="0">
    <w:nsid w:val="53E95235"/>
    <w:multiLevelType w:val="hybridMultilevel"/>
    <w:tmpl w:val="0A663F74"/>
    <w:lvl w:ilvl="0" w:tplc="4BA091AA">
      <w:start w:val="1"/>
      <w:numFmt w:val="bullet"/>
      <w:lvlText w:val="-"/>
      <w:lvlJc w:val="left"/>
      <w:pPr>
        <w:ind w:left="720" w:hanging="360"/>
      </w:pPr>
      <w:rPr>
        <w:rFonts w:ascii="Calibri" w:eastAsiaTheme="minorHAnsi" w:hAnsi="Calibri" w:cs="Calibr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7" w15:restartNumberingAfterBreak="0">
    <w:nsid w:val="57C85200"/>
    <w:multiLevelType w:val="multilevel"/>
    <w:tmpl w:val="1B3AC33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800" w:hanging="720"/>
      </w:pPr>
    </w:lvl>
    <w:lvl w:ilvl="3">
      <w:start w:val="1"/>
      <w:numFmt w:val="decimal"/>
      <w:lvlText w:val="%1.%2.%3.%4."/>
      <w:lvlJc w:val="left"/>
      <w:pPr>
        <w:ind w:left="2160" w:hanging="720"/>
      </w:pPr>
    </w:lvl>
    <w:lvl w:ilvl="4">
      <w:start w:val="1"/>
      <w:numFmt w:val="decimal"/>
      <w:lvlText w:val="%1.%2.%3.%4.%5."/>
      <w:lvlJc w:val="left"/>
      <w:pPr>
        <w:ind w:left="2880" w:hanging="1080"/>
      </w:pPr>
    </w:lvl>
    <w:lvl w:ilvl="5">
      <w:start w:val="1"/>
      <w:numFmt w:val="decimal"/>
      <w:lvlText w:val="%1.%2.%3.%4.%5.%6."/>
      <w:lvlJc w:val="left"/>
      <w:pPr>
        <w:ind w:left="3240" w:hanging="1080"/>
      </w:pPr>
    </w:lvl>
    <w:lvl w:ilvl="6">
      <w:start w:val="1"/>
      <w:numFmt w:val="decimal"/>
      <w:lvlText w:val="%1.%2.%3.%4.%5.%6.%7."/>
      <w:lvlJc w:val="left"/>
      <w:pPr>
        <w:ind w:left="3960" w:hanging="1440"/>
      </w:pPr>
    </w:lvl>
    <w:lvl w:ilvl="7">
      <w:start w:val="1"/>
      <w:numFmt w:val="decimal"/>
      <w:lvlText w:val="%1.%2.%3.%4.%5.%6.%7.%8."/>
      <w:lvlJc w:val="left"/>
      <w:pPr>
        <w:ind w:left="4320" w:hanging="1440"/>
      </w:pPr>
    </w:lvl>
    <w:lvl w:ilvl="8">
      <w:start w:val="1"/>
      <w:numFmt w:val="decimal"/>
      <w:lvlText w:val="%1.%2.%3.%4.%5.%6.%7.%8.%9."/>
      <w:lvlJc w:val="left"/>
      <w:pPr>
        <w:ind w:left="5040" w:hanging="1800"/>
      </w:pPr>
    </w:lvl>
  </w:abstractNum>
  <w:abstractNum w:abstractNumId="38" w15:restartNumberingAfterBreak="0">
    <w:nsid w:val="58DF1D8D"/>
    <w:multiLevelType w:val="hybridMultilevel"/>
    <w:tmpl w:val="B742E592"/>
    <w:lvl w:ilvl="0" w:tplc="0409000F">
      <w:start w:val="1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9346123"/>
    <w:multiLevelType w:val="multilevel"/>
    <w:tmpl w:val="8BEC52AE"/>
    <w:lvl w:ilvl="0">
      <w:start w:val="3"/>
      <w:numFmt w:val="decimal"/>
      <w:lvlText w:val="%1."/>
      <w:lvlJc w:val="left"/>
      <w:pPr>
        <w:ind w:left="510" w:hanging="510"/>
      </w:pPr>
      <w:rPr>
        <w:rFonts w:hint="default"/>
      </w:rPr>
    </w:lvl>
    <w:lvl w:ilvl="1">
      <w:start w:val="8"/>
      <w:numFmt w:val="decimal"/>
      <w:lvlText w:val="%1.%2."/>
      <w:lvlJc w:val="left"/>
      <w:pPr>
        <w:ind w:left="510" w:hanging="51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598346B5"/>
    <w:multiLevelType w:val="hybridMultilevel"/>
    <w:tmpl w:val="A072C7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E3A2BD2"/>
    <w:multiLevelType w:val="multilevel"/>
    <w:tmpl w:val="CB68078E"/>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60FF5719"/>
    <w:multiLevelType w:val="multilevel"/>
    <w:tmpl w:val="5492FA34"/>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622043A0"/>
    <w:multiLevelType w:val="hybridMultilevel"/>
    <w:tmpl w:val="275EB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3521543"/>
    <w:multiLevelType w:val="hybridMultilevel"/>
    <w:tmpl w:val="9A8EA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5A251F5"/>
    <w:multiLevelType w:val="hybridMultilevel"/>
    <w:tmpl w:val="CE14660A"/>
    <w:lvl w:ilvl="0" w:tplc="EAE0204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6A05A3E"/>
    <w:multiLevelType w:val="multilevel"/>
    <w:tmpl w:val="A8D811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15:restartNumberingAfterBreak="0">
    <w:nsid w:val="68F24F4E"/>
    <w:multiLevelType w:val="multilevel"/>
    <w:tmpl w:val="667E5FDE"/>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68FF4BF9"/>
    <w:multiLevelType w:val="hybridMultilevel"/>
    <w:tmpl w:val="B002EBE4"/>
    <w:lvl w:ilvl="0" w:tplc="2C0A0001">
      <w:start w:val="1"/>
      <w:numFmt w:val="bullet"/>
      <w:lvlText w:val=""/>
      <w:lvlJc w:val="left"/>
      <w:pPr>
        <w:ind w:left="1080" w:hanging="360"/>
      </w:pPr>
      <w:rPr>
        <w:rFonts w:ascii="Symbol" w:hAnsi="Symbol" w:hint="default"/>
      </w:rPr>
    </w:lvl>
    <w:lvl w:ilvl="1" w:tplc="2C0A0003" w:tentative="1">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49" w15:restartNumberingAfterBreak="0">
    <w:nsid w:val="717F719E"/>
    <w:multiLevelType w:val="hybridMultilevel"/>
    <w:tmpl w:val="262E128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71866934"/>
    <w:multiLevelType w:val="hybridMultilevel"/>
    <w:tmpl w:val="249CC1AC"/>
    <w:lvl w:ilvl="0" w:tplc="6FA46988">
      <w:start w:val="1"/>
      <w:numFmt w:val="decimal"/>
      <w:lvlText w:val="%1."/>
      <w:lvlJc w:val="left"/>
      <w:pPr>
        <w:ind w:left="720" w:hanging="360"/>
      </w:pPr>
      <w:rPr>
        <w:rFonts w:ascii="Calibri" w:eastAsia="Calibri" w:hAnsi="Calibri" w:cstheme="minorHAnsi"/>
      </w:rPr>
    </w:lvl>
    <w:lvl w:ilvl="1" w:tplc="2C0A0001">
      <w:start w:val="1"/>
      <w:numFmt w:val="bullet"/>
      <w:lvlText w:val=""/>
      <w:lvlJc w:val="left"/>
      <w:pPr>
        <w:ind w:left="1440" w:hanging="360"/>
      </w:pPr>
      <w:rPr>
        <w:rFonts w:ascii="Symbol" w:hAnsi="Symbol" w:hint="default"/>
      </w:rPr>
    </w:lvl>
    <w:lvl w:ilvl="2" w:tplc="2C0A001B">
      <w:start w:val="1"/>
      <w:numFmt w:val="lowerRoman"/>
      <w:lvlText w:val="%3."/>
      <w:lvlJc w:val="right"/>
      <w:pPr>
        <w:ind w:left="2160" w:hanging="180"/>
      </w:pPr>
    </w:lvl>
    <w:lvl w:ilvl="3" w:tplc="2C0A000F">
      <w:start w:val="1"/>
      <w:numFmt w:val="decimal"/>
      <w:lvlText w:val="%4."/>
      <w:lvlJc w:val="left"/>
      <w:pPr>
        <w:ind w:left="2880" w:hanging="360"/>
      </w:pPr>
    </w:lvl>
    <w:lvl w:ilvl="4" w:tplc="2C0A0019">
      <w:start w:val="1"/>
      <w:numFmt w:val="lowerLetter"/>
      <w:lvlText w:val="%5."/>
      <w:lvlJc w:val="left"/>
      <w:pPr>
        <w:ind w:left="3600" w:hanging="360"/>
      </w:pPr>
    </w:lvl>
    <w:lvl w:ilvl="5" w:tplc="2C0A001B">
      <w:start w:val="1"/>
      <w:numFmt w:val="lowerRoman"/>
      <w:lvlText w:val="%6."/>
      <w:lvlJc w:val="right"/>
      <w:pPr>
        <w:ind w:left="4320" w:hanging="180"/>
      </w:pPr>
    </w:lvl>
    <w:lvl w:ilvl="6" w:tplc="2C0A000F">
      <w:start w:val="1"/>
      <w:numFmt w:val="decimal"/>
      <w:lvlText w:val="%7."/>
      <w:lvlJc w:val="left"/>
      <w:pPr>
        <w:ind w:left="5040" w:hanging="360"/>
      </w:pPr>
    </w:lvl>
    <w:lvl w:ilvl="7" w:tplc="2C0A0019">
      <w:start w:val="1"/>
      <w:numFmt w:val="lowerLetter"/>
      <w:lvlText w:val="%8."/>
      <w:lvlJc w:val="left"/>
      <w:pPr>
        <w:ind w:left="5760" w:hanging="360"/>
      </w:pPr>
    </w:lvl>
    <w:lvl w:ilvl="8" w:tplc="2C0A001B">
      <w:start w:val="1"/>
      <w:numFmt w:val="lowerRoman"/>
      <w:lvlText w:val="%9."/>
      <w:lvlJc w:val="right"/>
      <w:pPr>
        <w:ind w:left="6480" w:hanging="180"/>
      </w:pPr>
    </w:lvl>
  </w:abstractNum>
  <w:abstractNum w:abstractNumId="51" w15:restartNumberingAfterBreak="0">
    <w:nsid w:val="72DA7090"/>
    <w:multiLevelType w:val="hybridMultilevel"/>
    <w:tmpl w:val="33FEF0D6"/>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2" w15:restartNumberingAfterBreak="0">
    <w:nsid w:val="741A533E"/>
    <w:multiLevelType w:val="multilevel"/>
    <w:tmpl w:val="80DAC496"/>
    <w:lvl w:ilvl="0">
      <w:start w:val="3"/>
      <w:numFmt w:val="decimal"/>
      <w:lvlText w:val="%1."/>
      <w:lvlJc w:val="left"/>
      <w:pPr>
        <w:ind w:left="540" w:hanging="540"/>
      </w:pPr>
      <w:rPr>
        <w:rFonts w:hint="default"/>
      </w:rPr>
    </w:lvl>
    <w:lvl w:ilvl="1">
      <w:start w:val="5"/>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15:restartNumberingAfterBreak="0">
    <w:nsid w:val="757D094C"/>
    <w:multiLevelType w:val="hybridMultilevel"/>
    <w:tmpl w:val="03E6DE38"/>
    <w:lvl w:ilvl="0" w:tplc="97D68F04">
      <w:start w:val="5"/>
      <w:numFmt w:val="bullet"/>
      <w:lvlText w:val="-"/>
      <w:lvlJc w:val="left"/>
      <w:pPr>
        <w:ind w:left="720" w:hanging="360"/>
      </w:pPr>
      <w:rPr>
        <w:rFonts w:ascii="Calibri" w:eastAsiaTheme="minorHAns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4" w15:restartNumberingAfterBreak="0">
    <w:nsid w:val="789843DF"/>
    <w:multiLevelType w:val="hybridMultilevel"/>
    <w:tmpl w:val="03BC96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5" w15:restartNumberingAfterBreak="0">
    <w:nsid w:val="7A0441E9"/>
    <w:multiLevelType w:val="multilevel"/>
    <w:tmpl w:val="846E10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6" w15:restartNumberingAfterBreak="0">
    <w:nsid w:val="7E985023"/>
    <w:multiLevelType w:val="multilevel"/>
    <w:tmpl w:val="4120EC88"/>
    <w:lvl w:ilvl="0">
      <w:start w:val="3"/>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55"/>
  </w:num>
  <w:num w:numId="2">
    <w:abstractNumId w:val="26"/>
  </w:num>
  <w:num w:numId="3">
    <w:abstractNumId w:val="47"/>
  </w:num>
  <w:num w:numId="4">
    <w:abstractNumId w:val="5"/>
  </w:num>
  <w:num w:numId="5">
    <w:abstractNumId w:val="42"/>
  </w:num>
  <w:num w:numId="6">
    <w:abstractNumId w:val="41"/>
  </w:num>
  <w:num w:numId="7">
    <w:abstractNumId w:val="31"/>
  </w:num>
  <w:num w:numId="8">
    <w:abstractNumId w:val="23"/>
  </w:num>
  <w:num w:numId="9">
    <w:abstractNumId w:val="37"/>
  </w:num>
  <w:num w:numId="10">
    <w:abstractNumId w:val="1"/>
  </w:num>
  <w:num w:numId="11">
    <w:abstractNumId w:val="17"/>
  </w:num>
  <w:num w:numId="12">
    <w:abstractNumId w:val="14"/>
  </w:num>
  <w:num w:numId="13">
    <w:abstractNumId w:val="19"/>
  </w:num>
  <w:num w:numId="14">
    <w:abstractNumId w:val="12"/>
  </w:num>
  <w:num w:numId="15">
    <w:abstractNumId w:val="46"/>
  </w:num>
  <w:num w:numId="16">
    <w:abstractNumId w:val="16"/>
  </w:num>
  <w:num w:numId="17">
    <w:abstractNumId w:val="25"/>
  </w:num>
  <w:num w:numId="18">
    <w:abstractNumId w:val="35"/>
  </w:num>
  <w:num w:numId="19">
    <w:abstractNumId w:val="4"/>
  </w:num>
  <w:num w:numId="20">
    <w:abstractNumId w:val="36"/>
  </w:num>
  <w:num w:numId="21">
    <w:abstractNumId w:val="6"/>
  </w:num>
  <w:num w:numId="22">
    <w:abstractNumId w:val="20"/>
  </w:num>
  <w:num w:numId="23">
    <w:abstractNumId w:val="51"/>
  </w:num>
  <w:num w:numId="24">
    <w:abstractNumId w:val="50"/>
  </w:num>
  <w:num w:numId="25">
    <w:abstractNumId w:val="21"/>
  </w:num>
  <w:num w:numId="26">
    <w:abstractNumId w:val="48"/>
  </w:num>
  <w:num w:numId="27">
    <w:abstractNumId w:val="11"/>
  </w:num>
  <w:num w:numId="28">
    <w:abstractNumId w:val="43"/>
  </w:num>
  <w:num w:numId="29">
    <w:abstractNumId w:val="15"/>
  </w:num>
  <w:num w:numId="30">
    <w:abstractNumId w:val="45"/>
  </w:num>
  <w:num w:numId="31">
    <w:abstractNumId w:val="0"/>
  </w:num>
  <w:num w:numId="32">
    <w:abstractNumId w:val="40"/>
  </w:num>
  <w:num w:numId="33">
    <w:abstractNumId w:val="13"/>
  </w:num>
  <w:num w:numId="34">
    <w:abstractNumId w:val="29"/>
  </w:num>
  <w:num w:numId="35">
    <w:abstractNumId w:val="2"/>
  </w:num>
  <w:num w:numId="36">
    <w:abstractNumId w:val="44"/>
  </w:num>
  <w:num w:numId="37">
    <w:abstractNumId w:val="34"/>
  </w:num>
  <w:num w:numId="38">
    <w:abstractNumId w:val="8"/>
  </w:num>
  <w:num w:numId="39">
    <w:abstractNumId w:val="30"/>
  </w:num>
  <w:num w:numId="40">
    <w:abstractNumId w:val="10"/>
  </w:num>
  <w:num w:numId="41">
    <w:abstractNumId w:val="38"/>
  </w:num>
  <w:num w:numId="42">
    <w:abstractNumId w:val="3"/>
  </w:num>
  <w:num w:numId="43">
    <w:abstractNumId w:val="27"/>
  </w:num>
  <w:num w:numId="44">
    <w:abstractNumId w:val="28"/>
  </w:num>
  <w:num w:numId="45">
    <w:abstractNumId w:val="52"/>
  </w:num>
  <w:num w:numId="46">
    <w:abstractNumId w:val="39"/>
  </w:num>
  <w:num w:numId="47">
    <w:abstractNumId w:val="18"/>
  </w:num>
  <w:num w:numId="48">
    <w:abstractNumId w:val="9"/>
  </w:num>
  <w:num w:numId="49">
    <w:abstractNumId w:val="54"/>
  </w:num>
  <w:num w:numId="50">
    <w:abstractNumId w:val="7"/>
  </w:num>
  <w:num w:numId="51">
    <w:abstractNumId w:val="22"/>
  </w:num>
  <w:num w:numId="52">
    <w:abstractNumId w:val="53"/>
  </w:num>
  <w:num w:numId="53">
    <w:abstractNumId w:val="32"/>
  </w:num>
  <w:num w:numId="54">
    <w:abstractNumId w:val="24"/>
  </w:num>
  <w:num w:numId="55">
    <w:abstractNumId w:val="33"/>
  </w:num>
  <w:num w:numId="56">
    <w:abstractNumId w:val="49"/>
  </w:num>
  <w:num w:numId="57">
    <w:abstractNumId w:val="56"/>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activeWritingStyle w:appName="MSWord" w:lang="es-AR"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es-AR" w:vendorID="64" w:dllVersion="4096" w:nlCheck="1" w:checkStyle="0"/>
  <w:activeWritingStyle w:appName="MSWord" w:lang="en-GB" w:vendorID="64" w:dllVersion="131078" w:nlCheck="1" w:checkStyle="1"/>
  <w:activeWritingStyle w:appName="MSWord" w:lang="en-US" w:vendorID="64" w:dllVersion="131078" w:nlCheck="1" w:checkStyle="1"/>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44E1"/>
    <w:rsid w:val="00014529"/>
    <w:rsid w:val="0002001C"/>
    <w:rsid w:val="00041E66"/>
    <w:rsid w:val="00044414"/>
    <w:rsid w:val="00044DE2"/>
    <w:rsid w:val="00053D08"/>
    <w:rsid w:val="000551F2"/>
    <w:rsid w:val="00077486"/>
    <w:rsid w:val="000956A0"/>
    <w:rsid w:val="000A4570"/>
    <w:rsid w:val="000B63F0"/>
    <w:rsid w:val="000D0554"/>
    <w:rsid w:val="000D1B77"/>
    <w:rsid w:val="000E3BF5"/>
    <w:rsid w:val="000F0267"/>
    <w:rsid w:val="00110030"/>
    <w:rsid w:val="0011759F"/>
    <w:rsid w:val="001456B5"/>
    <w:rsid w:val="00151244"/>
    <w:rsid w:val="00152F82"/>
    <w:rsid w:val="001921BD"/>
    <w:rsid w:val="00195977"/>
    <w:rsid w:val="00196D9C"/>
    <w:rsid w:val="001D114F"/>
    <w:rsid w:val="001E345A"/>
    <w:rsid w:val="001E64B4"/>
    <w:rsid w:val="0021483E"/>
    <w:rsid w:val="00230B49"/>
    <w:rsid w:val="002557B7"/>
    <w:rsid w:val="0026629E"/>
    <w:rsid w:val="002A0E3A"/>
    <w:rsid w:val="002A32E5"/>
    <w:rsid w:val="002B3C15"/>
    <w:rsid w:val="002E456F"/>
    <w:rsid w:val="002E58DF"/>
    <w:rsid w:val="0031168F"/>
    <w:rsid w:val="00361CE6"/>
    <w:rsid w:val="00362B91"/>
    <w:rsid w:val="003658AF"/>
    <w:rsid w:val="00373C22"/>
    <w:rsid w:val="003838DD"/>
    <w:rsid w:val="003934DD"/>
    <w:rsid w:val="003A3990"/>
    <w:rsid w:val="003F7904"/>
    <w:rsid w:val="003F7BB3"/>
    <w:rsid w:val="004127BA"/>
    <w:rsid w:val="00455608"/>
    <w:rsid w:val="0046321B"/>
    <w:rsid w:val="004710DA"/>
    <w:rsid w:val="0047609B"/>
    <w:rsid w:val="00483488"/>
    <w:rsid w:val="00490C4C"/>
    <w:rsid w:val="004977F9"/>
    <w:rsid w:val="00497865"/>
    <w:rsid w:val="004B150D"/>
    <w:rsid w:val="004B2FB8"/>
    <w:rsid w:val="004C19E5"/>
    <w:rsid w:val="004D78BE"/>
    <w:rsid w:val="004E055C"/>
    <w:rsid w:val="00500A88"/>
    <w:rsid w:val="005023F0"/>
    <w:rsid w:val="00512E40"/>
    <w:rsid w:val="00517B7E"/>
    <w:rsid w:val="005758B6"/>
    <w:rsid w:val="0059761E"/>
    <w:rsid w:val="00597B65"/>
    <w:rsid w:val="005B4C1D"/>
    <w:rsid w:val="005C3C21"/>
    <w:rsid w:val="00625948"/>
    <w:rsid w:val="006667C7"/>
    <w:rsid w:val="006669E5"/>
    <w:rsid w:val="0068340D"/>
    <w:rsid w:val="00695441"/>
    <w:rsid w:val="007037F9"/>
    <w:rsid w:val="00711F8A"/>
    <w:rsid w:val="00713926"/>
    <w:rsid w:val="0072176B"/>
    <w:rsid w:val="007242F1"/>
    <w:rsid w:val="0074795B"/>
    <w:rsid w:val="00757686"/>
    <w:rsid w:val="00775318"/>
    <w:rsid w:val="007922A8"/>
    <w:rsid w:val="00795554"/>
    <w:rsid w:val="007A7E2D"/>
    <w:rsid w:val="007D437F"/>
    <w:rsid w:val="007E65F0"/>
    <w:rsid w:val="007F19BB"/>
    <w:rsid w:val="008024A4"/>
    <w:rsid w:val="00812863"/>
    <w:rsid w:val="008240A3"/>
    <w:rsid w:val="00853140"/>
    <w:rsid w:val="0086587C"/>
    <w:rsid w:val="008C01B9"/>
    <w:rsid w:val="008C4D23"/>
    <w:rsid w:val="008F729E"/>
    <w:rsid w:val="00932204"/>
    <w:rsid w:val="009373CD"/>
    <w:rsid w:val="00940930"/>
    <w:rsid w:val="0094333D"/>
    <w:rsid w:val="00953CBB"/>
    <w:rsid w:val="00995BC5"/>
    <w:rsid w:val="009E356C"/>
    <w:rsid w:val="009F3C7F"/>
    <w:rsid w:val="00A05DEB"/>
    <w:rsid w:val="00A23F7B"/>
    <w:rsid w:val="00A3796D"/>
    <w:rsid w:val="00A45334"/>
    <w:rsid w:val="00A637D5"/>
    <w:rsid w:val="00A65EEB"/>
    <w:rsid w:val="00A8541B"/>
    <w:rsid w:val="00AA6BD8"/>
    <w:rsid w:val="00AB24C6"/>
    <w:rsid w:val="00AB42A7"/>
    <w:rsid w:val="00AC20EA"/>
    <w:rsid w:val="00AC290E"/>
    <w:rsid w:val="00AD2223"/>
    <w:rsid w:val="00AD5960"/>
    <w:rsid w:val="00AE67F2"/>
    <w:rsid w:val="00AF1B5D"/>
    <w:rsid w:val="00AF68FB"/>
    <w:rsid w:val="00B15F85"/>
    <w:rsid w:val="00B246CC"/>
    <w:rsid w:val="00B258C4"/>
    <w:rsid w:val="00B26EC5"/>
    <w:rsid w:val="00B41159"/>
    <w:rsid w:val="00B41550"/>
    <w:rsid w:val="00B84159"/>
    <w:rsid w:val="00B875D8"/>
    <w:rsid w:val="00B9007C"/>
    <w:rsid w:val="00B93B70"/>
    <w:rsid w:val="00BA33A9"/>
    <w:rsid w:val="00BB44E1"/>
    <w:rsid w:val="00BC4136"/>
    <w:rsid w:val="00BD23D7"/>
    <w:rsid w:val="00BE4A60"/>
    <w:rsid w:val="00BF7DC4"/>
    <w:rsid w:val="00C00E2B"/>
    <w:rsid w:val="00C2410D"/>
    <w:rsid w:val="00C27017"/>
    <w:rsid w:val="00C51E07"/>
    <w:rsid w:val="00C83B74"/>
    <w:rsid w:val="00CD2A61"/>
    <w:rsid w:val="00CD6094"/>
    <w:rsid w:val="00D1389E"/>
    <w:rsid w:val="00D26389"/>
    <w:rsid w:val="00D576CA"/>
    <w:rsid w:val="00D854D4"/>
    <w:rsid w:val="00D93C96"/>
    <w:rsid w:val="00DB0C40"/>
    <w:rsid w:val="00DB23FF"/>
    <w:rsid w:val="00DB663A"/>
    <w:rsid w:val="00DC316C"/>
    <w:rsid w:val="00E0559E"/>
    <w:rsid w:val="00E07BEB"/>
    <w:rsid w:val="00E279B2"/>
    <w:rsid w:val="00E30ADC"/>
    <w:rsid w:val="00E35110"/>
    <w:rsid w:val="00E44AF4"/>
    <w:rsid w:val="00E4703B"/>
    <w:rsid w:val="00E471AD"/>
    <w:rsid w:val="00E6222D"/>
    <w:rsid w:val="00E82C82"/>
    <w:rsid w:val="00E941FF"/>
    <w:rsid w:val="00E94A0E"/>
    <w:rsid w:val="00EA37BB"/>
    <w:rsid w:val="00EA3C8E"/>
    <w:rsid w:val="00ED7F94"/>
    <w:rsid w:val="00EE0D93"/>
    <w:rsid w:val="00EE56EA"/>
    <w:rsid w:val="00EF4332"/>
    <w:rsid w:val="00EF6EB8"/>
    <w:rsid w:val="00EF7BC1"/>
    <w:rsid w:val="00F03CE5"/>
    <w:rsid w:val="00F23644"/>
    <w:rsid w:val="00F37584"/>
    <w:rsid w:val="00F37BC3"/>
    <w:rsid w:val="00F45AF9"/>
    <w:rsid w:val="00F55A69"/>
    <w:rsid w:val="00FB59BE"/>
    <w:rsid w:val="00FC3AC5"/>
    <w:rsid w:val="00FC7E02"/>
    <w:rsid w:val="00FF2C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695F7A"/>
  <w15:docId w15:val="{1A45623A-D4F8-405F-B7B4-7F90EC52E0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B06"/>
  </w:style>
  <w:style w:type="paragraph" w:styleId="Heading1">
    <w:name w:val="heading 1"/>
    <w:basedOn w:val="Normal"/>
    <w:next w:val="Normal"/>
    <w:link w:val="Heading1Char"/>
    <w:uiPriority w:val="9"/>
    <w:qFormat/>
    <w:rsid w:val="00492ACD"/>
    <w:pPr>
      <w:keepNext/>
      <w:keepLines/>
      <w:spacing w:before="240" w:after="12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A35E1"/>
    <w:pPr>
      <w:keepNext/>
      <w:keepLines/>
      <w:spacing w:before="120" w:after="12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AA35E1"/>
    <w:pPr>
      <w:keepNext/>
      <w:keepLines/>
      <w:spacing w:before="240" w:after="12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C804CE"/>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C804CE"/>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1A26F1"/>
    <w:pPr>
      <w:tabs>
        <w:tab w:val="center" w:pos="4680"/>
        <w:tab w:val="right" w:pos="9360"/>
      </w:tabs>
    </w:pPr>
  </w:style>
  <w:style w:type="character" w:customStyle="1" w:styleId="HeaderChar">
    <w:name w:val="Header Char"/>
    <w:basedOn w:val="DefaultParagraphFont"/>
    <w:link w:val="Header"/>
    <w:uiPriority w:val="99"/>
    <w:rsid w:val="001A26F1"/>
  </w:style>
  <w:style w:type="paragraph" w:styleId="Footer">
    <w:name w:val="footer"/>
    <w:basedOn w:val="Normal"/>
    <w:link w:val="FooterChar"/>
    <w:uiPriority w:val="99"/>
    <w:unhideWhenUsed/>
    <w:rsid w:val="001A26F1"/>
    <w:pPr>
      <w:tabs>
        <w:tab w:val="center" w:pos="4680"/>
        <w:tab w:val="right" w:pos="9360"/>
      </w:tabs>
    </w:pPr>
  </w:style>
  <w:style w:type="character" w:customStyle="1" w:styleId="FooterChar">
    <w:name w:val="Footer Char"/>
    <w:basedOn w:val="DefaultParagraphFont"/>
    <w:link w:val="Footer"/>
    <w:uiPriority w:val="99"/>
    <w:rsid w:val="001A26F1"/>
  </w:style>
  <w:style w:type="paragraph" w:styleId="FootnoteText">
    <w:name w:val="footnote text"/>
    <w:aliases w:val="Fußnote,Fußnotentextf,Podrozdział,Footnote Text Char Char,single space,FOOTNOTES,fn,stile 1,Footnote,Footnote1,Footnote2,Footnote3,Footnote4,Footnote5,Footnote6,Footnote7,Footnote8,Footnote9,Footnote10"/>
    <w:basedOn w:val="Normal"/>
    <w:link w:val="FootnoteTextChar"/>
    <w:uiPriority w:val="99"/>
    <w:unhideWhenUsed/>
    <w:rsid w:val="009548B8"/>
    <w:rPr>
      <w:sz w:val="20"/>
      <w:szCs w:val="20"/>
    </w:rPr>
  </w:style>
  <w:style w:type="character" w:customStyle="1" w:styleId="FootnoteTextChar">
    <w:name w:val="Footnote Text Char"/>
    <w:aliases w:val="Fußnote Char,Fußnotentextf Char,Podrozdział Char,Footnote Text Char Char Char,single space Char,FOOTNOTES Char,fn Char,stile 1 Char,Footnote Char,Footnote1 Char,Footnote2 Char,Footnote3 Char,Footnote4 Char,Footnote5 Char"/>
    <w:basedOn w:val="DefaultParagraphFont"/>
    <w:link w:val="FootnoteText"/>
    <w:uiPriority w:val="99"/>
    <w:rsid w:val="009548B8"/>
    <w:rPr>
      <w:sz w:val="20"/>
      <w:szCs w:val="20"/>
    </w:rPr>
  </w:style>
  <w:style w:type="character" w:styleId="FootnoteReference">
    <w:name w:val="footnote reference"/>
    <w:aliases w:val="Überschrift 4 Zchn1,Título 4 Car Zchn,Heading 4 Char1 Car Zchn,no vale 2 Zchn,no vale 2 Car Zchn,Footnote Reference Superscript"/>
    <w:uiPriority w:val="99"/>
    <w:rsid w:val="009548B8"/>
    <w:rPr>
      <w:rFonts w:ascii="TimesNewRomanPS" w:hAnsi="TimesNewRomanPS"/>
      <w:position w:val="6"/>
      <w:sz w:val="16"/>
    </w:rPr>
  </w:style>
  <w:style w:type="paragraph" w:styleId="EndnoteText">
    <w:name w:val="endnote text"/>
    <w:basedOn w:val="Normal"/>
    <w:link w:val="EndnoteTextChar"/>
    <w:uiPriority w:val="99"/>
    <w:semiHidden/>
    <w:unhideWhenUsed/>
    <w:rsid w:val="009548B8"/>
    <w:rPr>
      <w:sz w:val="20"/>
      <w:szCs w:val="20"/>
    </w:rPr>
  </w:style>
  <w:style w:type="character" w:customStyle="1" w:styleId="EndnoteTextChar">
    <w:name w:val="Endnote Text Char"/>
    <w:basedOn w:val="DefaultParagraphFont"/>
    <w:link w:val="EndnoteText"/>
    <w:uiPriority w:val="99"/>
    <w:semiHidden/>
    <w:rsid w:val="009548B8"/>
    <w:rPr>
      <w:sz w:val="20"/>
      <w:szCs w:val="20"/>
      <w:lang w:val="en-GB"/>
    </w:rPr>
  </w:style>
  <w:style w:type="character" w:styleId="EndnoteReference">
    <w:name w:val="endnote reference"/>
    <w:basedOn w:val="DefaultParagraphFont"/>
    <w:uiPriority w:val="99"/>
    <w:semiHidden/>
    <w:unhideWhenUsed/>
    <w:rsid w:val="009548B8"/>
    <w:rPr>
      <w:vertAlign w:val="superscript"/>
    </w:rPr>
  </w:style>
  <w:style w:type="character" w:styleId="CommentReference">
    <w:name w:val="annotation reference"/>
    <w:basedOn w:val="DefaultParagraphFont"/>
    <w:uiPriority w:val="99"/>
    <w:semiHidden/>
    <w:unhideWhenUsed/>
    <w:rsid w:val="00FF1F29"/>
    <w:rPr>
      <w:sz w:val="16"/>
      <w:szCs w:val="16"/>
    </w:rPr>
  </w:style>
  <w:style w:type="paragraph" w:styleId="CommentText">
    <w:name w:val="annotation text"/>
    <w:basedOn w:val="Normal"/>
    <w:link w:val="CommentTextChar"/>
    <w:uiPriority w:val="99"/>
    <w:unhideWhenUsed/>
    <w:rsid w:val="00FF1F29"/>
    <w:rPr>
      <w:sz w:val="20"/>
      <w:szCs w:val="20"/>
    </w:rPr>
  </w:style>
  <w:style w:type="character" w:customStyle="1" w:styleId="CommentTextChar">
    <w:name w:val="Comment Text Char"/>
    <w:basedOn w:val="DefaultParagraphFont"/>
    <w:link w:val="CommentText"/>
    <w:uiPriority w:val="99"/>
    <w:rsid w:val="00FF1F29"/>
    <w:rPr>
      <w:sz w:val="20"/>
      <w:szCs w:val="20"/>
    </w:rPr>
  </w:style>
  <w:style w:type="paragraph" w:styleId="CommentSubject">
    <w:name w:val="annotation subject"/>
    <w:basedOn w:val="CommentText"/>
    <w:next w:val="CommentText"/>
    <w:link w:val="CommentSubjectChar"/>
    <w:uiPriority w:val="99"/>
    <w:semiHidden/>
    <w:unhideWhenUsed/>
    <w:rsid w:val="00FF1F29"/>
    <w:rPr>
      <w:b/>
      <w:bCs/>
    </w:rPr>
  </w:style>
  <w:style w:type="character" w:customStyle="1" w:styleId="CommentSubjectChar">
    <w:name w:val="Comment Subject Char"/>
    <w:basedOn w:val="CommentTextChar"/>
    <w:link w:val="CommentSubject"/>
    <w:uiPriority w:val="99"/>
    <w:semiHidden/>
    <w:rsid w:val="00FF1F29"/>
    <w:rPr>
      <w:b/>
      <w:bCs/>
      <w:sz w:val="20"/>
      <w:szCs w:val="20"/>
    </w:rPr>
  </w:style>
  <w:style w:type="paragraph" w:styleId="BalloonText">
    <w:name w:val="Balloon Text"/>
    <w:basedOn w:val="Normal"/>
    <w:link w:val="BalloonTextChar"/>
    <w:uiPriority w:val="99"/>
    <w:semiHidden/>
    <w:unhideWhenUsed/>
    <w:rsid w:val="00FF1F2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F1F29"/>
    <w:rPr>
      <w:rFonts w:ascii="Segoe UI" w:hAnsi="Segoe UI" w:cs="Segoe UI"/>
      <w:sz w:val="18"/>
      <w:szCs w:val="18"/>
    </w:rPr>
  </w:style>
  <w:style w:type="character" w:customStyle="1" w:styleId="Heading1Char">
    <w:name w:val="Heading 1 Char"/>
    <w:basedOn w:val="DefaultParagraphFont"/>
    <w:link w:val="Heading1"/>
    <w:uiPriority w:val="9"/>
    <w:rsid w:val="00492ACD"/>
    <w:rPr>
      <w:rFonts w:asciiTheme="majorHAnsi" w:eastAsiaTheme="majorEastAsia" w:hAnsiTheme="majorHAnsi" w:cstheme="majorBidi"/>
      <w:color w:val="2F5496" w:themeColor="accent1" w:themeShade="BF"/>
      <w:sz w:val="32"/>
      <w:szCs w:val="32"/>
    </w:rPr>
  </w:style>
  <w:style w:type="paragraph" w:styleId="ListParagraph">
    <w:name w:val="List Paragraph"/>
    <w:aliases w:val="Bullet Points,Listenabsatz1,Llista Nivell1,Lista de nivel 1,Paragraphe de liste PBLH,Normal bullet 2,Graph &amp; Table tite,Table of contents numbered,Bullet list,Liststycke SKL,List Paragraph2,Foot note,UEDAŞ Bullet"/>
    <w:basedOn w:val="Normal"/>
    <w:link w:val="ListParagraphChar"/>
    <w:uiPriority w:val="34"/>
    <w:qFormat/>
    <w:rsid w:val="002F2BFB"/>
    <w:pPr>
      <w:ind w:left="720"/>
      <w:contextualSpacing/>
    </w:pPr>
  </w:style>
  <w:style w:type="table" w:customStyle="1" w:styleId="Tablaconcuadrcula1">
    <w:name w:val="Tabla con cuadrícula1"/>
    <w:basedOn w:val="TableNormal"/>
    <w:next w:val="TableGrid"/>
    <w:uiPriority w:val="39"/>
    <w:rsid w:val="00CF5370"/>
    <w:rPr>
      <w:sz w:val="22"/>
      <w:szCs w:val="22"/>
      <w:lang w:val="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CF53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B3530"/>
    <w:rPr>
      <w:color w:val="0563C1" w:themeColor="hyperlink"/>
      <w:u w:val="single"/>
    </w:rPr>
  </w:style>
  <w:style w:type="table" w:customStyle="1" w:styleId="TableNormal2">
    <w:name w:val="Table Normal2"/>
    <w:uiPriority w:val="2"/>
    <w:semiHidden/>
    <w:unhideWhenUsed/>
    <w:qFormat/>
    <w:rsid w:val="00EB3530"/>
    <w:pPr>
      <w:widowControl w:val="0"/>
      <w:autoSpaceDE w:val="0"/>
      <w:autoSpaceDN w:val="0"/>
    </w:pPr>
    <w:rPr>
      <w:sz w:val="22"/>
      <w:szCs w:val="22"/>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EB3530"/>
    <w:pPr>
      <w:widowControl w:val="0"/>
      <w:autoSpaceDE w:val="0"/>
      <w:autoSpaceDN w:val="0"/>
    </w:pPr>
    <w:rPr>
      <w:sz w:val="22"/>
      <w:szCs w:val="22"/>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EB3530"/>
    <w:pPr>
      <w:widowControl w:val="0"/>
      <w:autoSpaceDE w:val="0"/>
      <w:autoSpaceDN w:val="0"/>
    </w:pPr>
    <w:rPr>
      <w:sz w:val="22"/>
      <w:szCs w:val="22"/>
      <w:lang w:val="en-US"/>
    </w:rPr>
    <w:tblPr>
      <w:tblInd w:w="0" w:type="dxa"/>
      <w:tblCellMar>
        <w:top w:w="0" w:type="dxa"/>
        <w:left w:w="0" w:type="dxa"/>
        <w:bottom w:w="0" w:type="dxa"/>
        <w:right w:w="0" w:type="dxa"/>
      </w:tblCellMar>
    </w:tblPr>
  </w:style>
  <w:style w:type="character" w:customStyle="1" w:styleId="Heading2Char">
    <w:name w:val="Heading 2 Char"/>
    <w:basedOn w:val="DefaultParagraphFont"/>
    <w:link w:val="Heading2"/>
    <w:uiPriority w:val="9"/>
    <w:rsid w:val="00AA35E1"/>
    <w:rPr>
      <w:rFonts w:asciiTheme="majorHAnsi" w:eastAsiaTheme="majorEastAsia" w:hAnsiTheme="majorHAnsi" w:cstheme="majorBidi"/>
      <w:color w:val="2F5496" w:themeColor="accent1" w:themeShade="BF"/>
      <w:sz w:val="26"/>
      <w:szCs w:val="26"/>
    </w:rPr>
  </w:style>
  <w:style w:type="paragraph" w:styleId="TOCHeading">
    <w:name w:val="TOC Heading"/>
    <w:basedOn w:val="Heading1"/>
    <w:next w:val="Normal"/>
    <w:uiPriority w:val="39"/>
    <w:unhideWhenUsed/>
    <w:qFormat/>
    <w:rsid w:val="00C55470"/>
    <w:pPr>
      <w:spacing w:line="259" w:lineRule="auto"/>
      <w:outlineLvl w:val="9"/>
    </w:pPr>
    <w:rPr>
      <w:lang w:val="en-US"/>
    </w:rPr>
  </w:style>
  <w:style w:type="paragraph" w:styleId="TOC1">
    <w:name w:val="toc 1"/>
    <w:basedOn w:val="Normal"/>
    <w:next w:val="Normal"/>
    <w:autoRedefine/>
    <w:uiPriority w:val="39"/>
    <w:unhideWhenUsed/>
    <w:rsid w:val="00C55470"/>
    <w:pPr>
      <w:spacing w:before="360"/>
    </w:pPr>
    <w:rPr>
      <w:rFonts w:asciiTheme="majorHAnsi" w:hAnsiTheme="majorHAnsi" w:cstheme="majorHAnsi"/>
      <w:b/>
      <w:bCs/>
      <w:caps/>
    </w:rPr>
  </w:style>
  <w:style w:type="paragraph" w:styleId="TOC2">
    <w:name w:val="toc 2"/>
    <w:basedOn w:val="Normal"/>
    <w:next w:val="Normal"/>
    <w:autoRedefine/>
    <w:uiPriority w:val="39"/>
    <w:unhideWhenUsed/>
    <w:rsid w:val="00C55470"/>
    <w:pPr>
      <w:spacing w:before="240"/>
    </w:pPr>
    <w:rPr>
      <w:rFonts w:cstheme="minorHAnsi"/>
      <w:b/>
      <w:bCs/>
      <w:sz w:val="20"/>
      <w:szCs w:val="20"/>
    </w:rPr>
  </w:style>
  <w:style w:type="character" w:customStyle="1" w:styleId="Heading3Char">
    <w:name w:val="Heading 3 Char"/>
    <w:basedOn w:val="DefaultParagraphFont"/>
    <w:link w:val="Heading3"/>
    <w:uiPriority w:val="9"/>
    <w:rsid w:val="00AA35E1"/>
    <w:rPr>
      <w:rFonts w:asciiTheme="majorHAnsi" w:eastAsiaTheme="majorEastAsia" w:hAnsiTheme="majorHAnsi" w:cstheme="majorBidi"/>
      <w:color w:val="1F3763" w:themeColor="accent1" w:themeShade="7F"/>
    </w:rPr>
  </w:style>
  <w:style w:type="paragraph" w:styleId="TOC3">
    <w:name w:val="toc 3"/>
    <w:basedOn w:val="Normal"/>
    <w:next w:val="Normal"/>
    <w:autoRedefine/>
    <w:uiPriority w:val="39"/>
    <w:unhideWhenUsed/>
    <w:rsid w:val="00492ACD"/>
    <w:pPr>
      <w:ind w:left="240"/>
    </w:pPr>
    <w:rPr>
      <w:rFonts w:cstheme="minorHAnsi"/>
      <w:sz w:val="20"/>
      <w:szCs w:val="20"/>
    </w:rPr>
  </w:style>
  <w:style w:type="paragraph" w:styleId="TOC4">
    <w:name w:val="toc 4"/>
    <w:basedOn w:val="Normal"/>
    <w:next w:val="Normal"/>
    <w:autoRedefine/>
    <w:uiPriority w:val="39"/>
    <w:unhideWhenUsed/>
    <w:rsid w:val="00492ACD"/>
    <w:pPr>
      <w:ind w:left="480"/>
    </w:pPr>
    <w:rPr>
      <w:rFonts w:cstheme="minorHAnsi"/>
      <w:sz w:val="20"/>
      <w:szCs w:val="20"/>
    </w:rPr>
  </w:style>
  <w:style w:type="paragraph" w:styleId="TOC5">
    <w:name w:val="toc 5"/>
    <w:basedOn w:val="Normal"/>
    <w:next w:val="Normal"/>
    <w:autoRedefine/>
    <w:uiPriority w:val="39"/>
    <w:unhideWhenUsed/>
    <w:rsid w:val="00492ACD"/>
    <w:pPr>
      <w:ind w:left="720"/>
    </w:pPr>
    <w:rPr>
      <w:rFonts w:cstheme="minorHAnsi"/>
      <w:sz w:val="20"/>
      <w:szCs w:val="20"/>
    </w:rPr>
  </w:style>
  <w:style w:type="paragraph" w:styleId="TOC6">
    <w:name w:val="toc 6"/>
    <w:basedOn w:val="Normal"/>
    <w:next w:val="Normal"/>
    <w:autoRedefine/>
    <w:uiPriority w:val="39"/>
    <w:unhideWhenUsed/>
    <w:rsid w:val="00492ACD"/>
    <w:pPr>
      <w:ind w:left="960"/>
    </w:pPr>
    <w:rPr>
      <w:rFonts w:cstheme="minorHAnsi"/>
      <w:sz w:val="20"/>
      <w:szCs w:val="20"/>
    </w:rPr>
  </w:style>
  <w:style w:type="paragraph" w:styleId="TOC7">
    <w:name w:val="toc 7"/>
    <w:basedOn w:val="Normal"/>
    <w:next w:val="Normal"/>
    <w:autoRedefine/>
    <w:uiPriority w:val="39"/>
    <w:unhideWhenUsed/>
    <w:rsid w:val="00492ACD"/>
    <w:pPr>
      <w:ind w:left="1200"/>
    </w:pPr>
    <w:rPr>
      <w:rFonts w:cstheme="minorHAnsi"/>
      <w:sz w:val="20"/>
      <w:szCs w:val="20"/>
    </w:rPr>
  </w:style>
  <w:style w:type="paragraph" w:styleId="TOC8">
    <w:name w:val="toc 8"/>
    <w:basedOn w:val="Normal"/>
    <w:next w:val="Normal"/>
    <w:autoRedefine/>
    <w:uiPriority w:val="39"/>
    <w:unhideWhenUsed/>
    <w:rsid w:val="00492ACD"/>
    <w:pPr>
      <w:ind w:left="1440"/>
    </w:pPr>
    <w:rPr>
      <w:rFonts w:cstheme="minorHAnsi"/>
      <w:sz w:val="20"/>
      <w:szCs w:val="20"/>
    </w:rPr>
  </w:style>
  <w:style w:type="paragraph" w:styleId="TOC9">
    <w:name w:val="toc 9"/>
    <w:basedOn w:val="Normal"/>
    <w:next w:val="Normal"/>
    <w:autoRedefine/>
    <w:uiPriority w:val="39"/>
    <w:unhideWhenUsed/>
    <w:rsid w:val="00492ACD"/>
    <w:pPr>
      <w:ind w:left="1680"/>
    </w:pPr>
    <w:rPr>
      <w:rFonts w:cstheme="minorHAnsi"/>
      <w:sz w:val="20"/>
      <w:szCs w:val="20"/>
    </w:rPr>
  </w:style>
  <w:style w:type="character" w:styleId="PageNumber">
    <w:name w:val="page number"/>
    <w:basedOn w:val="DefaultParagraphFont"/>
    <w:uiPriority w:val="99"/>
    <w:semiHidden/>
    <w:unhideWhenUsed/>
    <w:rsid w:val="00DF55E9"/>
  </w:style>
  <w:style w:type="character" w:customStyle="1" w:styleId="UnresolvedMention1">
    <w:name w:val="Unresolved Mention1"/>
    <w:basedOn w:val="DefaultParagraphFont"/>
    <w:uiPriority w:val="99"/>
    <w:semiHidden/>
    <w:unhideWhenUsed/>
    <w:rsid w:val="004B20FB"/>
    <w:rPr>
      <w:color w:val="605E5C"/>
      <w:shd w:val="clear" w:color="auto" w:fill="E1DFDD"/>
    </w:rPr>
  </w:style>
  <w:style w:type="paragraph" w:styleId="NormalWeb">
    <w:name w:val="Normal (Web)"/>
    <w:basedOn w:val="Normal"/>
    <w:uiPriority w:val="99"/>
    <w:unhideWhenUsed/>
    <w:rsid w:val="003E50F9"/>
    <w:rPr>
      <w:rFonts w:ascii="Times New Roman" w:hAnsi="Times New Roman" w:cs="Times New Roman"/>
    </w:rPr>
  </w:style>
  <w:style w:type="table" w:customStyle="1" w:styleId="TableGrid1">
    <w:name w:val="Table Grid1"/>
    <w:basedOn w:val="TableNormal"/>
    <w:next w:val="TableGrid"/>
    <w:uiPriority w:val="39"/>
    <w:rsid w:val="00860EBD"/>
    <w:rPr>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1B37BE"/>
  </w:style>
  <w:style w:type="character" w:customStyle="1" w:styleId="UnresolvedMention2">
    <w:name w:val="Unresolved Mention2"/>
    <w:basedOn w:val="DefaultParagraphFont"/>
    <w:uiPriority w:val="99"/>
    <w:semiHidden/>
    <w:unhideWhenUsed/>
    <w:rsid w:val="007135B7"/>
    <w:rPr>
      <w:color w:val="605E5C"/>
      <w:shd w:val="clear" w:color="auto" w:fill="E1DFDD"/>
    </w:rPr>
  </w:style>
  <w:style w:type="paragraph" w:customStyle="1" w:styleId="Default">
    <w:name w:val="Default"/>
    <w:rsid w:val="006C68A7"/>
    <w:pPr>
      <w:autoSpaceDE w:val="0"/>
      <w:autoSpaceDN w:val="0"/>
      <w:adjustRightInd w:val="0"/>
    </w:pPr>
    <w:rPr>
      <w:rFonts w:ascii="Segoe UI" w:hAnsi="Segoe UI" w:cs="Segoe UI"/>
      <w:color w:val="000000"/>
      <w:lang w:val="en-US"/>
    </w:rPr>
  </w:style>
  <w:style w:type="paragraph" w:customStyle="1" w:styleId="Pa3">
    <w:name w:val="Pa3"/>
    <w:basedOn w:val="Default"/>
    <w:next w:val="Default"/>
    <w:uiPriority w:val="99"/>
    <w:rsid w:val="006C68A7"/>
    <w:pPr>
      <w:spacing w:line="201" w:lineRule="atLeast"/>
    </w:pPr>
    <w:rPr>
      <w:color w:val="auto"/>
    </w:rPr>
  </w:style>
  <w:style w:type="character" w:customStyle="1" w:styleId="UnresolvedMention3">
    <w:name w:val="Unresolved Mention3"/>
    <w:basedOn w:val="DefaultParagraphFont"/>
    <w:uiPriority w:val="99"/>
    <w:semiHidden/>
    <w:unhideWhenUsed/>
    <w:rsid w:val="00B8285A"/>
    <w:rPr>
      <w:color w:val="605E5C"/>
      <w:shd w:val="clear" w:color="auto" w:fill="E1DFDD"/>
    </w:rPr>
  </w:style>
  <w:style w:type="paragraph" w:styleId="HTMLPreformatted">
    <w:name w:val="HTML Preformatted"/>
    <w:basedOn w:val="Normal"/>
    <w:link w:val="HTMLPreformattedChar"/>
    <w:uiPriority w:val="99"/>
    <w:semiHidden/>
    <w:unhideWhenUsed/>
    <w:rsid w:val="00142C66"/>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142C66"/>
    <w:rPr>
      <w:rFonts w:ascii="Consolas" w:hAnsi="Consolas"/>
      <w:sz w:val="20"/>
      <w:szCs w:val="20"/>
      <w:lang w:val="en-GB"/>
    </w:rPr>
  </w:style>
  <w:style w:type="character" w:styleId="FollowedHyperlink">
    <w:name w:val="FollowedHyperlink"/>
    <w:basedOn w:val="DefaultParagraphFont"/>
    <w:uiPriority w:val="99"/>
    <w:semiHidden/>
    <w:unhideWhenUsed/>
    <w:rsid w:val="00142C66"/>
    <w:rPr>
      <w:color w:val="954F72" w:themeColor="followedHyperlink"/>
      <w:u w:val="single"/>
    </w:rPr>
  </w:style>
  <w:style w:type="character" w:customStyle="1" w:styleId="UnresolvedMention4">
    <w:name w:val="Unresolved Mention4"/>
    <w:basedOn w:val="DefaultParagraphFont"/>
    <w:uiPriority w:val="99"/>
    <w:semiHidden/>
    <w:unhideWhenUsed/>
    <w:rsid w:val="00B031B2"/>
    <w:rPr>
      <w:color w:val="605E5C"/>
      <w:shd w:val="clear" w:color="auto" w:fill="E1DFDD"/>
    </w:rPr>
  </w:style>
  <w:style w:type="character" w:customStyle="1" w:styleId="ListParagraphChar">
    <w:name w:val="List Paragraph Char"/>
    <w:aliases w:val="Bullet Points Char,Listenabsatz1 Char,Llista Nivell1 Char,Lista de nivel 1 Char,Paragraphe de liste PBLH Char,Normal bullet 2 Char,Graph &amp; Table tite Char,Table of contents numbered Char,Bullet list Char,Liststycke SKL Char"/>
    <w:link w:val="ListParagraph"/>
    <w:uiPriority w:val="34"/>
    <w:qFormat/>
    <w:locked/>
    <w:rsid w:val="002B0081"/>
    <w:rPr>
      <w:lang w:val="en-GB"/>
    </w:rPr>
  </w:style>
  <w:style w:type="character" w:customStyle="1" w:styleId="Heading4Char">
    <w:name w:val="Heading 4 Char"/>
    <w:basedOn w:val="DefaultParagraphFont"/>
    <w:link w:val="Heading4"/>
    <w:uiPriority w:val="9"/>
    <w:semiHidden/>
    <w:rsid w:val="00C804CE"/>
    <w:rPr>
      <w:rFonts w:asciiTheme="majorHAnsi" w:eastAsiaTheme="majorEastAsia" w:hAnsiTheme="majorHAnsi" w:cstheme="majorBidi"/>
      <w:i/>
      <w:iCs/>
      <w:color w:val="2F5496" w:themeColor="accent1" w:themeShade="BF"/>
      <w:lang w:val="en-GB"/>
    </w:rPr>
  </w:style>
  <w:style w:type="character" w:customStyle="1" w:styleId="Heading5Char">
    <w:name w:val="Heading 5 Char"/>
    <w:basedOn w:val="DefaultParagraphFont"/>
    <w:link w:val="Heading5"/>
    <w:uiPriority w:val="9"/>
    <w:semiHidden/>
    <w:rsid w:val="00C804CE"/>
    <w:rPr>
      <w:rFonts w:asciiTheme="majorHAnsi" w:eastAsiaTheme="majorEastAsia" w:hAnsiTheme="majorHAnsi" w:cstheme="majorBidi"/>
      <w:color w:val="2F5496" w:themeColor="accent1" w:themeShade="BF"/>
      <w:lang w:val="en-GB"/>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rPr>
      <w:sz w:val="22"/>
      <w:szCs w:val="22"/>
    </w:rPr>
    <w:tblPr>
      <w:tblStyleRowBandSize w:val="1"/>
      <w:tblStyleColBandSize w:val="1"/>
    </w:tblPr>
  </w:style>
  <w:style w:type="table" w:customStyle="1" w:styleId="a2">
    <w:basedOn w:val="TableNormal"/>
    <w:rPr>
      <w:sz w:val="22"/>
      <w:szCs w:val="22"/>
    </w:rPr>
    <w:tblPr>
      <w:tblStyleRowBandSize w:val="1"/>
      <w:tblStyleColBandSize w:val="1"/>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rPr>
      <w:sz w:val="22"/>
      <w:szCs w:val="22"/>
    </w:rPr>
    <w:tblPr>
      <w:tblStyleRowBandSize w:val="1"/>
      <w:tblStyleColBandSize w:val="1"/>
    </w:tblPr>
  </w:style>
  <w:style w:type="table" w:customStyle="1" w:styleId="a7">
    <w:basedOn w:val="TableNormal"/>
    <w:tblPr>
      <w:tblStyleRowBandSize w:val="1"/>
      <w:tblStyleColBandSize w:val="1"/>
      <w:tblCellMar>
        <w:left w:w="70" w:type="dxa"/>
        <w:right w:w="70" w:type="dxa"/>
      </w:tblCellMar>
    </w:tblPr>
  </w:style>
  <w:style w:type="table" w:customStyle="1" w:styleId="TableGrid2">
    <w:name w:val="Table Grid2"/>
    <w:basedOn w:val="TableNormal"/>
    <w:next w:val="TableGrid"/>
    <w:uiPriority w:val="39"/>
    <w:rsid w:val="005758B6"/>
    <w:rPr>
      <w:rFonts w:asciiTheme="minorHAnsi" w:eastAsiaTheme="minorHAnsi" w:hAnsiTheme="minorHAnsi" w:cstheme="minorBidi"/>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2557B7"/>
  </w:style>
  <w:style w:type="paragraph" w:styleId="BodyText">
    <w:name w:val="Body Text"/>
    <w:basedOn w:val="Normal"/>
    <w:link w:val="BodyTextChar"/>
    <w:uiPriority w:val="99"/>
    <w:semiHidden/>
    <w:unhideWhenUsed/>
    <w:rsid w:val="002557B7"/>
    <w:pPr>
      <w:spacing w:after="120" w:line="259" w:lineRule="auto"/>
    </w:pPr>
    <w:rPr>
      <w:rFonts w:asciiTheme="minorHAnsi" w:eastAsiaTheme="minorHAnsi" w:hAnsiTheme="minorHAnsi" w:cstheme="minorBidi"/>
      <w:sz w:val="22"/>
      <w:szCs w:val="22"/>
    </w:rPr>
  </w:style>
  <w:style w:type="character" w:customStyle="1" w:styleId="BodyTextChar">
    <w:name w:val="Body Text Char"/>
    <w:basedOn w:val="DefaultParagraphFont"/>
    <w:link w:val="BodyText"/>
    <w:uiPriority w:val="99"/>
    <w:semiHidden/>
    <w:rsid w:val="002557B7"/>
    <w:rPr>
      <w:rFonts w:asciiTheme="minorHAnsi" w:eastAsiaTheme="minorHAnsi" w:hAnsiTheme="minorHAnsi" w:cstheme="minorBidi"/>
      <w:sz w:val="22"/>
      <w:szCs w:val="22"/>
    </w:rPr>
  </w:style>
  <w:style w:type="paragraph" w:customStyle="1" w:styleId="TableParagraph">
    <w:name w:val="Table Paragraph"/>
    <w:basedOn w:val="Normal"/>
    <w:uiPriority w:val="1"/>
    <w:qFormat/>
    <w:rsid w:val="002557B7"/>
    <w:pPr>
      <w:widowControl w:val="0"/>
      <w:autoSpaceDE w:val="0"/>
      <w:autoSpaceDN w:val="0"/>
    </w:pPr>
    <w:rPr>
      <w:rFonts w:ascii="Times New Roman" w:eastAsia="Times New Roman" w:hAnsi="Times New Roman" w:cs="Times New Roman"/>
      <w:sz w:val="22"/>
      <w:szCs w:val="22"/>
      <w:lang w:val="en-US"/>
    </w:rPr>
  </w:style>
  <w:style w:type="table" w:customStyle="1" w:styleId="TableGrid11">
    <w:name w:val="Table Grid11"/>
    <w:basedOn w:val="TableNormal"/>
    <w:next w:val="TableGrid"/>
    <w:uiPriority w:val="39"/>
    <w:rsid w:val="002557B7"/>
    <w:rPr>
      <w:rFonts w:asciiTheme="minorHAnsi" w:eastAsiaTheme="minorHAnsi" w:hAnsiTheme="minorHAnsi" w:cstheme="minorBid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2557B7"/>
    <w:rPr>
      <w:rFonts w:asciiTheme="minorHAnsi" w:eastAsiaTheme="minorHAnsi" w:hAnsiTheme="minorHAnsi" w:cstheme="minorBid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317894">
      <w:bodyDiv w:val="1"/>
      <w:marLeft w:val="0"/>
      <w:marRight w:val="0"/>
      <w:marTop w:val="0"/>
      <w:marBottom w:val="0"/>
      <w:divBdr>
        <w:top w:val="none" w:sz="0" w:space="0" w:color="auto"/>
        <w:left w:val="none" w:sz="0" w:space="0" w:color="auto"/>
        <w:bottom w:val="none" w:sz="0" w:space="0" w:color="auto"/>
        <w:right w:val="none" w:sz="0" w:space="0" w:color="auto"/>
      </w:divBdr>
      <w:divsChild>
        <w:div w:id="648901864">
          <w:marLeft w:val="0"/>
          <w:marRight w:val="0"/>
          <w:marTop w:val="0"/>
          <w:marBottom w:val="0"/>
          <w:divBdr>
            <w:top w:val="none" w:sz="0" w:space="0" w:color="auto"/>
            <w:left w:val="none" w:sz="0" w:space="0" w:color="auto"/>
            <w:bottom w:val="none" w:sz="0" w:space="0" w:color="auto"/>
            <w:right w:val="none" w:sz="0" w:space="0" w:color="auto"/>
          </w:divBdr>
        </w:div>
        <w:div w:id="556209276">
          <w:marLeft w:val="0"/>
          <w:marRight w:val="0"/>
          <w:marTop w:val="0"/>
          <w:marBottom w:val="0"/>
          <w:divBdr>
            <w:top w:val="none" w:sz="0" w:space="0" w:color="auto"/>
            <w:left w:val="none" w:sz="0" w:space="0" w:color="auto"/>
            <w:bottom w:val="none" w:sz="0" w:space="0" w:color="auto"/>
            <w:right w:val="none" w:sz="0" w:space="0" w:color="auto"/>
          </w:divBdr>
        </w:div>
        <w:div w:id="1615214182">
          <w:marLeft w:val="0"/>
          <w:marRight w:val="0"/>
          <w:marTop w:val="0"/>
          <w:marBottom w:val="0"/>
          <w:divBdr>
            <w:top w:val="none" w:sz="0" w:space="0" w:color="auto"/>
            <w:left w:val="none" w:sz="0" w:space="0" w:color="auto"/>
            <w:bottom w:val="none" w:sz="0" w:space="0" w:color="auto"/>
            <w:right w:val="none" w:sz="0" w:space="0" w:color="auto"/>
          </w:divBdr>
        </w:div>
        <w:div w:id="117918497">
          <w:marLeft w:val="0"/>
          <w:marRight w:val="0"/>
          <w:marTop w:val="0"/>
          <w:marBottom w:val="0"/>
          <w:divBdr>
            <w:top w:val="none" w:sz="0" w:space="0" w:color="auto"/>
            <w:left w:val="none" w:sz="0" w:space="0" w:color="auto"/>
            <w:bottom w:val="none" w:sz="0" w:space="0" w:color="auto"/>
            <w:right w:val="none" w:sz="0" w:space="0" w:color="auto"/>
          </w:divBdr>
        </w:div>
        <w:div w:id="1520191937">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1" Type="http://schemas.openxmlformats.org/officeDocument/2006/relationships/image" Target="media/image9.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footer" Target="footer1.xml"/><Relationship Id="rId50" Type="http://schemas.openxmlformats.org/officeDocument/2006/relationships/footer" Target="footer2.xml"/><Relationship Id="rId55" Type="http://schemas.openxmlformats.org/officeDocument/2006/relationships/image" Target="media/image35.png"/><Relationship Id="rId63" Type="http://schemas.openxmlformats.org/officeDocument/2006/relationships/chart" Target="charts/chart8.xml"/><Relationship Id="rId68" Type="http://schemas.openxmlformats.org/officeDocument/2006/relationships/image" Target="media/image38.png"/><Relationship Id="rId76" Type="http://schemas.openxmlformats.org/officeDocument/2006/relationships/hyperlink" Target="https://op.europa.eu/en/publication-detail/-/publication/11d9cab1-fa52-11eb-b520-01aa75ed71a1" TargetMode="External"/><Relationship Id="rId84" Type="http://schemas.openxmlformats.org/officeDocument/2006/relationships/hyperlink" Target="https://www.ilo.org/wcmsp5/groups/public/---ed_norm/---declaration/documents/publication/wcms_decl_fs_96_en.pdf" TargetMode="External"/><Relationship Id="rId89" Type="http://schemas.openxmlformats.org/officeDocument/2006/relationships/hyperlink" Target="https://openknowledge.worldbank.org/handle/10986/11843" TargetMode="External"/><Relationship Id="rId97" Type="http://schemas.openxmlformats.org/officeDocument/2006/relationships/hyperlink" Target="https://data.tuik.gov.tr/Bulten/Index?p=Istatistiklerle-Kadin-2021-45635&amp;dil=2" TargetMode="External"/><Relationship Id="rId7" Type="http://schemas.openxmlformats.org/officeDocument/2006/relationships/footnotes" Target="footnotes.xml"/><Relationship Id="rId71" Type="http://schemas.openxmlformats.org/officeDocument/2006/relationships/image" Target="media/image41.png"/><Relationship Id="rId92" Type="http://schemas.openxmlformats.org/officeDocument/2006/relationships/hyperlink" Target="https://www.boe.es/buscar/act.php?id=BOE-A-2015-11430" TargetMode="External"/><Relationship Id="rId2" Type="http://schemas.openxmlformats.org/officeDocument/2006/relationships/customXml" Target="../customXml/item2.xml"/><Relationship Id="rId16" Type="http://schemas.openxmlformats.org/officeDocument/2006/relationships/hyperlink" Target="about:blank" TargetMode="External"/><Relationship Id="rId29" Type="http://schemas.openxmlformats.org/officeDocument/2006/relationships/image" Target="media/image13.png"/><Relationship Id="rId11" Type="http://schemas.openxmlformats.org/officeDocument/2006/relationships/image" Target="media/image3.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3.png"/><Relationship Id="rId58" Type="http://schemas.openxmlformats.org/officeDocument/2006/relationships/chart" Target="charts/chart3.xml"/><Relationship Id="rId66" Type="http://schemas.openxmlformats.org/officeDocument/2006/relationships/image" Target="media/image36.png"/><Relationship Id="rId74" Type="http://schemas.openxmlformats.org/officeDocument/2006/relationships/hyperlink" Target="https://www2.deloitte.com/content/dam/Deloitte/cz/Documents/about-deloitte/cz-women-in-the-boardroom-5th-edition.pdf" TargetMode="External"/><Relationship Id="rId79" Type="http://schemas.openxmlformats.org/officeDocument/2006/relationships/hyperlink" Target="https://www.ilo.org/global/publications/books/WCMS_674831/lang--en/index.htm" TargetMode="External"/><Relationship Id="rId87" Type="http://schemas.openxmlformats.org/officeDocument/2006/relationships/hyperlink" Target="https://www.undp.org/press-releases/covid-19-will-widen-poverty-gap-between-women-and-men-new-un-women-and-undp-data" TargetMode="External"/><Relationship Id="rId102"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chart" Target="charts/chart6.xml"/><Relationship Id="rId82" Type="http://schemas.openxmlformats.org/officeDocument/2006/relationships/hyperlink" Target="https://www.unwomen.org/en/digital-library/publications/2021/07/rethinking-gender-responsive-procurement" TargetMode="External"/><Relationship Id="rId90" Type="http://schemas.openxmlformats.org/officeDocument/2006/relationships/hyperlink" Target="https://www.euro.who.int/en/health-topics/diseaseprevention/violence-and-injuries/news/news/2020/6/the-rise-and-rise-of-interpersonal-violence-anunintended-impact-of-the-covid-19-response-on-families" TargetMode="External"/><Relationship Id="rId95" Type="http://schemas.openxmlformats.org/officeDocument/2006/relationships/hyperlink" Target="about:blank" TargetMode="External"/><Relationship Id="rId19" Type="http://schemas.openxmlformats.org/officeDocument/2006/relationships/image" Target="media/image7.png"/><Relationship Id="rId14" Type="http://schemas.openxmlformats.org/officeDocument/2006/relationships/hyperlink" Target="about:blank" TargetMode="External"/><Relationship Id="rId22" Type="http://schemas.openxmlformats.org/officeDocument/2006/relationships/image" Target="media/image10.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1.emf"/><Relationship Id="rId56" Type="http://schemas.openxmlformats.org/officeDocument/2006/relationships/chart" Target="charts/chart1.xml"/><Relationship Id="rId64" Type="http://schemas.openxmlformats.org/officeDocument/2006/relationships/chart" Target="charts/chart9.xml"/><Relationship Id="rId69" Type="http://schemas.openxmlformats.org/officeDocument/2006/relationships/image" Target="media/image39.png"/><Relationship Id="rId77" Type="http://schemas.openxmlformats.org/officeDocument/2006/relationships/hyperlink" Target="https://www.europarl.europa.eu/RegData/etudes/note/join/2012/462428/IPOL-FEMM_NT(2012)462428_EN.pdf" TargetMode="External"/><Relationship Id="rId100"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footer" Target="footer3.xml"/><Relationship Id="rId72" Type="http://schemas.openxmlformats.org/officeDocument/2006/relationships/image" Target="media/image42.png"/><Relationship Id="rId80" Type="http://schemas.openxmlformats.org/officeDocument/2006/relationships/hyperlink" Target="https://www.ilo.org/wcmsp5/groups/public/---europe/---ro-geneva/---ilo-ankara/documents/publication/wcms_707580.pdf" TargetMode="External"/><Relationship Id="rId85" Type="http://schemas.openxmlformats.org/officeDocument/2006/relationships/hyperlink" Target="https://www.imf.org/en/Publications/Staff-Discussion-Notes/Issues/2016/12/31/Fair-Play-More-Equal-Laws-Boost-Female-Labor-Force-Participation-42721" TargetMode="External"/><Relationship Id="rId93" Type="http://schemas.openxmlformats.org/officeDocument/2006/relationships/hyperlink" Target="https://wbl.worldbank.org/en/wbl" TargetMode="External"/><Relationship Id="rId98" Type="http://schemas.openxmlformats.org/officeDocument/2006/relationships/hyperlink" Target="http://www.data.tuik.gov.tr" TargetMode="Externa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hyperlink" Target="about:blank" TargetMode="External"/><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chart" Target="charts/chart4.xml"/><Relationship Id="rId67" Type="http://schemas.openxmlformats.org/officeDocument/2006/relationships/image" Target="media/image37.png"/><Relationship Id="rId103" Type="http://schemas.openxmlformats.org/officeDocument/2006/relationships/theme" Target="theme/theme1.xml"/><Relationship Id="rId108" Type="http://schemas.microsoft.com/office/2018/08/relationships/commentsExtensible" Target="commentsExtensible.xml"/><Relationship Id="rId20" Type="http://schemas.openxmlformats.org/officeDocument/2006/relationships/image" Target="media/image8.png"/><Relationship Id="rId41" Type="http://schemas.openxmlformats.org/officeDocument/2006/relationships/image" Target="media/image25.png"/><Relationship Id="rId54" Type="http://schemas.openxmlformats.org/officeDocument/2006/relationships/image" Target="media/image34.png"/><Relationship Id="rId62" Type="http://schemas.openxmlformats.org/officeDocument/2006/relationships/chart" Target="charts/chart7.xml"/><Relationship Id="rId70" Type="http://schemas.openxmlformats.org/officeDocument/2006/relationships/image" Target="media/image40.png"/><Relationship Id="rId75" Type="http://schemas.openxmlformats.org/officeDocument/2006/relationships/hyperlink" Target="https://op.europa.eu/en/publication-detail/-/publication/f3dd1274-7788-11e9-9f05-01aa75ed71a1/" TargetMode="External"/><Relationship Id="rId83" Type="http://schemas.openxmlformats.org/officeDocument/2006/relationships/hyperlink" Target="https://www.ilo.org/ankara/publications/WCMS_756660/lang--en/index.htm" TargetMode="External"/><Relationship Id="rId88" Type="http://schemas.openxmlformats.org/officeDocument/2006/relationships/hyperlink" Target="https://unric.org/en/who-warns-of-surge-ofdomestic-violence-as-covid-19-cases-decrease-in-europe/" TargetMode="External"/><Relationship Id="rId91" Type="http://schemas.openxmlformats.org/officeDocument/2006/relationships/hyperlink" Target="https://www.coe.int/en/web/istanbul-convention/text-of-the-convention" TargetMode="External"/><Relationship Id="rId96" Type="http://schemas.openxmlformats.org/officeDocument/2006/relationships/hyperlink" Target="https://www.sbb.gov.tr/wp-content/uploads/2021/12/Eleventh_Development_Plan_2019-2023.pdf"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about:blank" TargetMode="External"/><Relationship Id="rId23" Type="http://schemas.openxmlformats.org/officeDocument/2006/relationships/image" Target="media/image11.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header" Target="header1.xml"/><Relationship Id="rId57" Type="http://schemas.openxmlformats.org/officeDocument/2006/relationships/chart" Target="charts/chart2.xml"/><Relationship Id="rId10" Type="http://schemas.openxmlformats.org/officeDocument/2006/relationships/image" Target="media/image2.png"/><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2.jpeg"/><Relationship Id="rId60" Type="http://schemas.openxmlformats.org/officeDocument/2006/relationships/chart" Target="charts/chart5.xml"/><Relationship Id="rId65" Type="http://schemas.openxmlformats.org/officeDocument/2006/relationships/chart" Target="charts/chart10.xml"/><Relationship Id="rId73" Type="http://schemas.openxmlformats.org/officeDocument/2006/relationships/hyperlink" Target="https://covid-19.iza.org/publications/dp13570/" TargetMode="External"/><Relationship Id="rId78" Type="http://schemas.openxmlformats.org/officeDocument/2006/relationships/hyperlink" Target="https://www.ilo.org/gender/Informationresources/Publications/WCMS_457317/lang--en/index.htm" TargetMode="External"/><Relationship Id="rId81" Type="http://schemas.openxmlformats.org/officeDocument/2006/relationships/hyperlink" Target="https://www.ilo.org/wcmsp5/groups/public/---dgreports/---dcomm/---publ/documents/publication/wcms_700953.pdf" TargetMode="External"/><Relationship Id="rId86" Type="http://schemas.openxmlformats.org/officeDocument/2006/relationships/hyperlink" Target="https://www.ilo.org/wcmsp5/groups/public/---dgreports/---cabinet/documents/publication/wcms_756334.pdf" TargetMode="External"/><Relationship Id="rId94" Type="http://schemas.openxmlformats.org/officeDocument/2006/relationships/hyperlink" Target="https://www.aile.gov.tr/ksgm" TargetMode="External"/><Relationship Id="rId99" Type="http://schemas.openxmlformats.org/officeDocument/2006/relationships/image" Target="media/image43.png"/><Relationship Id="rId101" Type="http://schemas.openxmlformats.org/officeDocument/2006/relationships/footer" Target="footer4.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6.png"/><Relationship Id="rId39" Type="http://schemas.openxmlformats.org/officeDocument/2006/relationships/image" Target="media/image23.png"/><Relationship Id="rId109" Type="http://schemas.microsoft.com/office/2016/09/relationships/commentsIds" Target="commentsIds.xml"/></Relationships>
</file>

<file path=word/_rels/footer4.xml.rels><?xml version="1.0" encoding="UTF-8" standalone="yes"?>
<Relationships xmlns="http://schemas.openxmlformats.org/package/2006/relationships"><Relationship Id="rId1" Type="http://schemas.openxmlformats.org/officeDocument/2006/relationships/image" Target="media/image45.png"/></Relationships>
</file>

<file path=word/_rels/footnotes.xml.rels><?xml version="1.0" encoding="UTF-8" standalone="yes"?>
<Relationships xmlns="http://schemas.openxmlformats.org/package/2006/relationships"><Relationship Id="rId8" Type="http://schemas.openxmlformats.org/officeDocument/2006/relationships/hyperlink" Target="https://www.ilo.org/wcmsp5/groups/public/---europe/---ro-geneva/---ilo-ankara/documents/publication/wcms_707580.pdf" TargetMode="External"/><Relationship Id="rId3" Type="http://schemas.openxmlformats.org/officeDocument/2006/relationships/hyperlink" Target="about:blank" TargetMode="External"/><Relationship Id="rId7" Type="http://schemas.openxmlformats.org/officeDocument/2006/relationships/hyperlink" Target="https://wbl.worldbank.org/en/wbl" TargetMode="External"/><Relationship Id="rId2" Type="http://schemas.openxmlformats.org/officeDocument/2006/relationships/hyperlink" Target="about:blank" TargetMode="External"/><Relationship Id="rId1" Type="http://schemas.openxmlformats.org/officeDocument/2006/relationships/hyperlink" Target="about:blank" TargetMode="External"/><Relationship Id="rId6" Type="http://schemas.openxmlformats.org/officeDocument/2006/relationships/hyperlink" Target="about:blank" TargetMode="External"/><Relationship Id="rId5" Type="http://schemas.openxmlformats.org/officeDocument/2006/relationships/hyperlink" Target="about:blank" TargetMode="External"/><Relationship Id="rId4" Type="http://schemas.openxmlformats.org/officeDocument/2006/relationships/hyperlink" Target="about:blank"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4.png"/></Relationships>
</file>

<file path=word/charts/_rels/chart1.xml.rels><?xml version="1.0" encoding="UTF-8" standalone="yes"?>
<Relationships xmlns="http://schemas.openxmlformats.org/package/2006/relationships"><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themeOverride" Target="../theme/themeOverride10.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214;ZLEM\OneDrive\Desktop\DfoW%20NONKEY%20assignment\220406_ETK&#304;DE&#286;ERLEND&#304;RME_&#199;ALI&#350;AN.xlsx" TargetMode="External"/></Relationships>
</file>

<file path=word/charts/_rels/chart3.xml.rels><?xml version="1.0" encoding="UTF-8" standalone="yes"?>
<Relationships xmlns="http://schemas.openxmlformats.org/package/2006/relationships"><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about:blank"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214;ZLEM\OneDrive\Desktop\DfoW%20NONKEY%20assignment\220406_ETK&#304;DE&#286;ERLEND&#304;RME_&#199;ALI&#350;AN.xlsx" TargetMode="External"/></Relationships>
</file>

<file path=word/charts/_rels/chart6.xml.rels><?xml version="1.0" encoding="UTF-8" standalone="yes"?>
<Relationships xmlns="http://schemas.openxmlformats.org/package/2006/relationships"><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sz="900"/>
              <a:t>Assesment on implementation of the provisions in the existing </a:t>
            </a:r>
            <a:r>
              <a:rPr lang="tr-TR" sz="900" b="0" i="0" u="none" strike="noStrike" kern="1200" spc="0" baseline="0">
                <a:solidFill>
                  <a:sysClr val="windowText" lastClr="000000">
                    <a:lumMod val="65000"/>
                    <a:lumOff val="35000"/>
                  </a:sysClr>
                </a:solidFill>
                <a:latin typeface="+mn-lt"/>
                <a:ea typeface="+mn-ea"/>
                <a:cs typeface="+mn-cs"/>
              </a:rPr>
              <a:t>Labour</a:t>
            </a:r>
            <a:r>
              <a:rPr lang="tr-TR" sz="900"/>
              <a:t> Law in their working place</a:t>
            </a:r>
          </a:p>
        </c:rich>
      </c:tx>
      <c:layout>
        <c:manualLayout>
          <c:xMode val="edge"/>
          <c:yMode val="edge"/>
          <c:x val="0.20491885573126889"/>
          <c:y val="3.555567067274485E-2"/>
        </c:manualLayout>
      </c:layout>
      <c:overlay val="0"/>
      <c:spPr>
        <a:noFill/>
        <a:ln w="25394">
          <a:noFill/>
        </a:ln>
      </c:spPr>
    </c:title>
    <c:autoTitleDeleted val="0"/>
    <c:plotArea>
      <c:layout/>
      <c:barChart>
        <c:barDir val="bar"/>
        <c:grouping val="stacked"/>
        <c:varyColors val="0"/>
        <c:ser>
          <c:idx val="0"/>
          <c:order val="0"/>
          <c:tx>
            <c:strRef>
              <c:f>Sayfa14!$B$30</c:f>
              <c:strCache>
                <c:ptCount val="1"/>
                <c:pt idx="0">
                  <c:v>to great extend</c:v>
                </c:pt>
              </c:strCache>
            </c:strRef>
          </c:tx>
          <c:spPr>
            <a:solidFill>
              <a:srgbClr val="5B9BD5"/>
            </a:solidFill>
            <a:ln w="25394">
              <a:noFill/>
            </a:ln>
          </c:spPr>
          <c:invertIfNegative val="0"/>
          <c:dLbls>
            <c:spPr>
              <a:noFill/>
              <a:ln w="25394">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Sayfa14!$A$31:$A$40</c:f>
              <c:strCache>
                <c:ptCount val="10"/>
                <c:pt idx="0">
                  <c:v>Obligation to have a nursery in workplaces with 150 or more female employees</c:v>
                </c:pt>
                <c:pt idx="1">
                  <c:v>Obligation to have a breastfeeding room in workplaces with 100-150 or more female employees</c:v>
                </c:pt>
                <c:pt idx="2">
                  <c:v>Right to have part-time work after maternity leave or unpaid leave upon request</c:v>
                </c:pt>
                <c:pt idx="3">
                  <c:v>Payment of severance pay in case of termination of employment within 1 year due to marriage (Article 14 of the (Former) Labor Law No. 1475)</c:v>
                </c:pt>
                <c:pt idx="4">
                  <c:v>Prohibition of night shift work for pregnant and lactating women</c:v>
                </c:pt>
                <c:pt idx="5">
                  <c:v>Transportation facilities to women working the night shift</c:v>
                </c:pt>
                <c:pt idx="6">
                  <c:v>Prohibition of setting lower wages on the basis of gender for work of equal or equal value</c:v>
                </c:pt>
                <c:pt idx="7">
                  <c:v>Paternity leave</c:v>
                </c:pt>
                <c:pt idx="8">
                  <c:v>Right to have unpaid leave after birth upon request</c:v>
                </c:pt>
                <c:pt idx="9">
                  <c:v>Maternity leave</c:v>
                </c:pt>
              </c:strCache>
            </c:strRef>
          </c:cat>
          <c:val>
            <c:numRef>
              <c:f>Sayfa14!$B$31:$B$40</c:f>
              <c:numCache>
                <c:formatCode>###0.0</c:formatCode>
                <c:ptCount val="10"/>
                <c:pt idx="0">
                  <c:v>18.863049095607234</c:v>
                </c:pt>
                <c:pt idx="1">
                  <c:v>21.705426356589147</c:v>
                </c:pt>
                <c:pt idx="2">
                  <c:v>32.816537467700257</c:v>
                </c:pt>
                <c:pt idx="3">
                  <c:v>34.883720930232556</c:v>
                </c:pt>
                <c:pt idx="4">
                  <c:v>35.917312661498705</c:v>
                </c:pt>
                <c:pt idx="5">
                  <c:v>37.726098191214469</c:v>
                </c:pt>
                <c:pt idx="6">
                  <c:v>37.726098191214469</c:v>
                </c:pt>
                <c:pt idx="7">
                  <c:v>41.60206718346253</c:v>
                </c:pt>
                <c:pt idx="8">
                  <c:v>42.894056847545222</c:v>
                </c:pt>
                <c:pt idx="9">
                  <c:v>71.059431524547804</c:v>
                </c:pt>
              </c:numCache>
            </c:numRef>
          </c:val>
          <c:extLst>
            <c:ext xmlns:c16="http://schemas.microsoft.com/office/drawing/2014/chart" uri="{C3380CC4-5D6E-409C-BE32-E72D297353CC}">
              <c16:uniqueId val="{00000000-E0F7-44F9-B35B-5ADD5CF0E880}"/>
            </c:ext>
          </c:extLst>
        </c:ser>
        <c:ser>
          <c:idx val="1"/>
          <c:order val="1"/>
          <c:tx>
            <c:strRef>
              <c:f>Sayfa14!$C$30</c:f>
              <c:strCache>
                <c:ptCount val="1"/>
                <c:pt idx="0">
                  <c:v>to some extend</c:v>
                </c:pt>
              </c:strCache>
            </c:strRef>
          </c:tx>
          <c:spPr>
            <a:solidFill>
              <a:srgbClr val="ED7D31"/>
            </a:solidFill>
            <a:ln w="25394">
              <a:noFill/>
            </a:ln>
          </c:spPr>
          <c:invertIfNegative val="0"/>
          <c:dLbls>
            <c:spPr>
              <a:noFill/>
              <a:ln w="25394">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Sayfa14!$A$31:$A$40</c:f>
              <c:strCache>
                <c:ptCount val="10"/>
                <c:pt idx="0">
                  <c:v>Obligation to have a nursery in workplaces with 150 or more female employees</c:v>
                </c:pt>
                <c:pt idx="1">
                  <c:v>Obligation to have a breastfeeding room in workplaces with 100-150 or more female employees</c:v>
                </c:pt>
                <c:pt idx="2">
                  <c:v>Right to have part-time work after maternity leave or unpaid leave upon request</c:v>
                </c:pt>
                <c:pt idx="3">
                  <c:v>Payment of severance pay in case of termination of employment within 1 year due to marriage (Article 14 of the (Former) Labor Law No. 1475)</c:v>
                </c:pt>
                <c:pt idx="4">
                  <c:v>Prohibition of night shift work for pregnant and lactating women</c:v>
                </c:pt>
                <c:pt idx="5">
                  <c:v>Transportation facilities to women working the night shift</c:v>
                </c:pt>
                <c:pt idx="6">
                  <c:v>Prohibition of setting lower wages on the basis of gender for work of equal or equal value</c:v>
                </c:pt>
                <c:pt idx="7">
                  <c:v>Paternity leave</c:v>
                </c:pt>
                <c:pt idx="8">
                  <c:v>Right to have unpaid leave after birth upon request</c:v>
                </c:pt>
                <c:pt idx="9">
                  <c:v>Maternity leave</c:v>
                </c:pt>
              </c:strCache>
            </c:strRef>
          </c:cat>
          <c:val>
            <c:numRef>
              <c:f>Sayfa14!$C$31:$C$40</c:f>
              <c:numCache>
                <c:formatCode>###0.0</c:formatCode>
                <c:ptCount val="10"/>
                <c:pt idx="0">
                  <c:v>13.436692506459949</c:v>
                </c:pt>
                <c:pt idx="1">
                  <c:v>13.178294573643411</c:v>
                </c:pt>
                <c:pt idx="2">
                  <c:v>21.188630490956072</c:v>
                </c:pt>
                <c:pt idx="3">
                  <c:v>10.077519379844961</c:v>
                </c:pt>
                <c:pt idx="4">
                  <c:v>10.852713178294573</c:v>
                </c:pt>
                <c:pt idx="5">
                  <c:v>17.31266149870801</c:v>
                </c:pt>
                <c:pt idx="6">
                  <c:v>14.211886304909561</c:v>
                </c:pt>
                <c:pt idx="7">
                  <c:v>10.335917312661499</c:v>
                </c:pt>
                <c:pt idx="8">
                  <c:v>22.997416020671835</c:v>
                </c:pt>
                <c:pt idx="9">
                  <c:v>12.144702842377262</c:v>
                </c:pt>
              </c:numCache>
            </c:numRef>
          </c:val>
          <c:extLst>
            <c:ext xmlns:c16="http://schemas.microsoft.com/office/drawing/2014/chart" uri="{C3380CC4-5D6E-409C-BE32-E72D297353CC}">
              <c16:uniqueId val="{00000001-E0F7-44F9-B35B-5ADD5CF0E880}"/>
            </c:ext>
          </c:extLst>
        </c:ser>
        <c:ser>
          <c:idx val="2"/>
          <c:order val="2"/>
          <c:tx>
            <c:strRef>
              <c:f>Sayfa14!$D$30</c:f>
              <c:strCache>
                <c:ptCount val="1"/>
                <c:pt idx="0">
                  <c:v>not effective</c:v>
                </c:pt>
              </c:strCache>
            </c:strRef>
          </c:tx>
          <c:spPr>
            <a:solidFill>
              <a:srgbClr val="A5A5A5"/>
            </a:solidFill>
            <a:ln w="25394">
              <a:noFill/>
            </a:ln>
          </c:spPr>
          <c:invertIfNegative val="0"/>
          <c:dLbls>
            <c:spPr>
              <a:noFill/>
              <a:ln w="25394">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Sayfa14!$A$31:$A$40</c:f>
              <c:strCache>
                <c:ptCount val="10"/>
                <c:pt idx="0">
                  <c:v>Obligation to have a nursery in workplaces with 150 or more female employees</c:v>
                </c:pt>
                <c:pt idx="1">
                  <c:v>Obligation to have a breastfeeding room in workplaces with 100-150 or more female employees</c:v>
                </c:pt>
                <c:pt idx="2">
                  <c:v>Right to have part-time work after maternity leave or unpaid leave upon request</c:v>
                </c:pt>
                <c:pt idx="3">
                  <c:v>Payment of severance pay in case of termination of employment within 1 year due to marriage (Article 14 of the (Former) Labor Law No. 1475)</c:v>
                </c:pt>
                <c:pt idx="4">
                  <c:v>Prohibition of night shift work for pregnant and lactating women</c:v>
                </c:pt>
                <c:pt idx="5">
                  <c:v>Transportation facilities to women working the night shift</c:v>
                </c:pt>
                <c:pt idx="6">
                  <c:v>Prohibition of setting lower wages on the basis of gender for work of equal or equal value</c:v>
                </c:pt>
                <c:pt idx="7">
                  <c:v>Paternity leave</c:v>
                </c:pt>
                <c:pt idx="8">
                  <c:v>Right to have unpaid leave after birth upon request</c:v>
                </c:pt>
                <c:pt idx="9">
                  <c:v>Maternity leave</c:v>
                </c:pt>
              </c:strCache>
            </c:strRef>
          </c:cat>
          <c:val>
            <c:numRef>
              <c:f>Sayfa14!$D$31:$D$40</c:f>
              <c:numCache>
                <c:formatCode>###0.0</c:formatCode>
                <c:ptCount val="10"/>
                <c:pt idx="0">
                  <c:v>19.896640826873384</c:v>
                </c:pt>
                <c:pt idx="1">
                  <c:v>18.604651162790699</c:v>
                </c:pt>
                <c:pt idx="2">
                  <c:v>9.043927648578812</c:v>
                </c:pt>
                <c:pt idx="3">
                  <c:v>8.2687338501291983</c:v>
                </c:pt>
                <c:pt idx="4">
                  <c:v>9.5607235142118867</c:v>
                </c:pt>
                <c:pt idx="5">
                  <c:v>9.819121447028424</c:v>
                </c:pt>
                <c:pt idx="6">
                  <c:v>13.695090439276486</c:v>
                </c:pt>
                <c:pt idx="7">
                  <c:v>8.0103359173126609</c:v>
                </c:pt>
                <c:pt idx="8">
                  <c:v>3.8759689922480618</c:v>
                </c:pt>
                <c:pt idx="9" formatCode="####.0">
                  <c:v>0.77519379844961245</c:v>
                </c:pt>
              </c:numCache>
            </c:numRef>
          </c:val>
          <c:extLst>
            <c:ext xmlns:c16="http://schemas.microsoft.com/office/drawing/2014/chart" uri="{C3380CC4-5D6E-409C-BE32-E72D297353CC}">
              <c16:uniqueId val="{00000002-E0F7-44F9-B35B-5ADD5CF0E880}"/>
            </c:ext>
          </c:extLst>
        </c:ser>
        <c:ser>
          <c:idx val="3"/>
          <c:order val="3"/>
          <c:tx>
            <c:strRef>
              <c:f>Sayfa14!$E$30</c:f>
              <c:strCache>
                <c:ptCount val="1"/>
                <c:pt idx="0">
                  <c:v>no idea</c:v>
                </c:pt>
              </c:strCache>
            </c:strRef>
          </c:tx>
          <c:spPr>
            <a:solidFill>
              <a:srgbClr val="FFC000"/>
            </a:solidFill>
            <a:ln w="25394">
              <a:noFill/>
            </a:ln>
          </c:spPr>
          <c:invertIfNegative val="0"/>
          <c:dLbls>
            <c:spPr>
              <a:noFill/>
              <a:ln w="25394">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Sayfa14!$A$31:$A$40</c:f>
              <c:strCache>
                <c:ptCount val="10"/>
                <c:pt idx="0">
                  <c:v>Obligation to have a nursery in workplaces with 150 or more female employees</c:v>
                </c:pt>
                <c:pt idx="1">
                  <c:v>Obligation to have a breastfeeding room in workplaces with 100-150 or more female employees</c:v>
                </c:pt>
                <c:pt idx="2">
                  <c:v>Right to have part-time work after maternity leave or unpaid leave upon request</c:v>
                </c:pt>
                <c:pt idx="3">
                  <c:v>Payment of severance pay in case of termination of employment within 1 year due to marriage (Article 14 of the (Former) Labor Law No. 1475)</c:v>
                </c:pt>
                <c:pt idx="4">
                  <c:v>Prohibition of night shift work for pregnant and lactating women</c:v>
                </c:pt>
                <c:pt idx="5">
                  <c:v>Transportation facilities to women working the night shift</c:v>
                </c:pt>
                <c:pt idx="6">
                  <c:v>Prohibition of setting lower wages on the basis of gender for work of equal or equal value</c:v>
                </c:pt>
                <c:pt idx="7">
                  <c:v>Paternity leave</c:v>
                </c:pt>
                <c:pt idx="8">
                  <c:v>Right to have unpaid leave after birth upon request</c:v>
                </c:pt>
                <c:pt idx="9">
                  <c:v>Maternity leave</c:v>
                </c:pt>
              </c:strCache>
            </c:strRef>
          </c:cat>
          <c:val>
            <c:numRef>
              <c:f>Sayfa14!$E$31:$E$40</c:f>
              <c:numCache>
                <c:formatCode>###0.0</c:formatCode>
                <c:ptCount val="10"/>
                <c:pt idx="0">
                  <c:v>47.803617571059434</c:v>
                </c:pt>
                <c:pt idx="1">
                  <c:v>46.511627906976742</c:v>
                </c:pt>
                <c:pt idx="2">
                  <c:v>36.950904392764855</c:v>
                </c:pt>
                <c:pt idx="3">
                  <c:v>46.770025839793284</c:v>
                </c:pt>
                <c:pt idx="4">
                  <c:v>43.669250645994829</c:v>
                </c:pt>
                <c:pt idx="5">
                  <c:v>35.142118863049099</c:v>
                </c:pt>
                <c:pt idx="6">
                  <c:v>34.366925064599485</c:v>
                </c:pt>
                <c:pt idx="7">
                  <c:v>40.05167958656331</c:v>
                </c:pt>
                <c:pt idx="8">
                  <c:v>30.232558139534884</c:v>
                </c:pt>
                <c:pt idx="9">
                  <c:v>16.020671834625322</c:v>
                </c:pt>
              </c:numCache>
            </c:numRef>
          </c:val>
          <c:extLst>
            <c:ext xmlns:c16="http://schemas.microsoft.com/office/drawing/2014/chart" uri="{C3380CC4-5D6E-409C-BE32-E72D297353CC}">
              <c16:uniqueId val="{00000003-E0F7-44F9-B35B-5ADD5CF0E880}"/>
            </c:ext>
          </c:extLst>
        </c:ser>
        <c:dLbls>
          <c:showLegendKey val="0"/>
          <c:showVal val="0"/>
          <c:showCatName val="0"/>
          <c:showSerName val="0"/>
          <c:showPercent val="0"/>
          <c:showBubbleSize val="0"/>
        </c:dLbls>
        <c:gapWidth val="150"/>
        <c:overlap val="100"/>
        <c:axId val="1205725040"/>
        <c:axId val="1205715792"/>
      </c:barChart>
      <c:catAx>
        <c:axId val="1205725040"/>
        <c:scaling>
          <c:orientation val="minMax"/>
        </c:scaling>
        <c:delete val="0"/>
        <c:axPos val="l"/>
        <c:numFmt formatCode="General" sourceLinked="1"/>
        <c:majorTickMark val="none"/>
        <c:minorTickMark val="none"/>
        <c:tickLblPos val="nextTo"/>
        <c:spPr>
          <a:noFill/>
          <a:ln w="9523"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205715792"/>
        <c:crosses val="autoZero"/>
        <c:auto val="1"/>
        <c:lblAlgn val="ctr"/>
        <c:lblOffset val="100"/>
        <c:noMultiLvlLbl val="0"/>
      </c:catAx>
      <c:valAx>
        <c:axId val="1205715792"/>
        <c:scaling>
          <c:orientation val="minMax"/>
          <c:max val="100"/>
        </c:scaling>
        <c:delete val="0"/>
        <c:axPos val="b"/>
        <c:majorGridlines>
          <c:spPr>
            <a:ln w="9523" cap="flat" cmpd="sng" algn="ctr">
              <a:solidFill>
                <a:schemeClr val="tx1">
                  <a:lumMod val="15000"/>
                  <a:lumOff val="85000"/>
                </a:schemeClr>
              </a:solidFill>
              <a:round/>
            </a:ln>
            <a:effectLst/>
          </c:spPr>
        </c:majorGridlines>
        <c:numFmt formatCode="#,##0" sourceLinked="0"/>
        <c:majorTickMark val="none"/>
        <c:minorTickMark val="none"/>
        <c:tickLblPos val="nextTo"/>
        <c:spPr>
          <a:ln w="6349">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05725040"/>
        <c:crosses val="autoZero"/>
        <c:crossBetween val="between"/>
      </c:valAx>
      <c:spPr>
        <a:noFill/>
        <a:ln w="25394">
          <a:noFill/>
        </a:ln>
      </c:spPr>
    </c:plotArea>
    <c:legend>
      <c:legendPos val="b"/>
      <c:overlay val="0"/>
      <c:spPr>
        <a:noFill/>
        <a:ln w="25394">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3" cap="flat" cmpd="sng" algn="ctr">
      <a:solidFill>
        <a:schemeClr val="tx1">
          <a:lumMod val="15000"/>
          <a:lumOff val="85000"/>
        </a:schemeClr>
      </a:solidFill>
      <a:round/>
    </a:ln>
    <a:effectLst/>
  </c:spPr>
  <c:txPr>
    <a:bodyPr/>
    <a:lstStyle/>
    <a:p>
      <a:pPr>
        <a:defRPr/>
      </a:pPr>
      <a:endParaRPr lang="en-US"/>
    </a:p>
  </c:txPr>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sz="1000"/>
              <a:t>Assessment on how provisions in the </a:t>
            </a:r>
            <a:r>
              <a:rPr lang="tr-TR" sz="1000" b="0" i="0" u="none" strike="noStrike" kern="1200" spc="0" baseline="0">
                <a:solidFill>
                  <a:sysClr val="windowText" lastClr="000000">
                    <a:lumMod val="65000"/>
                    <a:lumOff val="35000"/>
                  </a:sysClr>
                </a:solidFill>
                <a:latin typeface="+mn-lt"/>
                <a:ea typeface="+mn-ea"/>
                <a:cs typeface="+mn-cs"/>
              </a:rPr>
              <a:t>Labour</a:t>
            </a:r>
            <a:r>
              <a:rPr lang="tr-TR" sz="1000"/>
              <a:t> Law  facilitates women's working life, in practice</a:t>
            </a:r>
          </a:p>
        </c:rich>
      </c:tx>
      <c:overlay val="0"/>
      <c:spPr>
        <a:noFill/>
        <a:ln>
          <a:noFill/>
        </a:ln>
        <a:effectLst/>
      </c:spPr>
    </c:title>
    <c:autoTitleDeleted val="0"/>
    <c:plotArea>
      <c:layout/>
      <c:barChart>
        <c:barDir val="bar"/>
        <c:grouping val="stacked"/>
        <c:varyColors val="0"/>
        <c:ser>
          <c:idx val="0"/>
          <c:order val="0"/>
          <c:tx>
            <c:strRef>
              <c:f>'B8'!$C$32</c:f>
              <c:strCache>
                <c:ptCount val="1"/>
                <c:pt idx="0">
                  <c:v>to great extend</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'B8'!$B$33:$B$42</c:f>
              <c:strCache>
                <c:ptCount val="10"/>
                <c:pt idx="0">
                  <c:v>Maternity leave</c:v>
                </c:pt>
                <c:pt idx="1">
                  <c:v>Obligation to have a nursery in workplaces with 150 or more female employees</c:v>
                </c:pt>
                <c:pt idx="2">
                  <c:v>Prohibition of night shift work for pregnant and lactating women</c:v>
                </c:pt>
                <c:pt idx="3">
                  <c:v>Right to have unpaid leave after birth upon request</c:v>
                </c:pt>
                <c:pt idx="4">
                  <c:v>Prohibition of setting lower wages on the basis of gender for work of equal or equal value</c:v>
                </c:pt>
                <c:pt idx="5">
                  <c:v>Payment of severance pay in case of termination of employment within 1 year due to marriage (Article 14 of the (Former) Labor Law No. 1475)</c:v>
                </c:pt>
                <c:pt idx="6">
                  <c:v>Right to have part-time work after maternity leave or unpaid leave upon request</c:v>
                </c:pt>
                <c:pt idx="7">
                  <c:v>Paternity leave </c:v>
                </c:pt>
                <c:pt idx="8">
                  <c:v>Obligation to have a breastfeeding room in workplaces with 100-150 or more female employees</c:v>
                </c:pt>
                <c:pt idx="9">
                  <c:v>Transportation facilities to women working the night shift</c:v>
                </c:pt>
              </c:strCache>
            </c:strRef>
          </c:cat>
          <c:val>
            <c:numRef>
              <c:f>'B8'!$C$33:$C$42</c:f>
              <c:numCache>
                <c:formatCode>0%</c:formatCode>
                <c:ptCount val="10"/>
                <c:pt idx="0">
                  <c:v>0.89937106918238996</c:v>
                </c:pt>
                <c:pt idx="1">
                  <c:v>0.81132075471698117</c:v>
                </c:pt>
                <c:pt idx="2">
                  <c:v>0.77358490566037741</c:v>
                </c:pt>
                <c:pt idx="3">
                  <c:v>0.76100628930817615</c:v>
                </c:pt>
                <c:pt idx="4">
                  <c:v>0.74842767295597479</c:v>
                </c:pt>
                <c:pt idx="5">
                  <c:v>0.72955974842767291</c:v>
                </c:pt>
                <c:pt idx="6">
                  <c:v>0.72327044025157217</c:v>
                </c:pt>
                <c:pt idx="7">
                  <c:v>0.72327044025157217</c:v>
                </c:pt>
                <c:pt idx="8">
                  <c:v>0.67295597484276726</c:v>
                </c:pt>
                <c:pt idx="9">
                  <c:v>0.67295597484276726</c:v>
                </c:pt>
              </c:numCache>
            </c:numRef>
          </c:val>
          <c:extLst>
            <c:ext xmlns:c16="http://schemas.microsoft.com/office/drawing/2014/chart" uri="{C3380CC4-5D6E-409C-BE32-E72D297353CC}">
              <c16:uniqueId val="{00000000-0B67-4DA3-B379-B195FA94DEF4}"/>
            </c:ext>
          </c:extLst>
        </c:ser>
        <c:ser>
          <c:idx val="1"/>
          <c:order val="1"/>
          <c:tx>
            <c:strRef>
              <c:f>'B8'!$D$32</c:f>
              <c:strCache>
                <c:ptCount val="1"/>
                <c:pt idx="0">
                  <c:v>to some extend</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'B8'!$B$33:$B$42</c:f>
              <c:strCache>
                <c:ptCount val="10"/>
                <c:pt idx="0">
                  <c:v>Maternity leave</c:v>
                </c:pt>
                <c:pt idx="1">
                  <c:v>Obligation to have a nursery in workplaces with 150 or more female employees</c:v>
                </c:pt>
                <c:pt idx="2">
                  <c:v>Prohibition of night shift work for pregnant and lactating women</c:v>
                </c:pt>
                <c:pt idx="3">
                  <c:v>Right to have unpaid leave after birth upon request</c:v>
                </c:pt>
                <c:pt idx="4">
                  <c:v>Prohibition of setting lower wages on the basis of gender for work of equal or equal value</c:v>
                </c:pt>
                <c:pt idx="5">
                  <c:v>Payment of severance pay in case of termination of employment within 1 year due to marriage (Article 14 of the (Former) Labor Law No. 1475)</c:v>
                </c:pt>
                <c:pt idx="6">
                  <c:v>Right to have part-time work after maternity leave or unpaid leave upon request</c:v>
                </c:pt>
                <c:pt idx="7">
                  <c:v>Paternity leave </c:v>
                </c:pt>
                <c:pt idx="8">
                  <c:v>Obligation to have a breastfeeding room in workplaces with 100-150 or more female employees</c:v>
                </c:pt>
                <c:pt idx="9">
                  <c:v>Transportation facilities to women working the night shift</c:v>
                </c:pt>
              </c:strCache>
            </c:strRef>
          </c:cat>
          <c:val>
            <c:numRef>
              <c:f>'B8'!$D$33:$D$42</c:f>
              <c:numCache>
                <c:formatCode>0%</c:formatCode>
                <c:ptCount val="10"/>
                <c:pt idx="0">
                  <c:v>6.9182389937106917E-2</c:v>
                </c:pt>
                <c:pt idx="1">
                  <c:v>7.5471698113207544E-2</c:v>
                </c:pt>
                <c:pt idx="2">
                  <c:v>0.11949685534591195</c:v>
                </c:pt>
                <c:pt idx="3">
                  <c:v>0.20125786163522016</c:v>
                </c:pt>
                <c:pt idx="4">
                  <c:v>0.14465408805031446</c:v>
                </c:pt>
                <c:pt idx="5">
                  <c:v>0.18238993710691823</c:v>
                </c:pt>
                <c:pt idx="6">
                  <c:v>0.20754716981132076</c:v>
                </c:pt>
                <c:pt idx="7">
                  <c:v>0.18238993710691823</c:v>
                </c:pt>
                <c:pt idx="8">
                  <c:v>0.1761006289308176</c:v>
                </c:pt>
                <c:pt idx="9">
                  <c:v>0.16352201257861634</c:v>
                </c:pt>
              </c:numCache>
            </c:numRef>
          </c:val>
          <c:extLst>
            <c:ext xmlns:c16="http://schemas.microsoft.com/office/drawing/2014/chart" uri="{C3380CC4-5D6E-409C-BE32-E72D297353CC}">
              <c16:uniqueId val="{00000001-0B67-4DA3-B379-B195FA94DEF4}"/>
            </c:ext>
          </c:extLst>
        </c:ser>
        <c:ser>
          <c:idx val="2"/>
          <c:order val="2"/>
          <c:tx>
            <c:strRef>
              <c:f>'B8'!$E$32</c:f>
              <c:strCache>
                <c:ptCount val="1"/>
                <c:pt idx="0">
                  <c:v>not effective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'B8'!$B$33:$B$42</c:f>
              <c:strCache>
                <c:ptCount val="10"/>
                <c:pt idx="0">
                  <c:v>Maternity leave</c:v>
                </c:pt>
                <c:pt idx="1">
                  <c:v>Obligation to have a nursery in workplaces with 150 or more female employees</c:v>
                </c:pt>
                <c:pt idx="2">
                  <c:v>Prohibition of night shift work for pregnant and lactating women</c:v>
                </c:pt>
                <c:pt idx="3">
                  <c:v>Right to have unpaid leave after birth upon request</c:v>
                </c:pt>
                <c:pt idx="4">
                  <c:v>Prohibition of setting lower wages on the basis of gender for work of equal or equal value</c:v>
                </c:pt>
                <c:pt idx="5">
                  <c:v>Payment of severance pay in case of termination of employment within 1 year due to marriage (Article 14 of the (Former) Labor Law No. 1475)</c:v>
                </c:pt>
                <c:pt idx="6">
                  <c:v>Right to have part-time work after maternity leave or unpaid leave upon request</c:v>
                </c:pt>
                <c:pt idx="7">
                  <c:v>Paternity leave </c:v>
                </c:pt>
                <c:pt idx="8">
                  <c:v>Obligation to have a breastfeeding room in workplaces with 100-150 or more female employees</c:v>
                </c:pt>
                <c:pt idx="9">
                  <c:v>Transportation facilities to women working the night shift</c:v>
                </c:pt>
              </c:strCache>
            </c:strRef>
          </c:cat>
          <c:val>
            <c:numRef>
              <c:f>'B8'!$E$33:$E$42</c:f>
              <c:numCache>
                <c:formatCode>0%</c:formatCode>
                <c:ptCount val="10"/>
                <c:pt idx="0">
                  <c:v>6.2893081761006301E-3</c:v>
                </c:pt>
                <c:pt idx="1">
                  <c:v>6.2893081761006301E-3</c:v>
                </c:pt>
                <c:pt idx="2">
                  <c:v>6.2893081761006301E-3</c:v>
                </c:pt>
                <c:pt idx="3">
                  <c:v>6.2893081761006301E-3</c:v>
                </c:pt>
                <c:pt idx="4">
                  <c:v>2.5157232704402521E-2</c:v>
                </c:pt>
                <c:pt idx="5">
                  <c:v>1.8867924528301886E-2</c:v>
                </c:pt>
                <c:pt idx="6">
                  <c:v>2.5157232704402521E-2</c:v>
                </c:pt>
                <c:pt idx="7">
                  <c:v>3.7735849056603772E-2</c:v>
                </c:pt>
                <c:pt idx="8">
                  <c:v>0</c:v>
                </c:pt>
                <c:pt idx="9">
                  <c:v>1.257861635220126E-2</c:v>
                </c:pt>
              </c:numCache>
            </c:numRef>
          </c:val>
          <c:extLst>
            <c:ext xmlns:c16="http://schemas.microsoft.com/office/drawing/2014/chart" uri="{C3380CC4-5D6E-409C-BE32-E72D297353CC}">
              <c16:uniqueId val="{00000002-0B67-4DA3-B379-B195FA94DEF4}"/>
            </c:ext>
          </c:extLst>
        </c:ser>
        <c:ser>
          <c:idx val="3"/>
          <c:order val="3"/>
          <c:tx>
            <c:strRef>
              <c:f>'B8'!$F$32</c:f>
              <c:strCache>
                <c:ptCount val="1"/>
                <c:pt idx="0">
                  <c:v>no idea</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'B8'!$B$33:$B$42</c:f>
              <c:strCache>
                <c:ptCount val="10"/>
                <c:pt idx="0">
                  <c:v>Maternity leave</c:v>
                </c:pt>
                <c:pt idx="1">
                  <c:v>Obligation to have a nursery in workplaces with 150 or more female employees</c:v>
                </c:pt>
                <c:pt idx="2">
                  <c:v>Prohibition of night shift work for pregnant and lactating women</c:v>
                </c:pt>
                <c:pt idx="3">
                  <c:v>Right to have unpaid leave after birth upon request</c:v>
                </c:pt>
                <c:pt idx="4">
                  <c:v>Prohibition of setting lower wages on the basis of gender for work of equal or equal value</c:v>
                </c:pt>
                <c:pt idx="5">
                  <c:v>Payment of severance pay in case of termination of employment within 1 year due to marriage (Article 14 of the (Former) Labor Law No. 1475)</c:v>
                </c:pt>
                <c:pt idx="6">
                  <c:v>Right to have part-time work after maternity leave or unpaid leave upon request</c:v>
                </c:pt>
                <c:pt idx="7">
                  <c:v>Paternity leave </c:v>
                </c:pt>
                <c:pt idx="8">
                  <c:v>Obligation to have a breastfeeding room in workplaces with 100-150 or more female employees</c:v>
                </c:pt>
                <c:pt idx="9">
                  <c:v>Transportation facilities to women working the night shift</c:v>
                </c:pt>
              </c:strCache>
            </c:strRef>
          </c:cat>
          <c:val>
            <c:numRef>
              <c:f>'B8'!$F$33:$F$42</c:f>
              <c:numCache>
                <c:formatCode>0%</c:formatCode>
                <c:ptCount val="10"/>
                <c:pt idx="0">
                  <c:v>2.5157232704402521E-2</c:v>
                </c:pt>
                <c:pt idx="1">
                  <c:v>0.1069182389937107</c:v>
                </c:pt>
                <c:pt idx="2">
                  <c:v>0.1</c:v>
                </c:pt>
                <c:pt idx="3">
                  <c:v>3.1446540880503145E-2</c:v>
                </c:pt>
                <c:pt idx="4">
                  <c:v>0.09</c:v>
                </c:pt>
                <c:pt idx="5">
                  <c:v>6.9182389937106917E-2</c:v>
                </c:pt>
                <c:pt idx="6">
                  <c:v>4.40251572327044E-2</c:v>
                </c:pt>
                <c:pt idx="7">
                  <c:v>5.6603773584905669E-2</c:v>
                </c:pt>
                <c:pt idx="8">
                  <c:v>0.15</c:v>
                </c:pt>
                <c:pt idx="9">
                  <c:v>0.15</c:v>
                </c:pt>
              </c:numCache>
            </c:numRef>
          </c:val>
          <c:extLst>
            <c:ext xmlns:c16="http://schemas.microsoft.com/office/drawing/2014/chart" uri="{C3380CC4-5D6E-409C-BE32-E72D297353CC}">
              <c16:uniqueId val="{00000003-0B67-4DA3-B379-B195FA94DEF4}"/>
            </c:ext>
          </c:extLst>
        </c:ser>
        <c:dLbls>
          <c:showLegendKey val="0"/>
          <c:showVal val="0"/>
          <c:showCatName val="0"/>
          <c:showSerName val="0"/>
          <c:showPercent val="0"/>
          <c:showBubbleSize val="0"/>
        </c:dLbls>
        <c:gapWidth val="150"/>
        <c:overlap val="100"/>
        <c:axId val="1089562672"/>
        <c:axId val="1078754272"/>
      </c:barChart>
      <c:catAx>
        <c:axId val="1089562672"/>
        <c:scaling>
          <c:orientation val="minMax"/>
        </c:scaling>
        <c:delete val="0"/>
        <c:axPos val="l"/>
        <c:numFmt formatCode="General" sourceLinked="1"/>
        <c:majorTickMark val="none"/>
        <c:minorTickMark val="none"/>
        <c:tickLblPos val="nextTo"/>
        <c:spPr>
          <a:noFill/>
          <a:ln w="9523"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078754272"/>
        <c:crosses val="autoZero"/>
        <c:auto val="1"/>
        <c:lblAlgn val="ctr"/>
        <c:lblOffset val="100"/>
        <c:noMultiLvlLbl val="0"/>
      </c:catAx>
      <c:valAx>
        <c:axId val="1078754272"/>
        <c:scaling>
          <c:orientation val="minMax"/>
          <c:max val="1"/>
        </c:scaling>
        <c:delete val="0"/>
        <c:axPos val="b"/>
        <c:majorGridlines>
          <c:spPr>
            <a:ln w="9523"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89562672"/>
        <c:crosses val="autoZero"/>
        <c:crossBetween val="between"/>
      </c:valAx>
      <c:spPr>
        <a:noFill/>
        <a:ln w="25394">
          <a:noFill/>
        </a:ln>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3" cap="flat" cmpd="sng" algn="ctr">
      <a:solidFill>
        <a:schemeClr val="tx1">
          <a:lumMod val="15000"/>
          <a:lumOff val="85000"/>
        </a:schemeClr>
      </a:solidFill>
      <a:round/>
    </a:ln>
    <a:effectLst/>
  </c:spPr>
  <c:txPr>
    <a:bodyPr/>
    <a:lstStyle/>
    <a:p>
      <a:pPr>
        <a:defRPr/>
      </a:pPr>
      <a:endParaRPr lang="en-US"/>
    </a:p>
  </c:txPr>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sz="1100"/>
              <a:t>Assessment on how provisions in the </a:t>
            </a:r>
            <a:r>
              <a:rPr lang="tr-TR" sz="1100" b="0" i="0" u="none" strike="noStrike" kern="1200" spc="0" baseline="0">
                <a:solidFill>
                  <a:sysClr val="windowText" lastClr="000000">
                    <a:lumMod val="65000"/>
                    <a:lumOff val="35000"/>
                  </a:sysClr>
                </a:solidFill>
                <a:latin typeface="+mn-lt"/>
                <a:ea typeface="+mn-ea"/>
                <a:cs typeface="+mn-cs"/>
              </a:rPr>
              <a:t>Labour</a:t>
            </a:r>
            <a:r>
              <a:rPr lang="tr-TR" sz="1100"/>
              <a:t> Law  facilitates women's work life, in practice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stacked"/>
        <c:varyColors val="0"/>
        <c:ser>
          <c:idx val="0"/>
          <c:order val="0"/>
          <c:tx>
            <c:strRef>
              <c:f>Sayfa15!$B$57</c:f>
              <c:strCache>
                <c:ptCount val="1"/>
                <c:pt idx="0">
                  <c:v>to great extend</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Sayfa15!$A$58:$A$67</c:f>
              <c:strCache>
                <c:ptCount val="10"/>
                <c:pt idx="0">
                  <c:v>paternity leave</c:v>
                </c:pt>
                <c:pt idx="1">
                  <c:v>Obligation to have a breastfeeding room in workplaces with 100-150 or more female employees</c:v>
                </c:pt>
                <c:pt idx="2">
                  <c:v>Payment of severance pay in case of termination of employment within 1 year due to marriage (Article 14 of the (Former) Labor Law No. 1475)</c:v>
                </c:pt>
                <c:pt idx="3">
                  <c:v>Obligation to have a nursery in workplaces with 150 or more female employees</c:v>
                </c:pt>
                <c:pt idx="4">
                  <c:v>Right to have unpaid leave after birth upon request</c:v>
                </c:pt>
                <c:pt idx="5">
                  <c:v>Right to have part-time work after maternity leave or unpaid leave upon request</c:v>
                </c:pt>
                <c:pt idx="6">
                  <c:v>Prohibition of night shift work for pregnant and lactating women</c:v>
                </c:pt>
                <c:pt idx="7">
                  <c:v>Prohibition of setting lower wages on the basis of gender for work of equal or equal value</c:v>
                </c:pt>
                <c:pt idx="8">
                  <c:v>Transportation facilities to women working the night shift</c:v>
                </c:pt>
                <c:pt idx="9">
                  <c:v>maternity leave</c:v>
                </c:pt>
              </c:strCache>
            </c:strRef>
          </c:cat>
          <c:val>
            <c:numRef>
              <c:f>Sayfa15!$B$58:$B$67</c:f>
              <c:numCache>
                <c:formatCode>0.0</c:formatCode>
                <c:ptCount val="10"/>
                <c:pt idx="0">
                  <c:v>69.948186528497416</c:v>
                </c:pt>
                <c:pt idx="1">
                  <c:v>73.385012919896639</c:v>
                </c:pt>
                <c:pt idx="2">
                  <c:v>74.418604651162795</c:v>
                </c:pt>
                <c:pt idx="3">
                  <c:v>75.968992248062023</c:v>
                </c:pt>
                <c:pt idx="4">
                  <c:v>77.979274611398964</c:v>
                </c:pt>
                <c:pt idx="5">
                  <c:v>78.036175710594307</c:v>
                </c:pt>
                <c:pt idx="6">
                  <c:v>78.811369509043928</c:v>
                </c:pt>
                <c:pt idx="7">
                  <c:v>78.811369509043928</c:v>
                </c:pt>
                <c:pt idx="8">
                  <c:v>83.979328165374682</c:v>
                </c:pt>
                <c:pt idx="9">
                  <c:v>85.012919896640824</c:v>
                </c:pt>
              </c:numCache>
            </c:numRef>
          </c:val>
          <c:extLst>
            <c:ext xmlns:c16="http://schemas.microsoft.com/office/drawing/2014/chart" uri="{C3380CC4-5D6E-409C-BE32-E72D297353CC}">
              <c16:uniqueId val="{00000000-8439-4E86-B240-9A871013B69D}"/>
            </c:ext>
          </c:extLst>
        </c:ser>
        <c:ser>
          <c:idx val="1"/>
          <c:order val="1"/>
          <c:tx>
            <c:strRef>
              <c:f>Sayfa15!$C$57</c:f>
              <c:strCache>
                <c:ptCount val="1"/>
                <c:pt idx="0">
                  <c:v>to some extend</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Sayfa15!$A$58:$A$67</c:f>
              <c:strCache>
                <c:ptCount val="10"/>
                <c:pt idx="0">
                  <c:v>paternity leave</c:v>
                </c:pt>
                <c:pt idx="1">
                  <c:v>Obligation to have a breastfeeding room in workplaces with 100-150 or more female employees</c:v>
                </c:pt>
                <c:pt idx="2">
                  <c:v>Payment of severance pay in case of termination of employment within 1 year due to marriage (Article 14 of the (Former) Labor Law No. 1475)</c:v>
                </c:pt>
                <c:pt idx="3">
                  <c:v>Obligation to have a nursery in workplaces with 150 or more female employees</c:v>
                </c:pt>
                <c:pt idx="4">
                  <c:v>Right to have unpaid leave after birth upon request</c:v>
                </c:pt>
                <c:pt idx="5">
                  <c:v>Right to have part-time work after maternity leave or unpaid leave upon request</c:v>
                </c:pt>
                <c:pt idx="6">
                  <c:v>Prohibition of night shift work for pregnant and lactating women</c:v>
                </c:pt>
                <c:pt idx="7">
                  <c:v>Prohibition of setting lower wages on the basis of gender for work of equal or equal value</c:v>
                </c:pt>
                <c:pt idx="8">
                  <c:v>Transportation facilities to women working the night shift</c:v>
                </c:pt>
                <c:pt idx="9">
                  <c:v>maternity leave</c:v>
                </c:pt>
              </c:strCache>
            </c:strRef>
          </c:cat>
          <c:val>
            <c:numRef>
              <c:f>Sayfa15!$C$58:$C$67</c:f>
              <c:numCache>
                <c:formatCode>0.0</c:formatCode>
                <c:ptCount val="10"/>
                <c:pt idx="0">
                  <c:v>14.507772020725387</c:v>
                </c:pt>
                <c:pt idx="1">
                  <c:v>9.819121447028424</c:v>
                </c:pt>
                <c:pt idx="2">
                  <c:v>9.5607235142118849</c:v>
                </c:pt>
                <c:pt idx="3">
                  <c:v>8.2687338501292</c:v>
                </c:pt>
                <c:pt idx="4">
                  <c:v>11.398963730569948</c:v>
                </c:pt>
                <c:pt idx="5">
                  <c:v>12.144702842377262</c:v>
                </c:pt>
                <c:pt idx="6">
                  <c:v>8.0103359173126609</c:v>
                </c:pt>
                <c:pt idx="7">
                  <c:v>6.2015503875968996</c:v>
                </c:pt>
                <c:pt idx="8">
                  <c:v>4.6511627906976747</c:v>
                </c:pt>
                <c:pt idx="9">
                  <c:v>7.4935400516795871</c:v>
                </c:pt>
              </c:numCache>
            </c:numRef>
          </c:val>
          <c:extLst>
            <c:ext xmlns:c16="http://schemas.microsoft.com/office/drawing/2014/chart" uri="{C3380CC4-5D6E-409C-BE32-E72D297353CC}">
              <c16:uniqueId val="{00000001-8439-4E86-B240-9A871013B69D}"/>
            </c:ext>
          </c:extLst>
        </c:ser>
        <c:ser>
          <c:idx val="2"/>
          <c:order val="2"/>
          <c:tx>
            <c:strRef>
              <c:f>Sayfa15!$D$57</c:f>
              <c:strCache>
                <c:ptCount val="1"/>
                <c:pt idx="0">
                  <c:v>not effective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Sayfa15!$A$58:$A$67</c:f>
              <c:strCache>
                <c:ptCount val="10"/>
                <c:pt idx="0">
                  <c:v>paternity leave</c:v>
                </c:pt>
                <c:pt idx="1">
                  <c:v>Obligation to have a breastfeeding room in workplaces with 100-150 or more female employees</c:v>
                </c:pt>
                <c:pt idx="2">
                  <c:v>Payment of severance pay in case of termination of employment within 1 year due to marriage (Article 14 of the (Former) Labor Law No. 1475)</c:v>
                </c:pt>
                <c:pt idx="3">
                  <c:v>Obligation to have a nursery in workplaces with 150 or more female employees</c:v>
                </c:pt>
                <c:pt idx="4">
                  <c:v>Right to have unpaid leave after birth upon request</c:v>
                </c:pt>
                <c:pt idx="5">
                  <c:v>Right to have part-time work after maternity leave or unpaid leave upon request</c:v>
                </c:pt>
                <c:pt idx="6">
                  <c:v>Prohibition of night shift work for pregnant and lactating women</c:v>
                </c:pt>
                <c:pt idx="7">
                  <c:v>Prohibition of setting lower wages on the basis of gender for work of equal or equal value</c:v>
                </c:pt>
                <c:pt idx="8">
                  <c:v>Transportation facilities to women working the night shift</c:v>
                </c:pt>
                <c:pt idx="9">
                  <c:v>maternity leave</c:v>
                </c:pt>
              </c:strCache>
            </c:strRef>
          </c:cat>
          <c:val>
            <c:numRef>
              <c:f>Sayfa15!$D$58:$D$67</c:f>
              <c:numCache>
                <c:formatCode>0.0</c:formatCode>
                <c:ptCount val="10"/>
                <c:pt idx="0">
                  <c:v>2.849740932642487</c:v>
                </c:pt>
                <c:pt idx="1">
                  <c:v>1.03359173126615</c:v>
                </c:pt>
                <c:pt idx="2">
                  <c:v>0.516795865633075</c:v>
                </c:pt>
                <c:pt idx="3">
                  <c:v>1.03359173126615</c:v>
                </c:pt>
                <c:pt idx="4">
                  <c:v>2.5906735751295336</c:v>
                </c:pt>
                <c:pt idx="5">
                  <c:v>0.77519379844961245</c:v>
                </c:pt>
                <c:pt idx="6">
                  <c:v>2.5839793281653747</c:v>
                </c:pt>
                <c:pt idx="7">
                  <c:v>4.3927648578811365</c:v>
                </c:pt>
                <c:pt idx="8">
                  <c:v>1.2919896640826873</c:v>
                </c:pt>
                <c:pt idx="9">
                  <c:v>1.03359173126615</c:v>
                </c:pt>
              </c:numCache>
            </c:numRef>
          </c:val>
          <c:extLst>
            <c:ext xmlns:c16="http://schemas.microsoft.com/office/drawing/2014/chart" uri="{C3380CC4-5D6E-409C-BE32-E72D297353CC}">
              <c16:uniqueId val="{00000002-8439-4E86-B240-9A871013B69D}"/>
            </c:ext>
          </c:extLst>
        </c:ser>
        <c:ser>
          <c:idx val="3"/>
          <c:order val="3"/>
          <c:tx>
            <c:strRef>
              <c:f>Sayfa15!$E$57</c:f>
              <c:strCache>
                <c:ptCount val="1"/>
                <c:pt idx="0">
                  <c:v>no idea</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Sayfa15!$A$58:$A$67</c:f>
              <c:strCache>
                <c:ptCount val="10"/>
                <c:pt idx="0">
                  <c:v>paternity leave</c:v>
                </c:pt>
                <c:pt idx="1">
                  <c:v>Obligation to have a breastfeeding room in workplaces with 100-150 or more female employees</c:v>
                </c:pt>
                <c:pt idx="2">
                  <c:v>Payment of severance pay in case of termination of employment within 1 year due to marriage (Article 14 of the (Former) Labor Law No. 1475)</c:v>
                </c:pt>
                <c:pt idx="3">
                  <c:v>Obligation to have a nursery in workplaces with 150 or more female employees</c:v>
                </c:pt>
                <c:pt idx="4">
                  <c:v>Right to have unpaid leave after birth upon request</c:v>
                </c:pt>
                <c:pt idx="5">
                  <c:v>Right to have part-time work after maternity leave or unpaid leave upon request</c:v>
                </c:pt>
                <c:pt idx="6">
                  <c:v>Prohibition of night shift work for pregnant and lactating women</c:v>
                </c:pt>
                <c:pt idx="7">
                  <c:v>Prohibition of setting lower wages on the basis of gender for work of equal or equal value</c:v>
                </c:pt>
                <c:pt idx="8">
                  <c:v>Transportation facilities to women working the night shift</c:v>
                </c:pt>
                <c:pt idx="9">
                  <c:v>maternity leave</c:v>
                </c:pt>
              </c:strCache>
            </c:strRef>
          </c:cat>
          <c:val>
            <c:numRef>
              <c:f>Sayfa15!$E$58:$E$67</c:f>
              <c:numCache>
                <c:formatCode>0.0</c:formatCode>
                <c:ptCount val="10"/>
                <c:pt idx="0">
                  <c:v>12.694300518134716</c:v>
                </c:pt>
                <c:pt idx="1">
                  <c:v>15.762273901808785</c:v>
                </c:pt>
                <c:pt idx="2">
                  <c:v>15.503875968992247</c:v>
                </c:pt>
                <c:pt idx="3">
                  <c:v>14.728682170542637</c:v>
                </c:pt>
                <c:pt idx="4">
                  <c:v>8.0310880829015545</c:v>
                </c:pt>
                <c:pt idx="5">
                  <c:v>9.043927648578812</c:v>
                </c:pt>
                <c:pt idx="6">
                  <c:v>10.594315245478036</c:v>
                </c:pt>
                <c:pt idx="7">
                  <c:v>10.594315245478036</c:v>
                </c:pt>
                <c:pt idx="8">
                  <c:v>10.077519379844961</c:v>
                </c:pt>
                <c:pt idx="9">
                  <c:v>6.459948320413436</c:v>
                </c:pt>
              </c:numCache>
            </c:numRef>
          </c:val>
          <c:extLst>
            <c:ext xmlns:c16="http://schemas.microsoft.com/office/drawing/2014/chart" uri="{C3380CC4-5D6E-409C-BE32-E72D297353CC}">
              <c16:uniqueId val="{00000003-8439-4E86-B240-9A871013B69D}"/>
            </c:ext>
          </c:extLst>
        </c:ser>
        <c:dLbls>
          <c:dLblPos val="ctr"/>
          <c:showLegendKey val="0"/>
          <c:showVal val="1"/>
          <c:showCatName val="0"/>
          <c:showSerName val="0"/>
          <c:showPercent val="0"/>
          <c:showBubbleSize val="0"/>
        </c:dLbls>
        <c:gapWidth val="150"/>
        <c:overlap val="100"/>
        <c:axId val="1205725584"/>
        <c:axId val="1205713616"/>
      </c:barChart>
      <c:catAx>
        <c:axId val="12057255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205713616"/>
        <c:crosses val="autoZero"/>
        <c:auto val="1"/>
        <c:lblAlgn val="ctr"/>
        <c:lblOffset val="100"/>
        <c:noMultiLvlLbl val="0"/>
      </c:catAx>
      <c:valAx>
        <c:axId val="1205713616"/>
        <c:scaling>
          <c:orientation val="minMax"/>
          <c:max val="100"/>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057255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baseline="0">
                <a:solidFill>
                  <a:schemeClr val="tx1">
                    <a:lumMod val="65000"/>
                    <a:lumOff val="35000"/>
                  </a:schemeClr>
                </a:solidFill>
                <a:latin typeface="+mn-lt"/>
                <a:ea typeface="+mn-ea"/>
                <a:cs typeface="+mn-cs"/>
              </a:defRPr>
            </a:pPr>
            <a:r>
              <a:rPr lang="tr-TR" sz="1100" b="0" i="0" u="none" strike="noStrike" baseline="0">
                <a:solidFill>
                  <a:sysClr val="windowText" lastClr="000000">
                    <a:lumMod val="65000"/>
                    <a:lumOff val="35000"/>
                  </a:sysClr>
                </a:solidFill>
                <a:latin typeface="Calibri" panose="020F0502020204030204"/>
              </a:rPr>
              <a:t>Measures taken at the workplace to implement the provisions of the law </a:t>
            </a:r>
          </a:p>
        </c:rich>
      </c:tx>
      <c:overlay val="0"/>
      <c:spPr>
        <a:noFill/>
        <a:ln w="25394">
          <a:noFill/>
        </a:ln>
      </c:spPr>
    </c:title>
    <c:autoTitleDeleted val="0"/>
    <c:plotArea>
      <c:layout/>
      <c:barChart>
        <c:barDir val="bar"/>
        <c:grouping val="clustered"/>
        <c:varyColors val="0"/>
        <c:ser>
          <c:idx val="0"/>
          <c:order val="0"/>
          <c:spPr>
            <a:solidFill>
              <a:srgbClr val="5B9BD5"/>
            </a:solidFill>
            <a:ln w="25394">
              <a:noFill/>
            </a:ln>
          </c:spPr>
          <c:invertIfNegative val="0"/>
          <c:dLbls>
            <c:spPr>
              <a:noFill/>
              <a:ln w="25394">
                <a:noFill/>
              </a:ln>
            </c:spPr>
            <c:txPr>
              <a:bodyPr rot="0" spcFirstLastPara="1" vertOverflow="ellipsis" vert="horz" wrap="square" lIns="38100" tIns="19050" rIns="38100" bIns="19050" anchor="ctr" anchorCtr="1">
                <a:spAutoFit/>
              </a:bodyPr>
              <a:lstStyle/>
              <a:p>
                <a:pPr>
                  <a:defRPr sz="900" b="0" i="0" u="none" strike="noStrike" baseline="0">
                    <a:solidFill>
                      <a:schemeClr val="tx1">
                        <a:lumMod val="65000"/>
                        <a:lumOff val="3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Sayfa16!$B$30:$B$39</c:f>
              <c:strCache>
                <c:ptCount val="10"/>
                <c:pt idx="0">
                  <c:v>Nursery/creche facilities are available</c:v>
                </c:pt>
                <c:pt idx="1">
                  <c:v>Breastfeeding room is available </c:v>
                </c:pt>
                <c:pt idx="2">
                  <c:v>There exist clear rules and procedures about implemantation of the provsions of the law </c:v>
                </c:pt>
                <c:pt idx="3">
                  <c:v>Human resources department informs the female employees about their rights</c:v>
                </c:pt>
                <c:pt idx="4">
                  <c:v>Transportation facilities are available for the female employees work in the night shift </c:v>
                </c:pt>
                <c:pt idx="5">
                  <c:v>Upon request, the right to work part-time after maternity leave or unpaid leave can be used</c:v>
                </c:pt>
                <c:pt idx="6">
                  <c:v>No lower wages because of gender for work of the same or equal value.</c:v>
                </c:pt>
                <c:pt idx="7">
                  <c:v>Maternity and breastfeeding permits specified in the law can be used without any pressure or restriction.</c:v>
                </c:pt>
                <c:pt idx="8">
                  <c:v>Number of female employee is not less than 30% of total number of employee</c:v>
                </c:pt>
                <c:pt idx="9">
                  <c:v>We can use our unpaid maternity leave rights as prescribed by law</c:v>
                </c:pt>
              </c:strCache>
            </c:strRef>
          </c:cat>
          <c:val>
            <c:numRef>
              <c:f>Sayfa16!$C$30:$C$39</c:f>
              <c:numCache>
                <c:formatCode>###0.0</c:formatCode>
                <c:ptCount val="10"/>
                <c:pt idx="0">
                  <c:v>9.1383812010443872</c:v>
                </c:pt>
                <c:pt idx="1">
                  <c:v>18.5378590078329</c:v>
                </c:pt>
                <c:pt idx="2">
                  <c:v>30.809399477806789</c:v>
                </c:pt>
                <c:pt idx="3">
                  <c:v>34.203655352480418</c:v>
                </c:pt>
                <c:pt idx="4">
                  <c:v>42.819843342036556</c:v>
                </c:pt>
                <c:pt idx="5">
                  <c:v>50.391644908616186</c:v>
                </c:pt>
                <c:pt idx="6">
                  <c:v>51.436031331592687</c:v>
                </c:pt>
                <c:pt idx="7">
                  <c:v>51.697127937336816</c:v>
                </c:pt>
                <c:pt idx="8">
                  <c:v>56.396866840731072</c:v>
                </c:pt>
                <c:pt idx="9">
                  <c:v>61.096605744125327</c:v>
                </c:pt>
              </c:numCache>
            </c:numRef>
          </c:val>
          <c:extLst>
            <c:ext xmlns:c16="http://schemas.microsoft.com/office/drawing/2014/chart" uri="{C3380CC4-5D6E-409C-BE32-E72D297353CC}">
              <c16:uniqueId val="{00000000-FAA3-4AD4-AB68-BB046A70B577}"/>
            </c:ext>
          </c:extLst>
        </c:ser>
        <c:dLbls>
          <c:showLegendKey val="0"/>
          <c:showVal val="0"/>
          <c:showCatName val="0"/>
          <c:showSerName val="0"/>
          <c:showPercent val="0"/>
          <c:showBubbleSize val="0"/>
        </c:dLbls>
        <c:gapWidth val="6"/>
        <c:axId val="1205717968"/>
        <c:axId val="1205719056"/>
      </c:barChart>
      <c:catAx>
        <c:axId val="1205717968"/>
        <c:scaling>
          <c:orientation val="minMax"/>
        </c:scaling>
        <c:delete val="0"/>
        <c:axPos val="l"/>
        <c:numFmt formatCode="General" sourceLinked="1"/>
        <c:majorTickMark val="none"/>
        <c:minorTickMark val="none"/>
        <c:tickLblPos val="nextTo"/>
        <c:spPr>
          <a:noFill/>
          <a:ln w="9523"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baseline="0">
                <a:solidFill>
                  <a:schemeClr val="tx1">
                    <a:lumMod val="65000"/>
                    <a:lumOff val="35000"/>
                  </a:schemeClr>
                </a:solidFill>
                <a:latin typeface="+mn-lt"/>
                <a:ea typeface="+mn-ea"/>
                <a:cs typeface="+mn-cs"/>
              </a:defRPr>
            </a:pPr>
            <a:endParaRPr lang="en-US"/>
          </a:p>
        </c:txPr>
        <c:crossAx val="1205719056"/>
        <c:crosses val="autoZero"/>
        <c:auto val="1"/>
        <c:lblAlgn val="ctr"/>
        <c:lblOffset val="100"/>
        <c:noMultiLvlLbl val="0"/>
      </c:catAx>
      <c:valAx>
        <c:axId val="1205719056"/>
        <c:scaling>
          <c:orientation val="minMax"/>
        </c:scaling>
        <c:delete val="1"/>
        <c:axPos val="b"/>
        <c:majorGridlines>
          <c:spPr>
            <a:ln w="9523" cap="flat" cmpd="sng" algn="ctr">
              <a:solidFill>
                <a:schemeClr val="tx1">
                  <a:lumMod val="15000"/>
                  <a:lumOff val="85000"/>
                </a:schemeClr>
              </a:solidFill>
              <a:round/>
            </a:ln>
            <a:effectLst/>
          </c:spPr>
        </c:majorGridlines>
        <c:numFmt formatCode="###0.0" sourceLinked="1"/>
        <c:majorTickMark val="out"/>
        <c:minorTickMark val="none"/>
        <c:tickLblPos val="nextTo"/>
        <c:crossAx val="1205717968"/>
        <c:crosses val="autoZero"/>
        <c:crossBetween val="between"/>
      </c:valAx>
      <c:spPr>
        <a:noFill/>
        <a:ln w="25394">
          <a:noFill/>
        </a:ln>
      </c:spPr>
    </c:plotArea>
    <c:plotVisOnly val="1"/>
    <c:dispBlanksAs val="gap"/>
    <c:showDLblsOverMax val="0"/>
  </c:chart>
  <c:spPr>
    <a:solidFill>
      <a:schemeClr val="bg1"/>
    </a:solidFill>
    <a:ln w="9523" cap="flat" cmpd="sng" algn="ctr">
      <a:solidFill>
        <a:schemeClr val="tx1">
          <a:lumMod val="15000"/>
          <a:lumOff val="85000"/>
        </a:schemeClr>
      </a:solidFill>
      <a:round/>
    </a:ln>
    <a:effectLst/>
  </c:spPr>
  <c:txPr>
    <a:bodyPr/>
    <a:lstStyle/>
    <a:p>
      <a:pPr>
        <a:defRPr/>
      </a:pPr>
      <a:endParaRPr lang="en-US"/>
    </a:p>
  </c:txPr>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tr-TR" sz="1000"/>
              <a:t>Do</a:t>
            </a:r>
            <a:r>
              <a:rPr lang="tr-TR" sz="1000" baseline="0"/>
              <a:t> you think the existing law is efficient in increasing women's employment</a:t>
            </a:r>
            <a:r>
              <a:rPr lang="tr-TR" sz="1000"/>
              <a:t> (%) </a:t>
            </a:r>
          </a:p>
        </c:rich>
      </c:tx>
      <c:layout>
        <c:manualLayout>
          <c:xMode val="edge"/>
          <c:yMode val="edge"/>
          <c:x val="0.13895122484689415"/>
          <c:y val="2.7777777777777776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7678681198198162"/>
          <c:y val="0.19260061242344706"/>
          <c:w val="0.6350624448036134"/>
          <c:h val="0.7761876640419948"/>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BEC-4EF6-9314-94A8EA4E869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BEC-4EF6-9314-94A8EA4E869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BBEC-4EF6-9314-94A8EA4E8696}"/>
              </c:ext>
            </c:extLst>
          </c:dPt>
          <c:dLbls>
            <c:spPr>
              <a:noFill/>
              <a:ln>
                <a:noFill/>
              </a:ln>
              <a:effectLst/>
            </c:spPr>
            <c:txPr>
              <a:bodyPr rot="0" spcFirstLastPara="1" vertOverflow="ellipsis" vert="horz" wrap="square" lIns="38100" tIns="19050" rIns="38100" bIns="19050" anchor="ctr" anchorCtr="0">
                <a:spAutoFit/>
              </a:bodyPr>
              <a:lstStyle/>
              <a:p>
                <a:pPr algn="ctr">
                  <a:defRPr sz="900" b="1" i="0" u="none" strike="noStrike" kern="1200" baseline="0">
                    <a:solidFill>
                      <a:schemeClr val="bg1"/>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Sayfa18!$B$10:$B$12</c:f>
              <c:strCache>
                <c:ptCount val="3"/>
                <c:pt idx="0">
                  <c:v>Yes </c:v>
                </c:pt>
                <c:pt idx="1">
                  <c:v>No</c:v>
                </c:pt>
                <c:pt idx="2">
                  <c:v>No idea </c:v>
                </c:pt>
              </c:strCache>
            </c:strRef>
          </c:cat>
          <c:val>
            <c:numRef>
              <c:f>Sayfa18!$C$10:$C$12</c:f>
              <c:numCache>
                <c:formatCode>###0</c:formatCode>
                <c:ptCount val="3"/>
                <c:pt idx="0">
                  <c:v>107</c:v>
                </c:pt>
                <c:pt idx="1">
                  <c:v>211</c:v>
                </c:pt>
                <c:pt idx="2">
                  <c:v>69</c:v>
                </c:pt>
              </c:numCache>
            </c:numRef>
          </c:val>
          <c:extLst>
            <c:ext xmlns:c16="http://schemas.microsoft.com/office/drawing/2014/chart" uri="{C3380CC4-5D6E-409C-BE32-E72D297353CC}">
              <c16:uniqueId val="{00000006-BBEC-4EF6-9314-94A8EA4E8696}"/>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tr-TR" sz="1000"/>
              <a:t>Suggestions by respondents</a:t>
            </a:r>
          </a:p>
        </c:rich>
      </c:tx>
      <c:layout>
        <c:manualLayout>
          <c:xMode val="edge"/>
          <c:yMode val="edge"/>
          <c:x val="0.29815887894531695"/>
          <c:y val="2.8677305669190523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stacked"/>
        <c:varyColors val="0"/>
        <c:ser>
          <c:idx val="0"/>
          <c:order val="0"/>
          <c:tx>
            <c:strRef>
              <c:f>Sayfa19!$C$44</c:f>
              <c:strCache>
                <c:ptCount val="1"/>
                <c:pt idx="0">
                  <c:v>Agree</c:v>
                </c:pt>
              </c:strCache>
            </c:strRef>
          </c:tx>
          <c:spPr>
            <a:solidFill>
              <a:schemeClr val="accent1"/>
            </a:solidFill>
            <a:ln>
              <a:noFill/>
            </a:ln>
            <a:effectLst/>
          </c:spPr>
          <c:invertIfNegative val="0"/>
          <c:cat>
            <c:strRef>
              <c:f>Sayfa19!$B$45:$B$55</c:f>
              <c:strCache>
                <c:ptCount val="11"/>
                <c:pt idx="0">
                  <c:v>The duration of maternity leave should be equal to that of government officers.  </c:v>
                </c:pt>
                <c:pt idx="1">
                  <c:v>Elderly and patient care should be covered by the law </c:v>
                </c:pt>
                <c:pt idx="2">
                  <c:v>The establishment of nursery with the support of the government </c:v>
                </c:pt>
                <c:pt idx="3">
                  <c:v>Government should make some payments during the period of unpaid maternity leave, to support the employees.</c:v>
                </c:pt>
                <c:pt idx="4">
                  <c:v>Unpaid maternity leave period need to be extended</c:v>
                </c:pt>
                <c:pt idx="5">
                  <c:v>Incentives for enterprises for recruting more women</c:v>
                </c:pt>
                <c:pt idx="6">
                  <c:v>Part time work after birth should be provided for both the mother and father and can be used in rotation </c:v>
                </c:pt>
                <c:pt idx="7">
                  <c:v>Paternity leave duration should be extended</c:v>
                </c:pt>
                <c:pt idx="8">
                  <c:v>State support to improve the conditions of nursery and breastfeeding rooms at the workplaces</c:v>
                </c:pt>
                <c:pt idx="9">
                  <c:v>Both the number of male and female workers should be cconsidered for opening care facilities at the workplace</c:v>
                </c:pt>
                <c:pt idx="10">
                  <c:v>Imposing a quota for the number of female employees in workplaces</c:v>
                </c:pt>
              </c:strCache>
            </c:strRef>
          </c:cat>
          <c:val>
            <c:numRef>
              <c:f>Sayfa19!$C$45:$C$55</c:f>
              <c:numCache>
                <c:formatCode>0.00</c:formatCode>
                <c:ptCount val="11"/>
                <c:pt idx="0">
                  <c:v>89.922480620155042</c:v>
                </c:pt>
                <c:pt idx="1">
                  <c:v>82.428940568475454</c:v>
                </c:pt>
                <c:pt idx="2">
                  <c:v>82.170542635658919</c:v>
                </c:pt>
                <c:pt idx="3">
                  <c:v>81.395348837209298</c:v>
                </c:pt>
                <c:pt idx="4">
                  <c:v>80.361757105943155</c:v>
                </c:pt>
                <c:pt idx="5">
                  <c:v>79.844961240310084</c:v>
                </c:pt>
                <c:pt idx="6">
                  <c:v>79.844961240310084</c:v>
                </c:pt>
                <c:pt idx="7">
                  <c:v>77.519379844961236</c:v>
                </c:pt>
                <c:pt idx="8">
                  <c:v>77.2609819121447</c:v>
                </c:pt>
                <c:pt idx="9">
                  <c:v>67.958656330749349</c:v>
                </c:pt>
                <c:pt idx="10">
                  <c:v>53.746770025839794</c:v>
                </c:pt>
              </c:numCache>
            </c:numRef>
          </c:val>
          <c:extLst>
            <c:ext xmlns:c16="http://schemas.microsoft.com/office/drawing/2014/chart" uri="{C3380CC4-5D6E-409C-BE32-E72D297353CC}">
              <c16:uniqueId val="{00000000-D6CA-43EE-8004-EBC7A15DEBEF}"/>
            </c:ext>
          </c:extLst>
        </c:ser>
        <c:ser>
          <c:idx val="1"/>
          <c:order val="1"/>
          <c:tx>
            <c:strRef>
              <c:f>Sayfa19!$D$44</c:f>
              <c:strCache>
                <c:ptCount val="1"/>
                <c:pt idx="0">
                  <c:v>Agree to some extend</c:v>
                </c:pt>
              </c:strCache>
            </c:strRef>
          </c:tx>
          <c:spPr>
            <a:solidFill>
              <a:schemeClr val="accent2"/>
            </a:solidFill>
            <a:ln>
              <a:noFill/>
            </a:ln>
            <a:effectLst/>
          </c:spPr>
          <c:invertIfNegative val="0"/>
          <c:cat>
            <c:strRef>
              <c:f>Sayfa19!$B$45:$B$55</c:f>
              <c:strCache>
                <c:ptCount val="11"/>
                <c:pt idx="0">
                  <c:v>The duration of maternity leave should be equal to that of government officers.  </c:v>
                </c:pt>
                <c:pt idx="1">
                  <c:v>Elderly and patient care should be covered by the law </c:v>
                </c:pt>
                <c:pt idx="2">
                  <c:v>The establishment of nursery with the support of the government </c:v>
                </c:pt>
                <c:pt idx="3">
                  <c:v>Government should make some payments during the period of unpaid maternity leave, to support the employees.</c:v>
                </c:pt>
                <c:pt idx="4">
                  <c:v>Unpaid maternity leave period need to be extended</c:v>
                </c:pt>
                <c:pt idx="5">
                  <c:v>Incentives for enterprises for recruting more women</c:v>
                </c:pt>
                <c:pt idx="6">
                  <c:v>Part time work after birth should be provided for both the mother and father and can be used in rotation </c:v>
                </c:pt>
                <c:pt idx="7">
                  <c:v>Paternity leave duration should be extended</c:v>
                </c:pt>
                <c:pt idx="8">
                  <c:v>State support to improve the conditions of nursery and breastfeeding rooms at the workplaces</c:v>
                </c:pt>
                <c:pt idx="9">
                  <c:v>Both the number of male and female workers should be cconsidered for opening care facilities at the workplace</c:v>
                </c:pt>
                <c:pt idx="10">
                  <c:v>Imposing a quota for the number of female employees in workplaces</c:v>
                </c:pt>
              </c:strCache>
            </c:strRef>
          </c:cat>
          <c:val>
            <c:numRef>
              <c:f>Sayfa19!$D$45:$D$55</c:f>
              <c:numCache>
                <c:formatCode>0.00</c:formatCode>
                <c:ptCount val="11"/>
                <c:pt idx="0">
                  <c:v>4.1343669250645991</c:v>
                </c:pt>
                <c:pt idx="1">
                  <c:v>9.3023255813953494</c:v>
                </c:pt>
                <c:pt idx="2">
                  <c:v>10.077519379844961</c:v>
                </c:pt>
                <c:pt idx="3">
                  <c:v>10.335917312661499</c:v>
                </c:pt>
                <c:pt idx="4">
                  <c:v>11.369509043927648</c:v>
                </c:pt>
                <c:pt idx="5">
                  <c:v>8.2687338501291983</c:v>
                </c:pt>
                <c:pt idx="6">
                  <c:v>8.0103359173126609</c:v>
                </c:pt>
                <c:pt idx="7">
                  <c:v>12.919896640826874</c:v>
                </c:pt>
                <c:pt idx="8">
                  <c:v>12.144702842377262</c:v>
                </c:pt>
                <c:pt idx="9">
                  <c:v>14.987080103359173</c:v>
                </c:pt>
                <c:pt idx="10">
                  <c:v>13.178294573643411</c:v>
                </c:pt>
              </c:numCache>
            </c:numRef>
          </c:val>
          <c:extLst>
            <c:ext xmlns:c16="http://schemas.microsoft.com/office/drawing/2014/chart" uri="{C3380CC4-5D6E-409C-BE32-E72D297353CC}">
              <c16:uniqueId val="{00000001-D6CA-43EE-8004-EBC7A15DEBEF}"/>
            </c:ext>
          </c:extLst>
        </c:ser>
        <c:ser>
          <c:idx val="2"/>
          <c:order val="2"/>
          <c:tx>
            <c:strRef>
              <c:f>Sayfa19!$E$44</c:f>
              <c:strCache>
                <c:ptCount val="1"/>
                <c:pt idx="0">
                  <c:v>Disagree</c:v>
                </c:pt>
              </c:strCache>
            </c:strRef>
          </c:tx>
          <c:spPr>
            <a:solidFill>
              <a:schemeClr val="accent3"/>
            </a:solidFill>
            <a:ln>
              <a:noFill/>
            </a:ln>
            <a:effectLst/>
          </c:spPr>
          <c:invertIfNegative val="0"/>
          <c:cat>
            <c:strRef>
              <c:f>Sayfa19!$B$45:$B$55</c:f>
              <c:strCache>
                <c:ptCount val="11"/>
                <c:pt idx="0">
                  <c:v>The duration of maternity leave should be equal to that of government officers.  </c:v>
                </c:pt>
                <c:pt idx="1">
                  <c:v>Elderly and patient care should be covered by the law </c:v>
                </c:pt>
                <c:pt idx="2">
                  <c:v>The establishment of nursery with the support of the government </c:v>
                </c:pt>
                <c:pt idx="3">
                  <c:v>Government should make some payments during the period of unpaid maternity leave, to support the employees.</c:v>
                </c:pt>
                <c:pt idx="4">
                  <c:v>Unpaid maternity leave period need to be extended</c:v>
                </c:pt>
                <c:pt idx="5">
                  <c:v>Incentives for enterprises for recruting more women</c:v>
                </c:pt>
                <c:pt idx="6">
                  <c:v>Part time work after birth should be provided for both the mother and father and can be used in rotation </c:v>
                </c:pt>
                <c:pt idx="7">
                  <c:v>Paternity leave duration should be extended</c:v>
                </c:pt>
                <c:pt idx="8">
                  <c:v>State support to improve the conditions of nursery and breastfeeding rooms at the workplaces</c:v>
                </c:pt>
                <c:pt idx="9">
                  <c:v>Both the number of male and female workers should be cconsidered for opening care facilities at the workplace</c:v>
                </c:pt>
                <c:pt idx="10">
                  <c:v>Imposing a quota for the number of female employees in workplaces</c:v>
                </c:pt>
              </c:strCache>
            </c:strRef>
          </c:cat>
          <c:val>
            <c:numRef>
              <c:f>Sayfa19!$E$45:$E$55</c:f>
              <c:numCache>
                <c:formatCode>0.00</c:formatCode>
                <c:ptCount val="11"/>
                <c:pt idx="0">
                  <c:v>1.0335917312661498</c:v>
                </c:pt>
                <c:pt idx="1">
                  <c:v>0.77519379844961245</c:v>
                </c:pt>
                <c:pt idx="2">
                  <c:v>1.2919896640826873</c:v>
                </c:pt>
                <c:pt idx="3">
                  <c:v>2.842377260981912</c:v>
                </c:pt>
                <c:pt idx="4">
                  <c:v>2.0671834625322996</c:v>
                </c:pt>
                <c:pt idx="5">
                  <c:v>5.1679586563307494</c:v>
                </c:pt>
                <c:pt idx="6">
                  <c:v>6.4599483204134369</c:v>
                </c:pt>
                <c:pt idx="7">
                  <c:v>1.5503875968992249</c:v>
                </c:pt>
                <c:pt idx="8">
                  <c:v>1.2919896640826873</c:v>
                </c:pt>
                <c:pt idx="9">
                  <c:v>9.043927648578812</c:v>
                </c:pt>
                <c:pt idx="10">
                  <c:v>25.322997416020673</c:v>
                </c:pt>
              </c:numCache>
            </c:numRef>
          </c:val>
          <c:extLst>
            <c:ext xmlns:c16="http://schemas.microsoft.com/office/drawing/2014/chart" uri="{C3380CC4-5D6E-409C-BE32-E72D297353CC}">
              <c16:uniqueId val="{00000002-D6CA-43EE-8004-EBC7A15DEBEF}"/>
            </c:ext>
          </c:extLst>
        </c:ser>
        <c:ser>
          <c:idx val="3"/>
          <c:order val="3"/>
          <c:tx>
            <c:strRef>
              <c:f>Sayfa19!$F$44</c:f>
              <c:strCache>
                <c:ptCount val="1"/>
                <c:pt idx="0">
                  <c:v>No idea </c:v>
                </c:pt>
              </c:strCache>
            </c:strRef>
          </c:tx>
          <c:spPr>
            <a:solidFill>
              <a:schemeClr val="accent4"/>
            </a:solidFill>
            <a:ln>
              <a:noFill/>
            </a:ln>
            <a:effectLst/>
          </c:spPr>
          <c:invertIfNegative val="0"/>
          <c:cat>
            <c:strRef>
              <c:f>Sayfa19!$B$45:$B$55</c:f>
              <c:strCache>
                <c:ptCount val="11"/>
                <c:pt idx="0">
                  <c:v>The duration of maternity leave should be equal to that of government officers.  </c:v>
                </c:pt>
                <c:pt idx="1">
                  <c:v>Elderly and patient care should be covered by the law </c:v>
                </c:pt>
                <c:pt idx="2">
                  <c:v>The establishment of nursery with the support of the government </c:v>
                </c:pt>
                <c:pt idx="3">
                  <c:v>Government should make some payments during the period of unpaid maternity leave, to support the employees.</c:v>
                </c:pt>
                <c:pt idx="4">
                  <c:v>Unpaid maternity leave period need to be extended</c:v>
                </c:pt>
                <c:pt idx="5">
                  <c:v>Incentives for enterprises for recruting more women</c:v>
                </c:pt>
                <c:pt idx="6">
                  <c:v>Part time work after birth should be provided for both the mother and father and can be used in rotation </c:v>
                </c:pt>
                <c:pt idx="7">
                  <c:v>Paternity leave duration should be extended</c:v>
                </c:pt>
                <c:pt idx="8">
                  <c:v>State support to improve the conditions of nursery and breastfeeding rooms at the workplaces</c:v>
                </c:pt>
                <c:pt idx="9">
                  <c:v>Both the number of male and female workers should be cconsidered for opening care facilities at the workplace</c:v>
                </c:pt>
                <c:pt idx="10">
                  <c:v>Imposing a quota for the number of female employees in workplaces</c:v>
                </c:pt>
              </c:strCache>
            </c:strRef>
          </c:cat>
          <c:val>
            <c:numRef>
              <c:f>Sayfa19!$F$45:$F$55</c:f>
              <c:numCache>
                <c:formatCode>0.00</c:formatCode>
                <c:ptCount val="11"/>
                <c:pt idx="0">
                  <c:v>4.909560723514212</c:v>
                </c:pt>
                <c:pt idx="1">
                  <c:v>7.4935400516795863</c:v>
                </c:pt>
                <c:pt idx="2">
                  <c:v>6.4599483204134369</c:v>
                </c:pt>
                <c:pt idx="3">
                  <c:v>5.4263565891472867</c:v>
                </c:pt>
                <c:pt idx="4">
                  <c:v>6.2015503875968996</c:v>
                </c:pt>
                <c:pt idx="5">
                  <c:v>6.7183462532299743</c:v>
                </c:pt>
                <c:pt idx="6">
                  <c:v>5.684754521963824</c:v>
                </c:pt>
                <c:pt idx="7">
                  <c:v>8.0103359173126609</c:v>
                </c:pt>
                <c:pt idx="8">
                  <c:v>9.3023255813953494</c:v>
                </c:pt>
                <c:pt idx="9">
                  <c:v>8.0103359173126609</c:v>
                </c:pt>
                <c:pt idx="10">
                  <c:v>7.7519379844961236</c:v>
                </c:pt>
              </c:numCache>
            </c:numRef>
          </c:val>
          <c:extLst>
            <c:ext xmlns:c16="http://schemas.microsoft.com/office/drawing/2014/chart" uri="{C3380CC4-5D6E-409C-BE32-E72D297353CC}">
              <c16:uniqueId val="{00000003-D6CA-43EE-8004-EBC7A15DEBEF}"/>
            </c:ext>
          </c:extLst>
        </c:ser>
        <c:dLbls>
          <c:showLegendKey val="0"/>
          <c:showVal val="0"/>
          <c:showCatName val="0"/>
          <c:showSerName val="0"/>
          <c:showPercent val="0"/>
          <c:showBubbleSize val="0"/>
        </c:dLbls>
        <c:gapWidth val="150"/>
        <c:overlap val="100"/>
        <c:axId val="1079379056"/>
        <c:axId val="1079371984"/>
      </c:barChart>
      <c:catAx>
        <c:axId val="10793790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079371984"/>
        <c:crosses val="autoZero"/>
        <c:auto val="1"/>
        <c:lblAlgn val="ctr"/>
        <c:lblOffset val="100"/>
        <c:noMultiLvlLbl val="0"/>
      </c:catAx>
      <c:valAx>
        <c:axId val="1079371984"/>
        <c:scaling>
          <c:orientation val="minMax"/>
          <c:max val="100"/>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793790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1399" b="0" i="0" u="none" strike="noStrike" kern="1200" spc="0" baseline="0">
                <a:solidFill>
                  <a:schemeClr val="tx1">
                    <a:lumMod val="65000"/>
                    <a:lumOff val="35000"/>
                  </a:schemeClr>
                </a:solidFill>
                <a:latin typeface="+mn-lt"/>
                <a:ea typeface="+mn-ea"/>
                <a:cs typeface="+mn-cs"/>
              </a:defRPr>
            </a:pPr>
            <a:r>
              <a:rPr lang="tr-TR" sz="1099"/>
              <a:t>Number of employees at the interviewed</a:t>
            </a:r>
            <a:r>
              <a:rPr lang="tr-TR" sz="1099" baseline="0"/>
              <a:t> enterprises, 2021 </a:t>
            </a:r>
            <a:r>
              <a:rPr lang="tr-TR" sz="1099"/>
              <a:t>(%)  </a:t>
            </a:r>
          </a:p>
        </c:rich>
      </c:tx>
      <c:layout>
        <c:manualLayout>
          <c:xMode val="edge"/>
          <c:yMode val="edge"/>
          <c:x val="0.15716669458870833"/>
          <c:y val="1.8409533485733636E-2"/>
        </c:manualLayout>
      </c:layout>
      <c:overlay val="0"/>
      <c:spPr>
        <a:noFill/>
        <a:ln w="25383">
          <a:noFill/>
        </a:ln>
      </c:spPr>
    </c:title>
    <c:autoTitleDeleted val="0"/>
    <c:plotArea>
      <c:layout>
        <c:manualLayout>
          <c:layoutTarget val="inner"/>
          <c:xMode val="edge"/>
          <c:yMode val="edge"/>
          <c:x val="0.27063954505686788"/>
          <c:y val="0.14068888434916069"/>
          <c:w val="0.45593525809273838"/>
          <c:h val="0.84661075219731197"/>
        </c:manualLayout>
      </c:layout>
      <c:pieChart>
        <c:varyColors val="1"/>
        <c:ser>
          <c:idx val="0"/>
          <c:order val="0"/>
          <c:dPt>
            <c:idx val="0"/>
            <c:bubble3D val="0"/>
            <c:spPr>
              <a:solidFill>
                <a:schemeClr val="accent1"/>
              </a:solidFill>
              <a:ln w="19037">
                <a:solidFill>
                  <a:schemeClr val="lt1"/>
                </a:solidFill>
              </a:ln>
              <a:effectLst/>
            </c:spPr>
            <c:extLst>
              <c:ext xmlns:c16="http://schemas.microsoft.com/office/drawing/2014/chart" uri="{C3380CC4-5D6E-409C-BE32-E72D297353CC}">
                <c16:uniqueId val="{00000001-FD1A-4D0E-9963-515A229358C2}"/>
              </c:ext>
            </c:extLst>
          </c:dPt>
          <c:dPt>
            <c:idx val="1"/>
            <c:bubble3D val="0"/>
            <c:spPr>
              <a:solidFill>
                <a:schemeClr val="accent2"/>
              </a:solidFill>
              <a:ln w="19037">
                <a:solidFill>
                  <a:schemeClr val="lt1"/>
                </a:solidFill>
              </a:ln>
              <a:effectLst/>
            </c:spPr>
            <c:extLst>
              <c:ext xmlns:c16="http://schemas.microsoft.com/office/drawing/2014/chart" uri="{C3380CC4-5D6E-409C-BE32-E72D297353CC}">
                <c16:uniqueId val="{00000003-FD1A-4D0E-9963-515A229358C2}"/>
              </c:ext>
            </c:extLst>
          </c:dPt>
          <c:dPt>
            <c:idx val="2"/>
            <c:bubble3D val="0"/>
            <c:spPr>
              <a:solidFill>
                <a:schemeClr val="accent3"/>
              </a:solidFill>
              <a:ln w="19037">
                <a:solidFill>
                  <a:schemeClr val="lt1"/>
                </a:solidFill>
              </a:ln>
              <a:effectLst/>
            </c:spPr>
            <c:extLst>
              <c:ext xmlns:c16="http://schemas.microsoft.com/office/drawing/2014/chart" uri="{C3380CC4-5D6E-409C-BE32-E72D297353CC}">
                <c16:uniqueId val="{00000005-FD1A-4D0E-9963-515A229358C2}"/>
              </c:ext>
            </c:extLst>
          </c:dPt>
          <c:dPt>
            <c:idx val="3"/>
            <c:bubble3D val="0"/>
            <c:spPr>
              <a:solidFill>
                <a:schemeClr val="accent4"/>
              </a:solidFill>
              <a:ln w="19037">
                <a:solidFill>
                  <a:schemeClr val="lt1"/>
                </a:solidFill>
              </a:ln>
              <a:effectLst/>
            </c:spPr>
            <c:extLst>
              <c:ext xmlns:c16="http://schemas.microsoft.com/office/drawing/2014/chart" uri="{C3380CC4-5D6E-409C-BE32-E72D297353CC}">
                <c16:uniqueId val="{00000007-FD1A-4D0E-9963-515A229358C2}"/>
              </c:ext>
            </c:extLst>
          </c:dPt>
          <c:dLbls>
            <c:dLbl>
              <c:idx val="1"/>
              <c:spPr>
                <a:noFill/>
                <a:ln w="25383">
                  <a:noFill/>
                </a:ln>
              </c:spPr>
              <c:txPr>
                <a:bodyPr rot="0" spcFirstLastPara="1" vertOverflow="ellipsis" horzOverflow="clip" vert="horz" wrap="square" lIns="38100" tIns="19050" rIns="38100" bIns="19050" anchor="ctr" anchorCtr="1">
                  <a:noAutofit/>
                </a:bodyPr>
                <a:lstStyle/>
                <a:p>
                  <a:pPr>
                    <a:defRPr sz="899" b="0" i="0" u="none" strike="noStrike" kern="1200" baseline="0">
                      <a:solidFill>
                        <a:schemeClr val="bg1"/>
                      </a:solidFill>
                      <a:latin typeface="+mn-lt"/>
                      <a:ea typeface="+mn-ea"/>
                      <a:cs typeface="+mn-cs"/>
                    </a:defRPr>
                  </a:pPr>
                  <a:endParaRPr lang="en-US"/>
                </a:p>
              </c:txPr>
              <c:dLblPos val="in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3-FD1A-4D0E-9963-515A229358C2}"/>
                </c:ext>
              </c:extLst>
            </c:dLbl>
            <c:spPr>
              <a:noFill/>
              <a:ln w="25383">
                <a:noFill/>
              </a:ln>
            </c:spPr>
            <c:txPr>
              <a:bodyPr rot="0" spcFirstLastPara="1" vertOverflow="ellipsis" vert="horz" wrap="square" lIns="38100" tIns="19050" rIns="38100" bIns="19050" anchor="ctr" anchorCtr="1">
                <a:spAutoFit/>
              </a:bodyPr>
              <a:lstStyle/>
              <a:p>
                <a:pPr>
                  <a:defRPr sz="899" b="1" i="0" u="none" strike="noStrike" kern="1200" baseline="0">
                    <a:solidFill>
                      <a:schemeClr val="bg1"/>
                    </a:solidFill>
                    <a:latin typeface="+mn-lt"/>
                    <a:ea typeface="+mn-ea"/>
                    <a:cs typeface="+mn-cs"/>
                  </a:defRPr>
                </a:pPr>
                <a:endParaRPr lang="en-US"/>
              </a:p>
            </c:txPr>
            <c:dLblPos val="inEnd"/>
            <c:showLegendKey val="0"/>
            <c:showVal val="0"/>
            <c:showCatName val="1"/>
            <c:showSerName val="0"/>
            <c:showPercent val="1"/>
            <c:showBubbleSize val="0"/>
            <c:showLeaderLines val="0"/>
            <c:extLst>
              <c:ext xmlns:c15="http://schemas.microsoft.com/office/drawing/2012/chart" uri="{CE6537A1-D6FC-4f65-9D91-7224C49458BB}"/>
            </c:extLst>
          </c:dLbls>
          <c:cat>
            <c:strRef>
              <c:f>'A6'!$B$12:$B$15</c:f>
              <c:strCache>
                <c:ptCount val="4"/>
                <c:pt idx="0">
                  <c:v>1-50</c:v>
                </c:pt>
                <c:pt idx="1">
                  <c:v>51-100</c:v>
                </c:pt>
                <c:pt idx="2">
                  <c:v>100-250</c:v>
                </c:pt>
                <c:pt idx="3">
                  <c:v>250  +</c:v>
                </c:pt>
              </c:strCache>
            </c:strRef>
          </c:cat>
          <c:val>
            <c:numRef>
              <c:f>'A6'!$C$12:$C$15</c:f>
              <c:numCache>
                <c:formatCode>General</c:formatCode>
                <c:ptCount val="4"/>
                <c:pt idx="0">
                  <c:v>92</c:v>
                </c:pt>
                <c:pt idx="1">
                  <c:v>22</c:v>
                </c:pt>
                <c:pt idx="2">
                  <c:v>13</c:v>
                </c:pt>
                <c:pt idx="3">
                  <c:v>31</c:v>
                </c:pt>
              </c:numCache>
            </c:numRef>
          </c:val>
          <c:extLst>
            <c:ext xmlns:c16="http://schemas.microsoft.com/office/drawing/2014/chart" uri="{C3380CC4-5D6E-409C-BE32-E72D297353CC}">
              <c16:uniqueId val="{00000008-FD1A-4D0E-9963-515A229358C2}"/>
            </c:ext>
          </c:extLst>
        </c:ser>
        <c:dLbls>
          <c:showLegendKey val="0"/>
          <c:showVal val="0"/>
          <c:showCatName val="0"/>
          <c:showSerName val="0"/>
          <c:showPercent val="0"/>
          <c:showBubbleSize val="0"/>
          <c:showLeaderLines val="0"/>
        </c:dLbls>
        <c:firstSliceAng val="0"/>
      </c:pieChart>
      <c:spPr>
        <a:noFill/>
        <a:ln w="25383">
          <a:noFill/>
        </a:ln>
      </c:spPr>
    </c:plotArea>
    <c:plotVisOnly val="1"/>
    <c:dispBlanksAs val="gap"/>
    <c:showDLblsOverMax val="0"/>
  </c:chart>
  <c:spPr>
    <a:solidFill>
      <a:schemeClr val="bg1"/>
    </a:solidFill>
    <a:ln w="9519" cap="flat" cmpd="sng" algn="ctr">
      <a:solidFill>
        <a:schemeClr val="tx1">
          <a:lumMod val="15000"/>
          <a:lumOff val="85000"/>
        </a:schemeClr>
      </a:solidFill>
      <a:round/>
    </a:ln>
    <a:effectLst/>
  </c:spPr>
  <c:txPr>
    <a:bodyPr/>
    <a:lstStyle/>
    <a:p>
      <a:pPr>
        <a:defRPr/>
      </a:pPr>
      <a:endParaRPr lang="en-US"/>
    </a:p>
  </c:txPr>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99" b="0" i="0" u="none" strike="noStrike" kern="1200" spc="0" baseline="0">
                <a:solidFill>
                  <a:schemeClr val="tx1">
                    <a:lumMod val="65000"/>
                    <a:lumOff val="35000"/>
                  </a:schemeClr>
                </a:solidFill>
                <a:latin typeface="+mn-lt"/>
                <a:ea typeface="+mn-ea"/>
                <a:cs typeface="+mn-cs"/>
              </a:defRPr>
            </a:pPr>
            <a:r>
              <a:rPr lang="tr-TR" sz="1199"/>
              <a:t>Distribution of employees</a:t>
            </a:r>
            <a:r>
              <a:rPr lang="tr-TR" sz="1199" baseline="0"/>
              <a:t> by gender, 2021 (%)</a:t>
            </a:r>
            <a:endParaRPr lang="tr-TR" sz="1200"/>
          </a:p>
        </c:rich>
      </c:tx>
      <c:overlay val="0"/>
      <c:spPr>
        <a:noFill/>
        <a:ln w="25373">
          <a:noFill/>
        </a:ln>
      </c:spPr>
    </c:title>
    <c:autoTitleDeleted val="0"/>
    <c:plotArea>
      <c:layout>
        <c:manualLayout>
          <c:layoutTarget val="inner"/>
          <c:xMode val="edge"/>
          <c:yMode val="edge"/>
          <c:x val="0.30348950131233599"/>
          <c:y val="0.20095472440944881"/>
          <c:w val="0.47357655293088363"/>
          <c:h val="0.78929425488480609"/>
        </c:manualLayout>
      </c:layout>
      <c:pieChart>
        <c:varyColors val="1"/>
        <c:ser>
          <c:idx val="0"/>
          <c:order val="0"/>
          <c:dPt>
            <c:idx val="0"/>
            <c:bubble3D val="0"/>
            <c:spPr>
              <a:solidFill>
                <a:schemeClr val="accent1"/>
              </a:solidFill>
              <a:ln w="19030">
                <a:solidFill>
                  <a:schemeClr val="lt1"/>
                </a:solidFill>
              </a:ln>
              <a:effectLst/>
            </c:spPr>
            <c:extLst>
              <c:ext xmlns:c16="http://schemas.microsoft.com/office/drawing/2014/chart" uri="{C3380CC4-5D6E-409C-BE32-E72D297353CC}">
                <c16:uniqueId val="{00000001-EFB0-4F18-A0B3-3E3D6D11A650}"/>
              </c:ext>
            </c:extLst>
          </c:dPt>
          <c:dPt>
            <c:idx val="1"/>
            <c:bubble3D val="0"/>
            <c:spPr>
              <a:solidFill>
                <a:schemeClr val="accent2"/>
              </a:solidFill>
              <a:ln w="19030">
                <a:solidFill>
                  <a:schemeClr val="lt1"/>
                </a:solidFill>
              </a:ln>
              <a:effectLst/>
            </c:spPr>
            <c:extLst>
              <c:ext xmlns:c16="http://schemas.microsoft.com/office/drawing/2014/chart" uri="{C3380CC4-5D6E-409C-BE32-E72D297353CC}">
                <c16:uniqueId val="{00000003-EFB0-4F18-A0B3-3E3D6D11A650}"/>
              </c:ext>
            </c:extLst>
          </c:dPt>
          <c:dLbls>
            <c:spPr>
              <a:noFill/>
              <a:ln w="25373">
                <a:noFill/>
              </a:ln>
            </c:spPr>
            <c:txPr>
              <a:bodyPr rot="0" spcFirstLastPara="1" vertOverflow="ellipsis" vert="horz" wrap="square" lIns="38100" tIns="19050" rIns="38100" bIns="19050" anchor="ctr" anchorCtr="1">
                <a:spAutoFit/>
              </a:bodyPr>
              <a:lstStyle/>
              <a:p>
                <a:pPr>
                  <a:defRPr sz="1049" b="1" i="0" u="none" strike="noStrike" kern="1200" baseline="0">
                    <a:solidFill>
                      <a:schemeClr val="bg1"/>
                    </a:solidFill>
                    <a:latin typeface="+mn-lt"/>
                    <a:ea typeface="+mn-ea"/>
                    <a:cs typeface="+mn-cs"/>
                  </a:defRPr>
                </a:pPr>
                <a:endParaRPr lang="en-US"/>
              </a:p>
            </c:txPr>
            <c:showLegendKey val="0"/>
            <c:showVal val="1"/>
            <c:showCatName val="1"/>
            <c:showSerName val="0"/>
            <c:showPercent val="0"/>
            <c:showBubbleSize val="0"/>
            <c:showLeaderLines val="1"/>
            <c:leaderLines>
              <c:spPr>
                <a:ln w="951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'A7'!$B$3:$B$4</c:f>
              <c:strCache>
                <c:ptCount val="2"/>
                <c:pt idx="0">
                  <c:v>Women</c:v>
                </c:pt>
                <c:pt idx="1">
                  <c:v>Men</c:v>
                </c:pt>
              </c:strCache>
            </c:strRef>
          </c:cat>
          <c:val>
            <c:numRef>
              <c:f>'A7'!$C$3:$C$4</c:f>
              <c:numCache>
                <c:formatCode>0.0%</c:formatCode>
                <c:ptCount val="2"/>
                <c:pt idx="0">
                  <c:v>0.436</c:v>
                </c:pt>
                <c:pt idx="1">
                  <c:v>0.56399999999999995</c:v>
                </c:pt>
              </c:numCache>
            </c:numRef>
          </c:val>
          <c:extLst>
            <c:ext xmlns:c16="http://schemas.microsoft.com/office/drawing/2014/chart" uri="{C3380CC4-5D6E-409C-BE32-E72D297353CC}">
              <c16:uniqueId val="{00000004-EFB0-4F18-A0B3-3E3D6D11A650}"/>
            </c:ext>
          </c:extLst>
        </c:ser>
        <c:dLbls>
          <c:showLegendKey val="0"/>
          <c:showVal val="0"/>
          <c:showCatName val="0"/>
          <c:showSerName val="0"/>
          <c:showPercent val="0"/>
          <c:showBubbleSize val="0"/>
          <c:showLeaderLines val="1"/>
        </c:dLbls>
        <c:firstSliceAng val="0"/>
      </c:pieChart>
      <c:spPr>
        <a:noFill/>
        <a:ln w="25373">
          <a:noFill/>
        </a:ln>
      </c:spPr>
    </c:plotArea>
    <c:plotVisOnly val="1"/>
    <c:dispBlanksAs val="gap"/>
    <c:showDLblsOverMax val="0"/>
  </c:chart>
  <c:spPr>
    <a:solidFill>
      <a:schemeClr val="bg1"/>
    </a:solidFill>
    <a:ln w="9515" cap="flat" cmpd="sng" algn="ctr">
      <a:solidFill>
        <a:schemeClr val="tx1">
          <a:lumMod val="15000"/>
          <a:lumOff val="85000"/>
        </a:schemeClr>
      </a:solidFill>
      <a:round/>
    </a:ln>
    <a:effectLst/>
  </c:spPr>
  <c:txPr>
    <a:bodyPr/>
    <a:lstStyle/>
    <a:p>
      <a:pPr>
        <a:defRPr/>
      </a:pPr>
      <a:endParaRPr lang="en-US"/>
    </a:p>
  </c:txPr>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98" b="0" i="0" u="none" strike="noStrike" kern="1200" spc="0" baseline="0">
                <a:solidFill>
                  <a:schemeClr val="tx1">
                    <a:lumMod val="65000"/>
                    <a:lumOff val="35000"/>
                  </a:schemeClr>
                </a:solidFill>
                <a:latin typeface="+mn-lt"/>
                <a:ea typeface="+mn-ea"/>
                <a:cs typeface="+mn-cs"/>
              </a:defRPr>
            </a:pPr>
            <a:r>
              <a:rPr lang="tr-TR" sz="1098"/>
              <a:t>Respondents level of knowledge about the Labour</a:t>
            </a:r>
            <a:r>
              <a:rPr lang="tr-TR" sz="1098" baseline="0"/>
              <a:t> Law </a:t>
            </a:r>
            <a:endParaRPr lang="tr-TR" sz="1100"/>
          </a:p>
        </c:rich>
      </c:tx>
      <c:layout>
        <c:manualLayout>
          <c:xMode val="edge"/>
          <c:yMode val="edge"/>
          <c:x val="0.12224337444545096"/>
          <c:y val="1.077388730663986E-2"/>
        </c:manualLayout>
      </c:layout>
      <c:overlay val="0"/>
      <c:spPr>
        <a:noFill/>
        <a:ln>
          <a:noFill/>
        </a:ln>
        <a:effectLst/>
      </c:spPr>
    </c:title>
    <c:autoTitleDeleted val="0"/>
    <c:plotArea>
      <c:layout>
        <c:manualLayout>
          <c:layoutTarget val="inner"/>
          <c:xMode val="edge"/>
          <c:yMode val="edge"/>
          <c:x val="0.48245979687321694"/>
          <c:y val="0.21276169050297286"/>
          <c:w val="0.44021035276727594"/>
          <c:h val="0.59026210265383494"/>
        </c:manualLayout>
      </c:layout>
      <c:barChart>
        <c:barDir val="bar"/>
        <c:grouping val="stacked"/>
        <c:varyColors val="0"/>
        <c:ser>
          <c:idx val="0"/>
          <c:order val="0"/>
          <c:tx>
            <c:strRef>
              <c:f>'B1'!$O$3</c:f>
              <c:strCache>
                <c:ptCount val="1"/>
                <c:pt idx="0">
                  <c:v>Yes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98"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'B1'!$P$2:$T$2</c:f>
              <c:strCache>
                <c:ptCount val="5"/>
                <c:pt idx="0">
                  <c:v>Know the provisions about women's employment</c:v>
                </c:pt>
                <c:pt idx="1">
                  <c:v>Know the preparatory phase of the law</c:v>
                </c:pt>
                <c:pt idx="2">
                  <c:v>Opinions were asked during the preparatory phase of the law</c:v>
                </c:pt>
                <c:pt idx="3">
                  <c:v>Informed about the Law before came into act </c:v>
                </c:pt>
                <c:pt idx="4">
                  <c:v>Think that the law is understandable and provisions are clear </c:v>
                </c:pt>
              </c:strCache>
            </c:strRef>
          </c:cat>
          <c:val>
            <c:numRef>
              <c:f>'B1'!$P$3:$T$3</c:f>
              <c:numCache>
                <c:formatCode>0%</c:formatCode>
                <c:ptCount val="5"/>
                <c:pt idx="0">
                  <c:v>0.37106918238993708</c:v>
                </c:pt>
                <c:pt idx="1">
                  <c:v>0.32704402515723269</c:v>
                </c:pt>
                <c:pt idx="2">
                  <c:v>6.9182389937106917E-2</c:v>
                </c:pt>
                <c:pt idx="3">
                  <c:v>0.12578616352201258</c:v>
                </c:pt>
                <c:pt idx="4">
                  <c:v>0.33544303797468356</c:v>
                </c:pt>
              </c:numCache>
            </c:numRef>
          </c:val>
          <c:extLst>
            <c:ext xmlns:c16="http://schemas.microsoft.com/office/drawing/2014/chart" uri="{C3380CC4-5D6E-409C-BE32-E72D297353CC}">
              <c16:uniqueId val="{00000000-497D-41B9-8FD0-F68D4153534C}"/>
            </c:ext>
          </c:extLst>
        </c:ser>
        <c:ser>
          <c:idx val="1"/>
          <c:order val="1"/>
          <c:tx>
            <c:strRef>
              <c:f>'B1'!$O$4</c:f>
              <c:strCache>
                <c:ptCount val="1"/>
                <c:pt idx="0">
                  <c:v>No</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98"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'B1'!$P$2:$T$2</c:f>
              <c:strCache>
                <c:ptCount val="5"/>
                <c:pt idx="0">
                  <c:v>Know the provisions about women's employment</c:v>
                </c:pt>
                <c:pt idx="1">
                  <c:v>Know the preparatory phase of the law</c:v>
                </c:pt>
                <c:pt idx="2">
                  <c:v>Opinions were asked during the preparatory phase of the law</c:v>
                </c:pt>
                <c:pt idx="3">
                  <c:v>Informed about the Law before came into act </c:v>
                </c:pt>
                <c:pt idx="4">
                  <c:v>Think that the law is understandable and provisions are clear </c:v>
                </c:pt>
              </c:strCache>
            </c:strRef>
          </c:cat>
          <c:val>
            <c:numRef>
              <c:f>'B1'!$P$4:$T$4</c:f>
              <c:numCache>
                <c:formatCode>0%</c:formatCode>
                <c:ptCount val="5"/>
                <c:pt idx="0">
                  <c:v>0.62</c:v>
                </c:pt>
                <c:pt idx="1">
                  <c:v>0.67</c:v>
                </c:pt>
                <c:pt idx="2">
                  <c:v>0.93</c:v>
                </c:pt>
                <c:pt idx="3">
                  <c:v>0.87</c:v>
                </c:pt>
                <c:pt idx="4">
                  <c:v>0.66</c:v>
                </c:pt>
              </c:numCache>
            </c:numRef>
          </c:val>
          <c:extLst>
            <c:ext xmlns:c16="http://schemas.microsoft.com/office/drawing/2014/chart" uri="{C3380CC4-5D6E-409C-BE32-E72D297353CC}">
              <c16:uniqueId val="{00000001-497D-41B9-8FD0-F68D4153534C}"/>
            </c:ext>
          </c:extLst>
        </c:ser>
        <c:ser>
          <c:idx val="2"/>
          <c:order val="2"/>
          <c:tx>
            <c:strRef>
              <c:f>'B1'!$O$5</c:f>
              <c:strCache>
                <c:ptCount val="1"/>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98"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'B1'!$P$2:$T$2</c:f>
              <c:strCache>
                <c:ptCount val="5"/>
                <c:pt idx="0">
                  <c:v>Know the provisions about women's employment</c:v>
                </c:pt>
                <c:pt idx="1">
                  <c:v>Know the preparatory phase of the law</c:v>
                </c:pt>
                <c:pt idx="2">
                  <c:v>Opinions were asked during the preparatory phase of the law</c:v>
                </c:pt>
                <c:pt idx="3">
                  <c:v>Informed about the Law before came into act </c:v>
                </c:pt>
                <c:pt idx="4">
                  <c:v>Think that the law is understandable and provisions are clear </c:v>
                </c:pt>
              </c:strCache>
            </c:strRef>
          </c:cat>
          <c:val>
            <c:numRef>
              <c:f>'B1'!$P$5:$T$5</c:f>
              <c:numCache>
                <c:formatCode>General</c:formatCode>
                <c:ptCount val="5"/>
              </c:numCache>
            </c:numRef>
          </c:val>
          <c:extLst>
            <c:ext xmlns:c16="http://schemas.microsoft.com/office/drawing/2014/chart" uri="{C3380CC4-5D6E-409C-BE32-E72D297353CC}">
              <c16:uniqueId val="{00000002-497D-41B9-8FD0-F68D4153534C}"/>
            </c:ext>
          </c:extLst>
        </c:ser>
        <c:dLbls>
          <c:showLegendKey val="0"/>
          <c:showVal val="0"/>
          <c:showCatName val="0"/>
          <c:showSerName val="0"/>
          <c:showPercent val="0"/>
          <c:showBubbleSize val="0"/>
        </c:dLbls>
        <c:gapWidth val="150"/>
        <c:overlap val="100"/>
        <c:axId val="1079379600"/>
        <c:axId val="1079381232"/>
      </c:barChart>
      <c:dateAx>
        <c:axId val="1079379600"/>
        <c:scaling>
          <c:orientation val="minMax"/>
        </c:scaling>
        <c:delete val="0"/>
        <c:axPos val="l"/>
        <c:numFmt formatCode="General" sourceLinked="0"/>
        <c:majorTickMark val="none"/>
        <c:minorTickMark val="none"/>
        <c:tickLblPos val="nextTo"/>
        <c:spPr>
          <a:noFill/>
          <a:ln w="9509" cap="flat" cmpd="sng" algn="ctr">
            <a:solidFill>
              <a:schemeClr val="tx1">
                <a:lumMod val="15000"/>
                <a:lumOff val="85000"/>
              </a:schemeClr>
            </a:solidFill>
            <a:round/>
          </a:ln>
          <a:effectLst/>
        </c:spPr>
        <c:txPr>
          <a:bodyPr rot="-60000000" spcFirstLastPara="1" vertOverflow="ellipsis" vert="horz" wrap="square" anchor="ctr" anchorCtr="1"/>
          <a:lstStyle/>
          <a:p>
            <a:pPr>
              <a:defRPr sz="799" b="0" i="0" u="none" strike="noStrike" kern="1200" baseline="0">
                <a:solidFill>
                  <a:schemeClr val="tx1">
                    <a:lumMod val="65000"/>
                    <a:lumOff val="35000"/>
                  </a:schemeClr>
                </a:solidFill>
                <a:latin typeface="+mn-lt"/>
                <a:ea typeface="+mn-ea"/>
                <a:cs typeface="+mn-cs"/>
              </a:defRPr>
            </a:pPr>
            <a:endParaRPr lang="en-US"/>
          </a:p>
        </c:txPr>
        <c:crossAx val="1079381232"/>
        <c:crosses val="autoZero"/>
        <c:auto val="0"/>
        <c:lblOffset val="100"/>
        <c:baseTimeUnit val="days"/>
      </c:dateAx>
      <c:valAx>
        <c:axId val="1079381232"/>
        <c:scaling>
          <c:orientation val="minMax"/>
          <c:max val="1"/>
        </c:scaling>
        <c:delete val="0"/>
        <c:axPos val="b"/>
        <c:majorGridlines>
          <c:spPr>
            <a:ln w="9509"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98" b="0" i="0" u="none" strike="noStrike" kern="1200" baseline="0">
                <a:solidFill>
                  <a:schemeClr val="tx1">
                    <a:lumMod val="65000"/>
                    <a:lumOff val="35000"/>
                  </a:schemeClr>
                </a:solidFill>
                <a:latin typeface="+mn-lt"/>
                <a:ea typeface="+mn-ea"/>
                <a:cs typeface="+mn-cs"/>
              </a:defRPr>
            </a:pPr>
            <a:endParaRPr lang="en-US"/>
          </a:p>
        </c:txPr>
        <c:crossAx val="1079379600"/>
        <c:crosses val="autoZero"/>
        <c:crossBetween val="between"/>
      </c:valAx>
      <c:spPr>
        <a:noFill/>
        <a:ln w="25357">
          <a:noFill/>
        </a:ln>
      </c:spPr>
    </c:plotArea>
    <c:legend>
      <c:legendPos val="b"/>
      <c:layout>
        <c:manualLayout>
          <c:xMode val="edge"/>
          <c:yMode val="edge"/>
          <c:x val="0.38761749471581536"/>
          <c:y val="0.8972781593790139"/>
          <c:w val="0.22476463893340765"/>
          <c:h val="9.1837158653040762E-2"/>
        </c:manualLayout>
      </c:layout>
      <c:overlay val="0"/>
      <c:spPr>
        <a:noFill/>
        <a:ln>
          <a:noFill/>
        </a:ln>
        <a:effectLst/>
      </c:spPr>
      <c:txPr>
        <a:bodyPr rot="0" spcFirstLastPara="1" vertOverflow="ellipsis" vert="horz" wrap="square" anchor="ctr" anchorCtr="1"/>
        <a:lstStyle/>
        <a:p>
          <a:pPr>
            <a:defRPr sz="898"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09" cap="flat" cmpd="sng" algn="ctr">
      <a:solidFill>
        <a:schemeClr val="tx1">
          <a:lumMod val="15000"/>
          <a:lumOff val="85000"/>
        </a:schemeClr>
      </a:solidFill>
      <a:round/>
    </a:ln>
    <a:effectLst/>
  </c:spPr>
  <c:txPr>
    <a:bodyPr/>
    <a:lstStyle/>
    <a:p>
      <a:pPr>
        <a:defRPr/>
      </a:pPr>
      <a:endParaRPr lang="en-US"/>
    </a:p>
  </c:txPr>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99" b="0" i="0" u="none" strike="noStrike" baseline="0">
                <a:solidFill>
                  <a:schemeClr val="tx1">
                    <a:lumMod val="65000"/>
                    <a:lumOff val="35000"/>
                  </a:schemeClr>
                </a:solidFill>
                <a:latin typeface="+mn-lt"/>
                <a:ea typeface="+mn-ea"/>
                <a:cs typeface="+mn-cs"/>
              </a:defRPr>
            </a:pPr>
            <a:r>
              <a:rPr lang="en-US" sz="1049"/>
              <a:t>The provisions of the Law that employees get benefited  (%)</a:t>
            </a:r>
          </a:p>
        </c:rich>
      </c:tx>
      <c:overlay val="0"/>
      <c:spPr>
        <a:noFill/>
        <a:ln>
          <a:noFill/>
        </a:ln>
        <a:effectLst/>
      </c:spPr>
    </c:title>
    <c:autoTitleDeleted val="0"/>
    <c:plotArea>
      <c:layout>
        <c:manualLayout>
          <c:layoutTarget val="inner"/>
          <c:xMode val="edge"/>
          <c:yMode val="edge"/>
          <c:x val="0.26481680936512419"/>
          <c:y val="0.23497535046672674"/>
          <c:w val="0.39146603421126314"/>
          <c:h val="0.62249492793083661"/>
        </c:manualLayout>
      </c:layout>
      <c:radarChart>
        <c:radarStyle val="marker"/>
        <c:varyColors val="0"/>
        <c:ser>
          <c:idx val="0"/>
          <c:order val="0"/>
          <c:tx>
            <c:strRef>
              <c:f>'B6'!$C$95</c:f>
              <c:strCache>
                <c:ptCount val="1"/>
                <c:pt idx="0">
                  <c:v>The provisions of the Law that employees get benefited  (%)</c:v>
                </c:pt>
              </c:strCache>
            </c:strRef>
          </c:tx>
          <c:spPr>
            <a:ln w="28550" cap="rnd">
              <a:solidFill>
                <a:schemeClr val="accent1"/>
              </a:solidFill>
              <a:round/>
            </a:ln>
            <a:effectLst/>
          </c:spPr>
          <c:marker>
            <c:symbol val="none"/>
          </c:marker>
          <c:dLbls>
            <c:dLbl>
              <c:idx val="0"/>
              <c:layout>
                <c:manualLayout>
                  <c:x val="0"/>
                  <c:y val="0.150014923704720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320-4588-A494-86CB2F015C04}"/>
                </c:ext>
              </c:extLst>
            </c:dLbl>
            <c:spPr>
              <a:noFill/>
              <a:ln>
                <a:noFill/>
              </a:ln>
              <a:effectLst/>
            </c:spPr>
            <c:txPr>
              <a:bodyPr rot="0" spcFirstLastPara="1" vertOverflow="ellipsis" vert="horz" wrap="square" lIns="38100" tIns="19050" rIns="38100" bIns="19050" anchor="ctr" anchorCtr="1">
                <a:spAutoFit/>
              </a:bodyPr>
              <a:lstStyle/>
              <a:p>
                <a:pPr>
                  <a:defRPr sz="899" b="0" i="0" u="none" strike="noStrike" baseline="0">
                    <a:solidFill>
                      <a:schemeClr val="tx1">
                        <a:lumMod val="65000"/>
                        <a:lumOff val="3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'B6'!$B$96:$B$105</c:f>
              <c:strCache>
                <c:ptCount val="10"/>
                <c:pt idx="0">
                  <c:v>Paid Maternity leave</c:v>
                </c:pt>
                <c:pt idx="1">
                  <c:v>Unpaid maternity leave</c:v>
                </c:pt>
                <c:pt idx="2">
                  <c:v>Paternity leave </c:v>
                </c:pt>
                <c:pt idx="3">
                  <c:v>Part-time work after maternity </c:v>
                </c:pt>
                <c:pt idx="4">
                  <c:v>Anti-discrimination based on gender for equal payment </c:v>
                </c:pt>
                <c:pt idx="5">
                  <c:v>Severence payment in case of termination of the work contract within 1 year due to marriage </c:v>
                </c:pt>
                <c:pt idx="6">
                  <c:v>Prohibition of night shift for pregnant and lactating women</c:v>
                </c:pt>
                <c:pt idx="7">
                  <c:v>Transportation facilities for women during the night shift</c:v>
                </c:pt>
                <c:pt idx="8">
                  <c:v>Breastfeeding room </c:v>
                </c:pt>
                <c:pt idx="9">
                  <c:v>Creche/Nursery</c:v>
                </c:pt>
              </c:strCache>
            </c:strRef>
          </c:cat>
          <c:val>
            <c:numRef>
              <c:f>'B6'!$C$96:$C$105</c:f>
              <c:numCache>
                <c:formatCode>0%</c:formatCode>
                <c:ptCount val="10"/>
                <c:pt idx="0">
                  <c:v>0.95</c:v>
                </c:pt>
                <c:pt idx="1">
                  <c:v>0.77</c:v>
                </c:pt>
                <c:pt idx="2">
                  <c:v>0.64</c:v>
                </c:pt>
                <c:pt idx="3">
                  <c:v>0.62</c:v>
                </c:pt>
                <c:pt idx="4">
                  <c:v>0.55000000000000004</c:v>
                </c:pt>
                <c:pt idx="5">
                  <c:v>0.5</c:v>
                </c:pt>
                <c:pt idx="6">
                  <c:v>0.43</c:v>
                </c:pt>
                <c:pt idx="7">
                  <c:v>0.38</c:v>
                </c:pt>
                <c:pt idx="8">
                  <c:v>0.14000000000000001</c:v>
                </c:pt>
                <c:pt idx="9">
                  <c:v>0.11</c:v>
                </c:pt>
              </c:numCache>
            </c:numRef>
          </c:val>
          <c:extLst>
            <c:ext xmlns:c16="http://schemas.microsoft.com/office/drawing/2014/chart" uri="{C3380CC4-5D6E-409C-BE32-E72D297353CC}">
              <c16:uniqueId val="{00000001-0320-4588-A494-86CB2F015C04}"/>
            </c:ext>
          </c:extLst>
        </c:ser>
        <c:dLbls>
          <c:showLegendKey val="0"/>
          <c:showVal val="0"/>
          <c:showCatName val="0"/>
          <c:showSerName val="0"/>
          <c:showPercent val="0"/>
          <c:showBubbleSize val="0"/>
        </c:dLbls>
        <c:axId val="1079372528"/>
        <c:axId val="1089574096"/>
      </c:radarChart>
      <c:catAx>
        <c:axId val="1079372528"/>
        <c:scaling>
          <c:orientation val="minMax"/>
        </c:scaling>
        <c:delete val="0"/>
        <c:axPos val="b"/>
        <c:numFmt formatCode="General" sourceLinked="1"/>
        <c:majorTickMark val="out"/>
        <c:minorTickMark val="none"/>
        <c:tickLblPos val="nextTo"/>
        <c:txPr>
          <a:bodyPr rot="-60000000" spcFirstLastPara="1" vertOverflow="ellipsis" vert="horz" wrap="square" anchor="ctr" anchorCtr="1"/>
          <a:lstStyle/>
          <a:p>
            <a:pPr>
              <a:defRPr sz="799" b="0" i="0" u="none" strike="noStrike" baseline="0">
                <a:solidFill>
                  <a:schemeClr val="tx1">
                    <a:lumMod val="65000"/>
                    <a:lumOff val="35000"/>
                  </a:schemeClr>
                </a:solidFill>
                <a:latin typeface="+mn-lt"/>
                <a:ea typeface="+mn-ea"/>
                <a:cs typeface="+mn-cs"/>
              </a:defRPr>
            </a:pPr>
            <a:endParaRPr lang="en-US"/>
          </a:p>
        </c:txPr>
        <c:crossAx val="1089574096"/>
        <c:crosses val="autoZero"/>
        <c:auto val="0"/>
        <c:lblAlgn val="ctr"/>
        <c:lblOffset val="100"/>
        <c:noMultiLvlLbl val="0"/>
      </c:catAx>
      <c:valAx>
        <c:axId val="1089574096"/>
        <c:scaling>
          <c:orientation val="minMax"/>
        </c:scaling>
        <c:delete val="1"/>
        <c:axPos val="l"/>
        <c:majorGridlines>
          <c:spPr>
            <a:ln w="9517" cap="flat" cmpd="sng" algn="ctr">
              <a:solidFill>
                <a:schemeClr val="tx1">
                  <a:lumMod val="15000"/>
                  <a:lumOff val="85000"/>
                </a:schemeClr>
              </a:solidFill>
              <a:round/>
            </a:ln>
            <a:effectLst/>
          </c:spPr>
        </c:majorGridlines>
        <c:numFmt formatCode="0%" sourceLinked="1"/>
        <c:majorTickMark val="out"/>
        <c:minorTickMark val="none"/>
        <c:tickLblPos val="nextTo"/>
        <c:crossAx val="1079372528"/>
        <c:crosses val="autoZero"/>
        <c:crossBetween val="between"/>
      </c:valAx>
      <c:spPr>
        <a:noFill/>
        <a:ln w="25377">
          <a:noFill/>
        </a:ln>
      </c:spPr>
    </c:plotArea>
    <c:plotVisOnly val="1"/>
    <c:dispBlanksAs val="gap"/>
    <c:showDLblsOverMax val="0"/>
  </c:chart>
  <c:spPr>
    <a:solidFill>
      <a:schemeClr val="bg1"/>
    </a:solidFill>
    <a:ln w="9517" cap="flat" cmpd="sng" algn="ctr">
      <a:solidFill>
        <a:schemeClr val="tx1">
          <a:lumMod val="15000"/>
          <a:lumOff val="85000"/>
        </a:schemeClr>
      </a:solidFill>
      <a:round/>
    </a:ln>
    <a:effectLst/>
  </c:spPr>
  <c:txPr>
    <a:bodyPr/>
    <a:lstStyle/>
    <a:p>
      <a:pPr>
        <a:defRPr/>
      </a:pPr>
      <a:endParaRPr lang="en-US"/>
    </a:p>
  </c:txPr>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ddLalAJgkUrL27rV166vpNzurCg==">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</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B12E954-231A-4D1C-A38D-ED80CD6DDF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108</Pages>
  <Words>37215</Words>
  <Characters>212128</Characters>
  <Application>Microsoft Office Word</Application>
  <DocSecurity>0</DocSecurity>
  <Lines>1767</Lines>
  <Paragraphs>497</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248846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İpek Çetin</dc:creator>
  <cp:lastModifiedBy>Zeynep Tuğçe Yılmaz</cp:lastModifiedBy>
  <cp:revision>3</cp:revision>
  <dcterms:created xsi:type="dcterms:W3CDTF">2023-05-24T12:32:00Z</dcterms:created>
  <dcterms:modified xsi:type="dcterms:W3CDTF">2024-01-19T10:24:00Z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2517cef2f1c768b6e759775b285ee0a5dbae2866b8ba86b801dacf3e7b6bff95</vt:lpwstr>
  </property>
</Properties>
</file>